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12934"/>
  <w:body>
    <w:p w:rsidR="00B64E2A" w:rsidRPr="00B74E4D" w:rsidRDefault="00B64E2A" w:rsidP="00B64E2A">
      <w:pPr>
        <w:pStyle w:val="Puesto"/>
        <w:spacing w:line="240" w:lineRule="auto"/>
        <w:jc w:val="both"/>
        <w:rPr>
          <w:rFonts w:ascii="Tahoma" w:hAnsi="Tahoma" w:cs="Tahoma"/>
          <w:b w:val="0"/>
          <w:sz w:val="18"/>
          <w:szCs w:val="18"/>
        </w:rPr>
      </w:pPr>
      <w:r w:rsidRPr="00B74E4D">
        <w:rPr>
          <w:rFonts w:ascii="Tahoma" w:hAnsi="Tahoma" w:cs="Tahoma"/>
          <w:b w:val="0"/>
          <w:sz w:val="18"/>
          <w:szCs w:val="18"/>
        </w:rPr>
        <w:t xml:space="preserve">Providencia: </w:t>
      </w:r>
      <w:r w:rsidRPr="00B74E4D">
        <w:rPr>
          <w:rFonts w:ascii="Tahoma" w:hAnsi="Tahoma" w:cs="Tahoma"/>
          <w:b w:val="0"/>
          <w:sz w:val="18"/>
          <w:szCs w:val="18"/>
        </w:rPr>
        <w:tab/>
      </w:r>
      <w:r w:rsidRPr="00B74E4D">
        <w:rPr>
          <w:rFonts w:ascii="Tahoma" w:hAnsi="Tahoma" w:cs="Tahoma"/>
          <w:b w:val="0"/>
          <w:sz w:val="18"/>
          <w:szCs w:val="18"/>
        </w:rPr>
        <w:tab/>
      </w:r>
      <w:r w:rsidRPr="00B74E4D">
        <w:rPr>
          <w:rFonts w:ascii="Tahoma" w:hAnsi="Tahoma" w:cs="Tahoma"/>
          <w:b w:val="0"/>
          <w:sz w:val="18"/>
          <w:szCs w:val="18"/>
        </w:rPr>
        <w:tab/>
      </w:r>
      <w:r w:rsidR="00DC74B9" w:rsidRPr="00B74E4D">
        <w:rPr>
          <w:rFonts w:ascii="Tahoma" w:hAnsi="Tahoma" w:cs="Tahoma"/>
          <w:b w:val="0"/>
          <w:sz w:val="18"/>
          <w:szCs w:val="18"/>
        </w:rPr>
        <w:t xml:space="preserve">Sentencia del </w:t>
      </w:r>
      <w:r w:rsidR="008A3902">
        <w:rPr>
          <w:rFonts w:ascii="Tahoma" w:hAnsi="Tahoma" w:cs="Tahoma"/>
          <w:b w:val="0"/>
          <w:sz w:val="18"/>
          <w:szCs w:val="18"/>
        </w:rPr>
        <w:t xml:space="preserve">20 de septiembre </w:t>
      </w:r>
      <w:r w:rsidR="00D02A91" w:rsidRPr="00B74E4D">
        <w:rPr>
          <w:rFonts w:ascii="Tahoma" w:hAnsi="Tahoma" w:cs="Tahoma"/>
          <w:b w:val="0"/>
          <w:sz w:val="18"/>
          <w:szCs w:val="18"/>
        </w:rPr>
        <w:t>de 2016</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Radicación No.:</w:t>
      </w:r>
      <w:r w:rsidRPr="00534531">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66001-31-05-00</w:t>
      </w:r>
      <w:r w:rsidR="008A3902">
        <w:rPr>
          <w:rFonts w:ascii="Tahoma" w:hAnsi="Tahoma" w:cs="Tahoma"/>
          <w:b w:val="0"/>
          <w:sz w:val="18"/>
          <w:szCs w:val="18"/>
        </w:rPr>
        <w:t>4</w:t>
      </w:r>
      <w:r>
        <w:rPr>
          <w:rFonts w:ascii="Tahoma" w:hAnsi="Tahoma" w:cs="Tahoma"/>
          <w:b w:val="0"/>
          <w:sz w:val="18"/>
          <w:szCs w:val="18"/>
        </w:rPr>
        <w:t>-201</w:t>
      </w:r>
      <w:r w:rsidR="00676EB0">
        <w:rPr>
          <w:rFonts w:ascii="Tahoma" w:hAnsi="Tahoma" w:cs="Tahoma"/>
          <w:b w:val="0"/>
          <w:sz w:val="18"/>
          <w:szCs w:val="18"/>
        </w:rPr>
        <w:t>5</w:t>
      </w:r>
      <w:r>
        <w:rPr>
          <w:rFonts w:ascii="Tahoma" w:hAnsi="Tahoma" w:cs="Tahoma"/>
          <w:b w:val="0"/>
          <w:sz w:val="18"/>
          <w:szCs w:val="18"/>
        </w:rPr>
        <w:t>-00</w:t>
      </w:r>
      <w:r w:rsidR="008A3902">
        <w:rPr>
          <w:rFonts w:ascii="Tahoma" w:hAnsi="Tahoma" w:cs="Tahoma"/>
          <w:b w:val="0"/>
          <w:sz w:val="18"/>
          <w:szCs w:val="18"/>
        </w:rPr>
        <w:t>373</w:t>
      </w:r>
      <w:r>
        <w:rPr>
          <w:rFonts w:ascii="Tahoma" w:hAnsi="Tahoma" w:cs="Tahoma"/>
          <w:b w:val="0"/>
          <w:sz w:val="18"/>
          <w:szCs w:val="18"/>
        </w:rPr>
        <w:t>-01</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Proceso: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Ordinario laboral </w:t>
      </w:r>
    </w:p>
    <w:p w:rsidR="00534531" w:rsidRDefault="00534531" w:rsidP="00534531">
      <w:pPr>
        <w:pStyle w:val="Puesto"/>
        <w:spacing w:line="240" w:lineRule="auto"/>
        <w:jc w:val="both"/>
        <w:rPr>
          <w:rFonts w:ascii="Tahoma" w:hAnsi="Tahoma" w:cs="Tahoma"/>
          <w:b w:val="0"/>
          <w:sz w:val="18"/>
          <w:szCs w:val="18"/>
        </w:rPr>
      </w:pPr>
      <w:r w:rsidRPr="00534531">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008A3902">
        <w:rPr>
          <w:rFonts w:ascii="Tahoma" w:hAnsi="Tahoma" w:cs="Tahoma"/>
          <w:b w:val="0"/>
          <w:sz w:val="18"/>
          <w:szCs w:val="18"/>
        </w:rPr>
        <w:t>Jorge Aníbal Pareja Henao</w:t>
      </w:r>
    </w:p>
    <w:p w:rsidR="00534531" w:rsidRDefault="00534531" w:rsidP="00534531">
      <w:pPr>
        <w:pStyle w:val="Puesto"/>
        <w:spacing w:line="240" w:lineRule="auto"/>
        <w:ind w:left="708" w:hanging="708"/>
        <w:jc w:val="both"/>
        <w:rPr>
          <w:rFonts w:ascii="Tahoma" w:hAnsi="Tahoma" w:cs="Tahoma"/>
          <w:b w:val="0"/>
          <w:sz w:val="18"/>
          <w:szCs w:val="18"/>
        </w:rPr>
      </w:pPr>
      <w:r w:rsidRPr="00534531">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A3902" w:rsidRDefault="008A3902" w:rsidP="008A3902">
      <w:pPr>
        <w:pStyle w:val="Puesto"/>
        <w:spacing w:line="240" w:lineRule="auto"/>
        <w:jc w:val="both"/>
        <w:rPr>
          <w:rFonts w:ascii="Tahoma" w:hAnsi="Tahoma" w:cs="Tahoma"/>
          <w:b w:val="0"/>
          <w:sz w:val="18"/>
          <w:szCs w:val="18"/>
        </w:rPr>
      </w:pPr>
      <w:r w:rsidRPr="001E4ACB">
        <w:rPr>
          <w:rFonts w:ascii="Tahoma" w:hAnsi="Tahoma" w:cs="Tahoma"/>
          <w:b w:val="0"/>
          <w:sz w:val="18"/>
          <w:szCs w:val="18"/>
        </w:rPr>
        <w:t>Magistrad</w:t>
      </w:r>
      <w:r>
        <w:rPr>
          <w:rFonts w:ascii="Tahoma" w:hAnsi="Tahoma" w:cs="Tahoma"/>
          <w:b w:val="0"/>
          <w:sz w:val="18"/>
          <w:szCs w:val="18"/>
        </w:rPr>
        <w:t>a</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DC74B9" w:rsidRPr="00B74E4D" w:rsidRDefault="00DC74B9" w:rsidP="001B1BBE">
      <w:pPr>
        <w:pStyle w:val="Puesto"/>
        <w:spacing w:line="240" w:lineRule="auto"/>
        <w:ind w:left="2805" w:hanging="2805"/>
        <w:jc w:val="both"/>
        <w:rPr>
          <w:rFonts w:ascii="Tahoma" w:hAnsi="Tahoma" w:cs="Tahoma"/>
          <w:b w:val="0"/>
          <w:sz w:val="18"/>
          <w:szCs w:val="18"/>
        </w:rPr>
      </w:pPr>
      <w:r w:rsidRPr="00B74E4D">
        <w:rPr>
          <w:rFonts w:ascii="Tahoma" w:hAnsi="Tahoma" w:cs="Tahoma"/>
          <w:b w:val="0"/>
          <w:sz w:val="18"/>
          <w:szCs w:val="18"/>
        </w:rPr>
        <w:t>Magistrada que salva voto:</w:t>
      </w:r>
      <w:r w:rsidRPr="00B74E4D">
        <w:rPr>
          <w:rFonts w:ascii="Tahoma" w:hAnsi="Tahoma" w:cs="Tahoma"/>
          <w:sz w:val="18"/>
          <w:szCs w:val="18"/>
        </w:rPr>
        <w:tab/>
      </w:r>
      <w:r w:rsidRPr="00B74E4D">
        <w:rPr>
          <w:rFonts w:ascii="Tahoma" w:hAnsi="Tahoma" w:cs="Tahoma"/>
          <w:b w:val="0"/>
          <w:sz w:val="18"/>
          <w:szCs w:val="18"/>
        </w:rPr>
        <w:t xml:space="preserve">Dra. </w:t>
      </w:r>
      <w:r w:rsidR="00DE0FDF" w:rsidRPr="00B74E4D">
        <w:rPr>
          <w:rFonts w:ascii="Tahoma" w:hAnsi="Tahoma" w:cs="Tahoma"/>
          <w:b w:val="0"/>
          <w:sz w:val="18"/>
          <w:szCs w:val="18"/>
        </w:rPr>
        <w:t>Ana Lucia Caicedo Calderón</w:t>
      </w:r>
    </w:p>
    <w:p w:rsidR="00DE0FDF" w:rsidRPr="00B74E4D" w:rsidRDefault="004C7FD6" w:rsidP="007145A4">
      <w:pPr>
        <w:pStyle w:val="Puesto"/>
        <w:spacing w:line="240" w:lineRule="auto"/>
        <w:ind w:left="2805" w:hanging="2805"/>
        <w:jc w:val="both"/>
        <w:rPr>
          <w:rFonts w:ascii="Tahoma" w:hAnsi="Tahoma" w:cs="Tahoma"/>
          <w:sz w:val="18"/>
          <w:szCs w:val="18"/>
        </w:rPr>
      </w:pPr>
      <w:r w:rsidRPr="00B74E4D">
        <w:rPr>
          <w:rFonts w:ascii="Tahoma" w:hAnsi="Tahoma" w:cs="Tahoma"/>
          <w:b w:val="0"/>
          <w:sz w:val="18"/>
          <w:szCs w:val="18"/>
        </w:rPr>
        <w:t>Tema</w:t>
      </w:r>
      <w:r w:rsidRPr="00B74E4D">
        <w:rPr>
          <w:rFonts w:ascii="Tahoma" w:hAnsi="Tahoma" w:cs="Tahoma"/>
          <w:sz w:val="18"/>
          <w:szCs w:val="18"/>
        </w:rPr>
        <w:t>:</w:t>
      </w:r>
      <w:r w:rsidR="0083123E" w:rsidRPr="00B74E4D">
        <w:rPr>
          <w:rFonts w:ascii="Tahoma" w:hAnsi="Tahoma" w:cs="Tahoma"/>
          <w:sz w:val="18"/>
          <w:szCs w:val="18"/>
        </w:rPr>
        <w:t xml:space="preserve"> </w:t>
      </w:r>
      <w:r w:rsidR="0083123E" w:rsidRPr="00B74E4D">
        <w:rPr>
          <w:rFonts w:ascii="Tahoma" w:hAnsi="Tahoma" w:cs="Tahoma"/>
          <w:sz w:val="18"/>
          <w:szCs w:val="18"/>
        </w:rPr>
        <w:tab/>
      </w:r>
    </w:p>
    <w:p w:rsidR="00E15C02" w:rsidRDefault="00471AC1" w:rsidP="00E15C02">
      <w:pPr>
        <w:ind w:left="2805"/>
        <w:jc w:val="both"/>
        <w:rPr>
          <w:lang w:val="es-CO" w:eastAsia="es-MX"/>
        </w:rPr>
      </w:pPr>
      <w:r w:rsidRPr="00471AC1">
        <w:rPr>
          <w:rFonts w:ascii="Tahoma" w:hAnsi="Tahoma" w:cs="Tahoma"/>
          <w:b/>
          <w:sz w:val="18"/>
          <w:szCs w:val="18"/>
        </w:rPr>
        <w:t>Pensión de vejez Acuerdo 049 de 1990 – Posibilidad de acumular cotizaciones en los sectores público y privado:</w:t>
      </w:r>
      <w:r>
        <w:rPr>
          <w:rFonts w:ascii="Tahoma" w:hAnsi="Tahoma" w:cs="Tahoma"/>
          <w:sz w:val="18"/>
          <w:szCs w:val="18"/>
        </w:rPr>
        <w:t xml:space="preserve"> </w:t>
      </w:r>
      <w:r w:rsidRPr="008075F0">
        <w:rPr>
          <w:rFonts w:ascii="Tahoma" w:hAnsi="Tahoma" w:cs="Tahoma"/>
          <w:bCs/>
          <w:sz w:val="18"/>
          <w:szCs w:val="18"/>
        </w:rPr>
        <w:t xml:space="preserve">La Corte Constitucional en la Sentencia SU-769 de 2014, con ponencia del Magistrado Jorge Iván Palacio </w:t>
      </w:r>
      <w:proofErr w:type="spellStart"/>
      <w:r w:rsidRPr="008075F0">
        <w:rPr>
          <w:rFonts w:ascii="Tahoma" w:hAnsi="Tahoma" w:cs="Tahoma"/>
          <w:bCs/>
          <w:sz w:val="18"/>
          <w:szCs w:val="18"/>
        </w:rPr>
        <w:t>Palacio</w:t>
      </w:r>
      <w:proofErr w:type="spellEnd"/>
      <w:r w:rsidRPr="008075F0">
        <w:rPr>
          <w:rFonts w:ascii="Tahoma" w:hAnsi="Tahoma" w:cs="Tahoma"/>
          <w:bCs/>
          <w:sz w:val="18"/>
          <w:szCs w:val="18"/>
        </w:rPr>
        <w:t xml:space="preserve">,  precisó </w:t>
      </w:r>
      <w:r w:rsidRPr="00206953">
        <w:rPr>
          <w:rFonts w:ascii="Tahoma" w:hAnsi="Tahoma" w:cs="Tahoma"/>
          <w:bCs/>
          <w:i/>
          <w:sz w:val="18"/>
          <w:szCs w:val="18"/>
        </w:rPr>
        <w:t>–en un asunto donde se buscaba la aplicación del Acuerdo 049 de 1990 en virtud del régimen de transición-</w:t>
      </w:r>
      <w:r w:rsidRPr="008075F0">
        <w:rPr>
          <w:rFonts w:ascii="Tahoma" w:hAnsi="Tahoma" w:cs="Tahoma"/>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Pr>
          <w:rFonts w:ascii="Tahoma" w:hAnsi="Tahoma" w:cs="Tahoma"/>
          <w:bCs/>
          <w:sz w:val="18"/>
          <w:szCs w:val="18"/>
        </w:rPr>
        <w:t>requerida</w:t>
      </w:r>
      <w:r w:rsidRPr="008075F0">
        <w:rPr>
          <w:rFonts w:ascii="Tahoma" w:hAnsi="Tahoma" w:cs="Tahoma"/>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Cs/>
          <w:sz w:val="18"/>
          <w:szCs w:val="18"/>
        </w:rPr>
        <w:t xml:space="preserve">, y que esta </w:t>
      </w:r>
      <w:r w:rsidRPr="008075F0">
        <w:rPr>
          <w:rFonts w:ascii="Tahoma" w:hAnsi="Tahoma" w:cs="Tahoma"/>
          <w:bCs/>
          <w:sz w:val="18"/>
          <w:szCs w:val="18"/>
        </w:rPr>
        <w:t xml:space="preserve">Corporación </w:t>
      </w:r>
      <w:r>
        <w:rPr>
          <w:rFonts w:ascii="Tahoma" w:hAnsi="Tahoma" w:cs="Tahoma"/>
          <w:bCs/>
          <w:sz w:val="18"/>
          <w:szCs w:val="18"/>
        </w:rPr>
        <w:t xml:space="preserve">acogió </w:t>
      </w:r>
      <w:r w:rsidRPr="008075F0">
        <w:rPr>
          <w:rFonts w:ascii="Tahoma" w:hAnsi="Tahoma" w:cs="Tahoma"/>
          <w:bCs/>
          <w:sz w:val="18"/>
          <w:szCs w:val="18"/>
        </w:rPr>
        <w:t>en sentencia del 30 de octubre de 2015, proferida dentro del proceso radicado con el número 2013-00483</w:t>
      </w:r>
      <w:r w:rsidR="00D67870">
        <w:rPr>
          <w:rFonts w:ascii="Tahoma" w:hAnsi="Tahoma" w:cs="Tahoma"/>
          <w:bCs/>
          <w:sz w:val="18"/>
          <w:szCs w:val="18"/>
        </w:rPr>
        <w:t>.</w:t>
      </w:r>
    </w:p>
    <w:p w:rsidR="00D67870" w:rsidRDefault="00D67870" w:rsidP="00E15C02">
      <w:pPr>
        <w:ind w:left="2805"/>
        <w:jc w:val="both"/>
        <w:rPr>
          <w:lang w:val="es-CO" w:eastAsia="es-MX"/>
        </w:rPr>
      </w:pPr>
    </w:p>
    <w:p w:rsidR="00B92B26" w:rsidRPr="00C76801" w:rsidRDefault="00B92B26" w:rsidP="00E15C02">
      <w:pPr>
        <w:ind w:left="2805"/>
        <w:jc w:val="both"/>
        <w:rPr>
          <w:lang w:val="es-CO" w:eastAsia="es-MX"/>
        </w:rPr>
      </w:pPr>
    </w:p>
    <w:p w:rsidR="00782D3A" w:rsidRPr="00C76801" w:rsidRDefault="00F0306B" w:rsidP="006E0E51">
      <w:pPr>
        <w:pStyle w:val="Ttulo1"/>
        <w:widowControl/>
        <w:autoSpaceDE/>
        <w:autoSpaceDN/>
        <w:adjustRightInd/>
        <w:rPr>
          <w:rFonts w:ascii="Tahoma" w:hAnsi="Tahoma" w:cs="Tahoma"/>
          <w:bCs/>
          <w:u w:val="single"/>
        </w:rPr>
      </w:pPr>
      <w:r>
        <w:rPr>
          <w:rFonts w:ascii="Tahoma" w:hAnsi="Tahoma" w:cs="Tahoma"/>
          <w:bCs/>
          <w:u w:val="single"/>
        </w:rPr>
        <w:t>SALVAMENTO</w:t>
      </w:r>
      <w:r w:rsidR="000A681C" w:rsidRPr="00C76801">
        <w:rPr>
          <w:rFonts w:ascii="Tahoma" w:hAnsi="Tahoma" w:cs="Tahoma"/>
          <w:bCs/>
          <w:u w:val="single"/>
        </w:rPr>
        <w:t xml:space="preserve"> </w:t>
      </w:r>
      <w:r w:rsidR="00782D3A" w:rsidRPr="00C76801">
        <w:rPr>
          <w:rFonts w:ascii="Tahoma" w:hAnsi="Tahoma" w:cs="Tahoma"/>
          <w:bCs/>
          <w:u w:val="single"/>
        </w:rPr>
        <w:t>DE VOTO</w:t>
      </w:r>
    </w:p>
    <w:p w:rsidR="00782D3A" w:rsidRPr="00C76801" w:rsidRDefault="00782D3A" w:rsidP="006E0E51">
      <w:pPr>
        <w:jc w:val="both"/>
        <w:rPr>
          <w:rFonts w:ascii="Tahoma" w:hAnsi="Tahoma" w:cs="Tahoma"/>
          <w:b/>
          <w:bCs/>
          <w:sz w:val="28"/>
        </w:rPr>
      </w:pPr>
    </w:p>
    <w:p w:rsidR="00A717A9" w:rsidRPr="00E15C02" w:rsidRDefault="004C7FD6" w:rsidP="006E0E51">
      <w:pPr>
        <w:ind w:firstLine="851"/>
        <w:jc w:val="both"/>
        <w:rPr>
          <w:rFonts w:ascii="Tahoma" w:hAnsi="Tahoma" w:cs="Tahoma"/>
          <w:sz w:val="22"/>
          <w:szCs w:val="22"/>
        </w:rPr>
      </w:pPr>
      <w:r w:rsidRPr="00E15C02">
        <w:rPr>
          <w:rFonts w:ascii="Tahoma" w:hAnsi="Tahoma" w:cs="Tahoma"/>
          <w:sz w:val="22"/>
          <w:szCs w:val="22"/>
        </w:rPr>
        <w:t xml:space="preserve">Con mi acostumbrado respeto, </w:t>
      </w:r>
      <w:r w:rsidR="009A54E6" w:rsidRPr="00E15C02">
        <w:rPr>
          <w:rFonts w:ascii="Tahoma" w:hAnsi="Tahoma" w:cs="Tahoma"/>
          <w:sz w:val="22"/>
          <w:szCs w:val="22"/>
        </w:rPr>
        <w:t>manifiesto mi inconformidad</w:t>
      </w:r>
      <w:r w:rsidRPr="00E15C02">
        <w:rPr>
          <w:rFonts w:ascii="Tahoma" w:hAnsi="Tahoma" w:cs="Tahoma"/>
          <w:sz w:val="22"/>
          <w:szCs w:val="22"/>
        </w:rPr>
        <w:t xml:space="preserve"> frente </w:t>
      </w:r>
      <w:r w:rsidR="0012673F" w:rsidRPr="00E15C02">
        <w:rPr>
          <w:rFonts w:ascii="Tahoma" w:hAnsi="Tahoma" w:cs="Tahoma"/>
          <w:sz w:val="22"/>
          <w:szCs w:val="22"/>
        </w:rPr>
        <w:t xml:space="preserve">a la </w:t>
      </w:r>
      <w:r w:rsidR="00F44F7C" w:rsidRPr="00E15C02">
        <w:rPr>
          <w:rFonts w:ascii="Tahoma" w:hAnsi="Tahoma" w:cs="Tahoma"/>
          <w:sz w:val="22"/>
          <w:szCs w:val="22"/>
        </w:rPr>
        <w:t>sentencia mayoritaria</w:t>
      </w:r>
      <w:r w:rsidR="009A54E6" w:rsidRPr="00E15C02">
        <w:rPr>
          <w:rFonts w:ascii="Tahoma" w:hAnsi="Tahoma" w:cs="Tahoma"/>
          <w:sz w:val="22"/>
          <w:szCs w:val="22"/>
        </w:rPr>
        <w:t xml:space="preserve">, </w:t>
      </w:r>
      <w:r w:rsidR="0083571A" w:rsidRPr="00E15C02">
        <w:rPr>
          <w:rFonts w:ascii="Tahoma" w:hAnsi="Tahoma" w:cs="Tahoma"/>
          <w:sz w:val="22"/>
          <w:szCs w:val="22"/>
        </w:rPr>
        <w:t>por cua</w:t>
      </w:r>
      <w:r w:rsidR="00D02A91" w:rsidRPr="00E15C02">
        <w:rPr>
          <w:rFonts w:ascii="Tahoma" w:hAnsi="Tahoma" w:cs="Tahoma"/>
          <w:sz w:val="22"/>
          <w:szCs w:val="22"/>
        </w:rPr>
        <w:t xml:space="preserve">nto </w:t>
      </w:r>
      <w:r w:rsidR="00497A9F" w:rsidRPr="00E15C02">
        <w:rPr>
          <w:rFonts w:ascii="Tahoma" w:hAnsi="Tahoma" w:cs="Tahoma"/>
          <w:sz w:val="22"/>
          <w:szCs w:val="22"/>
        </w:rPr>
        <w:t xml:space="preserve">considero que en el presente caso </w:t>
      </w:r>
      <w:r w:rsidR="0012673F" w:rsidRPr="00E15C02">
        <w:rPr>
          <w:rFonts w:ascii="Tahoma" w:hAnsi="Tahoma" w:cs="Tahoma"/>
          <w:sz w:val="22"/>
          <w:szCs w:val="22"/>
        </w:rPr>
        <w:t>h</w:t>
      </w:r>
      <w:r w:rsidR="00497A9F" w:rsidRPr="00E15C02">
        <w:rPr>
          <w:rFonts w:ascii="Tahoma" w:hAnsi="Tahoma" w:cs="Tahoma"/>
          <w:sz w:val="22"/>
          <w:szCs w:val="22"/>
        </w:rPr>
        <w:t xml:space="preserve">abía lugar a </w:t>
      </w:r>
      <w:r w:rsidR="00D67870">
        <w:rPr>
          <w:rFonts w:ascii="Tahoma" w:hAnsi="Tahoma" w:cs="Tahoma"/>
          <w:sz w:val="22"/>
          <w:szCs w:val="22"/>
        </w:rPr>
        <w:t>reconocer la pensión de vejez reclamada</w:t>
      </w:r>
      <w:r w:rsidR="00080EDF" w:rsidRPr="00E15C02">
        <w:rPr>
          <w:rFonts w:ascii="Tahoma" w:hAnsi="Tahoma" w:cs="Tahoma"/>
          <w:sz w:val="22"/>
          <w:szCs w:val="22"/>
        </w:rPr>
        <w:t xml:space="preserve"> </w:t>
      </w:r>
      <w:r w:rsidR="00D02A91" w:rsidRPr="00E15C02">
        <w:rPr>
          <w:rFonts w:ascii="Tahoma" w:hAnsi="Tahoma" w:cs="Tahoma"/>
          <w:sz w:val="22"/>
          <w:szCs w:val="22"/>
        </w:rPr>
        <w:t>por las siguientes razones</w:t>
      </w:r>
      <w:r w:rsidR="00497A9F" w:rsidRPr="00E15C02">
        <w:rPr>
          <w:rFonts w:ascii="Tahoma" w:hAnsi="Tahoma" w:cs="Tahoma"/>
          <w:sz w:val="22"/>
          <w:szCs w:val="22"/>
        </w:rPr>
        <w:t xml:space="preserve">: </w:t>
      </w:r>
    </w:p>
    <w:p w:rsidR="0012673F" w:rsidRPr="00E15C02" w:rsidRDefault="0012673F" w:rsidP="006E0E51">
      <w:pPr>
        <w:ind w:firstLine="851"/>
        <w:jc w:val="both"/>
        <w:rPr>
          <w:rFonts w:ascii="Tahoma" w:hAnsi="Tahoma" w:cs="Tahoma"/>
          <w:sz w:val="22"/>
          <w:szCs w:val="22"/>
        </w:rPr>
      </w:pPr>
    </w:p>
    <w:p w:rsidR="00DE0FDF" w:rsidRDefault="00D67870" w:rsidP="006E0E51">
      <w:pPr>
        <w:pStyle w:val="Sinespaciado"/>
        <w:numPr>
          <w:ilvl w:val="0"/>
          <w:numId w:val="24"/>
        </w:numPr>
        <w:rPr>
          <w:rFonts w:ascii="Tahoma" w:eastAsia="Times New Roman" w:hAnsi="Tahoma" w:cs="Tahoma"/>
          <w:b/>
          <w:lang w:val="es-ES" w:eastAsia="es-ES"/>
        </w:rPr>
      </w:pPr>
      <w:r w:rsidRPr="00D67870">
        <w:rPr>
          <w:rFonts w:ascii="Tahoma" w:eastAsia="Times New Roman" w:hAnsi="Tahoma" w:cs="Tahoma"/>
          <w:b/>
          <w:lang w:val="es-ES" w:eastAsia="es-ES"/>
        </w:rPr>
        <w:t>Pensión de vejez Acuerdo 049 de 1990 – Posibilidad de acumular cotizaciones en los sectores público y privado:</w:t>
      </w:r>
    </w:p>
    <w:p w:rsidR="00D67870" w:rsidRPr="00E15C02" w:rsidRDefault="00D67870" w:rsidP="006E0E51">
      <w:pPr>
        <w:pStyle w:val="Sinespaciado"/>
        <w:ind w:firstLine="709"/>
      </w:pPr>
    </w:p>
    <w:p w:rsidR="00D67870" w:rsidRPr="00D67870" w:rsidRDefault="00D67870" w:rsidP="006E0E51">
      <w:pPr>
        <w:ind w:firstLine="851"/>
        <w:jc w:val="both"/>
        <w:rPr>
          <w:rFonts w:ascii="Tahoma" w:hAnsi="Tahoma" w:cs="Tahoma"/>
          <w:sz w:val="22"/>
          <w:szCs w:val="22"/>
        </w:rPr>
      </w:pPr>
      <w:r w:rsidRPr="00D67870">
        <w:rPr>
          <w:rFonts w:ascii="Tahoma" w:hAnsi="Tahoma" w:cs="Tahoma"/>
          <w:sz w:val="22"/>
          <w:szCs w:val="22"/>
        </w:rPr>
        <w:t xml:space="preserve">La H. Corte Constitucional a través de la sentencia SU-769 de 2014, con ponencia del Magistrado Jorge Iván Palacio </w:t>
      </w:r>
      <w:proofErr w:type="spellStart"/>
      <w:r w:rsidRPr="00D67870">
        <w:rPr>
          <w:rFonts w:ascii="Tahoma" w:hAnsi="Tahoma" w:cs="Tahoma"/>
          <w:sz w:val="22"/>
          <w:szCs w:val="22"/>
        </w:rPr>
        <w:t>Palacio</w:t>
      </w:r>
      <w:proofErr w:type="spellEnd"/>
      <w:r w:rsidRPr="00D67870">
        <w:rPr>
          <w:rFonts w:ascii="Tahoma" w:hAnsi="Tahoma" w:cs="Tahoma"/>
          <w:sz w:val="22"/>
          <w:szCs w:val="22"/>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Justamente en aplicación de esta tesis, 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 ”.  </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Más adelante, plasmó un aparte de la sentencia  T-334 de 2011 en el siguiente sentido:</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“Teniendo en cuenta que el cómputo de semanas cotizadas quedó consagrado en la Ley 100, precisamente para evitar las injusticias que durante mucho tiempo se cometieron cuando era imposible acumular semanas laborados con diferentes empleadores, con lo cual las posibilidades de muchos trabajadores de acceder a la pensión eran mínimas; surge la duda seria y objetiva de si es preciso interpretar favorablemente o no dicho artículo para que los beneficiarios de la transición puedan computar semanas, sin perder por ello dicha prerrogativa.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Existiendo concurrentemente esas posibilidades de interpretación, el principio rector pro operario hace obligatorio asumir la opción favorable al trabajador, es decir, el ISS debe computar el período referido y, a su vez, permitir a la señora Martínez Escobar pensionarse bajo el régimen de transición”.</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sidRPr="00D67870">
        <w:rPr>
          <w:rFonts w:ascii="Tahoma" w:hAnsi="Tahoma" w:cs="Tahoma"/>
          <w:sz w:val="22"/>
          <w:szCs w:val="22"/>
        </w:rPr>
        <w:t>Igualmente indicó el Alto Tribunal en la Sentencia SU-769 de 2014:</w:t>
      </w:r>
    </w:p>
    <w:p w:rsidR="00D67870" w:rsidRPr="00D67870" w:rsidRDefault="00D67870" w:rsidP="006E0E51">
      <w:pPr>
        <w:ind w:firstLine="851"/>
        <w:jc w:val="both"/>
        <w:rPr>
          <w:rFonts w:ascii="Tahoma" w:hAnsi="Tahoma" w:cs="Tahoma"/>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“7.3.7. En jurisprudencia más reciente la Corte se pronunció sobre el caso de una señora de 77 años que laboró 405 semanas como servidor público y cotizó 596 semanas al Instituto de Seguros Sociales, para un total de 1001, a quien </w:t>
      </w:r>
      <w:r w:rsidRPr="00D67870">
        <w:rPr>
          <w:rFonts w:ascii="Arial Narrow" w:hAnsi="Arial Narrow" w:cs="Tahoma"/>
          <w:i/>
          <w:sz w:val="22"/>
          <w:szCs w:val="22"/>
        </w:rPr>
        <w:lastRenderedPageBreak/>
        <w:t xml:space="preserve">le fue negada la pensión de vejez por no ser posible, según esa entidad, acumular tiempos de servicio bajo el régimen contenido en el Acuerdo 049 de 1990. Así, mediante la sentencia T-100 de 2012, consideró: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 xml:space="preserve">“[L]a jurisprudencia de esta Corporación ha sido enfática al resaltar que esta interpretación de la normativa es errónea y atenta contra los derechos fundamentales de los beneficiarios del régimen de transición. </w:t>
      </w:r>
    </w:p>
    <w:p w:rsidR="00D67870" w:rsidRPr="00D67870" w:rsidRDefault="00D67870" w:rsidP="006E0E51">
      <w:pPr>
        <w:ind w:left="567"/>
        <w:jc w:val="both"/>
        <w:rPr>
          <w:rFonts w:ascii="Arial Narrow" w:hAnsi="Arial Narrow" w:cs="Tahoma"/>
          <w:i/>
          <w:sz w:val="22"/>
          <w:szCs w:val="22"/>
        </w:rPr>
      </w:pPr>
    </w:p>
    <w:p w:rsidR="00D67870" w:rsidRPr="00D67870" w:rsidRDefault="00D67870" w:rsidP="006E0E51">
      <w:pPr>
        <w:ind w:left="567"/>
        <w:jc w:val="both"/>
        <w:rPr>
          <w:rFonts w:ascii="Arial Narrow" w:hAnsi="Arial Narrow" w:cs="Tahoma"/>
          <w:i/>
          <w:sz w:val="22"/>
          <w:szCs w:val="22"/>
        </w:rPr>
      </w:pPr>
      <w:r w:rsidRPr="00D67870">
        <w:rPr>
          <w:rFonts w:ascii="Arial Narrow" w:hAnsi="Arial Narrow" w:cs="Tahoma"/>
          <w:i/>
          <w:sz w:val="22"/>
          <w:szCs w:val="22"/>
        </w:rPr>
        <w:t>Esto por cuanto: (i) al exigir que para acceder a la pensión de vejez de acuerdo con el Decreto 758 de 1990 las cotizaciones se hayan realizado de manera exclusiva al Seguro Social, se está requiriendo el cumplimiento de un elemento que la norma no consagra; (ii) los requisitos para acceder a los beneficios Sistema General de Seguridad Social se acreditan es ante el sistema mismo y no ante las entidades que lo conforman; y (iii) el artículo 36 de la Ley 100 de 1993 limitó el régimen de transición a solo tres ítems (edad, tiempo y monto) y estableció que ‘[l]as demás condiciones y requisitos aplicables a estas personas para acceder a la pensión de vejez, se regirán por las disposiciones contenidas en la presente Ley’, 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p>
    <w:p w:rsidR="00D67870" w:rsidRDefault="00D67870" w:rsidP="006E0E51">
      <w:pPr>
        <w:ind w:firstLine="851"/>
        <w:jc w:val="both"/>
        <w:rPr>
          <w:rFonts w:ascii="Tahoma" w:hAnsi="Tahoma" w:cs="Tahoma"/>
          <w:sz w:val="22"/>
          <w:szCs w:val="22"/>
        </w:rPr>
      </w:pPr>
    </w:p>
    <w:p w:rsidR="00D67870" w:rsidRPr="00D67870" w:rsidRDefault="00D67870" w:rsidP="006E0E51">
      <w:pPr>
        <w:ind w:firstLine="567"/>
        <w:jc w:val="both"/>
        <w:rPr>
          <w:rFonts w:ascii="Tahoma" w:hAnsi="Tahoma" w:cs="Tahoma"/>
          <w:sz w:val="22"/>
          <w:szCs w:val="22"/>
        </w:rPr>
      </w:pPr>
      <w:r>
        <w:rPr>
          <w:rFonts w:ascii="Tahoma" w:hAnsi="Tahoma" w:cs="Tahoma"/>
          <w:sz w:val="22"/>
          <w:szCs w:val="22"/>
        </w:rPr>
        <w:t xml:space="preserve">De lo anterior se colige que </w:t>
      </w:r>
      <w:r w:rsidRPr="00D67870">
        <w:rPr>
          <w:rFonts w:ascii="Tahoma" w:hAnsi="Tahoma" w:cs="Tahoma"/>
          <w:sz w:val="22"/>
          <w:szCs w:val="22"/>
        </w:rPr>
        <w:t>la Corte Constitucional –en un asunto donde se buscaba la aplicación del Acuerdo 049 de 1990 en vir</w:t>
      </w:r>
      <w:r>
        <w:rPr>
          <w:rFonts w:ascii="Tahoma" w:hAnsi="Tahoma" w:cs="Tahoma"/>
          <w:sz w:val="22"/>
          <w:szCs w:val="22"/>
        </w:rPr>
        <w:t xml:space="preserve">tud del régimen de transición- aclaró </w:t>
      </w:r>
      <w:r w:rsidRPr="00D67870">
        <w:rPr>
          <w:rFonts w:ascii="Tahoma" w:hAnsi="Tahoma" w:cs="Tahoma"/>
          <w:sz w:val="22"/>
          <w:szCs w:val="22"/>
        </w:rPr>
        <w:t xml:space="preserve">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w:t>
      </w:r>
      <w:r>
        <w:rPr>
          <w:rFonts w:ascii="Tahoma" w:hAnsi="Tahoma" w:cs="Tahoma"/>
          <w:sz w:val="22"/>
          <w:szCs w:val="22"/>
        </w:rPr>
        <w:t>de la suscrita Magistrada.</w:t>
      </w:r>
    </w:p>
    <w:p w:rsidR="00D67870" w:rsidRPr="00D67870" w:rsidRDefault="00D67870" w:rsidP="006E0E51">
      <w:pPr>
        <w:ind w:firstLine="851"/>
        <w:jc w:val="both"/>
        <w:rPr>
          <w:rFonts w:ascii="Tahoma" w:hAnsi="Tahoma" w:cs="Tahoma"/>
          <w:sz w:val="22"/>
          <w:szCs w:val="22"/>
        </w:rPr>
      </w:pPr>
    </w:p>
    <w:p w:rsidR="00853607" w:rsidRDefault="00D67870" w:rsidP="006E0E51">
      <w:pPr>
        <w:ind w:firstLine="567"/>
        <w:jc w:val="both"/>
        <w:rPr>
          <w:rFonts w:ascii="Tahoma" w:hAnsi="Tahoma" w:cs="Tahoma"/>
          <w:sz w:val="22"/>
          <w:szCs w:val="22"/>
        </w:rPr>
      </w:pPr>
      <w:r>
        <w:rPr>
          <w:rFonts w:ascii="Tahoma" w:hAnsi="Tahoma" w:cs="Tahoma"/>
          <w:sz w:val="22"/>
          <w:szCs w:val="22"/>
        </w:rPr>
        <w:t>En consecuencia</w:t>
      </w:r>
      <w:r w:rsidRPr="00D67870">
        <w:rPr>
          <w:rFonts w:ascii="Tahoma" w:hAnsi="Tahoma" w:cs="Tahoma"/>
          <w:sz w:val="22"/>
          <w:szCs w:val="22"/>
        </w:rPr>
        <w:t>, es evidente que</w:t>
      </w:r>
      <w:r>
        <w:rPr>
          <w:rFonts w:ascii="Tahoma" w:hAnsi="Tahoma" w:cs="Tahoma"/>
          <w:sz w:val="22"/>
          <w:szCs w:val="22"/>
        </w:rPr>
        <w:t>, siendo el actor</w:t>
      </w:r>
      <w:r w:rsidRPr="00D67870">
        <w:rPr>
          <w:rFonts w:ascii="Tahoma" w:hAnsi="Tahoma" w:cs="Tahoma"/>
          <w:sz w:val="22"/>
          <w:szCs w:val="22"/>
        </w:rPr>
        <w:t xml:space="preserve"> beneficiari</w:t>
      </w:r>
      <w:r>
        <w:rPr>
          <w:rFonts w:ascii="Tahoma" w:hAnsi="Tahoma" w:cs="Tahoma"/>
          <w:sz w:val="22"/>
          <w:szCs w:val="22"/>
        </w:rPr>
        <w:t>o</w:t>
      </w:r>
      <w:r w:rsidRPr="00D67870">
        <w:rPr>
          <w:rFonts w:ascii="Tahoma" w:hAnsi="Tahoma" w:cs="Tahoma"/>
          <w:sz w:val="22"/>
          <w:szCs w:val="22"/>
        </w:rPr>
        <w:t xml:space="preserve"> del régimen de transición y </w:t>
      </w:r>
      <w:r w:rsidR="00B92B26">
        <w:rPr>
          <w:rFonts w:ascii="Tahoma" w:hAnsi="Tahoma" w:cs="Tahoma"/>
          <w:sz w:val="22"/>
          <w:szCs w:val="22"/>
        </w:rPr>
        <w:t xml:space="preserve">haber cumplido 60 años el </w:t>
      </w:r>
      <w:r w:rsidR="001C332E">
        <w:rPr>
          <w:rFonts w:ascii="Tahoma" w:hAnsi="Tahoma" w:cs="Tahoma"/>
          <w:sz w:val="22"/>
          <w:szCs w:val="22"/>
        </w:rPr>
        <w:t>11</w:t>
      </w:r>
      <w:r w:rsidR="00B92B26">
        <w:rPr>
          <w:rFonts w:ascii="Tahoma" w:hAnsi="Tahoma" w:cs="Tahoma"/>
          <w:sz w:val="22"/>
          <w:szCs w:val="22"/>
        </w:rPr>
        <w:t xml:space="preserve"> de </w:t>
      </w:r>
      <w:r w:rsidR="001C332E">
        <w:rPr>
          <w:rFonts w:ascii="Tahoma" w:hAnsi="Tahoma" w:cs="Tahoma"/>
          <w:sz w:val="22"/>
          <w:szCs w:val="22"/>
        </w:rPr>
        <w:t xml:space="preserve">febrero de </w:t>
      </w:r>
      <w:r w:rsidR="00B52E48">
        <w:rPr>
          <w:rFonts w:ascii="Tahoma" w:hAnsi="Tahoma" w:cs="Tahoma"/>
          <w:sz w:val="22"/>
          <w:szCs w:val="22"/>
        </w:rPr>
        <w:t>2009</w:t>
      </w:r>
      <w:r w:rsidR="00853607">
        <w:rPr>
          <w:rFonts w:ascii="Tahoma" w:hAnsi="Tahoma" w:cs="Tahoma"/>
          <w:sz w:val="22"/>
          <w:szCs w:val="22"/>
        </w:rPr>
        <w:t>, era dable reconocer la prestación en aplicación del acuerdo 049 de 1990, por cuanto superaba las 1000 semanas cotizadas en toda su vida laboral, -905 al ISS, hoy Colpensiones, y 100 al sector público.</w:t>
      </w:r>
    </w:p>
    <w:p w:rsidR="00853607" w:rsidRDefault="00853607" w:rsidP="006E0E51">
      <w:pPr>
        <w:ind w:firstLine="851"/>
        <w:jc w:val="both"/>
        <w:rPr>
          <w:rFonts w:ascii="Tahoma" w:hAnsi="Tahoma" w:cs="Tahoma"/>
          <w:sz w:val="22"/>
          <w:szCs w:val="22"/>
        </w:rPr>
      </w:pPr>
    </w:p>
    <w:p w:rsidR="00853607" w:rsidRDefault="00853607" w:rsidP="006E0E51">
      <w:pPr>
        <w:ind w:firstLine="567"/>
        <w:jc w:val="both"/>
        <w:rPr>
          <w:rFonts w:ascii="Tahoma" w:hAnsi="Tahoma" w:cs="Tahoma"/>
          <w:sz w:val="22"/>
          <w:szCs w:val="22"/>
        </w:rPr>
      </w:pPr>
      <w:r>
        <w:rPr>
          <w:rFonts w:ascii="Tahoma" w:hAnsi="Tahoma" w:cs="Tahoma"/>
          <w:sz w:val="22"/>
          <w:szCs w:val="22"/>
        </w:rPr>
        <w:t xml:space="preserve">Ahora, como si lo anterior no fuera suficiente </w:t>
      </w:r>
      <w:r w:rsidRPr="00702EB4">
        <w:rPr>
          <w:rFonts w:ascii="Tahoma" w:hAnsi="Tahoma" w:cs="Tahoma"/>
          <w:sz w:val="22"/>
          <w:szCs w:val="22"/>
        </w:rPr>
        <w:t>considero que en el presente caso</w:t>
      </w:r>
      <w:r w:rsidR="00B52E48">
        <w:rPr>
          <w:rFonts w:ascii="Tahoma" w:hAnsi="Tahoma" w:cs="Tahoma"/>
          <w:sz w:val="22"/>
          <w:szCs w:val="22"/>
        </w:rPr>
        <w:t>, en defecto del Acuerdo 049 de 1990,</w:t>
      </w:r>
      <w:r w:rsidRPr="00702EB4">
        <w:rPr>
          <w:rFonts w:ascii="Tahoma" w:hAnsi="Tahoma" w:cs="Tahoma"/>
          <w:sz w:val="22"/>
          <w:szCs w:val="22"/>
        </w:rPr>
        <w:t xml:space="preserve"> había lugar a reconocer </w:t>
      </w:r>
      <w:r>
        <w:rPr>
          <w:rFonts w:ascii="Tahoma" w:hAnsi="Tahoma" w:cs="Tahoma"/>
          <w:sz w:val="22"/>
          <w:szCs w:val="22"/>
        </w:rPr>
        <w:t>al actor la pensión de jubilación consagrada en la Ley 71 de 1988, pues con las 1005 semanas cotizadas en los sectores público y privado cumple con los 20 años de servicios exigidos en dicha normativa. Ello por cuanto, a</w:t>
      </w:r>
      <w:r w:rsidRPr="00702EB4">
        <w:rPr>
          <w:rFonts w:ascii="Tahoma" w:hAnsi="Tahoma" w:cs="Tahoma"/>
          <w:sz w:val="22"/>
          <w:szCs w:val="22"/>
        </w:rPr>
        <w:t>ntes de la Ley 100</w:t>
      </w:r>
      <w:r>
        <w:rPr>
          <w:rFonts w:ascii="Tahoma" w:hAnsi="Tahoma" w:cs="Tahoma"/>
          <w:sz w:val="22"/>
          <w:szCs w:val="22"/>
        </w:rPr>
        <w:t xml:space="preserve"> de 1993</w:t>
      </w:r>
      <w:r w:rsidRPr="00702EB4">
        <w:rPr>
          <w:rFonts w:ascii="Tahoma" w:hAnsi="Tahoma" w:cs="Tahoma"/>
          <w:sz w:val="22"/>
          <w:szCs w:val="22"/>
        </w:rPr>
        <w:t xml:space="preserve"> los empleados privados podían pensionarse con 1000 semanas, de modo que por derecho a la igualdad ese mismo rasero debe aplicarse al empleado público, tal y como lo sost</w:t>
      </w:r>
      <w:r>
        <w:rPr>
          <w:rFonts w:ascii="Tahoma" w:hAnsi="Tahoma" w:cs="Tahoma"/>
          <w:sz w:val="22"/>
          <w:szCs w:val="22"/>
        </w:rPr>
        <w:t xml:space="preserve">uvo esta Corporación en </w:t>
      </w:r>
      <w:r w:rsidRPr="00702EB4">
        <w:rPr>
          <w:rFonts w:ascii="Tahoma" w:hAnsi="Tahoma" w:cs="Tahoma"/>
          <w:sz w:val="22"/>
          <w:szCs w:val="22"/>
        </w:rPr>
        <w:t>providencia del 27 de mayo de 2011</w:t>
      </w:r>
      <w:r>
        <w:rPr>
          <w:rFonts w:ascii="Tahoma" w:hAnsi="Tahoma" w:cs="Tahoma"/>
          <w:sz w:val="22"/>
          <w:szCs w:val="22"/>
        </w:rPr>
        <w:t xml:space="preserve">, </w:t>
      </w:r>
      <w:r w:rsidRPr="00702EB4">
        <w:rPr>
          <w:rFonts w:ascii="Tahoma" w:hAnsi="Tahoma" w:cs="Tahoma"/>
          <w:sz w:val="22"/>
          <w:szCs w:val="22"/>
        </w:rPr>
        <w:t>M.P. Dr. Francisco Javier Tamayo Tabares</w:t>
      </w:r>
      <w:r>
        <w:rPr>
          <w:rFonts w:ascii="Tahoma" w:hAnsi="Tahoma" w:cs="Tahoma"/>
          <w:sz w:val="22"/>
          <w:szCs w:val="22"/>
        </w:rPr>
        <w:t xml:space="preserve">, en la que se indicó que </w:t>
      </w:r>
      <w:r w:rsidRPr="00702EB4">
        <w:rPr>
          <w:rFonts w:ascii="Tahoma" w:hAnsi="Tahoma" w:cs="Tahoma"/>
          <w:sz w:val="22"/>
          <w:szCs w:val="22"/>
        </w:rPr>
        <w:t xml:space="preserve">debía entenderse que los 20 años de aportes acumulados en una o varias de las entidades de previsión social y en el </w:t>
      </w:r>
      <w:r>
        <w:rPr>
          <w:rFonts w:ascii="Tahoma" w:hAnsi="Tahoma" w:cs="Tahoma"/>
          <w:sz w:val="22"/>
          <w:szCs w:val="22"/>
        </w:rPr>
        <w:t xml:space="preserve">entonces </w:t>
      </w:r>
      <w:r w:rsidRPr="00702EB4">
        <w:rPr>
          <w:rFonts w:ascii="Tahoma" w:hAnsi="Tahoma" w:cs="Tahoma"/>
          <w:sz w:val="22"/>
          <w:szCs w:val="22"/>
        </w:rPr>
        <w:t>Instituto de Seguros Sociales, equival</w:t>
      </w:r>
      <w:r>
        <w:rPr>
          <w:rFonts w:ascii="Tahoma" w:hAnsi="Tahoma" w:cs="Tahoma"/>
          <w:sz w:val="22"/>
          <w:szCs w:val="22"/>
        </w:rPr>
        <w:t>ían</w:t>
      </w:r>
      <w:r w:rsidRPr="00702EB4">
        <w:rPr>
          <w:rFonts w:ascii="Tahoma" w:hAnsi="Tahoma" w:cs="Tahoma"/>
          <w:sz w:val="22"/>
          <w:szCs w:val="22"/>
        </w:rPr>
        <w:t xml:space="preserve"> a las 1000 semanas exigidas en el Acuerdo 049 de 1990 y en </w:t>
      </w:r>
      <w:smartTag w:uri="urn:schemas-microsoft-com:office:smarttags" w:element="PersonName">
        <w:smartTagPr>
          <w:attr w:name="ProductID" w:val="la Ley"/>
        </w:smartTagPr>
        <w:r w:rsidRPr="00702EB4">
          <w:rPr>
            <w:rFonts w:ascii="Tahoma" w:hAnsi="Tahoma" w:cs="Tahoma"/>
            <w:sz w:val="22"/>
            <w:szCs w:val="22"/>
          </w:rPr>
          <w:t>la Ley</w:t>
        </w:r>
      </w:smartTag>
      <w:r w:rsidRPr="00702EB4">
        <w:rPr>
          <w:rFonts w:ascii="Tahoma" w:hAnsi="Tahoma" w:cs="Tahoma"/>
          <w:sz w:val="22"/>
          <w:szCs w:val="22"/>
        </w:rPr>
        <w:t xml:space="preserve"> 100 de 1993 y, no las 1.028,57 que se contabilizaban matemáticamente. </w:t>
      </w:r>
    </w:p>
    <w:p w:rsidR="00853607" w:rsidRPr="00702EB4" w:rsidRDefault="00853607" w:rsidP="006E0E51">
      <w:pPr>
        <w:jc w:val="both"/>
        <w:rPr>
          <w:rFonts w:ascii="Tahoma" w:hAnsi="Tahoma" w:cs="Tahoma"/>
          <w:sz w:val="22"/>
          <w:szCs w:val="22"/>
        </w:rPr>
      </w:pPr>
      <w:r>
        <w:rPr>
          <w:rFonts w:ascii="Tahoma" w:hAnsi="Tahoma" w:cs="Tahoma"/>
          <w:sz w:val="22"/>
          <w:szCs w:val="22"/>
        </w:rPr>
        <w:tab/>
      </w:r>
    </w:p>
    <w:p w:rsidR="00121694" w:rsidRPr="00D67870" w:rsidRDefault="00853607" w:rsidP="006E0E51">
      <w:pPr>
        <w:ind w:firstLine="567"/>
        <w:jc w:val="both"/>
        <w:rPr>
          <w:rFonts w:ascii="Tahoma" w:hAnsi="Tahoma" w:cs="Tahoma"/>
          <w:sz w:val="22"/>
          <w:szCs w:val="22"/>
        </w:rPr>
      </w:pPr>
      <w:r w:rsidRPr="00702EB4">
        <w:rPr>
          <w:rFonts w:ascii="Tahoma" w:hAnsi="Tahoma" w:cs="Tahoma"/>
          <w:sz w:val="22"/>
          <w:szCs w:val="22"/>
        </w:rPr>
        <w:t xml:space="preserve">Dicha posición se sustenta en el derecho fundamental a la igualdad y a criterios de justicia y equidad, pues no es lógico ni razonable, por ejemplo, que si el Acuerdo 049 de 1990 y la Ley 100 de 1993 original tenían como requisito 1000 semanas para acceder a la pensión de vejez y 60 años de edad para los hombres, a una persona que supuestamente es “beneficiaria” del régimen de transición consagrado en el artículo 36 de la misma Ley 100 termine exigiéndosele 1.028 </w:t>
      </w:r>
      <w:proofErr w:type="spellStart"/>
      <w:r w:rsidRPr="00702EB4">
        <w:rPr>
          <w:rFonts w:ascii="Tahoma" w:hAnsi="Tahoma" w:cs="Tahoma"/>
          <w:sz w:val="22"/>
          <w:szCs w:val="22"/>
        </w:rPr>
        <w:t>ó</w:t>
      </w:r>
      <w:proofErr w:type="spellEnd"/>
      <w:r w:rsidRPr="00702EB4">
        <w:rPr>
          <w:rFonts w:ascii="Tahoma" w:hAnsi="Tahoma" w:cs="Tahoma"/>
          <w:sz w:val="22"/>
          <w:szCs w:val="22"/>
        </w:rPr>
        <w:t xml:space="preserve"> 1.042 semanas, es decir, más de las que necesitaría si no fuere “beneficiario” del régimen transicional, convirtiéndose el beneficio en un castigo. En otras palabras, no es justo que después de haber laborado un número significativo de años y de haber traspasado la edad de los 60 años, cumpliendo los mismos requisitos del Acuerdo 049 de 1990 o la propia Ley 100 de 1993 original, se le niegue el derecho a sustituir su salario por una pensión de vejez, o se le exija que siga trabajando, cuando a esa edad las posibilidades de seguir cotizando son prácticamente nulas y la indemnización sustitutiva jamás </w:t>
      </w:r>
      <w:r w:rsidR="00B52E48">
        <w:rPr>
          <w:rFonts w:ascii="Tahoma" w:hAnsi="Tahoma" w:cs="Tahoma"/>
          <w:sz w:val="22"/>
          <w:szCs w:val="22"/>
        </w:rPr>
        <w:t xml:space="preserve">la </w:t>
      </w:r>
      <w:r w:rsidRPr="00702EB4">
        <w:rPr>
          <w:rFonts w:ascii="Tahoma" w:hAnsi="Tahoma" w:cs="Tahoma"/>
          <w:sz w:val="22"/>
          <w:szCs w:val="22"/>
        </w:rPr>
        <w:t>reemplazaría</w:t>
      </w:r>
      <w:r w:rsidR="00B52E48">
        <w:rPr>
          <w:rFonts w:ascii="Tahoma" w:hAnsi="Tahoma" w:cs="Tahoma"/>
          <w:sz w:val="22"/>
          <w:szCs w:val="22"/>
        </w:rPr>
        <w:t>. En virtud de lo anterior, debió revocarse la sentencia de instancia y conceder el derecho deprecado.</w:t>
      </w:r>
    </w:p>
    <w:p w:rsidR="00B52E48" w:rsidRDefault="0084245B" w:rsidP="006E0E51">
      <w:pPr>
        <w:ind w:firstLine="851"/>
        <w:jc w:val="both"/>
        <w:rPr>
          <w:rFonts w:ascii="Tahoma" w:hAnsi="Tahoma" w:cs="Tahoma"/>
          <w:sz w:val="22"/>
          <w:szCs w:val="22"/>
        </w:rPr>
      </w:pPr>
      <w:r w:rsidRPr="00D67870">
        <w:rPr>
          <w:rFonts w:ascii="Tahoma" w:hAnsi="Tahoma" w:cs="Tahoma"/>
          <w:sz w:val="22"/>
          <w:szCs w:val="22"/>
        </w:rPr>
        <w:tab/>
      </w:r>
    </w:p>
    <w:p w:rsidR="00782D3A" w:rsidRPr="00E15C02" w:rsidRDefault="00B52E48" w:rsidP="006E0E51">
      <w:pPr>
        <w:ind w:firstLine="851"/>
        <w:jc w:val="both"/>
        <w:rPr>
          <w:rFonts w:ascii="Tahoma" w:hAnsi="Tahoma" w:cs="Tahoma"/>
          <w:sz w:val="22"/>
          <w:szCs w:val="22"/>
        </w:rPr>
      </w:pPr>
      <w:r>
        <w:rPr>
          <w:rFonts w:ascii="Tahoma" w:hAnsi="Tahoma" w:cs="Tahoma"/>
          <w:sz w:val="22"/>
          <w:szCs w:val="22"/>
        </w:rPr>
        <w:t>Los precedentes anteriores se venían aplicando por las mayorías de las Salas 1 y 3 hasta la creación del despacho n</w:t>
      </w:r>
      <w:r w:rsidR="008508E3">
        <w:rPr>
          <w:rFonts w:ascii="Tahoma" w:hAnsi="Tahoma" w:cs="Tahoma"/>
          <w:sz w:val="22"/>
          <w:szCs w:val="22"/>
        </w:rPr>
        <w:t xml:space="preserve">úmero 4 </w:t>
      </w:r>
      <w:r>
        <w:rPr>
          <w:rFonts w:ascii="Tahoma" w:hAnsi="Tahoma" w:cs="Tahoma"/>
          <w:sz w:val="22"/>
          <w:szCs w:val="22"/>
        </w:rPr>
        <w:t>en esta Corporación, a partir del cual, se varió el precedente, violándose el derecho a la igualdad de los usuarios, toda vez que el proyecto no contiene razones de peso que lleven a apartarse de las reglas jurisprudenciales dadas por la Corte Constitucional sobre este derecho fundamental tan caro para la Carta Política</w:t>
      </w:r>
      <w:r w:rsidR="00782D3A" w:rsidRPr="00E15C02">
        <w:rPr>
          <w:rFonts w:ascii="Tahoma" w:hAnsi="Tahoma" w:cs="Tahoma"/>
          <w:sz w:val="22"/>
          <w:szCs w:val="22"/>
        </w:rPr>
        <w:t>.</w:t>
      </w:r>
    </w:p>
    <w:p w:rsidR="00782D3A" w:rsidRPr="00E15C02" w:rsidRDefault="00782D3A" w:rsidP="006E0E51">
      <w:pPr>
        <w:pStyle w:val="Textoindependiente"/>
        <w:autoSpaceDE/>
        <w:autoSpaceDN/>
        <w:adjustRightInd/>
        <w:rPr>
          <w:rFonts w:ascii="Tahoma" w:hAnsi="Tahoma" w:cs="Tahoma"/>
          <w:sz w:val="22"/>
          <w:szCs w:val="22"/>
          <w:lang w:val="es-ES"/>
        </w:rPr>
      </w:pPr>
    </w:p>
    <w:p w:rsidR="00782D3A" w:rsidRPr="00E15C02" w:rsidRDefault="00782D3A" w:rsidP="006E0E51">
      <w:pPr>
        <w:widowControl w:val="0"/>
        <w:autoSpaceDE w:val="0"/>
        <w:autoSpaceDN w:val="0"/>
        <w:adjustRightInd w:val="0"/>
        <w:jc w:val="both"/>
        <w:rPr>
          <w:rFonts w:ascii="Tahoma" w:hAnsi="Tahoma" w:cs="Tahoma"/>
          <w:sz w:val="22"/>
          <w:szCs w:val="22"/>
        </w:rPr>
      </w:pPr>
    </w:p>
    <w:p w:rsidR="00534531" w:rsidRDefault="008508E3" w:rsidP="008508E3">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lastRenderedPageBreak/>
        <w:t>En esos términos sustento mi salvamento de voto.</w:t>
      </w:r>
    </w:p>
    <w:p w:rsidR="00F45DDF" w:rsidRPr="00E15C02" w:rsidRDefault="00F45DDF" w:rsidP="006E0E51">
      <w:pPr>
        <w:widowControl w:val="0"/>
        <w:autoSpaceDE w:val="0"/>
        <w:autoSpaceDN w:val="0"/>
        <w:adjustRightInd w:val="0"/>
        <w:jc w:val="both"/>
        <w:rPr>
          <w:rFonts w:ascii="Tahoma" w:hAnsi="Tahoma" w:cs="Tahoma"/>
          <w:sz w:val="22"/>
          <w:szCs w:val="22"/>
        </w:rPr>
      </w:pPr>
    </w:p>
    <w:p w:rsidR="00782D3A" w:rsidRDefault="00782D3A"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bookmarkStart w:id="0" w:name="_GoBack"/>
      <w:bookmarkEnd w:id="0"/>
    </w:p>
    <w:p w:rsidR="008508E3" w:rsidRDefault="008508E3" w:rsidP="006E0E51">
      <w:pPr>
        <w:widowControl w:val="0"/>
        <w:autoSpaceDE w:val="0"/>
        <w:autoSpaceDN w:val="0"/>
        <w:adjustRightInd w:val="0"/>
        <w:jc w:val="both"/>
        <w:rPr>
          <w:rFonts w:ascii="Tahoma" w:hAnsi="Tahoma" w:cs="Tahoma"/>
          <w:sz w:val="22"/>
          <w:szCs w:val="22"/>
        </w:rPr>
      </w:pPr>
    </w:p>
    <w:p w:rsidR="008508E3" w:rsidRDefault="008508E3" w:rsidP="006E0E51">
      <w:pPr>
        <w:widowControl w:val="0"/>
        <w:autoSpaceDE w:val="0"/>
        <w:autoSpaceDN w:val="0"/>
        <w:adjustRightInd w:val="0"/>
        <w:jc w:val="both"/>
        <w:rPr>
          <w:rFonts w:ascii="Tahoma" w:hAnsi="Tahoma" w:cs="Tahoma"/>
          <w:sz w:val="22"/>
          <w:szCs w:val="22"/>
        </w:rPr>
      </w:pPr>
    </w:p>
    <w:p w:rsidR="008508E3" w:rsidRPr="00E15C02" w:rsidRDefault="008508E3" w:rsidP="006E0E51">
      <w:pPr>
        <w:widowControl w:val="0"/>
        <w:autoSpaceDE w:val="0"/>
        <w:autoSpaceDN w:val="0"/>
        <w:adjustRightInd w:val="0"/>
        <w:jc w:val="both"/>
        <w:rPr>
          <w:rFonts w:ascii="Tahoma" w:hAnsi="Tahoma" w:cs="Tahoma"/>
          <w:sz w:val="22"/>
          <w:szCs w:val="22"/>
        </w:rPr>
      </w:pPr>
    </w:p>
    <w:p w:rsidR="00782D3A" w:rsidRPr="00E15C02" w:rsidRDefault="00782D3A" w:rsidP="006E0E51">
      <w:pPr>
        <w:pStyle w:val="Ttulo3"/>
        <w:spacing w:line="240" w:lineRule="auto"/>
        <w:rPr>
          <w:rFonts w:ascii="Tahoma" w:hAnsi="Tahoma" w:cs="Tahoma"/>
          <w:sz w:val="22"/>
          <w:szCs w:val="22"/>
        </w:rPr>
      </w:pPr>
      <w:r w:rsidRPr="00E15C02">
        <w:rPr>
          <w:rFonts w:ascii="Tahoma" w:hAnsi="Tahoma" w:cs="Tahoma"/>
          <w:sz w:val="22"/>
          <w:szCs w:val="22"/>
        </w:rPr>
        <w:t>ANA LUCÍA CAICEDO CALDERÓN</w:t>
      </w:r>
    </w:p>
    <w:sectPr w:rsidR="00782D3A" w:rsidRPr="00E15C02" w:rsidSect="00B74E4D">
      <w:footerReference w:type="even" r:id="rId8"/>
      <w:foot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78" w:rsidRDefault="00F21178">
      <w:r>
        <w:separator/>
      </w:r>
    </w:p>
  </w:endnote>
  <w:endnote w:type="continuationSeparator" w:id="0">
    <w:p w:rsidR="00F21178" w:rsidRDefault="00F2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F030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F030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F030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141F">
      <w:rPr>
        <w:rStyle w:val="Nmerodepgina"/>
        <w:noProof/>
      </w:rPr>
      <w:t>3</w:t>
    </w:r>
    <w:r>
      <w:rPr>
        <w:rStyle w:val="Nmerodepgina"/>
      </w:rPr>
      <w:fldChar w:fldCharType="end"/>
    </w:r>
  </w:p>
  <w:p w:rsidR="00F0306B" w:rsidRDefault="00F030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78" w:rsidRDefault="00F21178">
      <w:r>
        <w:separator/>
      </w:r>
    </w:p>
  </w:footnote>
  <w:footnote w:type="continuationSeparator" w:id="0">
    <w:p w:rsidR="00F21178" w:rsidRDefault="00F21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1663FE"/>
    <w:multiLevelType w:val="hybridMultilevel"/>
    <w:tmpl w:val="EA66C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8D1471"/>
    <w:multiLevelType w:val="hybridMultilevel"/>
    <w:tmpl w:val="5252A3AC"/>
    <w:lvl w:ilvl="0" w:tplc="FCA6335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nsid w:val="543965FD"/>
    <w:multiLevelType w:val="hybridMultilevel"/>
    <w:tmpl w:val="B6C66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4"/>
  </w:num>
  <w:num w:numId="2">
    <w:abstractNumId w:val="13"/>
  </w:num>
  <w:num w:numId="3">
    <w:abstractNumId w:val="8"/>
  </w:num>
  <w:num w:numId="4">
    <w:abstractNumId w:val="16"/>
  </w:num>
  <w:num w:numId="5">
    <w:abstractNumId w:val="9"/>
  </w:num>
  <w:num w:numId="6">
    <w:abstractNumId w:val="17"/>
  </w:num>
  <w:num w:numId="7">
    <w:abstractNumId w:val="11"/>
  </w:num>
  <w:num w:numId="8">
    <w:abstractNumId w:val="0"/>
  </w:num>
  <w:num w:numId="9">
    <w:abstractNumId w:val="19"/>
  </w:num>
  <w:num w:numId="10">
    <w:abstractNumId w:val="23"/>
  </w:num>
  <w:num w:numId="11">
    <w:abstractNumId w:val="21"/>
  </w:num>
  <w:num w:numId="12">
    <w:abstractNumId w:val="20"/>
  </w:num>
  <w:num w:numId="13">
    <w:abstractNumId w:val="12"/>
  </w:num>
  <w:num w:numId="14">
    <w:abstractNumId w:val="18"/>
  </w:num>
  <w:num w:numId="15">
    <w:abstractNumId w:val="2"/>
  </w:num>
  <w:num w:numId="16">
    <w:abstractNumId w:val="7"/>
  </w:num>
  <w:num w:numId="17">
    <w:abstractNumId w:val="3"/>
  </w:num>
  <w:num w:numId="18">
    <w:abstractNumId w:val="5"/>
  </w:num>
  <w:num w:numId="19">
    <w:abstractNumId w:val="15"/>
  </w:num>
  <w:num w:numId="20">
    <w:abstractNumId w:val="1"/>
  </w:num>
  <w:num w:numId="21">
    <w:abstractNumId w:val="6"/>
  </w:num>
  <w:num w:numId="22">
    <w:abstractNumId w:val="1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5FE7"/>
    <w:rsid w:val="00031AD6"/>
    <w:rsid w:val="0003459A"/>
    <w:rsid w:val="00055D56"/>
    <w:rsid w:val="00080EDF"/>
    <w:rsid w:val="00085817"/>
    <w:rsid w:val="00087702"/>
    <w:rsid w:val="0009080D"/>
    <w:rsid w:val="0009221C"/>
    <w:rsid w:val="00095044"/>
    <w:rsid w:val="00095BCE"/>
    <w:rsid w:val="000A56AE"/>
    <w:rsid w:val="000A681C"/>
    <w:rsid w:val="000B2D41"/>
    <w:rsid w:val="000C6E42"/>
    <w:rsid w:val="00103495"/>
    <w:rsid w:val="00107A5B"/>
    <w:rsid w:val="001103D7"/>
    <w:rsid w:val="00115AFF"/>
    <w:rsid w:val="00121694"/>
    <w:rsid w:val="0012673F"/>
    <w:rsid w:val="00156484"/>
    <w:rsid w:val="00173C9C"/>
    <w:rsid w:val="001811C6"/>
    <w:rsid w:val="001A16A0"/>
    <w:rsid w:val="001A56E3"/>
    <w:rsid w:val="001A7ABE"/>
    <w:rsid w:val="001B051C"/>
    <w:rsid w:val="001B1BBE"/>
    <w:rsid w:val="001C0EBE"/>
    <w:rsid w:val="001C332E"/>
    <w:rsid w:val="001C3B62"/>
    <w:rsid w:val="001D0F0B"/>
    <w:rsid w:val="001D1D11"/>
    <w:rsid w:val="001D688D"/>
    <w:rsid w:val="001E6555"/>
    <w:rsid w:val="00201C0A"/>
    <w:rsid w:val="00210B65"/>
    <w:rsid w:val="00221E3E"/>
    <w:rsid w:val="002228D3"/>
    <w:rsid w:val="00222EC4"/>
    <w:rsid w:val="00231DFB"/>
    <w:rsid w:val="00233C49"/>
    <w:rsid w:val="00234FC1"/>
    <w:rsid w:val="00253F96"/>
    <w:rsid w:val="002551FF"/>
    <w:rsid w:val="0025601E"/>
    <w:rsid w:val="002643DF"/>
    <w:rsid w:val="0028043A"/>
    <w:rsid w:val="00283CAB"/>
    <w:rsid w:val="002C7A6B"/>
    <w:rsid w:val="002F2E49"/>
    <w:rsid w:val="003021B2"/>
    <w:rsid w:val="003224A8"/>
    <w:rsid w:val="003245A0"/>
    <w:rsid w:val="00326D68"/>
    <w:rsid w:val="003325AA"/>
    <w:rsid w:val="00363522"/>
    <w:rsid w:val="003A53D9"/>
    <w:rsid w:val="003A6AB6"/>
    <w:rsid w:val="003B67F2"/>
    <w:rsid w:val="003D4F25"/>
    <w:rsid w:val="00411366"/>
    <w:rsid w:val="00421A82"/>
    <w:rsid w:val="00423330"/>
    <w:rsid w:val="00471AC1"/>
    <w:rsid w:val="00496E67"/>
    <w:rsid w:val="00497A9F"/>
    <w:rsid w:val="004A1075"/>
    <w:rsid w:val="004A7232"/>
    <w:rsid w:val="004C10F3"/>
    <w:rsid w:val="004C1DC8"/>
    <w:rsid w:val="004C4FC3"/>
    <w:rsid w:val="004C5D20"/>
    <w:rsid w:val="004C7FD6"/>
    <w:rsid w:val="004D1C41"/>
    <w:rsid w:val="004D24A4"/>
    <w:rsid w:val="004E24AF"/>
    <w:rsid w:val="004E5FAC"/>
    <w:rsid w:val="00503C57"/>
    <w:rsid w:val="00504CB1"/>
    <w:rsid w:val="00510B20"/>
    <w:rsid w:val="0051471B"/>
    <w:rsid w:val="00527AE4"/>
    <w:rsid w:val="00534531"/>
    <w:rsid w:val="00554071"/>
    <w:rsid w:val="00554F04"/>
    <w:rsid w:val="00562945"/>
    <w:rsid w:val="0056523C"/>
    <w:rsid w:val="0056685B"/>
    <w:rsid w:val="00571A61"/>
    <w:rsid w:val="00583F42"/>
    <w:rsid w:val="00593D49"/>
    <w:rsid w:val="00594BBA"/>
    <w:rsid w:val="005A6189"/>
    <w:rsid w:val="005B4CD3"/>
    <w:rsid w:val="005B6D57"/>
    <w:rsid w:val="005C432E"/>
    <w:rsid w:val="005D0315"/>
    <w:rsid w:val="005D6C17"/>
    <w:rsid w:val="005D73E1"/>
    <w:rsid w:val="005F1C18"/>
    <w:rsid w:val="005F3741"/>
    <w:rsid w:val="0060110F"/>
    <w:rsid w:val="00601BB9"/>
    <w:rsid w:val="006235BE"/>
    <w:rsid w:val="006532E4"/>
    <w:rsid w:val="00676EB0"/>
    <w:rsid w:val="00676FC1"/>
    <w:rsid w:val="006959D3"/>
    <w:rsid w:val="006A38A3"/>
    <w:rsid w:val="006D7882"/>
    <w:rsid w:val="006E0E51"/>
    <w:rsid w:val="0070606F"/>
    <w:rsid w:val="007145A4"/>
    <w:rsid w:val="00757AFF"/>
    <w:rsid w:val="00760339"/>
    <w:rsid w:val="00762F4A"/>
    <w:rsid w:val="00777535"/>
    <w:rsid w:val="00777A28"/>
    <w:rsid w:val="00782D3A"/>
    <w:rsid w:val="007A7DE2"/>
    <w:rsid w:val="007E7A37"/>
    <w:rsid w:val="007F721C"/>
    <w:rsid w:val="00800F64"/>
    <w:rsid w:val="00817723"/>
    <w:rsid w:val="008229C8"/>
    <w:rsid w:val="0083123E"/>
    <w:rsid w:val="00832A84"/>
    <w:rsid w:val="0083571A"/>
    <w:rsid w:val="0084245B"/>
    <w:rsid w:val="008508E3"/>
    <w:rsid w:val="00853607"/>
    <w:rsid w:val="0086126A"/>
    <w:rsid w:val="00864105"/>
    <w:rsid w:val="0086564D"/>
    <w:rsid w:val="0086762A"/>
    <w:rsid w:val="00872948"/>
    <w:rsid w:val="008768A2"/>
    <w:rsid w:val="00880685"/>
    <w:rsid w:val="00891AF1"/>
    <w:rsid w:val="008A3902"/>
    <w:rsid w:val="008C09D3"/>
    <w:rsid w:val="008C29B3"/>
    <w:rsid w:val="008F0F3E"/>
    <w:rsid w:val="008F5548"/>
    <w:rsid w:val="009046D3"/>
    <w:rsid w:val="00905052"/>
    <w:rsid w:val="00916332"/>
    <w:rsid w:val="0092576C"/>
    <w:rsid w:val="0094648D"/>
    <w:rsid w:val="00993F8A"/>
    <w:rsid w:val="009A1FF7"/>
    <w:rsid w:val="009A54E6"/>
    <w:rsid w:val="009B280C"/>
    <w:rsid w:val="009D0461"/>
    <w:rsid w:val="009F40F9"/>
    <w:rsid w:val="00A01BB0"/>
    <w:rsid w:val="00A14181"/>
    <w:rsid w:val="00A22CC1"/>
    <w:rsid w:val="00A25CE2"/>
    <w:rsid w:val="00A33025"/>
    <w:rsid w:val="00A541A3"/>
    <w:rsid w:val="00A717A9"/>
    <w:rsid w:val="00A73491"/>
    <w:rsid w:val="00A7446C"/>
    <w:rsid w:val="00A7792B"/>
    <w:rsid w:val="00A90B60"/>
    <w:rsid w:val="00A92BAB"/>
    <w:rsid w:val="00A97FA1"/>
    <w:rsid w:val="00AC143D"/>
    <w:rsid w:val="00AC1565"/>
    <w:rsid w:val="00AC64F9"/>
    <w:rsid w:val="00AD141F"/>
    <w:rsid w:val="00AD4352"/>
    <w:rsid w:val="00AE4607"/>
    <w:rsid w:val="00AF5FA9"/>
    <w:rsid w:val="00B0436C"/>
    <w:rsid w:val="00B42A97"/>
    <w:rsid w:val="00B43BEF"/>
    <w:rsid w:val="00B517E1"/>
    <w:rsid w:val="00B52E48"/>
    <w:rsid w:val="00B629B3"/>
    <w:rsid w:val="00B64E2A"/>
    <w:rsid w:val="00B7056E"/>
    <w:rsid w:val="00B74E4D"/>
    <w:rsid w:val="00B92B26"/>
    <w:rsid w:val="00BD21AA"/>
    <w:rsid w:val="00C213B4"/>
    <w:rsid w:val="00C2296F"/>
    <w:rsid w:val="00C24428"/>
    <w:rsid w:val="00C4311E"/>
    <w:rsid w:val="00C5427A"/>
    <w:rsid w:val="00C64469"/>
    <w:rsid w:val="00C76801"/>
    <w:rsid w:val="00C83E77"/>
    <w:rsid w:val="00C842BE"/>
    <w:rsid w:val="00C86633"/>
    <w:rsid w:val="00C9423D"/>
    <w:rsid w:val="00CB739E"/>
    <w:rsid w:val="00CD2BBF"/>
    <w:rsid w:val="00CD59F2"/>
    <w:rsid w:val="00CF6C5C"/>
    <w:rsid w:val="00D02A91"/>
    <w:rsid w:val="00D03D70"/>
    <w:rsid w:val="00D14814"/>
    <w:rsid w:val="00D308BA"/>
    <w:rsid w:val="00D67870"/>
    <w:rsid w:val="00D75804"/>
    <w:rsid w:val="00D80C31"/>
    <w:rsid w:val="00D83073"/>
    <w:rsid w:val="00D84A29"/>
    <w:rsid w:val="00D935F4"/>
    <w:rsid w:val="00D93C01"/>
    <w:rsid w:val="00DB49AA"/>
    <w:rsid w:val="00DC0E7B"/>
    <w:rsid w:val="00DC1551"/>
    <w:rsid w:val="00DC74B9"/>
    <w:rsid w:val="00DE0FDF"/>
    <w:rsid w:val="00DF58E1"/>
    <w:rsid w:val="00E03CAC"/>
    <w:rsid w:val="00E068D8"/>
    <w:rsid w:val="00E148E0"/>
    <w:rsid w:val="00E15C02"/>
    <w:rsid w:val="00E178A4"/>
    <w:rsid w:val="00E25ADB"/>
    <w:rsid w:val="00E314D4"/>
    <w:rsid w:val="00E5059E"/>
    <w:rsid w:val="00E5165C"/>
    <w:rsid w:val="00E568CD"/>
    <w:rsid w:val="00E612B4"/>
    <w:rsid w:val="00E62799"/>
    <w:rsid w:val="00E63B7B"/>
    <w:rsid w:val="00E71BA8"/>
    <w:rsid w:val="00E8735A"/>
    <w:rsid w:val="00E9440F"/>
    <w:rsid w:val="00EB3E16"/>
    <w:rsid w:val="00EB620B"/>
    <w:rsid w:val="00EC047D"/>
    <w:rsid w:val="00ED79BB"/>
    <w:rsid w:val="00F01155"/>
    <w:rsid w:val="00F02782"/>
    <w:rsid w:val="00F0306B"/>
    <w:rsid w:val="00F13218"/>
    <w:rsid w:val="00F17120"/>
    <w:rsid w:val="00F21178"/>
    <w:rsid w:val="00F233A1"/>
    <w:rsid w:val="00F308E1"/>
    <w:rsid w:val="00F43092"/>
    <w:rsid w:val="00F44F7C"/>
    <w:rsid w:val="00F45DDF"/>
    <w:rsid w:val="00F47ADB"/>
    <w:rsid w:val="00F53ED3"/>
    <w:rsid w:val="00F55905"/>
    <w:rsid w:val="00F67008"/>
    <w:rsid w:val="00F77C73"/>
    <w:rsid w:val="00F81906"/>
    <w:rsid w:val="00F90957"/>
    <w:rsid w:val="00F91F81"/>
    <w:rsid w:val="00F92B7A"/>
    <w:rsid w:val="00FA3F02"/>
    <w:rsid w:val="00FB0904"/>
    <w:rsid w:val="00FC0800"/>
    <w:rsid w:val="00FC5548"/>
    <w:rsid w:val="00FD0051"/>
    <w:rsid w:val="00FD2216"/>
    <w:rsid w:val="00FD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79C031C-9F58-433F-9AD9-4199A3D3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Ref. de nota al pie1,Texto de nota al pie,Footnote Text Char Char Char Char Char,Footnote Text Char Char Char Char,FA Fu,Footnote Text Char Char Char,referencia nota al pie,Footnote Text Char"/>
    <w:basedOn w:val="Normal"/>
    <w:link w:val="TextonotapieCar1"/>
    <w:uiPriority w:val="99"/>
    <w:rPr>
      <w:sz w:val="20"/>
      <w:szCs w:val="20"/>
    </w:rPr>
  </w:style>
  <w:style w:type="character" w:styleId="Refdenotaalpie">
    <w:name w:val="footnote reference"/>
    <w:uiPriority w:val="99"/>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Ref. de nota al pie1 Car1,Texto de nota al pie Car1,Footnote Text Char Char Char Char Char Car1,Footnote Text Char Char Char Char Car1,FA Fu Car1,Footnote Text Char Char Char Car1,referencia nota al pie Car1"/>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Fuentedeprrafopredeter"/>
    <w:rsid w:val="00503C57"/>
  </w:style>
  <w:style w:type="paragraph" w:styleId="Textodeglobo">
    <w:name w:val="Balloon Text"/>
    <w:basedOn w:val="Normal"/>
    <w:link w:val="TextodegloboCar"/>
    <w:rsid w:val="00C842BE"/>
    <w:rPr>
      <w:rFonts w:ascii="Segoe UI" w:hAnsi="Segoe UI" w:cs="Segoe UI"/>
      <w:sz w:val="18"/>
      <w:szCs w:val="18"/>
    </w:rPr>
  </w:style>
  <w:style w:type="character" w:customStyle="1" w:styleId="TextodegloboCar">
    <w:name w:val="Texto de globo Car"/>
    <w:basedOn w:val="Fuentedeprrafopredeter"/>
    <w:link w:val="Textodeglobo"/>
    <w:rsid w:val="00C842BE"/>
    <w:rPr>
      <w:rFonts w:ascii="Segoe UI" w:hAnsi="Segoe UI" w:cs="Segoe UI"/>
      <w:sz w:val="18"/>
      <w:szCs w:val="18"/>
    </w:rPr>
  </w:style>
  <w:style w:type="character" w:customStyle="1" w:styleId="PuestoCar">
    <w:name w:val="Puesto Car"/>
    <w:basedOn w:val="Fuentedeprrafopredeter"/>
    <w:link w:val="Puesto"/>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Fuentedeprrafopredeter"/>
    <w:uiPriority w:val="99"/>
    <w:rsid w:val="0012673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inespaciado">
    <w:name w:val="No Spacing"/>
    <w:uiPriority w:val="1"/>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18066">
      <w:bodyDiv w:val="1"/>
      <w:marLeft w:val="0"/>
      <w:marRight w:val="0"/>
      <w:marTop w:val="0"/>
      <w:marBottom w:val="0"/>
      <w:divBdr>
        <w:top w:val="none" w:sz="0" w:space="0" w:color="auto"/>
        <w:left w:val="none" w:sz="0" w:space="0" w:color="auto"/>
        <w:bottom w:val="none" w:sz="0" w:space="0" w:color="auto"/>
        <w:right w:val="none" w:sz="0" w:space="0" w:color="auto"/>
      </w:divBdr>
    </w:div>
    <w:div w:id="1634941078">
      <w:bodyDiv w:val="1"/>
      <w:marLeft w:val="0"/>
      <w:marRight w:val="0"/>
      <w:marTop w:val="0"/>
      <w:marBottom w:val="0"/>
      <w:divBdr>
        <w:top w:val="none" w:sz="0" w:space="0" w:color="auto"/>
        <w:left w:val="none" w:sz="0" w:space="0" w:color="auto"/>
        <w:bottom w:val="none" w:sz="0" w:space="0" w:color="auto"/>
        <w:right w:val="none" w:sz="0" w:space="0" w:color="auto"/>
      </w:divBdr>
    </w:div>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C01D-61C0-441E-A797-75CFCE42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1485</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Richard Giovanny Diaz Moncayo</cp:lastModifiedBy>
  <cp:revision>4</cp:revision>
  <cp:lastPrinted>2016-09-19T20:27:00Z</cp:lastPrinted>
  <dcterms:created xsi:type="dcterms:W3CDTF">2016-09-19T18:41:00Z</dcterms:created>
  <dcterms:modified xsi:type="dcterms:W3CDTF">2016-09-19T20:49:00Z</dcterms:modified>
</cp:coreProperties>
</file>