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8309CAF" w14:textId="5CCACE33" w:rsidR="00915178" w:rsidRPr="00A226EC" w:rsidRDefault="00915178" w:rsidP="00915178">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16"/>
          <w:szCs w:val="16"/>
        </w:rPr>
      </w:pPr>
      <w:r w:rsidRPr="00A226EC">
        <w:rPr>
          <w:rFonts w:ascii="Arial Narrow" w:hAnsi="Arial Narrow"/>
          <w:sz w:val="16"/>
          <w:szCs w:val="16"/>
        </w:rPr>
        <w:t xml:space="preserve">El contenido total y fiel de la decisión debe ser verificado en el audio que reposa en la Secretaría de esta Corporación. </w:t>
      </w:r>
    </w:p>
    <w:p w14:paraId="6BF7BC6A" w14:textId="77777777" w:rsidR="00915178" w:rsidRPr="00A226EC" w:rsidRDefault="00915178" w:rsidP="00915178">
      <w:pPr>
        <w:jc w:val="both"/>
        <w:rPr>
          <w:sz w:val="18"/>
          <w:szCs w:val="18"/>
        </w:rPr>
      </w:pPr>
    </w:p>
    <w:p w14:paraId="1A041C5B" w14:textId="427D8242" w:rsidR="00915178" w:rsidRPr="00A226EC" w:rsidRDefault="006041E7" w:rsidP="007C24F2">
      <w:pPr>
        <w:spacing w:line="240" w:lineRule="auto"/>
        <w:jc w:val="both"/>
        <w:rPr>
          <w:sz w:val="18"/>
          <w:szCs w:val="18"/>
        </w:rPr>
      </w:pPr>
      <w:r w:rsidRPr="00A226EC">
        <w:rPr>
          <w:b/>
          <w:sz w:val="18"/>
          <w:szCs w:val="18"/>
        </w:rPr>
        <w:t>Providencia:</w:t>
      </w:r>
      <w:r w:rsidRPr="00A226EC">
        <w:rPr>
          <w:sz w:val="18"/>
          <w:szCs w:val="18"/>
        </w:rPr>
        <w:tab/>
      </w:r>
      <w:r w:rsidRPr="00A226EC">
        <w:rPr>
          <w:sz w:val="18"/>
          <w:szCs w:val="18"/>
        </w:rPr>
        <w:tab/>
        <w:t xml:space="preserve">Sentencia del 9 de </w:t>
      </w:r>
      <w:r w:rsidR="00884913">
        <w:rPr>
          <w:sz w:val="18"/>
          <w:szCs w:val="18"/>
        </w:rPr>
        <w:t xml:space="preserve">septiembre </w:t>
      </w:r>
      <w:r w:rsidRPr="00A226EC">
        <w:rPr>
          <w:sz w:val="18"/>
          <w:szCs w:val="18"/>
        </w:rPr>
        <w:t>de 2016</w:t>
      </w:r>
    </w:p>
    <w:p w14:paraId="2AC08DA0" w14:textId="6634E16D" w:rsidR="00915178" w:rsidRPr="00A226EC" w:rsidRDefault="00915178" w:rsidP="007C24F2">
      <w:pPr>
        <w:spacing w:line="240" w:lineRule="auto"/>
        <w:jc w:val="both"/>
        <w:rPr>
          <w:sz w:val="18"/>
          <w:szCs w:val="18"/>
        </w:rPr>
      </w:pPr>
      <w:r w:rsidRPr="00A226EC">
        <w:rPr>
          <w:b/>
          <w:sz w:val="18"/>
          <w:szCs w:val="18"/>
        </w:rPr>
        <w:t>Radic</w:t>
      </w:r>
      <w:r w:rsidR="006041E7" w:rsidRPr="00A226EC">
        <w:rPr>
          <w:b/>
          <w:sz w:val="18"/>
          <w:szCs w:val="18"/>
        </w:rPr>
        <w:t>ación No.:</w:t>
      </w:r>
      <w:r w:rsidR="006041E7" w:rsidRPr="00A226EC">
        <w:rPr>
          <w:sz w:val="18"/>
          <w:szCs w:val="18"/>
        </w:rPr>
        <w:tab/>
      </w:r>
      <w:r w:rsidR="006041E7" w:rsidRPr="00A226EC">
        <w:rPr>
          <w:sz w:val="18"/>
          <w:szCs w:val="18"/>
        </w:rPr>
        <w:tab/>
        <w:t>66001-31-05-003-2014-00530</w:t>
      </w:r>
      <w:r w:rsidRPr="00A226EC">
        <w:rPr>
          <w:sz w:val="18"/>
          <w:szCs w:val="18"/>
        </w:rPr>
        <w:t>-01</w:t>
      </w:r>
    </w:p>
    <w:p w14:paraId="3806004D" w14:textId="1A4FBC78" w:rsidR="00915178" w:rsidRPr="00A226EC" w:rsidRDefault="00915178" w:rsidP="007C24F2">
      <w:pPr>
        <w:spacing w:line="240" w:lineRule="auto"/>
        <w:jc w:val="both"/>
        <w:rPr>
          <w:sz w:val="18"/>
          <w:szCs w:val="18"/>
        </w:rPr>
      </w:pPr>
      <w:r w:rsidRPr="00A226EC">
        <w:rPr>
          <w:b/>
          <w:sz w:val="18"/>
          <w:szCs w:val="18"/>
        </w:rPr>
        <w:t>Proceso:</w:t>
      </w:r>
      <w:r w:rsidRPr="00A226EC">
        <w:rPr>
          <w:b/>
          <w:sz w:val="18"/>
          <w:szCs w:val="18"/>
        </w:rPr>
        <w:tab/>
      </w:r>
      <w:r w:rsidRPr="00A226EC">
        <w:rPr>
          <w:sz w:val="18"/>
          <w:szCs w:val="18"/>
        </w:rPr>
        <w:tab/>
        <w:t xml:space="preserve">Ordinario laboral </w:t>
      </w:r>
    </w:p>
    <w:p w14:paraId="59466742" w14:textId="5746AA14" w:rsidR="00915178" w:rsidRPr="00A226EC" w:rsidRDefault="00915178" w:rsidP="007C24F2">
      <w:pPr>
        <w:spacing w:line="240" w:lineRule="auto"/>
        <w:jc w:val="both"/>
        <w:rPr>
          <w:sz w:val="18"/>
          <w:szCs w:val="18"/>
        </w:rPr>
      </w:pPr>
      <w:r w:rsidRPr="00A226EC">
        <w:rPr>
          <w:b/>
          <w:sz w:val="18"/>
          <w:szCs w:val="18"/>
        </w:rPr>
        <w:t>Demandant</w:t>
      </w:r>
      <w:r w:rsidR="006041E7" w:rsidRPr="00A226EC">
        <w:rPr>
          <w:b/>
          <w:sz w:val="18"/>
          <w:szCs w:val="18"/>
        </w:rPr>
        <w:t>e:</w:t>
      </w:r>
      <w:r w:rsidR="006041E7" w:rsidRPr="00A226EC">
        <w:rPr>
          <w:sz w:val="18"/>
          <w:szCs w:val="18"/>
        </w:rPr>
        <w:tab/>
      </w:r>
      <w:r w:rsidR="006041E7" w:rsidRPr="00A226EC">
        <w:rPr>
          <w:sz w:val="18"/>
          <w:szCs w:val="18"/>
        </w:rPr>
        <w:tab/>
        <w:t>Gilnober de Jesús Henao</w:t>
      </w:r>
    </w:p>
    <w:p w14:paraId="7CF42E48" w14:textId="451AE9E6" w:rsidR="00915178" w:rsidRPr="00A226EC" w:rsidRDefault="003B26A3" w:rsidP="007C24F2">
      <w:pPr>
        <w:spacing w:line="240" w:lineRule="auto"/>
        <w:jc w:val="both"/>
        <w:rPr>
          <w:sz w:val="18"/>
          <w:szCs w:val="18"/>
        </w:rPr>
      </w:pPr>
      <w:r w:rsidRPr="00A226EC">
        <w:rPr>
          <w:b/>
          <w:sz w:val="18"/>
          <w:szCs w:val="18"/>
        </w:rPr>
        <w:t>Demanda</w:t>
      </w:r>
      <w:r w:rsidR="006041E7" w:rsidRPr="00A226EC">
        <w:rPr>
          <w:b/>
          <w:sz w:val="18"/>
          <w:szCs w:val="18"/>
        </w:rPr>
        <w:t>do:</w:t>
      </w:r>
      <w:r w:rsidR="006041E7" w:rsidRPr="00A226EC">
        <w:rPr>
          <w:sz w:val="18"/>
          <w:szCs w:val="18"/>
        </w:rPr>
        <w:tab/>
      </w:r>
      <w:r w:rsidR="006041E7" w:rsidRPr="00A226EC">
        <w:rPr>
          <w:sz w:val="18"/>
          <w:szCs w:val="18"/>
        </w:rPr>
        <w:tab/>
        <w:t>Colpensiones</w:t>
      </w:r>
    </w:p>
    <w:p w14:paraId="3EA08228" w14:textId="77CEB9FE" w:rsidR="00915178" w:rsidRPr="00A226EC" w:rsidRDefault="00915178" w:rsidP="007C24F2">
      <w:pPr>
        <w:spacing w:line="240" w:lineRule="auto"/>
        <w:jc w:val="both"/>
        <w:rPr>
          <w:sz w:val="18"/>
          <w:szCs w:val="18"/>
        </w:rPr>
      </w:pPr>
      <w:r w:rsidRPr="00A226EC">
        <w:rPr>
          <w:b/>
          <w:sz w:val="18"/>
          <w:szCs w:val="18"/>
        </w:rPr>
        <w:t xml:space="preserve">Juzgado de </w:t>
      </w:r>
      <w:r w:rsidR="006041E7" w:rsidRPr="00A226EC">
        <w:rPr>
          <w:b/>
          <w:sz w:val="18"/>
          <w:szCs w:val="18"/>
        </w:rPr>
        <w:t>origen:</w:t>
      </w:r>
      <w:r w:rsidR="006041E7" w:rsidRPr="00A226EC">
        <w:rPr>
          <w:sz w:val="18"/>
          <w:szCs w:val="18"/>
        </w:rPr>
        <w:tab/>
        <w:t>Tercero</w:t>
      </w:r>
      <w:r w:rsidRPr="00A226EC">
        <w:rPr>
          <w:sz w:val="18"/>
          <w:szCs w:val="18"/>
        </w:rPr>
        <w:t xml:space="preserve"> Laboral del Circuito de Pereira</w:t>
      </w:r>
    </w:p>
    <w:p w14:paraId="2EAE1811" w14:textId="77777777" w:rsidR="00915178" w:rsidRPr="00A226EC" w:rsidRDefault="00915178" w:rsidP="007C24F2">
      <w:pPr>
        <w:spacing w:line="240" w:lineRule="auto"/>
        <w:jc w:val="both"/>
        <w:rPr>
          <w:sz w:val="18"/>
          <w:szCs w:val="18"/>
        </w:rPr>
      </w:pPr>
      <w:r w:rsidRPr="00A226EC">
        <w:rPr>
          <w:b/>
          <w:sz w:val="18"/>
          <w:szCs w:val="18"/>
        </w:rPr>
        <w:t>Magistrada ponente:</w:t>
      </w:r>
      <w:r w:rsidRPr="00A226EC">
        <w:rPr>
          <w:sz w:val="18"/>
          <w:szCs w:val="18"/>
        </w:rPr>
        <w:tab/>
        <w:t>Dra. Ana Lucía Caicedo Calderón</w:t>
      </w:r>
    </w:p>
    <w:p w14:paraId="6C4CDB87" w14:textId="77777777" w:rsidR="007C24F2" w:rsidRPr="00A226EC" w:rsidRDefault="00915178" w:rsidP="007C24F2">
      <w:pPr>
        <w:pStyle w:val="Sinespaciado"/>
        <w:spacing w:before="0" w:beforeAutospacing="0" w:after="0" w:afterAutospacing="0"/>
        <w:ind w:left="2126" w:hanging="2124"/>
        <w:jc w:val="both"/>
        <w:rPr>
          <w:rFonts w:ascii="Tahoma" w:hAnsi="Tahoma" w:cs="Tahoma"/>
          <w:b/>
          <w:sz w:val="18"/>
          <w:szCs w:val="18"/>
        </w:rPr>
      </w:pPr>
      <w:r w:rsidRPr="00A226EC">
        <w:rPr>
          <w:rFonts w:ascii="Tahoma" w:hAnsi="Tahoma" w:cs="Tahoma"/>
          <w:b/>
          <w:sz w:val="18"/>
          <w:szCs w:val="18"/>
        </w:rPr>
        <w:t>Tema:</w:t>
      </w:r>
      <w:r w:rsidRPr="00A226EC">
        <w:rPr>
          <w:rFonts w:ascii="Tahoma" w:hAnsi="Tahoma" w:cs="Tahoma"/>
          <w:b/>
          <w:sz w:val="18"/>
          <w:szCs w:val="18"/>
        </w:rPr>
        <w:tab/>
      </w:r>
    </w:p>
    <w:p w14:paraId="4254313A" w14:textId="249B919E" w:rsidR="00BA38F8" w:rsidRPr="00BA38F8" w:rsidRDefault="00A226EC" w:rsidP="00BA38F8">
      <w:pPr>
        <w:pStyle w:val="Sinespaciado"/>
        <w:spacing w:before="0" w:beforeAutospacing="0" w:after="0" w:afterAutospacing="0"/>
        <w:ind w:left="2127"/>
        <w:jc w:val="both"/>
        <w:rPr>
          <w:rFonts w:ascii="Tahoma" w:hAnsi="Tahoma" w:cs="Tahoma"/>
          <w:i/>
          <w:iCs/>
          <w:color w:val="000000"/>
          <w:sz w:val="18"/>
          <w:szCs w:val="18"/>
          <w:u w:val="single"/>
          <w:shd w:val="clear" w:color="auto" w:fill="FFFFFF"/>
        </w:rPr>
      </w:pPr>
      <w:r w:rsidRPr="00BA38F8">
        <w:rPr>
          <w:rFonts w:ascii="Tahoma" w:hAnsi="Tahoma" w:cs="Tahoma"/>
          <w:b/>
          <w:sz w:val="18"/>
          <w:szCs w:val="18"/>
          <w:u w:val="single"/>
        </w:rPr>
        <w:t>Determinación de la fecha de estructuración de la invalidez:</w:t>
      </w:r>
      <w:r w:rsidRPr="00BA38F8">
        <w:rPr>
          <w:rFonts w:ascii="Tahoma" w:hAnsi="Tahoma" w:cs="Tahoma"/>
          <w:sz w:val="18"/>
          <w:szCs w:val="18"/>
        </w:rPr>
        <w:t xml:space="preserve"> </w:t>
      </w:r>
      <w:r w:rsidR="00BA38F8" w:rsidRPr="00BA38F8">
        <w:rPr>
          <w:rFonts w:ascii="Tahoma" w:hAnsi="Tahoma" w:cs="Tahoma"/>
          <w:iCs/>
          <w:color w:val="000000"/>
          <w:sz w:val="18"/>
          <w:szCs w:val="18"/>
        </w:rPr>
        <w:t xml:space="preserve">En la sentencia </w:t>
      </w:r>
      <w:r w:rsidR="00BA38F8" w:rsidRPr="00BA38F8">
        <w:rPr>
          <w:rFonts w:ascii="Tahoma" w:hAnsi="Tahoma" w:cs="Tahoma"/>
          <w:color w:val="000000"/>
          <w:sz w:val="18"/>
          <w:szCs w:val="18"/>
        </w:rPr>
        <w:t>T-427 de 2012 se tomó la fecha del dictamen de pérdida de capacidad laboral, para fijar el día en que se estructuró la invalidez, y</w:t>
      </w:r>
      <w:r w:rsidR="002605E7">
        <w:rPr>
          <w:rStyle w:val="apple-converted-space"/>
          <w:rFonts w:ascii="Tahoma" w:eastAsiaTheme="majorEastAsia" w:hAnsi="Tahoma" w:cs="Tahoma"/>
          <w:color w:val="000000"/>
          <w:sz w:val="18"/>
          <w:szCs w:val="18"/>
        </w:rPr>
        <w:t xml:space="preserve"> </w:t>
      </w:r>
      <w:bookmarkStart w:id="0" w:name="_GoBack"/>
      <w:bookmarkEnd w:id="0"/>
      <w:r w:rsidR="00BA38F8" w:rsidRPr="00BA38F8">
        <w:rPr>
          <w:rFonts w:ascii="Tahoma" w:hAnsi="Tahoma" w:cs="Tahoma"/>
          <w:color w:val="000000"/>
          <w:sz w:val="18"/>
          <w:szCs w:val="18"/>
        </w:rPr>
        <w:t xml:space="preserve">se consideró que la estructuración tenía lugar al momento en que la discapacidad se convirtió en invalidez, pues se infirió que fueron las barreras sociales las que impidieron que el actor siguiera trabajando. En ella se hizo referencia a la </w:t>
      </w:r>
      <w:r w:rsidR="00BA38F8" w:rsidRPr="00BA38F8">
        <w:rPr>
          <w:rStyle w:val="nfasis"/>
          <w:rFonts w:ascii="Tahoma" w:hAnsi="Tahoma" w:cs="Tahoma"/>
          <w:bCs/>
          <w:color w:val="0D0D0D" w:themeColor="text1" w:themeTint="F2"/>
          <w:sz w:val="18"/>
          <w:szCs w:val="18"/>
        </w:rPr>
        <w:t>ratio decidendi</w:t>
      </w:r>
      <w:r w:rsidR="00BA38F8" w:rsidRPr="00BA38F8">
        <w:rPr>
          <w:rFonts w:ascii="Tahoma" w:hAnsi="Tahoma" w:cs="Tahoma"/>
          <w:color w:val="0D0D0D" w:themeColor="text1" w:themeTint="F2"/>
          <w:sz w:val="18"/>
          <w:szCs w:val="18"/>
        </w:rPr>
        <w:t xml:space="preserve"> </w:t>
      </w:r>
      <w:r w:rsidR="00BA38F8" w:rsidRPr="00BA38F8">
        <w:rPr>
          <w:rFonts w:ascii="Tahoma" w:hAnsi="Tahoma" w:cs="Tahoma"/>
          <w:iCs/>
          <w:color w:val="000000"/>
          <w:sz w:val="18"/>
          <w:szCs w:val="18"/>
        </w:rPr>
        <w:t xml:space="preserve">que bien se resume en la sentencia T-070 de 2014, cuando se dijo que </w:t>
      </w:r>
      <w:r w:rsidR="00BA38F8" w:rsidRPr="00BA38F8">
        <w:rPr>
          <w:rFonts w:ascii="Arial Narrow" w:hAnsi="Arial Narrow" w:cs="Tahoma"/>
          <w:i/>
          <w:iCs/>
          <w:color w:val="000000"/>
          <w:sz w:val="18"/>
          <w:szCs w:val="18"/>
        </w:rPr>
        <w:t xml:space="preserve">“la fecha de la pérdida de capacidad laboral no siempre coincide con la fecha en que sucede el hecho que a la postre se torna incapacitante, o con el primer diagnóstico de la enfermedad; no es razonable concluir que la fecha de estructuración de la invalidez sea la fecha en que se diagnosticó por primera vez la enfermedad, si la persona continúa trabajando durante un tiempo; </w:t>
      </w:r>
      <w:r w:rsidR="00BA38F8" w:rsidRPr="00BA38F8">
        <w:rPr>
          <w:rFonts w:ascii="Arial Narrow" w:hAnsi="Arial Narrow" w:cs="Tahoma"/>
          <w:i/>
          <w:iCs/>
          <w:color w:val="000000"/>
          <w:sz w:val="18"/>
          <w:szCs w:val="18"/>
          <w:u w:val="single"/>
        </w:rPr>
        <w:t>dependiendo del caso concreto la fecha de estructuración puede ser fijada (a) cuando se efectúa el dictamen por la Junta Regional de Calificación de Invalidez; o (b) cuando la persona deja de trabajar”</w:t>
      </w:r>
    </w:p>
    <w:p w14:paraId="6F7117C1" w14:textId="228E25FD" w:rsidR="00E74177" w:rsidRPr="00A226EC" w:rsidRDefault="00E74177" w:rsidP="00A226EC">
      <w:pPr>
        <w:pStyle w:val="Sinespaciado"/>
        <w:spacing w:before="0" w:beforeAutospacing="0" w:after="0" w:afterAutospacing="0"/>
        <w:ind w:left="2126" w:firstLine="1"/>
        <w:jc w:val="both"/>
        <w:rPr>
          <w:rFonts w:ascii="Tahoma" w:hAnsi="Tahoma" w:cs="Tahoma"/>
          <w:sz w:val="18"/>
          <w:szCs w:val="18"/>
        </w:rPr>
      </w:pPr>
    </w:p>
    <w:p w14:paraId="3F31D39A" w14:textId="38164D33" w:rsidR="00AD43BD" w:rsidRPr="00AD43BD" w:rsidRDefault="00AD43BD" w:rsidP="00AD43BD">
      <w:pPr>
        <w:jc w:val="both"/>
        <w:rPr>
          <w:rFonts w:eastAsia="Times New Roman"/>
          <w:color w:val="000000"/>
          <w:sz w:val="18"/>
          <w:szCs w:val="18"/>
          <w:lang w:eastAsia="es-ES"/>
        </w:rPr>
      </w:pPr>
      <w:r w:rsidRPr="00AD43BD">
        <w:rPr>
          <w:rFonts w:eastAsia="Times New Roman"/>
          <w:b/>
          <w:color w:val="000000"/>
          <w:sz w:val="18"/>
          <w:szCs w:val="18"/>
          <w:lang w:eastAsia="es-ES"/>
        </w:rPr>
        <w:t xml:space="preserve">Citación jurisprudencial: </w:t>
      </w:r>
      <w:r>
        <w:rPr>
          <w:rFonts w:eastAsia="Times New Roman"/>
          <w:color w:val="000000"/>
          <w:sz w:val="18"/>
          <w:szCs w:val="18"/>
          <w:lang w:eastAsia="es-ES"/>
        </w:rPr>
        <w:t>S</w:t>
      </w:r>
      <w:r w:rsidRPr="00AD43BD">
        <w:rPr>
          <w:rFonts w:eastAsia="Times New Roman"/>
          <w:color w:val="000000"/>
          <w:sz w:val="18"/>
          <w:szCs w:val="18"/>
          <w:lang w:eastAsia="es-ES"/>
        </w:rPr>
        <w:t xml:space="preserve">entencia T-043 de 2014. </w:t>
      </w:r>
    </w:p>
    <w:p w14:paraId="758F8366" w14:textId="77777777" w:rsidR="00AD43BD" w:rsidRPr="00AD43BD" w:rsidRDefault="00AD43BD" w:rsidP="00AD43BD">
      <w:pPr>
        <w:jc w:val="both"/>
        <w:rPr>
          <w:rFonts w:eastAsia="Times New Roman"/>
          <w:color w:val="000000"/>
          <w:sz w:val="18"/>
          <w:szCs w:val="18"/>
          <w:lang w:eastAsia="es-ES"/>
        </w:rPr>
      </w:pPr>
    </w:p>
    <w:p w14:paraId="2CBD08B4" w14:textId="77777777" w:rsidR="00E74177" w:rsidRPr="00A226EC" w:rsidRDefault="00E74177" w:rsidP="007C24F2">
      <w:pPr>
        <w:pStyle w:val="Sinespaciado"/>
        <w:spacing w:before="0" w:beforeAutospacing="0" w:after="0" w:afterAutospacing="0"/>
        <w:ind w:left="2126" w:hanging="2124"/>
        <w:jc w:val="both"/>
        <w:rPr>
          <w:rFonts w:ascii="Tahoma" w:hAnsi="Tahoma" w:cs="Tahoma"/>
          <w:sz w:val="18"/>
          <w:szCs w:val="18"/>
          <w:shd w:val="clear" w:color="auto" w:fill="FFFFFF"/>
        </w:rPr>
      </w:pPr>
    </w:p>
    <w:p w14:paraId="50E29EDD" w14:textId="77777777" w:rsidR="00915178" w:rsidRPr="00A226EC" w:rsidRDefault="00915178" w:rsidP="00BA38F8">
      <w:pPr>
        <w:spacing w:line="240" w:lineRule="auto"/>
        <w:jc w:val="center"/>
        <w:rPr>
          <w:b/>
        </w:rPr>
      </w:pPr>
      <w:r w:rsidRPr="00A226EC">
        <w:rPr>
          <w:b/>
        </w:rPr>
        <w:t>TRIBUNAL SUPERIOR DEL DISTRITO JUDICIAL DE PEREIRA</w:t>
      </w:r>
    </w:p>
    <w:p w14:paraId="3573D96C" w14:textId="19398936" w:rsidR="00495157" w:rsidRPr="00A226EC" w:rsidRDefault="00915178" w:rsidP="00BA38F8">
      <w:pPr>
        <w:spacing w:line="240" w:lineRule="auto"/>
        <w:jc w:val="center"/>
        <w:rPr>
          <w:b/>
        </w:rPr>
      </w:pPr>
      <w:r w:rsidRPr="00A226EC">
        <w:rPr>
          <w:b/>
        </w:rPr>
        <w:t xml:space="preserve">SALA </w:t>
      </w:r>
      <w:r w:rsidR="00E74177" w:rsidRPr="00A226EC">
        <w:rPr>
          <w:b/>
        </w:rPr>
        <w:t>DE DECISIÓN LAB</w:t>
      </w:r>
      <w:r w:rsidRPr="00A226EC">
        <w:rPr>
          <w:b/>
        </w:rPr>
        <w:t>ORAL</w:t>
      </w:r>
      <w:r w:rsidR="00495157" w:rsidRPr="00A226EC">
        <w:rPr>
          <w:b/>
        </w:rPr>
        <w:t xml:space="preserve"> No. 1 </w:t>
      </w:r>
    </w:p>
    <w:p w14:paraId="03EE97D9" w14:textId="77777777" w:rsidR="00915178" w:rsidRPr="00A226EC" w:rsidRDefault="00915178" w:rsidP="00BA38F8">
      <w:pPr>
        <w:spacing w:line="240" w:lineRule="auto"/>
        <w:jc w:val="center"/>
        <w:rPr>
          <w:b/>
        </w:rPr>
      </w:pPr>
    </w:p>
    <w:p w14:paraId="73440F42" w14:textId="04FA2A1C" w:rsidR="00915178" w:rsidRPr="00727C19" w:rsidRDefault="00915178" w:rsidP="00BA38F8">
      <w:pPr>
        <w:spacing w:line="240" w:lineRule="auto"/>
        <w:jc w:val="center"/>
        <w:rPr>
          <w:b/>
          <w:sz w:val="22"/>
          <w:szCs w:val="22"/>
        </w:rPr>
      </w:pPr>
      <w:r w:rsidRPr="00727C19">
        <w:rPr>
          <w:b/>
          <w:sz w:val="22"/>
          <w:szCs w:val="22"/>
        </w:rPr>
        <w:t xml:space="preserve">Magistrada </w:t>
      </w:r>
      <w:r w:rsidR="00495157" w:rsidRPr="00727C19">
        <w:rPr>
          <w:b/>
          <w:sz w:val="22"/>
          <w:szCs w:val="22"/>
        </w:rPr>
        <w:t>ponente</w:t>
      </w:r>
      <w:r w:rsidRPr="00727C19">
        <w:rPr>
          <w:b/>
          <w:sz w:val="22"/>
          <w:szCs w:val="22"/>
        </w:rPr>
        <w:t xml:space="preserve">: </w:t>
      </w:r>
      <w:r w:rsidRPr="00727C19">
        <w:rPr>
          <w:sz w:val="22"/>
          <w:szCs w:val="22"/>
        </w:rPr>
        <w:t>Ana Lucía Caicedo Calderón</w:t>
      </w:r>
    </w:p>
    <w:p w14:paraId="5EBC82AE" w14:textId="77777777" w:rsidR="007C24F2" w:rsidRPr="00727C19" w:rsidRDefault="007C24F2" w:rsidP="00BA38F8">
      <w:pPr>
        <w:spacing w:line="240" w:lineRule="auto"/>
        <w:jc w:val="center"/>
        <w:rPr>
          <w:b/>
          <w:sz w:val="22"/>
          <w:szCs w:val="22"/>
        </w:rPr>
      </w:pPr>
    </w:p>
    <w:p w14:paraId="150A565C" w14:textId="77777777" w:rsidR="00915178" w:rsidRPr="00727C19" w:rsidRDefault="00915178" w:rsidP="00BA38F8">
      <w:pPr>
        <w:spacing w:line="240" w:lineRule="auto"/>
        <w:jc w:val="center"/>
        <w:rPr>
          <w:sz w:val="22"/>
          <w:szCs w:val="22"/>
        </w:rPr>
      </w:pPr>
      <w:r w:rsidRPr="00727C19">
        <w:rPr>
          <w:sz w:val="22"/>
          <w:szCs w:val="22"/>
        </w:rPr>
        <w:t>Acta No. ____</w:t>
      </w:r>
    </w:p>
    <w:p w14:paraId="489FB2CE" w14:textId="5F651E73" w:rsidR="00915178" w:rsidRPr="00727C19" w:rsidRDefault="006041E7" w:rsidP="00BA38F8">
      <w:pPr>
        <w:spacing w:line="240" w:lineRule="auto"/>
        <w:jc w:val="center"/>
        <w:rPr>
          <w:sz w:val="22"/>
          <w:szCs w:val="22"/>
        </w:rPr>
      </w:pPr>
      <w:r w:rsidRPr="00727C19">
        <w:rPr>
          <w:sz w:val="22"/>
          <w:szCs w:val="22"/>
        </w:rPr>
        <w:t>(</w:t>
      </w:r>
      <w:r w:rsidR="00884913">
        <w:rPr>
          <w:sz w:val="22"/>
          <w:szCs w:val="22"/>
        </w:rPr>
        <w:t>9</w:t>
      </w:r>
      <w:r w:rsidR="003B26A3" w:rsidRPr="00727C19">
        <w:rPr>
          <w:sz w:val="22"/>
          <w:szCs w:val="22"/>
        </w:rPr>
        <w:t xml:space="preserve"> de </w:t>
      </w:r>
      <w:r w:rsidR="00884913">
        <w:rPr>
          <w:sz w:val="22"/>
          <w:szCs w:val="22"/>
        </w:rPr>
        <w:t xml:space="preserve">septiembre </w:t>
      </w:r>
      <w:r w:rsidR="00915178" w:rsidRPr="00727C19">
        <w:rPr>
          <w:sz w:val="22"/>
          <w:szCs w:val="22"/>
        </w:rPr>
        <w:t>de 2016)</w:t>
      </w:r>
    </w:p>
    <w:p w14:paraId="319B6932" w14:textId="77777777" w:rsidR="00915178" w:rsidRPr="00727C19" w:rsidRDefault="00915178" w:rsidP="00BA38F8">
      <w:pPr>
        <w:spacing w:line="240" w:lineRule="auto"/>
        <w:jc w:val="center"/>
        <w:rPr>
          <w:sz w:val="22"/>
          <w:szCs w:val="22"/>
        </w:rPr>
      </w:pPr>
    </w:p>
    <w:p w14:paraId="321F6D45" w14:textId="77777777" w:rsidR="00915178" w:rsidRPr="00727C19" w:rsidRDefault="00915178" w:rsidP="00BA38F8">
      <w:pPr>
        <w:spacing w:line="240" w:lineRule="auto"/>
        <w:jc w:val="center"/>
        <w:rPr>
          <w:sz w:val="22"/>
          <w:szCs w:val="22"/>
        </w:rPr>
      </w:pPr>
      <w:r w:rsidRPr="00727C19">
        <w:rPr>
          <w:sz w:val="22"/>
          <w:szCs w:val="22"/>
        </w:rPr>
        <w:t>Sistema oral - Audiencia de juzgamiento</w:t>
      </w:r>
    </w:p>
    <w:p w14:paraId="7AAFBC31" w14:textId="77777777" w:rsidR="00915178" w:rsidRPr="00727C19" w:rsidRDefault="00915178" w:rsidP="00915178">
      <w:pPr>
        <w:jc w:val="center"/>
        <w:rPr>
          <w:b/>
          <w:sz w:val="22"/>
          <w:szCs w:val="22"/>
        </w:rPr>
      </w:pPr>
      <w:r w:rsidRPr="00727C19">
        <w:rPr>
          <w:b/>
          <w:sz w:val="22"/>
          <w:szCs w:val="22"/>
        </w:rPr>
        <w:tab/>
      </w:r>
    </w:p>
    <w:p w14:paraId="42D3929F" w14:textId="4EF261D5" w:rsidR="00CE133C" w:rsidRPr="00727C19" w:rsidRDefault="003B26A3" w:rsidP="00915178">
      <w:pPr>
        <w:jc w:val="both"/>
        <w:rPr>
          <w:b/>
          <w:sz w:val="22"/>
          <w:szCs w:val="22"/>
        </w:rPr>
      </w:pPr>
      <w:r w:rsidRPr="00727C19">
        <w:rPr>
          <w:sz w:val="22"/>
          <w:szCs w:val="22"/>
        </w:rPr>
        <w:tab/>
        <w:t xml:space="preserve">Siendo </w:t>
      </w:r>
      <w:r w:rsidR="006041E7" w:rsidRPr="00727C19">
        <w:rPr>
          <w:sz w:val="22"/>
          <w:szCs w:val="22"/>
        </w:rPr>
        <w:t>las</w:t>
      </w:r>
      <w:r w:rsidR="007C24F2" w:rsidRPr="00727C19">
        <w:rPr>
          <w:sz w:val="22"/>
          <w:szCs w:val="22"/>
        </w:rPr>
        <w:t xml:space="preserve"> </w:t>
      </w:r>
      <w:r w:rsidR="00884913">
        <w:rPr>
          <w:sz w:val="22"/>
          <w:szCs w:val="22"/>
        </w:rPr>
        <w:t>7</w:t>
      </w:r>
      <w:r w:rsidR="007C24F2" w:rsidRPr="00727C19">
        <w:rPr>
          <w:sz w:val="22"/>
          <w:szCs w:val="22"/>
        </w:rPr>
        <w:t xml:space="preserve">:30 </w:t>
      </w:r>
      <w:r w:rsidR="00884913">
        <w:rPr>
          <w:sz w:val="22"/>
          <w:szCs w:val="22"/>
        </w:rPr>
        <w:t>a</w:t>
      </w:r>
      <w:r w:rsidR="007C24F2" w:rsidRPr="00727C19">
        <w:rPr>
          <w:sz w:val="22"/>
          <w:szCs w:val="22"/>
        </w:rPr>
        <w:t>.m.</w:t>
      </w:r>
      <w:r w:rsidR="006041E7" w:rsidRPr="00727C19">
        <w:rPr>
          <w:sz w:val="22"/>
          <w:szCs w:val="22"/>
        </w:rPr>
        <w:t xml:space="preserve"> de hoy, viernes 9</w:t>
      </w:r>
      <w:r w:rsidRPr="00727C19">
        <w:rPr>
          <w:sz w:val="22"/>
          <w:szCs w:val="22"/>
        </w:rPr>
        <w:t xml:space="preserve"> de </w:t>
      </w:r>
      <w:r w:rsidR="00884913">
        <w:rPr>
          <w:sz w:val="22"/>
          <w:szCs w:val="22"/>
        </w:rPr>
        <w:t xml:space="preserve">septiembre </w:t>
      </w:r>
      <w:r w:rsidR="00915178" w:rsidRPr="00727C19">
        <w:rPr>
          <w:sz w:val="22"/>
          <w:szCs w:val="22"/>
        </w:rPr>
        <w:t xml:space="preserve">de 2016, la Sala de Decisión Laboral </w:t>
      </w:r>
      <w:r w:rsidR="00495157" w:rsidRPr="00727C19">
        <w:rPr>
          <w:sz w:val="22"/>
          <w:szCs w:val="22"/>
        </w:rPr>
        <w:t xml:space="preserve">No. 1 </w:t>
      </w:r>
      <w:r w:rsidR="00915178" w:rsidRPr="00727C19">
        <w:rPr>
          <w:sz w:val="22"/>
          <w:szCs w:val="22"/>
        </w:rPr>
        <w:t xml:space="preserve">del Tribunal Superior de Pereira se constituye en audiencia pública de juzgamiento en el proceso ordinario laboral instaurado por </w:t>
      </w:r>
      <w:r w:rsidR="002B1A65" w:rsidRPr="00727C19">
        <w:rPr>
          <w:sz w:val="22"/>
          <w:szCs w:val="22"/>
        </w:rPr>
        <w:t xml:space="preserve">Gilnober de Jesús Henao </w:t>
      </w:r>
      <w:r w:rsidR="00915178" w:rsidRPr="00727C19">
        <w:rPr>
          <w:sz w:val="22"/>
          <w:szCs w:val="22"/>
        </w:rPr>
        <w:t>en contra de</w:t>
      </w:r>
      <w:r w:rsidRPr="00727C19">
        <w:rPr>
          <w:sz w:val="22"/>
          <w:szCs w:val="22"/>
        </w:rPr>
        <w:t xml:space="preserve"> </w:t>
      </w:r>
      <w:r w:rsidR="006041E7" w:rsidRPr="00727C19">
        <w:rPr>
          <w:sz w:val="22"/>
          <w:szCs w:val="22"/>
        </w:rPr>
        <w:t xml:space="preserve">la </w:t>
      </w:r>
      <w:r w:rsidR="002B1A65" w:rsidRPr="00727C19">
        <w:rPr>
          <w:sz w:val="22"/>
          <w:szCs w:val="22"/>
        </w:rPr>
        <w:t xml:space="preserve">Administradora Colombiana de Pensiones </w:t>
      </w:r>
      <w:r w:rsidR="006041E7" w:rsidRPr="00727C19">
        <w:rPr>
          <w:sz w:val="22"/>
          <w:szCs w:val="22"/>
        </w:rPr>
        <w:t xml:space="preserve">– </w:t>
      </w:r>
      <w:r w:rsidR="002B1A65" w:rsidRPr="00727C19">
        <w:rPr>
          <w:sz w:val="22"/>
          <w:szCs w:val="22"/>
        </w:rPr>
        <w:t>Colpensiones</w:t>
      </w:r>
      <w:r w:rsidR="006041E7" w:rsidRPr="00727C19">
        <w:rPr>
          <w:sz w:val="22"/>
          <w:szCs w:val="22"/>
        </w:rPr>
        <w:t>.</w:t>
      </w:r>
      <w:r w:rsidR="006041E7" w:rsidRPr="00727C19">
        <w:rPr>
          <w:b/>
          <w:sz w:val="22"/>
          <w:szCs w:val="22"/>
        </w:rPr>
        <w:t xml:space="preserve"> </w:t>
      </w:r>
    </w:p>
    <w:p w14:paraId="49ACAA1D" w14:textId="77777777" w:rsidR="00CE133C" w:rsidRPr="00727C19" w:rsidRDefault="00CE133C" w:rsidP="00915178">
      <w:pPr>
        <w:jc w:val="both"/>
        <w:rPr>
          <w:sz w:val="22"/>
          <w:szCs w:val="22"/>
        </w:rPr>
      </w:pPr>
    </w:p>
    <w:p w14:paraId="0006F7E6" w14:textId="77777777" w:rsidR="00915178" w:rsidRPr="00727C19" w:rsidRDefault="00CE133C" w:rsidP="00915178">
      <w:pPr>
        <w:jc w:val="both"/>
        <w:rPr>
          <w:b/>
          <w:sz w:val="22"/>
          <w:szCs w:val="22"/>
        </w:rPr>
      </w:pPr>
      <w:r w:rsidRPr="00727C19">
        <w:rPr>
          <w:sz w:val="22"/>
          <w:szCs w:val="22"/>
        </w:rPr>
        <w:tab/>
      </w:r>
      <w:r w:rsidR="00915178" w:rsidRPr="00727C19">
        <w:rPr>
          <w:sz w:val="22"/>
          <w:szCs w:val="22"/>
        </w:rPr>
        <w:t>Para el efecto, se verifica la asistencia de las partes a la presente diligencia: Por la parte demandante… Por la demandada…</w:t>
      </w:r>
    </w:p>
    <w:p w14:paraId="2660F278" w14:textId="77777777" w:rsidR="00915178" w:rsidRPr="00727C19" w:rsidRDefault="00915178" w:rsidP="00495157">
      <w:pPr>
        <w:spacing w:line="240" w:lineRule="auto"/>
        <w:jc w:val="both"/>
        <w:rPr>
          <w:sz w:val="22"/>
          <w:szCs w:val="22"/>
        </w:rPr>
      </w:pPr>
    </w:p>
    <w:p w14:paraId="7042BD1C" w14:textId="77777777" w:rsidR="00915178" w:rsidRPr="00727C19" w:rsidRDefault="00915178" w:rsidP="00915178">
      <w:pPr>
        <w:jc w:val="center"/>
        <w:rPr>
          <w:b/>
          <w:sz w:val="22"/>
          <w:szCs w:val="22"/>
        </w:rPr>
      </w:pPr>
      <w:r w:rsidRPr="00727C19">
        <w:rPr>
          <w:b/>
          <w:sz w:val="22"/>
          <w:szCs w:val="22"/>
        </w:rPr>
        <w:t>ALEGATOS DE CONCLUSIÓN</w:t>
      </w:r>
    </w:p>
    <w:p w14:paraId="4B5DC8A4" w14:textId="77777777" w:rsidR="00915178" w:rsidRPr="00727C19" w:rsidRDefault="00915178" w:rsidP="00616DAA">
      <w:pPr>
        <w:spacing w:line="240" w:lineRule="auto"/>
        <w:jc w:val="center"/>
        <w:rPr>
          <w:b/>
          <w:sz w:val="22"/>
          <w:szCs w:val="22"/>
        </w:rPr>
      </w:pPr>
    </w:p>
    <w:p w14:paraId="67E723F3" w14:textId="77777777" w:rsidR="00915178" w:rsidRPr="00727C19" w:rsidRDefault="00915178" w:rsidP="00915178">
      <w:pPr>
        <w:jc w:val="both"/>
        <w:rPr>
          <w:sz w:val="22"/>
          <w:szCs w:val="22"/>
        </w:rPr>
      </w:pPr>
      <w:r w:rsidRPr="00727C19">
        <w:rPr>
          <w:sz w:val="22"/>
          <w:szCs w:val="22"/>
        </w:rPr>
        <w:tab/>
        <w:t>De conformidad con el artículo 82 del C.P.T y de la s.s., modificado por el artículo 13 de la Ley 1149 de 2007, se concede el uso de la palabra a las partes para que presenten sus alegatos de conclusión. Por la parte demandante… Por la parte demandada…</w:t>
      </w:r>
    </w:p>
    <w:p w14:paraId="15A7F96F" w14:textId="77777777" w:rsidR="00FA7C26" w:rsidRPr="00727C19" w:rsidRDefault="00FA7C26" w:rsidP="00FA7C26">
      <w:pPr>
        <w:spacing w:line="240" w:lineRule="auto"/>
        <w:jc w:val="both"/>
        <w:rPr>
          <w:sz w:val="22"/>
          <w:szCs w:val="22"/>
        </w:rPr>
      </w:pPr>
    </w:p>
    <w:p w14:paraId="295B2275" w14:textId="77777777" w:rsidR="00915178" w:rsidRPr="00727C19" w:rsidRDefault="00915178" w:rsidP="00915178">
      <w:pPr>
        <w:jc w:val="center"/>
        <w:rPr>
          <w:b/>
          <w:sz w:val="22"/>
          <w:szCs w:val="22"/>
        </w:rPr>
      </w:pPr>
      <w:r w:rsidRPr="00727C19">
        <w:rPr>
          <w:b/>
          <w:sz w:val="22"/>
          <w:szCs w:val="22"/>
        </w:rPr>
        <w:t>SENTENCIA</w:t>
      </w:r>
    </w:p>
    <w:p w14:paraId="28459BAD" w14:textId="77777777" w:rsidR="00915178" w:rsidRPr="00727C19" w:rsidRDefault="00915178" w:rsidP="00FA7C26">
      <w:pPr>
        <w:spacing w:line="240" w:lineRule="auto"/>
        <w:jc w:val="center"/>
        <w:rPr>
          <w:b/>
          <w:sz w:val="22"/>
          <w:szCs w:val="22"/>
        </w:rPr>
      </w:pPr>
    </w:p>
    <w:p w14:paraId="11720608" w14:textId="30538554" w:rsidR="00915178" w:rsidRPr="00727C19" w:rsidRDefault="00915178" w:rsidP="00915178">
      <w:pPr>
        <w:widowControl w:val="0"/>
        <w:autoSpaceDE w:val="0"/>
        <w:autoSpaceDN w:val="0"/>
        <w:adjustRightInd w:val="0"/>
        <w:ind w:firstLine="708"/>
        <w:jc w:val="both"/>
        <w:rPr>
          <w:sz w:val="22"/>
          <w:szCs w:val="22"/>
        </w:rPr>
      </w:pPr>
      <w:r w:rsidRPr="00727C19">
        <w:rPr>
          <w:sz w:val="22"/>
          <w:szCs w:val="22"/>
        </w:rPr>
        <w:t xml:space="preserve">Como quiera que los alegatos coinciden a cabalidad con los puntos fácticos y jurídicos objeto de discusión en esta instancia, procede la Sala a resolver </w:t>
      </w:r>
      <w:r w:rsidR="00FA7C26" w:rsidRPr="00727C19">
        <w:rPr>
          <w:sz w:val="22"/>
          <w:szCs w:val="22"/>
        </w:rPr>
        <w:t>el grado jurisdiccional de consulta</w:t>
      </w:r>
      <w:r w:rsidRPr="00727C19">
        <w:rPr>
          <w:sz w:val="22"/>
          <w:szCs w:val="22"/>
        </w:rPr>
        <w:t xml:space="preserve"> </w:t>
      </w:r>
      <w:r w:rsidR="00171180" w:rsidRPr="00727C19">
        <w:rPr>
          <w:sz w:val="22"/>
          <w:szCs w:val="22"/>
        </w:rPr>
        <w:t xml:space="preserve">y la </w:t>
      </w:r>
      <w:r w:rsidRPr="00727C19">
        <w:rPr>
          <w:sz w:val="22"/>
          <w:szCs w:val="22"/>
        </w:rPr>
        <w:t xml:space="preserve">apelación propuesta por </w:t>
      </w:r>
      <w:r w:rsidR="00B26E78" w:rsidRPr="00727C19">
        <w:rPr>
          <w:sz w:val="22"/>
          <w:szCs w:val="22"/>
        </w:rPr>
        <w:t>el</w:t>
      </w:r>
      <w:r w:rsidRPr="00727C19">
        <w:rPr>
          <w:sz w:val="22"/>
          <w:szCs w:val="22"/>
        </w:rPr>
        <w:t xml:space="preserve"> apoderad</w:t>
      </w:r>
      <w:r w:rsidR="00FA7C26" w:rsidRPr="00727C19">
        <w:rPr>
          <w:sz w:val="22"/>
          <w:szCs w:val="22"/>
        </w:rPr>
        <w:t>o</w:t>
      </w:r>
      <w:r w:rsidRPr="00727C19">
        <w:rPr>
          <w:sz w:val="22"/>
          <w:szCs w:val="22"/>
        </w:rPr>
        <w:t xml:space="preserve"> judicial del promotor del litigio en contra de la sentencia e</w:t>
      </w:r>
      <w:r w:rsidR="00B26E78" w:rsidRPr="00727C19">
        <w:rPr>
          <w:sz w:val="22"/>
          <w:szCs w:val="22"/>
        </w:rPr>
        <w:t>mitida por el Juzgado Tercero</w:t>
      </w:r>
      <w:r w:rsidRPr="00727C19">
        <w:rPr>
          <w:sz w:val="22"/>
          <w:szCs w:val="22"/>
        </w:rPr>
        <w:t xml:space="preserve"> Laboral del Circuito</w:t>
      </w:r>
      <w:r w:rsidR="00B26E78" w:rsidRPr="00727C19">
        <w:rPr>
          <w:sz w:val="22"/>
          <w:szCs w:val="22"/>
        </w:rPr>
        <w:t xml:space="preserve"> de Pereira el </w:t>
      </w:r>
      <w:r w:rsidR="00E036B1" w:rsidRPr="00727C19">
        <w:rPr>
          <w:sz w:val="22"/>
          <w:szCs w:val="22"/>
        </w:rPr>
        <w:t>1</w:t>
      </w:r>
      <w:r w:rsidR="00B26E78" w:rsidRPr="00727C19">
        <w:rPr>
          <w:sz w:val="22"/>
          <w:szCs w:val="22"/>
        </w:rPr>
        <w:t>8 de marzo de 201</w:t>
      </w:r>
      <w:r w:rsidR="00E036B1" w:rsidRPr="00727C19">
        <w:rPr>
          <w:sz w:val="22"/>
          <w:szCs w:val="22"/>
        </w:rPr>
        <w:t>5</w:t>
      </w:r>
      <w:r w:rsidRPr="00727C19">
        <w:rPr>
          <w:sz w:val="22"/>
          <w:szCs w:val="22"/>
        </w:rPr>
        <w:t>, dentro del proceso ordinario laboral reseñado con anterioridad.</w:t>
      </w:r>
    </w:p>
    <w:p w14:paraId="5E5E0DA3" w14:textId="77777777" w:rsidR="00915178" w:rsidRPr="00727C19" w:rsidRDefault="00915178" w:rsidP="00915178">
      <w:pPr>
        <w:jc w:val="both"/>
        <w:rPr>
          <w:sz w:val="22"/>
          <w:szCs w:val="22"/>
        </w:rPr>
      </w:pPr>
    </w:p>
    <w:p w14:paraId="593E10E9" w14:textId="77777777" w:rsidR="00915178" w:rsidRPr="00727C19" w:rsidRDefault="00915178" w:rsidP="00915178">
      <w:pPr>
        <w:jc w:val="center"/>
        <w:rPr>
          <w:b/>
          <w:sz w:val="22"/>
          <w:szCs w:val="22"/>
        </w:rPr>
      </w:pPr>
      <w:r w:rsidRPr="00727C19">
        <w:rPr>
          <w:b/>
          <w:sz w:val="22"/>
          <w:szCs w:val="22"/>
        </w:rPr>
        <w:t>PROBLEMA JURIDICO</w:t>
      </w:r>
    </w:p>
    <w:p w14:paraId="3D1BADA9" w14:textId="77777777" w:rsidR="00915178" w:rsidRPr="00727C19" w:rsidRDefault="00915178" w:rsidP="00915178">
      <w:pPr>
        <w:jc w:val="center"/>
        <w:rPr>
          <w:sz w:val="22"/>
          <w:szCs w:val="22"/>
        </w:rPr>
      </w:pPr>
    </w:p>
    <w:p w14:paraId="69E1FF43" w14:textId="4DAB1274" w:rsidR="00336313" w:rsidRPr="00727C19" w:rsidRDefault="00336313" w:rsidP="00336313">
      <w:pPr>
        <w:jc w:val="both"/>
        <w:rPr>
          <w:sz w:val="22"/>
          <w:szCs w:val="22"/>
        </w:rPr>
      </w:pPr>
      <w:r w:rsidRPr="00727C19">
        <w:rPr>
          <w:sz w:val="22"/>
          <w:szCs w:val="22"/>
        </w:rPr>
        <w:tab/>
      </w:r>
      <w:r w:rsidR="00C614A3" w:rsidRPr="00727C19">
        <w:rPr>
          <w:sz w:val="22"/>
          <w:szCs w:val="22"/>
        </w:rPr>
        <w:t>De acuerdo a lo expuesto en la sentencia de primera instancia y a los argumentos expuestos en el recurso de apelación, le corresponde a la Sala determinar a partir de qué momento le asiste derecho al señor Gilnober de Jesús Henao a percibir el retroactivo</w:t>
      </w:r>
      <w:r w:rsidR="00E036B1" w:rsidRPr="00727C19">
        <w:rPr>
          <w:sz w:val="22"/>
          <w:szCs w:val="22"/>
        </w:rPr>
        <w:t xml:space="preserve"> de su pensión de invalidez.</w:t>
      </w:r>
    </w:p>
    <w:p w14:paraId="3336CE29" w14:textId="77777777" w:rsidR="00450355" w:rsidRPr="00727C19" w:rsidRDefault="00450355" w:rsidP="00336313">
      <w:pPr>
        <w:jc w:val="both"/>
        <w:rPr>
          <w:sz w:val="22"/>
          <w:szCs w:val="22"/>
        </w:rPr>
      </w:pPr>
    </w:p>
    <w:p w14:paraId="1E0AA980" w14:textId="77777777" w:rsidR="00915178" w:rsidRPr="00727C19" w:rsidRDefault="00915178" w:rsidP="00915178">
      <w:pPr>
        <w:pStyle w:val="Prrafodelista"/>
        <w:numPr>
          <w:ilvl w:val="0"/>
          <w:numId w:val="1"/>
        </w:numPr>
        <w:ind w:left="0" w:firstLine="0"/>
        <w:jc w:val="center"/>
        <w:rPr>
          <w:b/>
          <w:sz w:val="22"/>
          <w:szCs w:val="22"/>
        </w:rPr>
      </w:pPr>
      <w:r w:rsidRPr="00727C19">
        <w:rPr>
          <w:b/>
          <w:sz w:val="22"/>
          <w:szCs w:val="22"/>
        </w:rPr>
        <w:t>ANTECEDENTES</w:t>
      </w:r>
    </w:p>
    <w:p w14:paraId="1A154627" w14:textId="77777777" w:rsidR="0026688D" w:rsidRPr="00727C19" w:rsidRDefault="0026688D" w:rsidP="0026688D">
      <w:pPr>
        <w:jc w:val="center"/>
        <w:rPr>
          <w:b/>
          <w:sz w:val="22"/>
          <w:szCs w:val="22"/>
        </w:rPr>
      </w:pPr>
    </w:p>
    <w:p w14:paraId="2240FAE6" w14:textId="787D915D" w:rsidR="002F4933" w:rsidRPr="00727C19" w:rsidRDefault="0026688D" w:rsidP="006041E7">
      <w:pPr>
        <w:jc w:val="both"/>
        <w:rPr>
          <w:sz w:val="22"/>
          <w:szCs w:val="22"/>
        </w:rPr>
      </w:pPr>
      <w:r w:rsidRPr="00727C19">
        <w:rPr>
          <w:sz w:val="22"/>
          <w:szCs w:val="22"/>
        </w:rPr>
        <w:tab/>
      </w:r>
      <w:r w:rsidR="006041E7" w:rsidRPr="00727C19">
        <w:rPr>
          <w:sz w:val="22"/>
          <w:szCs w:val="22"/>
        </w:rPr>
        <w:t xml:space="preserve">El citado demandante solicita que se declare </w:t>
      </w:r>
      <w:r w:rsidR="00E036B1" w:rsidRPr="00727C19">
        <w:rPr>
          <w:sz w:val="22"/>
          <w:szCs w:val="22"/>
        </w:rPr>
        <w:t>que</w:t>
      </w:r>
      <w:r w:rsidR="006041E7" w:rsidRPr="00727C19">
        <w:rPr>
          <w:sz w:val="22"/>
          <w:szCs w:val="22"/>
        </w:rPr>
        <w:t xml:space="preserve"> Colpensiones </w:t>
      </w:r>
      <w:r w:rsidR="00C614A3" w:rsidRPr="00727C19">
        <w:rPr>
          <w:sz w:val="22"/>
          <w:szCs w:val="22"/>
        </w:rPr>
        <w:t xml:space="preserve">es </w:t>
      </w:r>
      <w:r w:rsidR="006041E7" w:rsidRPr="00727C19">
        <w:rPr>
          <w:sz w:val="22"/>
          <w:szCs w:val="22"/>
        </w:rPr>
        <w:t xml:space="preserve">responsable del pago del retroactivo pensional de la pensión de invalidez </w:t>
      </w:r>
      <w:r w:rsidR="00C614A3" w:rsidRPr="00727C19">
        <w:rPr>
          <w:sz w:val="22"/>
          <w:szCs w:val="22"/>
        </w:rPr>
        <w:t xml:space="preserve">desde </w:t>
      </w:r>
      <w:r w:rsidR="006041E7" w:rsidRPr="00727C19">
        <w:rPr>
          <w:sz w:val="22"/>
          <w:szCs w:val="22"/>
        </w:rPr>
        <w:t>el 19 de agosto de 2011 hasta el 1</w:t>
      </w:r>
      <w:r w:rsidR="00C614A3" w:rsidRPr="00727C19">
        <w:rPr>
          <w:sz w:val="22"/>
          <w:szCs w:val="22"/>
        </w:rPr>
        <w:t xml:space="preserve">º </w:t>
      </w:r>
      <w:r w:rsidR="006041E7" w:rsidRPr="00727C19">
        <w:rPr>
          <w:sz w:val="22"/>
          <w:szCs w:val="22"/>
        </w:rPr>
        <w:t xml:space="preserve">de abril de 2014, además de los intereses moratorios y </w:t>
      </w:r>
      <w:r w:rsidR="00C614A3" w:rsidRPr="00727C19">
        <w:rPr>
          <w:sz w:val="22"/>
          <w:szCs w:val="22"/>
        </w:rPr>
        <w:t xml:space="preserve">las </w:t>
      </w:r>
      <w:r w:rsidR="006041E7" w:rsidRPr="00727C19">
        <w:rPr>
          <w:sz w:val="22"/>
          <w:szCs w:val="22"/>
        </w:rPr>
        <w:t>costas procesales.</w:t>
      </w:r>
    </w:p>
    <w:p w14:paraId="1F388556" w14:textId="743EE2F4" w:rsidR="00F36926" w:rsidRPr="00727C19" w:rsidRDefault="006041E7" w:rsidP="006041E7">
      <w:pPr>
        <w:jc w:val="both"/>
        <w:rPr>
          <w:sz w:val="22"/>
          <w:szCs w:val="22"/>
        </w:rPr>
      </w:pPr>
      <w:r w:rsidRPr="00727C19">
        <w:rPr>
          <w:sz w:val="22"/>
          <w:szCs w:val="22"/>
        </w:rPr>
        <w:t xml:space="preserve">     </w:t>
      </w:r>
    </w:p>
    <w:p w14:paraId="217AF332" w14:textId="1FBFC9DF" w:rsidR="004D0165" w:rsidRPr="00727C19" w:rsidRDefault="006041E7" w:rsidP="00F36926">
      <w:pPr>
        <w:ind w:firstLine="426"/>
        <w:jc w:val="both"/>
        <w:rPr>
          <w:sz w:val="22"/>
          <w:szCs w:val="22"/>
        </w:rPr>
      </w:pPr>
      <w:r w:rsidRPr="00727C19">
        <w:rPr>
          <w:sz w:val="22"/>
          <w:szCs w:val="22"/>
        </w:rPr>
        <w:t xml:space="preserve">   Para fundar dichas pretensiones manifiesta que</w:t>
      </w:r>
      <w:r w:rsidRPr="00727C19">
        <w:rPr>
          <w:i/>
          <w:sz w:val="22"/>
          <w:szCs w:val="22"/>
        </w:rPr>
        <w:t xml:space="preserve"> </w:t>
      </w:r>
      <w:r w:rsidRPr="00727C19">
        <w:rPr>
          <w:sz w:val="22"/>
          <w:szCs w:val="22"/>
        </w:rPr>
        <w:t>inició proceso de calificación de la pérdida de capacidad laboral ante el ISS</w:t>
      </w:r>
      <w:r w:rsidR="00F36926" w:rsidRPr="00727C19">
        <w:rPr>
          <w:sz w:val="22"/>
          <w:szCs w:val="22"/>
        </w:rPr>
        <w:t xml:space="preserve"> con ocasión de los severos problemas de salud que lo aquejan</w:t>
      </w:r>
      <w:r w:rsidRPr="00727C19">
        <w:rPr>
          <w:sz w:val="22"/>
          <w:szCs w:val="22"/>
        </w:rPr>
        <w:t>,</w:t>
      </w:r>
      <w:r w:rsidR="00C614A3" w:rsidRPr="00727C19">
        <w:rPr>
          <w:sz w:val="22"/>
          <w:szCs w:val="22"/>
        </w:rPr>
        <w:t xml:space="preserve"> entidad que a través de</w:t>
      </w:r>
      <w:r w:rsidR="009260B4" w:rsidRPr="00727C19">
        <w:rPr>
          <w:sz w:val="22"/>
          <w:szCs w:val="22"/>
        </w:rPr>
        <w:t xml:space="preserve"> su</w:t>
      </w:r>
      <w:r w:rsidR="00C614A3" w:rsidRPr="00727C19">
        <w:rPr>
          <w:sz w:val="22"/>
          <w:szCs w:val="22"/>
        </w:rPr>
        <w:t xml:space="preserve"> Departamento de Medicina Laboral lo calificó </w:t>
      </w:r>
      <w:r w:rsidRPr="00727C19">
        <w:rPr>
          <w:sz w:val="22"/>
          <w:szCs w:val="22"/>
        </w:rPr>
        <w:t>el 19 de agosto de 2011</w:t>
      </w:r>
      <w:r w:rsidR="00C614A3" w:rsidRPr="00727C19">
        <w:rPr>
          <w:sz w:val="22"/>
          <w:szCs w:val="22"/>
        </w:rPr>
        <w:t xml:space="preserve"> con una pérdida de capacidad laboral del </w:t>
      </w:r>
      <w:r w:rsidRPr="00727C19">
        <w:rPr>
          <w:sz w:val="22"/>
          <w:szCs w:val="22"/>
        </w:rPr>
        <w:t>66.80%, con fecha de estructuración del 30 de junio de 2010, y</w:t>
      </w:r>
      <w:r w:rsidR="00652675" w:rsidRPr="00727C19">
        <w:rPr>
          <w:sz w:val="22"/>
          <w:szCs w:val="22"/>
        </w:rPr>
        <w:t xml:space="preserve"> de origen común</w:t>
      </w:r>
      <w:r w:rsidRPr="00727C19">
        <w:rPr>
          <w:sz w:val="22"/>
          <w:szCs w:val="22"/>
        </w:rPr>
        <w:t xml:space="preserve">. </w:t>
      </w:r>
    </w:p>
    <w:p w14:paraId="51E9AC9D" w14:textId="77777777" w:rsidR="004D0165" w:rsidRPr="00727C19" w:rsidRDefault="004D0165" w:rsidP="006041E7">
      <w:pPr>
        <w:jc w:val="both"/>
        <w:rPr>
          <w:sz w:val="22"/>
          <w:szCs w:val="22"/>
        </w:rPr>
      </w:pPr>
    </w:p>
    <w:p w14:paraId="39832CA2" w14:textId="767FC596" w:rsidR="006041E7" w:rsidRPr="00727C19" w:rsidRDefault="004D0165" w:rsidP="00906B6D">
      <w:pPr>
        <w:ind w:firstLine="708"/>
        <w:jc w:val="both"/>
        <w:rPr>
          <w:sz w:val="22"/>
          <w:szCs w:val="22"/>
        </w:rPr>
      </w:pPr>
      <w:r w:rsidRPr="00727C19">
        <w:rPr>
          <w:sz w:val="22"/>
          <w:szCs w:val="22"/>
        </w:rPr>
        <w:t xml:space="preserve">Refiere que por lo anterior </w:t>
      </w:r>
      <w:r w:rsidR="006041E7" w:rsidRPr="00727C19">
        <w:rPr>
          <w:sz w:val="22"/>
          <w:szCs w:val="22"/>
        </w:rPr>
        <w:t xml:space="preserve">elevó </w:t>
      </w:r>
      <w:r w:rsidRPr="00727C19">
        <w:rPr>
          <w:sz w:val="22"/>
          <w:szCs w:val="22"/>
        </w:rPr>
        <w:t xml:space="preserve">ante Colpensiones </w:t>
      </w:r>
      <w:r w:rsidR="006041E7" w:rsidRPr="00727C19">
        <w:rPr>
          <w:sz w:val="22"/>
          <w:szCs w:val="22"/>
        </w:rPr>
        <w:t>solicitud de pensión de invalidez</w:t>
      </w:r>
      <w:r w:rsidRPr="00727C19">
        <w:rPr>
          <w:sz w:val="22"/>
          <w:szCs w:val="22"/>
        </w:rPr>
        <w:t xml:space="preserve">, </w:t>
      </w:r>
      <w:r w:rsidR="002D477B" w:rsidRPr="00727C19">
        <w:rPr>
          <w:sz w:val="22"/>
          <w:szCs w:val="22"/>
        </w:rPr>
        <w:t xml:space="preserve">misma que </w:t>
      </w:r>
      <w:r w:rsidRPr="00727C19">
        <w:rPr>
          <w:sz w:val="22"/>
          <w:szCs w:val="22"/>
        </w:rPr>
        <w:t xml:space="preserve">fue negada </w:t>
      </w:r>
      <w:r w:rsidR="006041E7" w:rsidRPr="00727C19">
        <w:rPr>
          <w:sz w:val="22"/>
          <w:szCs w:val="22"/>
        </w:rPr>
        <w:t xml:space="preserve">mediante </w:t>
      </w:r>
      <w:r w:rsidRPr="00727C19">
        <w:rPr>
          <w:sz w:val="22"/>
          <w:szCs w:val="22"/>
        </w:rPr>
        <w:t xml:space="preserve">la Resolución </w:t>
      </w:r>
      <w:r w:rsidR="006041E7" w:rsidRPr="00727C19">
        <w:rPr>
          <w:sz w:val="22"/>
          <w:szCs w:val="22"/>
        </w:rPr>
        <w:t xml:space="preserve">GNR 119376 del 31 de mayo de 2013, </w:t>
      </w:r>
      <w:r w:rsidR="00DE0376" w:rsidRPr="00727C19">
        <w:rPr>
          <w:sz w:val="22"/>
          <w:szCs w:val="22"/>
        </w:rPr>
        <w:t xml:space="preserve">bajo el </w:t>
      </w:r>
      <w:r w:rsidR="006041E7" w:rsidRPr="00727C19">
        <w:rPr>
          <w:sz w:val="22"/>
          <w:szCs w:val="22"/>
        </w:rPr>
        <w:t xml:space="preserve"> argument</w:t>
      </w:r>
      <w:r w:rsidR="00DE0376" w:rsidRPr="00727C19">
        <w:rPr>
          <w:sz w:val="22"/>
          <w:szCs w:val="22"/>
        </w:rPr>
        <w:t>o de q</w:t>
      </w:r>
      <w:r w:rsidR="006041E7" w:rsidRPr="00727C19">
        <w:rPr>
          <w:sz w:val="22"/>
          <w:szCs w:val="22"/>
        </w:rPr>
        <w:t xml:space="preserve">ue </w:t>
      </w:r>
      <w:r w:rsidR="00DE0376" w:rsidRPr="00727C19">
        <w:rPr>
          <w:sz w:val="22"/>
          <w:szCs w:val="22"/>
        </w:rPr>
        <w:t>n</w:t>
      </w:r>
      <w:r w:rsidR="006041E7" w:rsidRPr="00727C19">
        <w:rPr>
          <w:sz w:val="22"/>
          <w:szCs w:val="22"/>
        </w:rPr>
        <w:t xml:space="preserve">o acreditaba </w:t>
      </w:r>
      <w:r w:rsidR="00DE0376" w:rsidRPr="00727C19">
        <w:rPr>
          <w:sz w:val="22"/>
          <w:szCs w:val="22"/>
        </w:rPr>
        <w:t xml:space="preserve">las </w:t>
      </w:r>
      <w:r w:rsidR="006041E7" w:rsidRPr="00727C19">
        <w:rPr>
          <w:sz w:val="22"/>
          <w:szCs w:val="22"/>
        </w:rPr>
        <w:t>semanas cotizadas por la Ley 860 de 2003</w:t>
      </w:r>
      <w:r w:rsidR="00D24E43" w:rsidRPr="00727C19">
        <w:rPr>
          <w:sz w:val="22"/>
          <w:szCs w:val="22"/>
        </w:rPr>
        <w:t xml:space="preserve">; razón por la cual </w:t>
      </w:r>
      <w:r w:rsidR="006041E7" w:rsidRPr="00727C19">
        <w:rPr>
          <w:sz w:val="22"/>
          <w:szCs w:val="22"/>
        </w:rPr>
        <w:t xml:space="preserve">interpuso una acción de tutela en la </w:t>
      </w:r>
      <w:r w:rsidR="00F24087" w:rsidRPr="00727C19">
        <w:rPr>
          <w:sz w:val="22"/>
          <w:szCs w:val="22"/>
        </w:rPr>
        <w:t xml:space="preserve">que </w:t>
      </w:r>
      <w:r w:rsidR="006041E7" w:rsidRPr="00727C19">
        <w:rPr>
          <w:sz w:val="22"/>
          <w:szCs w:val="22"/>
        </w:rPr>
        <w:t xml:space="preserve">solicitó que se ordenara a Colpensiones  reconocer </w:t>
      </w:r>
      <w:r w:rsidR="00906B6D" w:rsidRPr="00727C19">
        <w:rPr>
          <w:sz w:val="22"/>
          <w:szCs w:val="22"/>
        </w:rPr>
        <w:t>aquella prestación</w:t>
      </w:r>
      <w:r w:rsidR="002D477B" w:rsidRPr="00727C19">
        <w:rPr>
          <w:sz w:val="22"/>
          <w:szCs w:val="22"/>
        </w:rPr>
        <w:t xml:space="preserve">, a lo cual accedió </w:t>
      </w:r>
      <w:r w:rsidR="00906B6D" w:rsidRPr="00727C19">
        <w:rPr>
          <w:sz w:val="22"/>
          <w:szCs w:val="22"/>
        </w:rPr>
        <w:t xml:space="preserve">el </w:t>
      </w:r>
      <w:r w:rsidR="006041E7" w:rsidRPr="00727C19">
        <w:rPr>
          <w:sz w:val="22"/>
          <w:szCs w:val="22"/>
        </w:rPr>
        <w:t>Juzgado Primero Laboral del Circuito de Pereira</w:t>
      </w:r>
      <w:r w:rsidR="002D477B" w:rsidRPr="00727C19">
        <w:rPr>
          <w:sz w:val="22"/>
          <w:szCs w:val="22"/>
        </w:rPr>
        <w:t xml:space="preserve"> mediante </w:t>
      </w:r>
      <w:r w:rsidR="00906B6D" w:rsidRPr="00727C19">
        <w:rPr>
          <w:sz w:val="22"/>
          <w:szCs w:val="22"/>
        </w:rPr>
        <w:t xml:space="preserve"> fallo del 7 de noviembre de 2013</w:t>
      </w:r>
      <w:r w:rsidR="002D477B" w:rsidRPr="00727C19">
        <w:rPr>
          <w:sz w:val="22"/>
          <w:szCs w:val="22"/>
        </w:rPr>
        <w:t>, en el que se ordenó a dicha entidad que proced</w:t>
      </w:r>
      <w:r w:rsidR="006D7921" w:rsidRPr="00727C19">
        <w:rPr>
          <w:sz w:val="22"/>
          <w:szCs w:val="22"/>
        </w:rPr>
        <w:t xml:space="preserve">iera </w:t>
      </w:r>
      <w:r w:rsidR="006041E7" w:rsidRPr="00727C19">
        <w:rPr>
          <w:sz w:val="22"/>
          <w:szCs w:val="22"/>
        </w:rPr>
        <w:t>a cancelar</w:t>
      </w:r>
      <w:r w:rsidR="006D7921" w:rsidRPr="00727C19">
        <w:rPr>
          <w:sz w:val="22"/>
          <w:szCs w:val="22"/>
        </w:rPr>
        <w:t xml:space="preserve"> esa prestación económica</w:t>
      </w:r>
      <w:r w:rsidR="009260B4" w:rsidRPr="00727C19">
        <w:rPr>
          <w:sz w:val="22"/>
          <w:szCs w:val="22"/>
        </w:rPr>
        <w:t>.</w:t>
      </w:r>
    </w:p>
    <w:p w14:paraId="0420C212" w14:textId="77777777" w:rsidR="006041E7" w:rsidRPr="00727C19" w:rsidRDefault="006041E7" w:rsidP="006041E7">
      <w:pPr>
        <w:jc w:val="both"/>
        <w:rPr>
          <w:sz w:val="22"/>
          <w:szCs w:val="22"/>
        </w:rPr>
      </w:pPr>
    </w:p>
    <w:p w14:paraId="76A691DE" w14:textId="7E5AA787" w:rsidR="006041E7" w:rsidRPr="00727C19" w:rsidRDefault="006041E7" w:rsidP="006041E7">
      <w:pPr>
        <w:jc w:val="both"/>
        <w:rPr>
          <w:sz w:val="22"/>
          <w:szCs w:val="22"/>
        </w:rPr>
      </w:pPr>
      <w:r w:rsidRPr="00727C19">
        <w:rPr>
          <w:sz w:val="22"/>
          <w:szCs w:val="22"/>
        </w:rPr>
        <w:t xml:space="preserve">         </w:t>
      </w:r>
      <w:r w:rsidR="00706FA4" w:rsidRPr="00727C19">
        <w:rPr>
          <w:sz w:val="22"/>
          <w:szCs w:val="22"/>
        </w:rPr>
        <w:t>Agrega que p</w:t>
      </w:r>
      <w:r w:rsidRPr="00727C19">
        <w:rPr>
          <w:sz w:val="22"/>
          <w:szCs w:val="22"/>
        </w:rPr>
        <w:t>or lo anterior, mediante Resolución GNR 111946 del 28 de marzo de 2014, Colpensiones reconoció la pensión de invalidez</w:t>
      </w:r>
      <w:r w:rsidR="00724633" w:rsidRPr="00727C19">
        <w:rPr>
          <w:sz w:val="22"/>
          <w:szCs w:val="22"/>
        </w:rPr>
        <w:t>; s</w:t>
      </w:r>
      <w:r w:rsidRPr="00727C19">
        <w:rPr>
          <w:sz w:val="22"/>
          <w:szCs w:val="22"/>
        </w:rPr>
        <w:t xml:space="preserve">in embargo, no canceló el retroactivo pensional a partir de la </w:t>
      </w:r>
      <w:r w:rsidR="00EE3E1C" w:rsidRPr="00727C19">
        <w:rPr>
          <w:sz w:val="22"/>
          <w:szCs w:val="22"/>
        </w:rPr>
        <w:t>fecha de estructuración definida en la sentencia de tutela</w:t>
      </w:r>
      <w:r w:rsidRPr="00727C19">
        <w:rPr>
          <w:sz w:val="22"/>
          <w:szCs w:val="22"/>
        </w:rPr>
        <w:t xml:space="preserve">, es decir, </w:t>
      </w:r>
      <w:r w:rsidR="00EE3E1C" w:rsidRPr="00727C19">
        <w:rPr>
          <w:sz w:val="22"/>
          <w:szCs w:val="22"/>
        </w:rPr>
        <w:t xml:space="preserve">aquella en que se calificó al actor </w:t>
      </w:r>
      <w:r w:rsidR="00EE3E1C" w:rsidRPr="00727C19">
        <w:rPr>
          <w:i/>
          <w:sz w:val="22"/>
          <w:szCs w:val="22"/>
        </w:rPr>
        <w:t>-</w:t>
      </w:r>
      <w:r w:rsidRPr="00727C19">
        <w:rPr>
          <w:i/>
          <w:sz w:val="22"/>
          <w:szCs w:val="22"/>
        </w:rPr>
        <w:t>19 de agosto de 2011</w:t>
      </w:r>
      <w:r w:rsidR="00EE3E1C" w:rsidRPr="00727C19">
        <w:rPr>
          <w:i/>
          <w:sz w:val="22"/>
          <w:szCs w:val="22"/>
        </w:rPr>
        <w:t>-</w:t>
      </w:r>
      <w:r w:rsidR="00EE3E1C" w:rsidRPr="00727C19">
        <w:rPr>
          <w:sz w:val="22"/>
          <w:szCs w:val="22"/>
        </w:rPr>
        <w:t xml:space="preserve">; </w:t>
      </w:r>
      <w:r w:rsidR="00706FA4" w:rsidRPr="00727C19">
        <w:rPr>
          <w:sz w:val="22"/>
          <w:szCs w:val="22"/>
        </w:rPr>
        <w:t xml:space="preserve">por ello </w:t>
      </w:r>
      <w:r w:rsidR="00EE3E1C" w:rsidRPr="00727C19">
        <w:rPr>
          <w:sz w:val="22"/>
          <w:szCs w:val="22"/>
        </w:rPr>
        <w:t>p</w:t>
      </w:r>
      <w:r w:rsidRPr="00727C19">
        <w:rPr>
          <w:sz w:val="22"/>
          <w:szCs w:val="22"/>
        </w:rPr>
        <w:t>resentó recurso de apelación</w:t>
      </w:r>
      <w:r w:rsidR="00AE3364" w:rsidRPr="00727C19">
        <w:rPr>
          <w:sz w:val="22"/>
          <w:szCs w:val="22"/>
        </w:rPr>
        <w:t xml:space="preserve">, sin que a la </w:t>
      </w:r>
      <w:r w:rsidRPr="00727C19">
        <w:rPr>
          <w:sz w:val="22"/>
          <w:szCs w:val="22"/>
        </w:rPr>
        <w:t>fecha de la presentación de la demanda la accionada</w:t>
      </w:r>
      <w:r w:rsidR="00706FA4" w:rsidRPr="00727C19">
        <w:rPr>
          <w:sz w:val="22"/>
          <w:szCs w:val="22"/>
        </w:rPr>
        <w:t xml:space="preserve"> hubiera </w:t>
      </w:r>
      <w:r w:rsidRPr="00727C19">
        <w:rPr>
          <w:sz w:val="22"/>
          <w:szCs w:val="22"/>
        </w:rPr>
        <w:t>emiti</w:t>
      </w:r>
      <w:r w:rsidR="00706FA4" w:rsidRPr="00727C19">
        <w:rPr>
          <w:sz w:val="22"/>
          <w:szCs w:val="22"/>
        </w:rPr>
        <w:t>do</w:t>
      </w:r>
      <w:r w:rsidRPr="00727C19">
        <w:rPr>
          <w:sz w:val="22"/>
          <w:szCs w:val="22"/>
        </w:rPr>
        <w:t xml:space="preserve">  pronunciamiento </w:t>
      </w:r>
      <w:r w:rsidR="00706FA4" w:rsidRPr="00727C19">
        <w:rPr>
          <w:sz w:val="22"/>
          <w:szCs w:val="22"/>
        </w:rPr>
        <w:t xml:space="preserve">alguno al respecto. </w:t>
      </w:r>
    </w:p>
    <w:p w14:paraId="1F6F4C5E" w14:textId="77777777" w:rsidR="00915178" w:rsidRPr="00727C19" w:rsidRDefault="00915178" w:rsidP="00915178">
      <w:pPr>
        <w:pStyle w:val="Prrafodelista"/>
        <w:spacing w:line="240" w:lineRule="auto"/>
        <w:ind w:left="0"/>
        <w:jc w:val="both"/>
        <w:rPr>
          <w:b/>
          <w:sz w:val="22"/>
          <w:szCs w:val="22"/>
        </w:rPr>
      </w:pPr>
    </w:p>
    <w:p w14:paraId="6BF206F7" w14:textId="182CF600" w:rsidR="00992D5A" w:rsidRPr="00727C19" w:rsidRDefault="00EF35CB" w:rsidP="00EF35CB">
      <w:pPr>
        <w:pStyle w:val="Prrafodelista"/>
        <w:ind w:left="0"/>
        <w:jc w:val="both"/>
        <w:rPr>
          <w:sz w:val="22"/>
          <w:szCs w:val="22"/>
        </w:rPr>
      </w:pPr>
      <w:r w:rsidRPr="00727C19">
        <w:rPr>
          <w:b/>
          <w:sz w:val="22"/>
          <w:szCs w:val="22"/>
        </w:rPr>
        <w:tab/>
      </w:r>
      <w:r w:rsidR="006041E7" w:rsidRPr="00727C19">
        <w:rPr>
          <w:sz w:val="22"/>
          <w:szCs w:val="22"/>
        </w:rPr>
        <w:t>Colpensiones</w:t>
      </w:r>
      <w:r w:rsidRPr="00727C19">
        <w:rPr>
          <w:sz w:val="22"/>
          <w:szCs w:val="22"/>
        </w:rPr>
        <w:t xml:space="preserve"> </w:t>
      </w:r>
      <w:r w:rsidR="008259CB" w:rsidRPr="00727C19">
        <w:rPr>
          <w:sz w:val="22"/>
          <w:szCs w:val="22"/>
        </w:rPr>
        <w:t xml:space="preserve">al contestar la demanda </w:t>
      </w:r>
      <w:r w:rsidR="00AE3364" w:rsidRPr="00727C19">
        <w:rPr>
          <w:sz w:val="22"/>
          <w:szCs w:val="22"/>
        </w:rPr>
        <w:t>indicó que no era cierto que en la sentencia de tutela se hubiera establecido una nueva fecha de estructuración de invalidez al promotor del litigio</w:t>
      </w:r>
      <w:r w:rsidR="008259CB" w:rsidRPr="00727C19">
        <w:rPr>
          <w:sz w:val="22"/>
          <w:szCs w:val="22"/>
        </w:rPr>
        <w:t xml:space="preserve">, ni que </w:t>
      </w:r>
      <w:r w:rsidR="00AE3364" w:rsidRPr="00727C19">
        <w:rPr>
          <w:sz w:val="22"/>
          <w:szCs w:val="22"/>
        </w:rPr>
        <w:t>no haya resuelto el recurso de apelación presentado contra la resolución</w:t>
      </w:r>
      <w:r w:rsidR="008259CB" w:rsidRPr="00727C19">
        <w:rPr>
          <w:sz w:val="22"/>
          <w:szCs w:val="22"/>
        </w:rPr>
        <w:t xml:space="preserve"> que negó la pensión de sobrevivientes</w:t>
      </w:r>
      <w:r w:rsidR="00992D5A" w:rsidRPr="00727C19">
        <w:rPr>
          <w:sz w:val="22"/>
          <w:szCs w:val="22"/>
        </w:rPr>
        <w:t>, pues se entiende el silencio administrativo negativo. Frente a los demás hechos manifestó que eran ciertos.</w:t>
      </w:r>
    </w:p>
    <w:p w14:paraId="51E673B5" w14:textId="77777777" w:rsidR="00992D5A" w:rsidRPr="00727C19" w:rsidRDefault="00992D5A" w:rsidP="00EF35CB">
      <w:pPr>
        <w:pStyle w:val="Prrafodelista"/>
        <w:ind w:left="0"/>
        <w:jc w:val="both"/>
        <w:rPr>
          <w:sz w:val="22"/>
          <w:szCs w:val="22"/>
        </w:rPr>
      </w:pPr>
    </w:p>
    <w:p w14:paraId="635B4397" w14:textId="448FE7B5" w:rsidR="0097541E" w:rsidRPr="00727C19" w:rsidRDefault="00992D5A" w:rsidP="006041E7">
      <w:pPr>
        <w:pStyle w:val="Prrafodelista"/>
        <w:ind w:left="0"/>
        <w:jc w:val="both"/>
        <w:rPr>
          <w:sz w:val="22"/>
          <w:szCs w:val="22"/>
        </w:rPr>
      </w:pPr>
      <w:r w:rsidRPr="00727C19">
        <w:rPr>
          <w:sz w:val="22"/>
          <w:szCs w:val="22"/>
        </w:rPr>
        <w:tab/>
        <w:t xml:space="preserve">Seguidamente se opuso a la totalidad de las pretensiones de la demanda y propuso como excepciones de mérito las que denominó </w:t>
      </w:r>
      <w:r w:rsidR="006041E7" w:rsidRPr="00727C19">
        <w:rPr>
          <w:sz w:val="22"/>
          <w:szCs w:val="22"/>
        </w:rPr>
        <w:t>“</w:t>
      </w:r>
      <w:r w:rsidRPr="00727C19">
        <w:rPr>
          <w:sz w:val="22"/>
          <w:szCs w:val="22"/>
        </w:rPr>
        <w:t xml:space="preserve">Inexistencia </w:t>
      </w:r>
      <w:r w:rsidR="006041E7" w:rsidRPr="00727C19">
        <w:rPr>
          <w:sz w:val="22"/>
          <w:szCs w:val="22"/>
        </w:rPr>
        <w:t>de la obligación” y “prescripción”.</w:t>
      </w:r>
    </w:p>
    <w:p w14:paraId="65D662DB" w14:textId="77777777" w:rsidR="0097541E" w:rsidRPr="00727C19" w:rsidRDefault="0097541E" w:rsidP="00992D5A">
      <w:pPr>
        <w:pStyle w:val="Prrafodelista"/>
        <w:spacing w:line="240" w:lineRule="auto"/>
        <w:ind w:left="0"/>
        <w:jc w:val="both"/>
        <w:rPr>
          <w:b/>
          <w:sz w:val="22"/>
          <w:szCs w:val="22"/>
        </w:rPr>
      </w:pPr>
    </w:p>
    <w:p w14:paraId="3EB5627B" w14:textId="77777777" w:rsidR="00915178" w:rsidRPr="00727C19" w:rsidRDefault="00915178" w:rsidP="00915178">
      <w:pPr>
        <w:pStyle w:val="Prrafodelista"/>
        <w:numPr>
          <w:ilvl w:val="0"/>
          <w:numId w:val="1"/>
        </w:numPr>
        <w:ind w:left="0" w:firstLine="0"/>
        <w:jc w:val="center"/>
        <w:rPr>
          <w:b/>
          <w:caps/>
          <w:sz w:val="22"/>
          <w:szCs w:val="22"/>
        </w:rPr>
      </w:pPr>
      <w:r w:rsidRPr="00727C19">
        <w:rPr>
          <w:b/>
          <w:caps/>
          <w:sz w:val="22"/>
          <w:szCs w:val="22"/>
        </w:rPr>
        <w:t>Sentencia de primera instancia</w:t>
      </w:r>
    </w:p>
    <w:p w14:paraId="4F8FD509" w14:textId="77777777" w:rsidR="004F4285" w:rsidRPr="00727C19" w:rsidRDefault="004F4285" w:rsidP="00992D5A">
      <w:pPr>
        <w:spacing w:line="240" w:lineRule="auto"/>
        <w:jc w:val="center"/>
        <w:rPr>
          <w:b/>
          <w:caps/>
          <w:sz w:val="22"/>
          <w:szCs w:val="22"/>
        </w:rPr>
      </w:pPr>
    </w:p>
    <w:p w14:paraId="27E8D001" w14:textId="43374BCE" w:rsidR="00B6485A" w:rsidRPr="00727C19" w:rsidRDefault="00A64C38" w:rsidP="00684CA1">
      <w:pPr>
        <w:jc w:val="both"/>
        <w:rPr>
          <w:sz w:val="22"/>
          <w:szCs w:val="22"/>
        </w:rPr>
      </w:pPr>
      <w:r w:rsidRPr="00727C19">
        <w:rPr>
          <w:b/>
          <w:caps/>
          <w:sz w:val="22"/>
          <w:szCs w:val="22"/>
        </w:rPr>
        <w:tab/>
      </w:r>
      <w:r w:rsidR="00992D5A" w:rsidRPr="00727C19">
        <w:rPr>
          <w:sz w:val="22"/>
          <w:szCs w:val="22"/>
        </w:rPr>
        <w:t xml:space="preserve">La </w:t>
      </w:r>
      <w:r w:rsidR="00B0056D" w:rsidRPr="00727C19">
        <w:rPr>
          <w:sz w:val="22"/>
          <w:szCs w:val="22"/>
        </w:rPr>
        <w:t>funcionaria d</w:t>
      </w:r>
      <w:r w:rsidR="001958FA" w:rsidRPr="00727C19">
        <w:rPr>
          <w:sz w:val="22"/>
          <w:szCs w:val="22"/>
        </w:rPr>
        <w:t xml:space="preserve">e primer grado </w:t>
      </w:r>
      <w:r w:rsidR="00331221" w:rsidRPr="00727C19">
        <w:rPr>
          <w:sz w:val="22"/>
          <w:szCs w:val="22"/>
        </w:rPr>
        <w:t>señaló que el señor Gilnober de Jesús Henao tiene derecho a que se le reconozca el retroactivo pensional</w:t>
      </w:r>
      <w:r w:rsidR="007513BE" w:rsidRPr="00727C19">
        <w:rPr>
          <w:sz w:val="22"/>
          <w:szCs w:val="22"/>
        </w:rPr>
        <w:t xml:space="preserve"> </w:t>
      </w:r>
      <w:r w:rsidR="00331221" w:rsidRPr="00727C19">
        <w:rPr>
          <w:sz w:val="22"/>
          <w:szCs w:val="22"/>
        </w:rPr>
        <w:t xml:space="preserve">entre el 7 de noviembre de 2013 </w:t>
      </w:r>
      <w:r w:rsidR="007513BE" w:rsidRPr="00727C19">
        <w:rPr>
          <w:sz w:val="22"/>
          <w:szCs w:val="22"/>
        </w:rPr>
        <w:t>y e</w:t>
      </w:r>
      <w:r w:rsidR="00331221" w:rsidRPr="00727C19">
        <w:rPr>
          <w:sz w:val="22"/>
          <w:szCs w:val="22"/>
        </w:rPr>
        <w:t>l 30 de marzo de 2014</w:t>
      </w:r>
      <w:r w:rsidR="00684CA1" w:rsidRPr="00727C19">
        <w:rPr>
          <w:sz w:val="22"/>
          <w:szCs w:val="22"/>
        </w:rPr>
        <w:t xml:space="preserve"> y, e</w:t>
      </w:r>
      <w:r w:rsidR="007513BE" w:rsidRPr="00727C19">
        <w:rPr>
          <w:sz w:val="22"/>
          <w:szCs w:val="22"/>
        </w:rPr>
        <w:t>n consecuencia, o</w:t>
      </w:r>
      <w:r w:rsidR="00331221" w:rsidRPr="00727C19">
        <w:rPr>
          <w:sz w:val="22"/>
          <w:szCs w:val="22"/>
        </w:rPr>
        <w:t>rden</w:t>
      </w:r>
      <w:r w:rsidR="007513BE" w:rsidRPr="00727C19">
        <w:rPr>
          <w:sz w:val="22"/>
          <w:szCs w:val="22"/>
        </w:rPr>
        <w:t>ó a</w:t>
      </w:r>
      <w:r w:rsidR="00331221" w:rsidRPr="00727C19">
        <w:rPr>
          <w:sz w:val="22"/>
          <w:szCs w:val="22"/>
        </w:rPr>
        <w:t xml:space="preserve"> Colpensiones </w:t>
      </w:r>
      <w:r w:rsidR="007513BE" w:rsidRPr="00727C19">
        <w:rPr>
          <w:sz w:val="22"/>
          <w:szCs w:val="22"/>
        </w:rPr>
        <w:t>pagar</w:t>
      </w:r>
      <w:r w:rsidR="00331221" w:rsidRPr="00727C19">
        <w:rPr>
          <w:sz w:val="22"/>
          <w:szCs w:val="22"/>
        </w:rPr>
        <w:t xml:space="preserve"> por este concepto la suma de $3.480.915</w:t>
      </w:r>
      <w:r w:rsidR="007513BE" w:rsidRPr="00727C19">
        <w:rPr>
          <w:sz w:val="22"/>
          <w:szCs w:val="22"/>
        </w:rPr>
        <w:t>, así como los intereses de mora causados entre el 28 de noviembre de 2013 y el 30 de marzo de 2014</w:t>
      </w:r>
      <w:r w:rsidR="00E2512A" w:rsidRPr="00727C19">
        <w:rPr>
          <w:sz w:val="22"/>
          <w:szCs w:val="22"/>
        </w:rPr>
        <w:t>, que ascienden a $318.508.14.</w:t>
      </w:r>
    </w:p>
    <w:p w14:paraId="6EFE77E6" w14:textId="77777777" w:rsidR="00684CA1" w:rsidRPr="00727C19" w:rsidRDefault="00684CA1" w:rsidP="006173F6">
      <w:pPr>
        <w:jc w:val="both"/>
        <w:rPr>
          <w:sz w:val="22"/>
          <w:szCs w:val="22"/>
        </w:rPr>
      </w:pPr>
    </w:p>
    <w:p w14:paraId="79FABBF9" w14:textId="56B8BED7" w:rsidR="00684CA1" w:rsidRPr="00727C19" w:rsidRDefault="00331221" w:rsidP="006173F6">
      <w:pPr>
        <w:jc w:val="both"/>
        <w:rPr>
          <w:sz w:val="22"/>
          <w:szCs w:val="22"/>
        </w:rPr>
      </w:pPr>
      <w:r w:rsidRPr="00727C19">
        <w:rPr>
          <w:sz w:val="22"/>
          <w:szCs w:val="22"/>
        </w:rPr>
        <w:t xml:space="preserve">          Para llegar a tal determinación la A-quo </w:t>
      </w:r>
      <w:r w:rsidR="00684CA1" w:rsidRPr="00727C19">
        <w:rPr>
          <w:sz w:val="22"/>
          <w:szCs w:val="22"/>
        </w:rPr>
        <w:t xml:space="preserve">consideró, en síntesis, que al haberse reconocido la pensión </w:t>
      </w:r>
      <w:r w:rsidR="00EA63B5" w:rsidRPr="00727C19">
        <w:rPr>
          <w:sz w:val="22"/>
          <w:szCs w:val="22"/>
        </w:rPr>
        <w:t xml:space="preserve">de invalidez al demandante </w:t>
      </w:r>
      <w:r w:rsidR="00684CA1" w:rsidRPr="00727C19">
        <w:rPr>
          <w:sz w:val="22"/>
          <w:szCs w:val="22"/>
        </w:rPr>
        <w:t>con ocasión de una interpretaci</w:t>
      </w:r>
      <w:r w:rsidR="00EA63B5" w:rsidRPr="00727C19">
        <w:rPr>
          <w:sz w:val="22"/>
          <w:szCs w:val="22"/>
        </w:rPr>
        <w:t>ón jurisprudencial</w:t>
      </w:r>
      <w:r w:rsidR="00387A09" w:rsidRPr="00727C19">
        <w:rPr>
          <w:sz w:val="22"/>
          <w:szCs w:val="22"/>
        </w:rPr>
        <w:t xml:space="preserve">, </w:t>
      </w:r>
      <w:r w:rsidR="00EA63B5" w:rsidRPr="00727C19">
        <w:rPr>
          <w:sz w:val="22"/>
          <w:szCs w:val="22"/>
        </w:rPr>
        <w:t>é</w:t>
      </w:r>
      <w:r w:rsidR="00387A09" w:rsidRPr="00727C19">
        <w:rPr>
          <w:sz w:val="22"/>
          <w:szCs w:val="22"/>
        </w:rPr>
        <w:t xml:space="preserve">l tenía derecho al reconocimiento del retroactivo pero desde la fecha en que se ordenó el reconocimiento de </w:t>
      </w:r>
      <w:r w:rsidR="00EA63B5" w:rsidRPr="00727C19">
        <w:rPr>
          <w:sz w:val="22"/>
          <w:szCs w:val="22"/>
        </w:rPr>
        <w:t xml:space="preserve">dicha prestación a través de la acción de tutela proferida por el Juzgado Primero Laboral del Circuito de esta ciudad, el día 7 de noviembre de 2013, pues la negativa de la entidad demandada se cimentó en los presupuestos establecidos </w:t>
      </w:r>
      <w:r w:rsidR="006A3AE6" w:rsidRPr="00727C19">
        <w:rPr>
          <w:sz w:val="22"/>
          <w:szCs w:val="22"/>
        </w:rPr>
        <w:t>en la ley</w:t>
      </w:r>
      <w:r w:rsidR="00D30587" w:rsidRPr="00727C19">
        <w:rPr>
          <w:sz w:val="22"/>
          <w:szCs w:val="22"/>
        </w:rPr>
        <w:t xml:space="preserve"> y, además, él continuó efectuando cotizaciones incluso dos meses después del fallo constitucional</w:t>
      </w:r>
      <w:r w:rsidR="006A3AE6" w:rsidRPr="00727C19">
        <w:rPr>
          <w:sz w:val="22"/>
          <w:szCs w:val="22"/>
        </w:rPr>
        <w:t>.</w:t>
      </w:r>
    </w:p>
    <w:p w14:paraId="0D321380" w14:textId="77777777" w:rsidR="006A3AE6" w:rsidRPr="00727C19" w:rsidRDefault="006A3AE6" w:rsidP="006173F6">
      <w:pPr>
        <w:jc w:val="both"/>
        <w:rPr>
          <w:sz w:val="22"/>
          <w:szCs w:val="22"/>
        </w:rPr>
      </w:pPr>
    </w:p>
    <w:p w14:paraId="5522C89A" w14:textId="1F82DC03" w:rsidR="006A3AE6" w:rsidRPr="00727C19" w:rsidRDefault="006A3AE6" w:rsidP="006173F6">
      <w:pPr>
        <w:jc w:val="both"/>
        <w:rPr>
          <w:sz w:val="22"/>
          <w:szCs w:val="22"/>
        </w:rPr>
      </w:pPr>
      <w:r w:rsidRPr="00727C19">
        <w:rPr>
          <w:sz w:val="22"/>
          <w:szCs w:val="22"/>
        </w:rPr>
        <w:lastRenderedPageBreak/>
        <w:tab/>
        <w:t xml:space="preserve">Por otra parte, </w:t>
      </w:r>
      <w:r w:rsidR="00545F80" w:rsidRPr="00727C19">
        <w:rPr>
          <w:sz w:val="22"/>
          <w:szCs w:val="22"/>
        </w:rPr>
        <w:t>indicó que el demandante tenía derecho al reconocimiento de los intereses moratorios desde el 28 de noviembre de 2013 en razón a que en esa fecha se cumplieron los 15 días concedidos por la Jueza de Tutela para dar cumplimiento al fallo.</w:t>
      </w:r>
    </w:p>
    <w:p w14:paraId="5CB47712" w14:textId="77777777" w:rsidR="00684CA1" w:rsidRPr="00727C19" w:rsidRDefault="00684CA1" w:rsidP="006173F6">
      <w:pPr>
        <w:jc w:val="both"/>
        <w:rPr>
          <w:sz w:val="22"/>
          <w:szCs w:val="22"/>
        </w:rPr>
      </w:pPr>
    </w:p>
    <w:p w14:paraId="3F82E21B" w14:textId="39AFDFEC" w:rsidR="001958FA" w:rsidRPr="00727C19" w:rsidRDefault="00E2512A" w:rsidP="00B6485A">
      <w:pPr>
        <w:pStyle w:val="Prrafodelista"/>
        <w:numPr>
          <w:ilvl w:val="0"/>
          <w:numId w:val="1"/>
        </w:numPr>
        <w:ind w:left="0" w:firstLine="0"/>
        <w:jc w:val="center"/>
        <w:rPr>
          <w:b/>
          <w:sz w:val="22"/>
          <w:szCs w:val="22"/>
        </w:rPr>
      </w:pPr>
      <w:r w:rsidRPr="00727C19">
        <w:rPr>
          <w:b/>
          <w:sz w:val="22"/>
          <w:szCs w:val="22"/>
        </w:rPr>
        <w:t>Recurso de apelación y procedencia de la consulta</w:t>
      </w:r>
    </w:p>
    <w:p w14:paraId="1B28EAF8" w14:textId="77777777" w:rsidR="00B6485A" w:rsidRPr="00727C19" w:rsidRDefault="00B6485A" w:rsidP="00E2512A">
      <w:pPr>
        <w:spacing w:line="240" w:lineRule="auto"/>
        <w:jc w:val="both"/>
        <w:rPr>
          <w:sz w:val="22"/>
          <w:szCs w:val="22"/>
        </w:rPr>
      </w:pPr>
    </w:p>
    <w:p w14:paraId="5F1A9715" w14:textId="03100CFE" w:rsidR="00B26E78" w:rsidRPr="00727C19" w:rsidRDefault="005446D6" w:rsidP="0021151E">
      <w:pPr>
        <w:jc w:val="both"/>
        <w:rPr>
          <w:sz w:val="22"/>
          <w:szCs w:val="22"/>
        </w:rPr>
      </w:pPr>
      <w:r w:rsidRPr="00727C19">
        <w:rPr>
          <w:sz w:val="22"/>
          <w:szCs w:val="22"/>
        </w:rPr>
        <w:tab/>
      </w:r>
      <w:r w:rsidR="00B6485A" w:rsidRPr="00727C19">
        <w:rPr>
          <w:sz w:val="22"/>
          <w:szCs w:val="22"/>
        </w:rPr>
        <w:t>Inconforme con la decisión</w:t>
      </w:r>
      <w:r w:rsidR="00B26E78" w:rsidRPr="00727C19">
        <w:rPr>
          <w:sz w:val="22"/>
          <w:szCs w:val="22"/>
        </w:rPr>
        <w:t>, el apoderado</w:t>
      </w:r>
      <w:r w:rsidRPr="00727C19">
        <w:rPr>
          <w:sz w:val="22"/>
          <w:szCs w:val="22"/>
        </w:rPr>
        <w:t xml:space="preserve"> judicial del</w:t>
      </w:r>
      <w:r w:rsidR="00B6485A" w:rsidRPr="00727C19">
        <w:rPr>
          <w:sz w:val="22"/>
          <w:szCs w:val="22"/>
        </w:rPr>
        <w:t xml:space="preserve"> demandante </w:t>
      </w:r>
      <w:r w:rsidR="00545F80" w:rsidRPr="00727C19">
        <w:rPr>
          <w:sz w:val="22"/>
          <w:szCs w:val="22"/>
        </w:rPr>
        <w:t xml:space="preserve">interpuso </w:t>
      </w:r>
      <w:r w:rsidR="00B6485A" w:rsidRPr="00727C19">
        <w:rPr>
          <w:sz w:val="22"/>
          <w:szCs w:val="22"/>
        </w:rPr>
        <w:t>recurso de apelación</w:t>
      </w:r>
      <w:r w:rsidR="00545F80" w:rsidRPr="00727C19">
        <w:rPr>
          <w:sz w:val="22"/>
          <w:szCs w:val="22"/>
        </w:rPr>
        <w:t xml:space="preserve"> </w:t>
      </w:r>
      <w:r w:rsidR="00B26E78" w:rsidRPr="00727C19">
        <w:rPr>
          <w:sz w:val="22"/>
          <w:szCs w:val="22"/>
        </w:rPr>
        <w:t xml:space="preserve">solicitando </w:t>
      </w:r>
      <w:r w:rsidR="00545F80" w:rsidRPr="00727C19">
        <w:rPr>
          <w:sz w:val="22"/>
          <w:szCs w:val="22"/>
        </w:rPr>
        <w:t xml:space="preserve">que se </w:t>
      </w:r>
      <w:r w:rsidR="00B26E78" w:rsidRPr="00727C19">
        <w:rPr>
          <w:sz w:val="22"/>
          <w:szCs w:val="22"/>
        </w:rPr>
        <w:t>modificar</w:t>
      </w:r>
      <w:r w:rsidR="00545F80" w:rsidRPr="00727C19">
        <w:rPr>
          <w:sz w:val="22"/>
          <w:szCs w:val="22"/>
        </w:rPr>
        <w:t>a</w:t>
      </w:r>
      <w:r w:rsidR="00B26E78" w:rsidRPr="00727C19">
        <w:rPr>
          <w:sz w:val="22"/>
          <w:szCs w:val="22"/>
        </w:rPr>
        <w:t xml:space="preserve"> la condena impuesta a la entidad demandada, en el sentido de que el retroactivo pensional sea </w:t>
      </w:r>
      <w:r w:rsidR="00545F80" w:rsidRPr="00727C19">
        <w:rPr>
          <w:sz w:val="22"/>
          <w:szCs w:val="22"/>
        </w:rPr>
        <w:t xml:space="preserve">reconocido </w:t>
      </w:r>
      <w:r w:rsidR="00B26E78" w:rsidRPr="00727C19">
        <w:rPr>
          <w:sz w:val="22"/>
          <w:szCs w:val="22"/>
        </w:rPr>
        <w:t>a partir del 19 de agosto de 2011, fecha en la cual se emitió el dictamen de pérdida de capacidad laboral</w:t>
      </w:r>
      <w:r w:rsidR="00545F80" w:rsidRPr="00727C19">
        <w:rPr>
          <w:sz w:val="22"/>
          <w:szCs w:val="22"/>
        </w:rPr>
        <w:t xml:space="preserve">, </w:t>
      </w:r>
      <w:r w:rsidR="0021151E" w:rsidRPr="00727C19">
        <w:rPr>
          <w:sz w:val="22"/>
          <w:szCs w:val="22"/>
        </w:rPr>
        <w:t>y que s</w:t>
      </w:r>
      <w:r w:rsidR="00B26E78" w:rsidRPr="00727C19">
        <w:rPr>
          <w:sz w:val="22"/>
          <w:szCs w:val="22"/>
        </w:rPr>
        <w:t xml:space="preserve">i bien las cotizaciones </w:t>
      </w:r>
      <w:r w:rsidR="0021151E" w:rsidRPr="00727C19">
        <w:rPr>
          <w:sz w:val="22"/>
          <w:szCs w:val="22"/>
        </w:rPr>
        <w:t xml:space="preserve">posteriores </w:t>
      </w:r>
      <w:r w:rsidR="00B26E78" w:rsidRPr="00727C19">
        <w:rPr>
          <w:sz w:val="22"/>
          <w:szCs w:val="22"/>
        </w:rPr>
        <w:t xml:space="preserve">realizadas como trabajador independiente pueden demostrar que el actor pudo continuar con su actividad laboral, </w:t>
      </w:r>
      <w:r w:rsidR="0021151E" w:rsidRPr="00727C19">
        <w:rPr>
          <w:sz w:val="22"/>
          <w:szCs w:val="22"/>
        </w:rPr>
        <w:t xml:space="preserve">ellas fueron </w:t>
      </w:r>
      <w:r w:rsidR="00B26E78" w:rsidRPr="00727C19">
        <w:rPr>
          <w:sz w:val="22"/>
          <w:szCs w:val="22"/>
        </w:rPr>
        <w:t xml:space="preserve">efectuadas en virtud de la falta de reconocimiento de la prestación, </w:t>
      </w:r>
      <w:r w:rsidR="0021151E" w:rsidRPr="00727C19">
        <w:rPr>
          <w:sz w:val="22"/>
          <w:szCs w:val="22"/>
        </w:rPr>
        <w:t xml:space="preserve">pues </w:t>
      </w:r>
      <w:r w:rsidR="00B26E78" w:rsidRPr="00727C19">
        <w:rPr>
          <w:sz w:val="22"/>
          <w:szCs w:val="22"/>
        </w:rPr>
        <w:t>en muchos casos, ante la negativa de la solicitud de pensión, los afiliados deciden cotizar hasta que se tenga el reconocimiento de la prestación.</w:t>
      </w:r>
    </w:p>
    <w:p w14:paraId="7A3F2811" w14:textId="77777777" w:rsidR="00545F80" w:rsidRPr="00727C19" w:rsidRDefault="00545F80" w:rsidP="00EA63B5">
      <w:pPr>
        <w:jc w:val="both"/>
        <w:rPr>
          <w:sz w:val="22"/>
          <w:szCs w:val="22"/>
        </w:rPr>
      </w:pPr>
    </w:p>
    <w:p w14:paraId="1A3C868C" w14:textId="3C57BF86" w:rsidR="00545F80" w:rsidRPr="00727C19" w:rsidRDefault="0021151E" w:rsidP="00545F80">
      <w:pPr>
        <w:pStyle w:val="Sangradetextonormal"/>
        <w:spacing w:line="276" w:lineRule="auto"/>
        <w:ind w:firstLine="561"/>
        <w:rPr>
          <w:sz w:val="22"/>
          <w:szCs w:val="22"/>
        </w:rPr>
      </w:pPr>
      <w:r w:rsidRPr="00727C19">
        <w:rPr>
          <w:sz w:val="22"/>
          <w:szCs w:val="22"/>
        </w:rPr>
        <w:t>Por otra parte, c</w:t>
      </w:r>
      <w:r w:rsidR="00545F80" w:rsidRPr="00727C19">
        <w:rPr>
          <w:sz w:val="22"/>
          <w:szCs w:val="22"/>
        </w:rPr>
        <w:t>omo quiera que la sentencia fue totalmente desfavorable para Colpensiones, se dispuso el grado jurisdiccional de consulta.</w:t>
      </w:r>
    </w:p>
    <w:p w14:paraId="7E009D60" w14:textId="77777777" w:rsidR="005446D6" w:rsidRPr="00727C19" w:rsidRDefault="005446D6" w:rsidP="00D30587">
      <w:pPr>
        <w:spacing w:line="240" w:lineRule="auto"/>
        <w:rPr>
          <w:b/>
          <w:sz w:val="22"/>
          <w:szCs w:val="22"/>
        </w:rPr>
      </w:pPr>
    </w:p>
    <w:p w14:paraId="2DA58F47" w14:textId="545324D7" w:rsidR="00C42A1A" w:rsidRPr="00727C19" w:rsidRDefault="00E2512A" w:rsidP="00EA63B5">
      <w:pPr>
        <w:pStyle w:val="Prrafodelista"/>
        <w:numPr>
          <w:ilvl w:val="0"/>
          <w:numId w:val="1"/>
        </w:numPr>
        <w:ind w:left="0" w:firstLine="142"/>
        <w:jc w:val="center"/>
        <w:rPr>
          <w:b/>
          <w:sz w:val="22"/>
          <w:szCs w:val="22"/>
        </w:rPr>
      </w:pPr>
      <w:r w:rsidRPr="00727C19">
        <w:rPr>
          <w:b/>
          <w:sz w:val="22"/>
          <w:szCs w:val="22"/>
        </w:rPr>
        <w:t>Consideraciones</w:t>
      </w:r>
    </w:p>
    <w:p w14:paraId="4EB239D6" w14:textId="77777777" w:rsidR="00A31A58" w:rsidRPr="00727C19" w:rsidRDefault="00A31A58" w:rsidP="00A31A58">
      <w:pPr>
        <w:pStyle w:val="Prrafodelista"/>
        <w:ind w:left="142"/>
        <w:rPr>
          <w:b/>
          <w:sz w:val="22"/>
          <w:szCs w:val="22"/>
        </w:rPr>
      </w:pPr>
    </w:p>
    <w:p w14:paraId="01DAA286" w14:textId="77777777" w:rsidR="00A31A58" w:rsidRPr="00727C19" w:rsidRDefault="00621489" w:rsidP="00A31A58">
      <w:pPr>
        <w:pStyle w:val="Prrafodelista"/>
        <w:numPr>
          <w:ilvl w:val="1"/>
          <w:numId w:val="1"/>
        </w:numPr>
        <w:tabs>
          <w:tab w:val="left" w:pos="1276"/>
        </w:tabs>
        <w:ind w:left="0" w:firstLine="709"/>
        <w:jc w:val="both"/>
        <w:rPr>
          <w:b/>
          <w:caps/>
          <w:sz w:val="22"/>
          <w:szCs w:val="22"/>
        </w:rPr>
      </w:pPr>
      <w:r w:rsidRPr="00727C19">
        <w:rPr>
          <w:sz w:val="22"/>
          <w:szCs w:val="22"/>
        </w:rPr>
        <w:tab/>
      </w:r>
      <w:r w:rsidR="00A31A58" w:rsidRPr="00727C19">
        <w:rPr>
          <w:b/>
          <w:sz w:val="22"/>
          <w:szCs w:val="22"/>
        </w:rPr>
        <w:t>Del ámbito de protección de las personas en condición de discapacidad</w:t>
      </w:r>
    </w:p>
    <w:p w14:paraId="3B999E09" w14:textId="77777777" w:rsidR="00A31A58" w:rsidRPr="00727C19" w:rsidRDefault="00A31A58" w:rsidP="00A31A58">
      <w:pPr>
        <w:tabs>
          <w:tab w:val="left" w:pos="567"/>
        </w:tabs>
        <w:jc w:val="both"/>
        <w:rPr>
          <w:sz w:val="22"/>
          <w:szCs w:val="22"/>
        </w:rPr>
      </w:pPr>
    </w:p>
    <w:p w14:paraId="4D8892E5" w14:textId="77777777" w:rsidR="00450355" w:rsidRPr="00727C19" w:rsidRDefault="00450355" w:rsidP="00450355">
      <w:pPr>
        <w:pStyle w:val="Sinespaciado"/>
        <w:spacing w:before="0" w:beforeAutospacing="0" w:after="0" w:afterAutospacing="0" w:line="276" w:lineRule="auto"/>
        <w:ind w:firstLine="709"/>
        <w:jc w:val="both"/>
        <w:rPr>
          <w:rFonts w:ascii="Tahoma" w:hAnsi="Tahoma" w:cs="Tahoma"/>
          <w:color w:val="000000"/>
          <w:sz w:val="22"/>
          <w:szCs w:val="22"/>
          <w:lang w:val="es-CO"/>
        </w:rPr>
      </w:pPr>
      <w:r w:rsidRPr="00727C19">
        <w:rPr>
          <w:rFonts w:ascii="Tahoma" w:hAnsi="Tahoma" w:cs="Tahoma"/>
          <w:color w:val="000000"/>
          <w:sz w:val="22"/>
          <w:szCs w:val="22"/>
          <w:lang w:val="es-CO"/>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727C19">
        <w:rPr>
          <w:rFonts w:ascii="Tahoma" w:hAnsi="Tahoma" w:cs="Tahoma"/>
          <w:i/>
          <w:color w:val="000000"/>
          <w:sz w:val="22"/>
          <w:szCs w:val="22"/>
          <w:lang w:val="es-CO"/>
        </w:rPr>
        <w:t>(i)</w:t>
      </w:r>
      <w:r w:rsidRPr="00727C19">
        <w:rPr>
          <w:rFonts w:ascii="Tahoma" w:hAnsi="Tahoma" w:cs="Tahoma"/>
          <w:color w:val="000000"/>
          <w:sz w:val="22"/>
          <w:szCs w:val="22"/>
          <w:lang w:val="es-CO"/>
        </w:rPr>
        <w:t xml:space="preserve"> ser una persona con invalidez, es decir, sufrir una pérdida de la capacidad laboral igual o superior al cincuenta por ciento (50%) y </w:t>
      </w:r>
      <w:r w:rsidRPr="00727C19">
        <w:rPr>
          <w:rFonts w:ascii="Tahoma" w:hAnsi="Tahoma" w:cs="Tahoma"/>
          <w:i/>
          <w:color w:val="000000"/>
          <w:sz w:val="22"/>
          <w:szCs w:val="22"/>
          <w:lang w:val="es-CO"/>
        </w:rPr>
        <w:t>(ii)</w:t>
      </w:r>
      <w:r w:rsidRPr="00727C19">
        <w:rPr>
          <w:rFonts w:ascii="Tahoma" w:hAnsi="Tahoma" w:cs="Tahoma"/>
          <w:color w:val="000000"/>
          <w:sz w:val="22"/>
          <w:szCs w:val="22"/>
          <w:lang w:val="es-CO"/>
        </w:rPr>
        <w:t xml:space="preserve"> haber</w:t>
      </w:r>
      <w:r w:rsidRPr="00727C19">
        <w:rPr>
          <w:rStyle w:val="apple-converted-space"/>
          <w:rFonts w:ascii="Tahoma" w:hAnsi="Tahoma" w:cs="Tahoma"/>
          <w:color w:val="000000"/>
          <w:sz w:val="22"/>
          <w:szCs w:val="22"/>
          <w:lang w:val="es-CO"/>
        </w:rPr>
        <w:t> </w:t>
      </w:r>
      <w:r w:rsidRPr="00727C19">
        <w:rPr>
          <w:rFonts w:ascii="Tahoma" w:hAnsi="Tahoma" w:cs="Tahoma"/>
          <w:color w:val="000000"/>
          <w:sz w:val="22"/>
          <w:szCs w:val="22"/>
          <w:lang w:val="es-CO"/>
        </w:rPr>
        <w:t>cotizado cincuenta (50) semanas en los tres (3) años anteriores a la fecha de estructuración</w:t>
      </w:r>
      <w:r w:rsidRPr="00727C19">
        <w:rPr>
          <w:rStyle w:val="apple-converted-space"/>
          <w:rFonts w:ascii="Tahoma" w:hAnsi="Tahoma" w:cs="Tahoma"/>
          <w:color w:val="000000"/>
          <w:sz w:val="22"/>
          <w:szCs w:val="22"/>
          <w:lang w:val="es-CO"/>
        </w:rPr>
        <w:t> </w:t>
      </w:r>
      <w:r w:rsidRPr="00727C19">
        <w:rPr>
          <w:rFonts w:ascii="Tahoma" w:hAnsi="Tahoma" w:cs="Tahoma"/>
          <w:color w:val="000000"/>
          <w:sz w:val="22"/>
          <w:szCs w:val="22"/>
          <w:lang w:val="es-CO"/>
        </w:rPr>
        <w:t>de la invalidez. Antes de la modificación introducida por la ley 860 de 2003, el requisito minino de tiempo cotizado era de veintiséis (26) semanas en el año inmediatamente anterior a la fecha de estructuración de la invalidez.   </w:t>
      </w:r>
    </w:p>
    <w:p w14:paraId="0B784AD7" w14:textId="77777777" w:rsidR="00450355" w:rsidRPr="00727C19" w:rsidRDefault="00450355" w:rsidP="00450355">
      <w:pPr>
        <w:pStyle w:val="Sinespaciado"/>
        <w:spacing w:before="0" w:beforeAutospacing="0" w:after="0" w:afterAutospacing="0" w:line="276" w:lineRule="auto"/>
        <w:ind w:firstLine="709"/>
        <w:jc w:val="both"/>
        <w:rPr>
          <w:rFonts w:ascii="Tahoma" w:hAnsi="Tahoma" w:cs="Tahoma"/>
          <w:color w:val="000000"/>
          <w:sz w:val="22"/>
          <w:szCs w:val="22"/>
          <w:lang w:val="es-CO"/>
        </w:rPr>
      </w:pPr>
    </w:p>
    <w:p w14:paraId="20DBBFF2" w14:textId="77777777" w:rsidR="00450355" w:rsidRPr="00727C19"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shd w:val="clear" w:color="auto" w:fill="FFFFFF"/>
        </w:rPr>
      </w:pPr>
      <w:r w:rsidRPr="00727C19">
        <w:rPr>
          <w:rFonts w:ascii="Tahoma" w:hAnsi="Tahoma" w:cs="Tahoma"/>
          <w:color w:val="000000"/>
          <w:sz w:val="22"/>
          <w:szCs w:val="22"/>
        </w:rPr>
        <w:t>El artículo 3° del Decreto 917 de 1999, señala que el momento de estructuración de la invalidez de una persona es</w:t>
      </w:r>
      <w:r w:rsidRPr="00727C19">
        <w:rPr>
          <w:rFonts w:ascii="Arial Narrow" w:hAnsi="Arial Narrow" w:cs="Tahoma"/>
          <w:color w:val="000000"/>
          <w:sz w:val="22"/>
          <w:szCs w:val="22"/>
        </w:rPr>
        <w:t xml:space="preserve"> “</w:t>
      </w:r>
      <w:r w:rsidRPr="00727C19">
        <w:rPr>
          <w:rFonts w:ascii="Arial Narrow" w:hAnsi="Arial Narrow" w:cs="Tahoma"/>
          <w:i/>
          <w:iCs/>
          <w:color w:val="000000"/>
          <w:sz w:val="22"/>
          <w:szCs w:val="22"/>
        </w:rPr>
        <w:t xml:space="preserve">la fecha en que se genera en el individuo una pérdida en su capacidad laboral en forma permanente y definitiva. Para cualquier contingencia, esta fecha debe documentarse con la historia clínica, los exámenes clínicos y de ayuda diagnostica, y </w:t>
      </w:r>
      <w:r w:rsidRPr="00727C19">
        <w:rPr>
          <w:rFonts w:ascii="Arial Narrow" w:hAnsi="Arial Narrow" w:cs="Tahoma"/>
          <w:i/>
          <w:iCs/>
          <w:color w:val="000000"/>
          <w:sz w:val="22"/>
          <w:szCs w:val="22"/>
          <w:u w:val="single"/>
        </w:rPr>
        <w:t>puede ser anterior o corresponder a la fecha de calificación</w:t>
      </w:r>
      <w:r w:rsidRPr="00727C19">
        <w:rPr>
          <w:rFonts w:ascii="Arial Narrow" w:hAnsi="Arial Narrow" w:cs="Tahoma"/>
          <w:i/>
          <w:iCs/>
          <w:color w:val="000000"/>
          <w:sz w:val="22"/>
          <w:szCs w:val="22"/>
        </w:rPr>
        <w:t>”</w:t>
      </w:r>
      <w:r w:rsidRPr="00727C19">
        <w:rPr>
          <w:rFonts w:ascii="Arial Narrow" w:hAnsi="Arial Narrow" w:cs="Tahoma"/>
          <w:color w:val="000000"/>
          <w:sz w:val="22"/>
          <w:szCs w:val="22"/>
        </w:rPr>
        <w:t>.</w:t>
      </w:r>
    </w:p>
    <w:p w14:paraId="295F7657" w14:textId="77777777" w:rsidR="00450355" w:rsidRPr="00727C19"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shd w:val="clear" w:color="auto" w:fill="FFFFFF"/>
        </w:rPr>
      </w:pPr>
    </w:p>
    <w:p w14:paraId="4E4BAFC3" w14:textId="77777777" w:rsidR="00450355" w:rsidRPr="00727C19"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shd w:val="clear" w:color="auto" w:fill="FFFFFF"/>
        </w:rPr>
      </w:pPr>
      <w:r w:rsidRPr="00727C19">
        <w:rPr>
          <w:rFonts w:ascii="Tahoma" w:hAnsi="Tahoma" w:cs="Tahoma"/>
          <w:color w:val="000000"/>
          <w:sz w:val="22"/>
          <w:szCs w:val="22"/>
        </w:rPr>
        <w:t>Las entidades encargadas de calificar la pérdida de capacidad laboral, por regla general han aplicado la norma anterior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w:t>
      </w:r>
      <w:r w:rsidRPr="00727C19">
        <w:rPr>
          <w:rFonts w:ascii="Tahoma" w:hAnsi="Tahoma" w:cs="Tahoma"/>
          <w:color w:val="000000"/>
          <w:sz w:val="22"/>
          <w:szCs w:val="22"/>
          <w:shd w:val="clear" w:color="auto" w:fill="FFFFFF"/>
        </w:rPr>
        <w:t xml:space="preserve"> </w:t>
      </w:r>
    </w:p>
    <w:p w14:paraId="48A2A29B" w14:textId="77777777" w:rsidR="00450355" w:rsidRPr="00727C19"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shd w:val="clear" w:color="auto" w:fill="FFFFFF"/>
        </w:rPr>
      </w:pPr>
    </w:p>
    <w:p w14:paraId="4D3F2A1D" w14:textId="492A1936" w:rsidR="00BA38F8"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rPr>
      </w:pPr>
      <w:r w:rsidRPr="00727C19">
        <w:rPr>
          <w:rFonts w:ascii="Tahoma" w:hAnsi="Tahoma" w:cs="Tahoma"/>
          <w:color w:val="000000"/>
          <w:sz w:val="22"/>
          <w:szCs w:val="22"/>
        </w:rPr>
        <w:t>No obstante, la realidad ha mostrado en varios eventos que la falta de capacidad laboral no siempre coincide con el hecho invalidante y eso ha obligado a los jueces y juezas laborales a considerar, con cierta reticencia, como punto de partida, la fecha de la calificación de la falta de capacidad laboral</w:t>
      </w:r>
      <w:r w:rsidR="00BA38F8">
        <w:rPr>
          <w:rFonts w:ascii="Tahoma" w:hAnsi="Tahoma" w:cs="Tahoma"/>
          <w:color w:val="000000"/>
          <w:sz w:val="22"/>
          <w:szCs w:val="22"/>
        </w:rPr>
        <w:t>, tal como lo prevé el Decreto 917 de 1999.</w:t>
      </w:r>
    </w:p>
    <w:p w14:paraId="02434424" w14:textId="77777777" w:rsidR="00BA38F8" w:rsidRDefault="00BA38F8" w:rsidP="00450355">
      <w:pPr>
        <w:pStyle w:val="Sinespaciado"/>
        <w:spacing w:before="0" w:beforeAutospacing="0" w:after="0" w:afterAutospacing="0" w:line="276" w:lineRule="auto"/>
        <w:ind w:firstLine="708"/>
        <w:jc w:val="both"/>
        <w:rPr>
          <w:rFonts w:ascii="Tahoma" w:hAnsi="Tahoma" w:cs="Tahoma"/>
          <w:color w:val="000000"/>
          <w:sz w:val="22"/>
          <w:szCs w:val="22"/>
        </w:rPr>
      </w:pPr>
    </w:p>
    <w:p w14:paraId="67A8662C" w14:textId="18716759" w:rsidR="00450355" w:rsidRPr="00727C19" w:rsidRDefault="00BA38F8" w:rsidP="00BA38F8">
      <w:pPr>
        <w:pStyle w:val="xmsonormal"/>
        <w:spacing w:before="0" w:beforeAutospacing="0" w:after="0" w:afterAutospacing="0" w:line="276" w:lineRule="auto"/>
        <w:ind w:firstLine="708"/>
        <w:jc w:val="both"/>
        <w:textAlignment w:val="baseline"/>
        <w:rPr>
          <w:rFonts w:ascii="Tahoma" w:hAnsi="Tahoma" w:cs="Tahoma"/>
          <w:color w:val="212121"/>
          <w:sz w:val="22"/>
          <w:szCs w:val="22"/>
          <w:bdr w:val="none" w:sz="0" w:space="0" w:color="auto" w:frame="1"/>
          <w:lang w:val="es-CO"/>
        </w:rPr>
      </w:pPr>
      <w:r w:rsidRPr="00727C19">
        <w:rPr>
          <w:rFonts w:ascii="Tahoma" w:hAnsi="Tahoma" w:cs="Tahoma"/>
          <w:color w:val="212121"/>
          <w:sz w:val="22"/>
          <w:szCs w:val="22"/>
          <w:bdr w:val="none" w:sz="0" w:space="0" w:color="auto" w:frame="1"/>
          <w:lang w:val="es-CO"/>
        </w:rPr>
        <w:t xml:space="preserve">La </w:t>
      </w:r>
      <w:r w:rsidR="00450355" w:rsidRPr="00727C19">
        <w:rPr>
          <w:rFonts w:ascii="Tahoma" w:hAnsi="Tahoma" w:cs="Tahoma"/>
          <w:color w:val="212121"/>
          <w:sz w:val="22"/>
          <w:szCs w:val="22"/>
          <w:bdr w:val="none" w:sz="0" w:space="0" w:color="auto" w:frame="1"/>
          <w:lang w:val="es-CO"/>
        </w:rPr>
        <w:t>Corte Constitucional abrió la puerta a la posibilidad que en aquellos eventos en que juzgador encuentre reunidos los elementos de juicio que le permitan establecer que una persona reúne los requisitos tanto formales como materiales para acceder a la pensión</w:t>
      </w:r>
      <w:r>
        <w:rPr>
          <w:rFonts w:ascii="Tahoma" w:hAnsi="Tahoma" w:cs="Tahoma"/>
          <w:color w:val="212121"/>
          <w:sz w:val="22"/>
          <w:szCs w:val="22"/>
          <w:bdr w:val="none" w:sz="0" w:space="0" w:color="auto" w:frame="1"/>
          <w:lang w:val="es-CO"/>
        </w:rPr>
        <w:t>,</w:t>
      </w:r>
      <w:r w:rsidR="00450355" w:rsidRPr="00727C19">
        <w:rPr>
          <w:rFonts w:ascii="Tahoma" w:hAnsi="Tahoma" w:cs="Tahoma"/>
          <w:color w:val="212121"/>
          <w:sz w:val="22"/>
          <w:szCs w:val="22"/>
          <w:bdr w:val="none" w:sz="0" w:space="0" w:color="auto" w:frame="1"/>
          <w:lang w:val="es-CO"/>
        </w:rPr>
        <w:t xml:space="preserve"> se aparte de la fecha de estructuración establecida en el dictamen de calificación de invalidez, siempre que encuentre que </w:t>
      </w:r>
      <w:r w:rsidR="00450355" w:rsidRPr="00727C19">
        <w:rPr>
          <w:rFonts w:ascii="Tahoma" w:hAnsi="Tahoma" w:cs="Tahoma"/>
          <w:color w:val="212121"/>
          <w:sz w:val="22"/>
          <w:szCs w:val="22"/>
          <w:bdr w:val="none" w:sz="0" w:space="0" w:color="auto" w:frame="1"/>
          <w:lang w:val="es-CO"/>
        </w:rPr>
        <w:lastRenderedPageBreak/>
        <w:t>existen inconsistencias que no permiten establecer con certeza la pérdida de capacidad laboral de forma permanente y definitiva del afiliado, pues no corresponde a la situación médica y laboral de la persona. En tal caso, como lo señaló la Corte en sentencia T-043 de 2014, la fecha de estructuración real o material que se pudiere determinar por el juez, puede no coincidir con la fecha ficta de estructuración inicialmente fijada por el dictamen que se desvirtúa, siendo incluso posterior a éste último, pero en todo caso anterior al momento de estructuración real de la pérdida de capacidad laboral.</w:t>
      </w:r>
    </w:p>
    <w:p w14:paraId="42649434" w14:textId="77777777" w:rsidR="00450355" w:rsidRPr="00727C19" w:rsidRDefault="00450355" w:rsidP="00450355">
      <w:pPr>
        <w:pStyle w:val="xmsonormal"/>
        <w:spacing w:before="0" w:beforeAutospacing="0" w:after="0" w:afterAutospacing="0" w:line="276" w:lineRule="auto"/>
        <w:jc w:val="both"/>
        <w:textAlignment w:val="baseline"/>
        <w:rPr>
          <w:rFonts w:ascii="Tahoma" w:hAnsi="Tahoma" w:cs="Tahoma"/>
          <w:color w:val="212121"/>
          <w:sz w:val="22"/>
          <w:szCs w:val="22"/>
        </w:rPr>
      </w:pPr>
      <w:r w:rsidRPr="00727C19">
        <w:rPr>
          <w:rFonts w:ascii="Tahoma" w:hAnsi="Tahoma" w:cs="Tahoma"/>
          <w:color w:val="212121"/>
          <w:sz w:val="22"/>
          <w:szCs w:val="22"/>
          <w:bdr w:val="none" w:sz="0" w:space="0" w:color="auto" w:frame="1"/>
          <w:lang w:val="es-CO"/>
        </w:rPr>
        <w:t> </w:t>
      </w:r>
    </w:p>
    <w:p w14:paraId="65FEC9DF" w14:textId="414FD751" w:rsidR="00450355" w:rsidRPr="00727C19" w:rsidRDefault="00450355" w:rsidP="000A40D2">
      <w:pPr>
        <w:pStyle w:val="xmsonormal"/>
        <w:spacing w:before="0" w:beforeAutospacing="0" w:after="0" w:afterAutospacing="0" w:line="276" w:lineRule="auto"/>
        <w:jc w:val="both"/>
        <w:textAlignment w:val="baseline"/>
        <w:rPr>
          <w:rFonts w:ascii="Tahoma" w:hAnsi="Tahoma" w:cs="Tahoma"/>
          <w:i/>
          <w:iCs/>
          <w:color w:val="000000"/>
          <w:sz w:val="22"/>
          <w:szCs w:val="22"/>
          <w:u w:val="single"/>
          <w:shd w:val="clear" w:color="auto" w:fill="FFFFFF"/>
        </w:rPr>
      </w:pPr>
      <w:r w:rsidRPr="00727C19">
        <w:rPr>
          <w:rFonts w:ascii="Tahoma" w:hAnsi="Tahoma" w:cs="Tahoma"/>
          <w:color w:val="212121"/>
          <w:sz w:val="22"/>
          <w:szCs w:val="22"/>
          <w:bdr w:val="none" w:sz="0" w:space="0" w:color="auto" w:frame="1"/>
          <w:lang w:val="es-CO"/>
        </w:rPr>
        <w:tab/>
      </w:r>
      <w:r w:rsidR="00BA38F8">
        <w:rPr>
          <w:rFonts w:ascii="Tahoma" w:hAnsi="Tahoma" w:cs="Tahoma"/>
          <w:iCs/>
          <w:color w:val="000000"/>
          <w:sz w:val="22"/>
          <w:szCs w:val="22"/>
        </w:rPr>
        <w:t xml:space="preserve">En la sentencia </w:t>
      </w:r>
      <w:r w:rsidRPr="00727C19">
        <w:rPr>
          <w:rFonts w:ascii="Tahoma" w:hAnsi="Tahoma" w:cs="Tahoma"/>
          <w:color w:val="000000"/>
          <w:sz w:val="22"/>
          <w:szCs w:val="22"/>
        </w:rPr>
        <w:t>T-427</w:t>
      </w:r>
      <w:r w:rsidR="00BA38F8">
        <w:rPr>
          <w:rFonts w:ascii="Tahoma" w:hAnsi="Tahoma" w:cs="Tahoma"/>
          <w:color w:val="000000"/>
          <w:sz w:val="22"/>
          <w:szCs w:val="22"/>
        </w:rPr>
        <w:t xml:space="preserve"> de 2012 </w:t>
      </w:r>
      <w:r w:rsidRPr="00727C19">
        <w:rPr>
          <w:rFonts w:ascii="Tahoma" w:hAnsi="Tahoma" w:cs="Tahoma"/>
          <w:color w:val="000000"/>
          <w:sz w:val="22"/>
          <w:szCs w:val="22"/>
        </w:rPr>
        <w:t>se tomó la fecha del dictamen de pérdida de capacidad laboral, para fijar el día en que se estructuró la invalidez, y</w:t>
      </w:r>
      <w:r w:rsidRPr="00727C19">
        <w:rPr>
          <w:rStyle w:val="apple-converted-space"/>
          <w:rFonts w:ascii="Tahoma" w:eastAsiaTheme="majorEastAsia" w:hAnsi="Tahoma" w:cs="Tahoma"/>
          <w:color w:val="000000"/>
          <w:sz w:val="22"/>
          <w:szCs w:val="22"/>
        </w:rPr>
        <w:t> </w:t>
      </w:r>
      <w:r w:rsidRPr="00727C19">
        <w:rPr>
          <w:rFonts w:ascii="Tahoma" w:hAnsi="Tahoma" w:cs="Tahoma"/>
          <w:color w:val="000000"/>
          <w:sz w:val="22"/>
          <w:szCs w:val="22"/>
        </w:rPr>
        <w:t xml:space="preserve">se consideró que la estructuración tenía lugar al momento en que la discapacidad se convirtió en invalidez, pues se infirió que fueron las barreras sociales las que impidieron que el actor siguiera trabajando. En ella se hizo referencia a la </w:t>
      </w:r>
      <w:r w:rsidRPr="00727C19">
        <w:rPr>
          <w:rStyle w:val="nfasis"/>
          <w:rFonts w:ascii="Tahoma" w:hAnsi="Tahoma" w:cs="Tahoma"/>
          <w:bCs/>
          <w:color w:val="0D0D0D" w:themeColor="text1" w:themeTint="F2"/>
          <w:sz w:val="22"/>
          <w:szCs w:val="22"/>
        </w:rPr>
        <w:t>ratio decidendi</w:t>
      </w:r>
      <w:r w:rsidRPr="00727C19">
        <w:rPr>
          <w:rFonts w:ascii="Tahoma" w:hAnsi="Tahoma" w:cs="Tahoma"/>
          <w:color w:val="0D0D0D" w:themeColor="text1" w:themeTint="F2"/>
          <w:sz w:val="22"/>
          <w:szCs w:val="22"/>
        </w:rPr>
        <w:t xml:space="preserve"> </w:t>
      </w:r>
      <w:r w:rsidRPr="00727C19">
        <w:rPr>
          <w:rFonts w:ascii="Tahoma" w:hAnsi="Tahoma" w:cs="Tahoma"/>
          <w:iCs/>
          <w:color w:val="000000"/>
          <w:sz w:val="22"/>
          <w:szCs w:val="22"/>
        </w:rPr>
        <w:t xml:space="preserve">que bien se resume en la sentencia T-070 de 2014, cuando se dijo que </w:t>
      </w:r>
      <w:r w:rsidRPr="00727C19">
        <w:rPr>
          <w:rFonts w:ascii="Arial Narrow" w:hAnsi="Arial Narrow" w:cs="Tahoma"/>
          <w:i/>
          <w:iCs/>
          <w:color w:val="000000"/>
          <w:sz w:val="22"/>
          <w:szCs w:val="22"/>
        </w:rPr>
        <w:t xml:space="preserve">“la fecha de la pérdida de capacidad laboral no siempre coincide con la fecha en que sucede el hecho que a la postre se torna incapacitante, o con el primer diagnóstico de la enfermedad; no es razonable concluir que la fecha de estructuración de la invalidez sea la fecha en que se diagnosticó por primera vez la enfermedad, si la persona continúa trabajando durante un tiempo; </w:t>
      </w:r>
      <w:r w:rsidRPr="00727C19">
        <w:rPr>
          <w:rFonts w:ascii="Arial Narrow" w:hAnsi="Arial Narrow" w:cs="Tahoma"/>
          <w:i/>
          <w:iCs/>
          <w:color w:val="000000"/>
          <w:sz w:val="22"/>
          <w:szCs w:val="22"/>
          <w:u w:val="single"/>
        </w:rPr>
        <w:t>dependiendo del caso concreto la fecha de estructuración puede ser fijada (a) cuando se efectúa el dictamen por la Junta Regional de Calificación de Invalidez; o (b) cuando la persona deja de trabajar”</w:t>
      </w:r>
    </w:p>
    <w:p w14:paraId="7A936353" w14:textId="77777777" w:rsidR="00450355" w:rsidRPr="00727C19" w:rsidRDefault="00450355" w:rsidP="00450355">
      <w:pPr>
        <w:pStyle w:val="Sinespaciado"/>
        <w:spacing w:before="0" w:beforeAutospacing="0" w:after="0" w:afterAutospacing="0" w:line="276" w:lineRule="auto"/>
        <w:ind w:firstLine="708"/>
        <w:jc w:val="both"/>
        <w:rPr>
          <w:rFonts w:ascii="Tahoma" w:hAnsi="Tahoma" w:cs="Tahoma"/>
          <w:i/>
          <w:iCs/>
          <w:color w:val="000000"/>
          <w:sz w:val="22"/>
          <w:szCs w:val="22"/>
          <w:shd w:val="clear" w:color="auto" w:fill="FFFFFF"/>
        </w:rPr>
      </w:pPr>
    </w:p>
    <w:p w14:paraId="44CE418A" w14:textId="5CBE616F" w:rsidR="00450355" w:rsidRPr="00727C19" w:rsidRDefault="00450355" w:rsidP="00450355">
      <w:pPr>
        <w:pStyle w:val="Sinespaciado"/>
        <w:spacing w:before="0" w:beforeAutospacing="0" w:after="0" w:afterAutospacing="0" w:line="276" w:lineRule="auto"/>
        <w:ind w:firstLine="708"/>
        <w:jc w:val="both"/>
        <w:rPr>
          <w:rFonts w:ascii="Tahoma" w:hAnsi="Tahoma" w:cs="Tahoma"/>
          <w:color w:val="000000"/>
          <w:sz w:val="22"/>
          <w:szCs w:val="22"/>
          <w:lang w:val="es-CO"/>
        </w:rPr>
      </w:pPr>
      <w:r w:rsidRPr="00727C19">
        <w:rPr>
          <w:rFonts w:ascii="Tahoma" w:hAnsi="Tahoma" w:cs="Tahoma"/>
          <w:color w:val="000000"/>
          <w:sz w:val="22"/>
          <w:szCs w:val="22"/>
          <w:lang w:val="es-CO"/>
        </w:rPr>
        <w:t>La Corte Constitucional en los precedentes anteriores acudió a lo que en los estándares internacionales se denomina “ajustes razonables”</w:t>
      </w:r>
      <w:r w:rsidR="00786516">
        <w:rPr>
          <w:rFonts w:ascii="Tahoma" w:hAnsi="Tahoma" w:cs="Tahoma"/>
          <w:color w:val="000000"/>
          <w:sz w:val="22"/>
          <w:szCs w:val="22"/>
          <w:lang w:val="es-CO"/>
        </w:rPr>
        <w:t>,</w:t>
      </w:r>
      <w:r w:rsidRPr="00727C19">
        <w:rPr>
          <w:rFonts w:ascii="Tahoma" w:hAnsi="Tahoma" w:cs="Tahoma"/>
          <w:color w:val="000000"/>
          <w:sz w:val="22"/>
          <w:szCs w:val="22"/>
          <w:lang w:val="es-CO"/>
        </w:rPr>
        <w:t xml:space="preserve"> entendida, de conformidad con el artículo 2º de la Convención sobre Derechos de las Personas con Discapacidad, como aquellas modificaciones y adaptaciones necesarias y adecuadas que no impongan una carga desproporcionada o indebida, cuando se requieran en un caso particular, para garantizar a las personas con discapacidad el goce o ejercicio, en igualdad de condiciones con los demás, de todos los derechos humanos y libertades fundamentales. A su vez, en esa misma convención se estipuló que de no aplicarse esa acción afirmativa, el Estado incurriría en una conducta discriminatoria denominada como “denegación de ajustes razonables”. </w:t>
      </w:r>
    </w:p>
    <w:p w14:paraId="7870C5F3" w14:textId="20CDD584" w:rsidR="004302A1" w:rsidRPr="00727C19" w:rsidRDefault="004302A1" w:rsidP="00D30587">
      <w:pPr>
        <w:spacing w:line="240" w:lineRule="auto"/>
        <w:jc w:val="both"/>
        <w:rPr>
          <w:sz w:val="22"/>
          <w:szCs w:val="22"/>
        </w:rPr>
      </w:pPr>
    </w:p>
    <w:p w14:paraId="4FE09F14" w14:textId="689A4E63" w:rsidR="00D060E7" w:rsidRPr="00727C19" w:rsidRDefault="00755345" w:rsidP="00D30587">
      <w:pPr>
        <w:pStyle w:val="Sinespaciado"/>
        <w:numPr>
          <w:ilvl w:val="1"/>
          <w:numId w:val="8"/>
        </w:numPr>
        <w:spacing w:before="0" w:beforeAutospacing="0" w:after="0" w:afterAutospacing="0" w:line="276" w:lineRule="auto"/>
        <w:ind w:hanging="11"/>
        <w:rPr>
          <w:rFonts w:ascii="Tahoma" w:hAnsi="Tahoma" w:cs="Tahoma"/>
          <w:b/>
          <w:sz w:val="22"/>
          <w:szCs w:val="22"/>
          <w:lang w:val="es-CO"/>
        </w:rPr>
      </w:pPr>
      <w:r w:rsidRPr="00727C19">
        <w:rPr>
          <w:rFonts w:ascii="Tahoma" w:hAnsi="Tahoma" w:cs="Tahoma"/>
          <w:b/>
          <w:sz w:val="22"/>
          <w:szCs w:val="22"/>
          <w:lang w:val="es-CO"/>
        </w:rPr>
        <w:t>Caso concreto</w:t>
      </w:r>
    </w:p>
    <w:p w14:paraId="7743A7F1" w14:textId="77777777" w:rsidR="00D060E7" w:rsidRPr="00727C19" w:rsidRDefault="00D060E7" w:rsidP="00387A09">
      <w:pPr>
        <w:pStyle w:val="Sinespaciado"/>
        <w:spacing w:before="0" w:beforeAutospacing="0" w:after="0" w:afterAutospacing="0" w:line="276" w:lineRule="auto"/>
        <w:jc w:val="both"/>
        <w:rPr>
          <w:rFonts w:ascii="Tahoma" w:hAnsi="Tahoma" w:cs="Tahoma"/>
          <w:b/>
          <w:sz w:val="22"/>
          <w:szCs w:val="22"/>
          <w:lang w:val="es-CO"/>
        </w:rPr>
      </w:pPr>
    </w:p>
    <w:p w14:paraId="69A72496" w14:textId="4F92A6A9" w:rsidR="00272F4D" w:rsidRPr="00727C19" w:rsidRDefault="00D30587" w:rsidP="00D30587">
      <w:pPr>
        <w:widowControl w:val="0"/>
        <w:autoSpaceDE w:val="0"/>
        <w:autoSpaceDN w:val="0"/>
        <w:adjustRightInd w:val="0"/>
        <w:ind w:firstLine="708"/>
        <w:jc w:val="both"/>
        <w:rPr>
          <w:sz w:val="22"/>
          <w:szCs w:val="22"/>
        </w:rPr>
      </w:pPr>
      <w:r w:rsidRPr="00727C19">
        <w:rPr>
          <w:sz w:val="22"/>
          <w:szCs w:val="22"/>
        </w:rPr>
        <w:t xml:space="preserve">No existe discusión alguna en el presente asunto respecto a los siguientes supuestos fácticos: </w:t>
      </w:r>
      <w:r w:rsidRPr="00727C19">
        <w:rPr>
          <w:i/>
          <w:sz w:val="22"/>
          <w:szCs w:val="22"/>
        </w:rPr>
        <w:t>i)</w:t>
      </w:r>
      <w:r w:rsidRPr="00727C19">
        <w:rPr>
          <w:sz w:val="22"/>
          <w:szCs w:val="22"/>
        </w:rPr>
        <w:t xml:space="preserve"> que el señor Gilnober de Jesús Henao fue calificado por </w:t>
      </w:r>
      <w:r w:rsidR="00EE2D63" w:rsidRPr="00727C19">
        <w:rPr>
          <w:sz w:val="22"/>
          <w:szCs w:val="22"/>
        </w:rPr>
        <w:t>el I.S.S. el 19 de agosto de 2011</w:t>
      </w:r>
      <w:r w:rsidRPr="00727C19">
        <w:rPr>
          <w:sz w:val="22"/>
          <w:szCs w:val="22"/>
        </w:rPr>
        <w:t xml:space="preserve">, con una pérdida de capacidad laboral del </w:t>
      </w:r>
      <w:r w:rsidR="00EE2D63" w:rsidRPr="00727C19">
        <w:rPr>
          <w:sz w:val="22"/>
          <w:szCs w:val="22"/>
        </w:rPr>
        <w:t>66</w:t>
      </w:r>
      <w:r w:rsidRPr="00727C19">
        <w:rPr>
          <w:sz w:val="22"/>
          <w:szCs w:val="22"/>
        </w:rPr>
        <w:t>,</w:t>
      </w:r>
      <w:r w:rsidR="00EE2D63" w:rsidRPr="00727C19">
        <w:rPr>
          <w:sz w:val="22"/>
          <w:szCs w:val="22"/>
        </w:rPr>
        <w:t>80</w:t>
      </w:r>
      <w:r w:rsidRPr="00727C19">
        <w:rPr>
          <w:sz w:val="22"/>
          <w:szCs w:val="22"/>
        </w:rPr>
        <w:t>% de origen común</w:t>
      </w:r>
      <w:r w:rsidR="00EE2D63" w:rsidRPr="00727C19">
        <w:rPr>
          <w:sz w:val="22"/>
          <w:szCs w:val="22"/>
        </w:rPr>
        <w:t xml:space="preserve">, </w:t>
      </w:r>
      <w:r w:rsidRPr="00727C19">
        <w:rPr>
          <w:sz w:val="22"/>
          <w:szCs w:val="22"/>
        </w:rPr>
        <w:t xml:space="preserve">estructurada el 30 de </w:t>
      </w:r>
      <w:r w:rsidR="00EE2D63" w:rsidRPr="00727C19">
        <w:rPr>
          <w:sz w:val="22"/>
          <w:szCs w:val="22"/>
        </w:rPr>
        <w:t>junio de 2010</w:t>
      </w:r>
      <w:r w:rsidRPr="00727C19">
        <w:rPr>
          <w:sz w:val="22"/>
          <w:szCs w:val="22"/>
        </w:rPr>
        <w:t xml:space="preserve"> (fl. 15 y </w:t>
      </w:r>
      <w:r w:rsidR="00EE2D63" w:rsidRPr="00727C19">
        <w:rPr>
          <w:sz w:val="22"/>
          <w:szCs w:val="22"/>
        </w:rPr>
        <w:t>vto</w:t>
      </w:r>
      <w:r w:rsidRPr="00727C19">
        <w:rPr>
          <w:sz w:val="22"/>
          <w:szCs w:val="22"/>
        </w:rPr>
        <w:t>.)</w:t>
      </w:r>
      <w:r w:rsidR="00272F4D" w:rsidRPr="00727C19">
        <w:rPr>
          <w:sz w:val="22"/>
          <w:szCs w:val="22"/>
        </w:rPr>
        <w:t xml:space="preserve">; ii) que mediante la Resolución GNR 119376 del 31 de mayo de 2013 Colpensiones negó el reconocimiento de la pensión de invalidez </w:t>
      </w:r>
      <w:r w:rsidR="0003016D" w:rsidRPr="00727C19">
        <w:rPr>
          <w:sz w:val="22"/>
          <w:szCs w:val="22"/>
        </w:rPr>
        <w:t>con el argumento de que el actor no contaba con 50 semanas cotizadas en los 3 años anteriores a la aludida estructuración</w:t>
      </w:r>
      <w:r w:rsidR="00413549" w:rsidRPr="00727C19">
        <w:rPr>
          <w:sz w:val="22"/>
          <w:szCs w:val="22"/>
        </w:rPr>
        <w:t xml:space="preserve"> (fl. 11 y s.s.)</w:t>
      </w:r>
      <w:r w:rsidR="0003016D" w:rsidRPr="00727C19">
        <w:rPr>
          <w:sz w:val="22"/>
          <w:szCs w:val="22"/>
        </w:rPr>
        <w:t>; iii)</w:t>
      </w:r>
      <w:r w:rsidR="00413549" w:rsidRPr="00727C19">
        <w:rPr>
          <w:sz w:val="22"/>
          <w:szCs w:val="22"/>
        </w:rPr>
        <w:t xml:space="preserve"> que el Juzgado Primero Laboral del Circuito de Pereira a través de la sentencia de tutela del 7 de noviembre de 2013, </w:t>
      </w:r>
      <w:r w:rsidR="008D77ED" w:rsidRPr="00727C19">
        <w:rPr>
          <w:sz w:val="22"/>
          <w:szCs w:val="22"/>
        </w:rPr>
        <w:t xml:space="preserve">tuvo como fecha de estructuración aquella en que se calificó al demandante -19 de agosto de 2011-, y </w:t>
      </w:r>
      <w:r w:rsidR="00413549" w:rsidRPr="00727C19">
        <w:rPr>
          <w:sz w:val="22"/>
          <w:szCs w:val="22"/>
        </w:rPr>
        <w:t xml:space="preserve">ordenó a Colpensiones que dentro del término de 15 días procediera a cancelar </w:t>
      </w:r>
      <w:r w:rsidR="008D77ED" w:rsidRPr="00727C19">
        <w:rPr>
          <w:sz w:val="22"/>
          <w:szCs w:val="22"/>
        </w:rPr>
        <w:t>la pensión de invalidez, en el monto que le corresponda y con las mesadas atrasadas</w:t>
      </w:r>
      <w:r w:rsidR="00F85C8A" w:rsidRPr="00727C19">
        <w:rPr>
          <w:sz w:val="22"/>
          <w:szCs w:val="22"/>
        </w:rPr>
        <w:t xml:space="preserve"> a que tenga derecho; iv) </w:t>
      </w:r>
      <w:r w:rsidR="007B78AD" w:rsidRPr="00727C19">
        <w:rPr>
          <w:sz w:val="22"/>
          <w:szCs w:val="22"/>
        </w:rPr>
        <w:t>que mediante Resolución GNR 111.946 del 28 de marzo de 2014 Colpensiones reconoció la pensión de invalidez a partir del 1º de abril de 2014</w:t>
      </w:r>
      <w:r w:rsidR="00B12B70" w:rsidRPr="00727C19">
        <w:rPr>
          <w:sz w:val="22"/>
          <w:szCs w:val="22"/>
        </w:rPr>
        <w:t>, en cuantía del salario mínimo, sin retroactivo alguno</w:t>
      </w:r>
      <w:r w:rsidR="008D77ED" w:rsidRPr="00727C19">
        <w:rPr>
          <w:sz w:val="22"/>
          <w:szCs w:val="22"/>
        </w:rPr>
        <w:t xml:space="preserve">. </w:t>
      </w:r>
    </w:p>
    <w:p w14:paraId="6DA33A9D" w14:textId="77777777" w:rsidR="00272F4D" w:rsidRPr="00727C19" w:rsidRDefault="00272F4D" w:rsidP="00D30587">
      <w:pPr>
        <w:widowControl w:val="0"/>
        <w:autoSpaceDE w:val="0"/>
        <w:autoSpaceDN w:val="0"/>
        <w:adjustRightInd w:val="0"/>
        <w:ind w:firstLine="708"/>
        <w:jc w:val="both"/>
        <w:rPr>
          <w:sz w:val="22"/>
          <w:szCs w:val="22"/>
        </w:rPr>
      </w:pPr>
    </w:p>
    <w:p w14:paraId="66271D81" w14:textId="184EC5A2" w:rsidR="004E2C64" w:rsidRPr="00727C19" w:rsidRDefault="00580600" w:rsidP="000A40D2">
      <w:pPr>
        <w:pStyle w:val="Textoindependiente"/>
        <w:spacing w:after="0" w:line="276" w:lineRule="auto"/>
        <w:ind w:right="51" w:firstLine="708"/>
        <w:jc w:val="both"/>
        <w:rPr>
          <w:rFonts w:ascii="Tahoma" w:hAnsi="Tahoma" w:cs="Tahoma"/>
          <w:sz w:val="22"/>
          <w:szCs w:val="22"/>
        </w:rPr>
      </w:pPr>
      <w:r w:rsidRPr="00727C19">
        <w:rPr>
          <w:rFonts w:ascii="Tahoma" w:hAnsi="Tahoma" w:cs="Tahoma"/>
          <w:bCs/>
          <w:sz w:val="22"/>
          <w:szCs w:val="22"/>
        </w:rPr>
        <w:t>De esta manera, con el fin de resolver el problema jurídico planteado se dirá que no se avalan los argumentos expuestos por la Jueza de instancia para reconocer la pensión de invalidez desde el momento en que se profirió la sentencia de tutela por parte del Juzgado Primero Laboral del Circuito, pues</w:t>
      </w:r>
      <w:r w:rsidR="000A40D2">
        <w:rPr>
          <w:rFonts w:ascii="Tahoma" w:hAnsi="Tahoma" w:cs="Tahoma"/>
          <w:bCs/>
          <w:sz w:val="22"/>
          <w:szCs w:val="22"/>
        </w:rPr>
        <w:t xml:space="preserve"> tal situación ya se había definido en ese fallo de tutela, en el que se concedió </w:t>
      </w:r>
      <w:r w:rsidR="004E2C64">
        <w:rPr>
          <w:rFonts w:ascii="Tahoma" w:hAnsi="Tahoma" w:cs="Tahoma"/>
          <w:sz w:val="22"/>
          <w:szCs w:val="22"/>
        </w:rPr>
        <w:t xml:space="preserve">la prestación desde el momento de la calificación </w:t>
      </w:r>
      <w:r w:rsidR="000A40D2">
        <w:rPr>
          <w:rFonts w:ascii="Tahoma" w:hAnsi="Tahoma" w:cs="Tahoma"/>
          <w:sz w:val="22"/>
          <w:szCs w:val="22"/>
        </w:rPr>
        <w:t>atendiendo los precedentes de la Corte Constitucional. Como dicha sentencia no fue at</w:t>
      </w:r>
      <w:r w:rsidR="004E2C64" w:rsidRPr="00727C19">
        <w:rPr>
          <w:rFonts w:ascii="Tahoma" w:hAnsi="Tahoma" w:cs="Tahoma"/>
          <w:sz w:val="22"/>
          <w:szCs w:val="22"/>
        </w:rPr>
        <w:t>acad</w:t>
      </w:r>
      <w:r w:rsidR="004E2C64">
        <w:rPr>
          <w:rFonts w:ascii="Tahoma" w:hAnsi="Tahoma" w:cs="Tahoma"/>
          <w:sz w:val="22"/>
          <w:szCs w:val="22"/>
        </w:rPr>
        <w:t>a</w:t>
      </w:r>
      <w:r w:rsidR="004E2C64" w:rsidRPr="00727C19">
        <w:rPr>
          <w:rFonts w:ascii="Tahoma" w:hAnsi="Tahoma" w:cs="Tahoma"/>
          <w:sz w:val="22"/>
          <w:szCs w:val="22"/>
        </w:rPr>
        <w:t xml:space="preserve"> por la entidad demandada, bien dentro del mismo trámite constitucional, ora solicitando una nueva calificación por parte del ente competente, su contenido hizo tránsito a cosa juzgada constitucional</w:t>
      </w:r>
      <w:r w:rsidR="000A40D2">
        <w:rPr>
          <w:rFonts w:ascii="Tahoma" w:hAnsi="Tahoma" w:cs="Tahoma"/>
          <w:sz w:val="22"/>
          <w:szCs w:val="22"/>
        </w:rPr>
        <w:t xml:space="preserve"> y en ese orden </w:t>
      </w:r>
      <w:r w:rsidR="004E2C64">
        <w:rPr>
          <w:rFonts w:ascii="Tahoma" w:hAnsi="Tahoma" w:cs="Tahoma"/>
          <w:sz w:val="22"/>
          <w:szCs w:val="22"/>
        </w:rPr>
        <w:t xml:space="preserve">el retroactivo debe concederse </w:t>
      </w:r>
      <w:r w:rsidR="004E2C64" w:rsidRPr="00727C19">
        <w:rPr>
          <w:rFonts w:ascii="Tahoma" w:hAnsi="Tahoma" w:cs="Tahoma"/>
          <w:sz w:val="22"/>
          <w:szCs w:val="22"/>
        </w:rPr>
        <w:t>desde el momento de la calificación, esto es, desde el 19 de agosto de 2011</w:t>
      </w:r>
      <w:r w:rsidR="004E2C64">
        <w:rPr>
          <w:rFonts w:ascii="Tahoma" w:hAnsi="Tahoma" w:cs="Tahoma"/>
          <w:sz w:val="22"/>
          <w:szCs w:val="22"/>
        </w:rPr>
        <w:t>, como quiera que en</w:t>
      </w:r>
      <w:r w:rsidR="000A40D2">
        <w:rPr>
          <w:rFonts w:ascii="Tahoma" w:hAnsi="Tahoma" w:cs="Tahoma"/>
          <w:sz w:val="22"/>
          <w:szCs w:val="22"/>
        </w:rPr>
        <w:t xml:space="preserve"> esa providencia </w:t>
      </w:r>
      <w:r w:rsidR="004E2C64" w:rsidRPr="00727C19">
        <w:rPr>
          <w:rFonts w:ascii="Tahoma" w:hAnsi="Tahoma" w:cs="Tahoma"/>
          <w:sz w:val="22"/>
          <w:szCs w:val="22"/>
        </w:rPr>
        <w:t>se orden</w:t>
      </w:r>
      <w:r w:rsidR="004E2C64">
        <w:rPr>
          <w:rFonts w:ascii="Tahoma" w:hAnsi="Tahoma" w:cs="Tahoma"/>
          <w:sz w:val="22"/>
          <w:szCs w:val="22"/>
        </w:rPr>
        <w:t>ó</w:t>
      </w:r>
      <w:r w:rsidR="004E2C64" w:rsidRPr="00727C19">
        <w:rPr>
          <w:rFonts w:ascii="Tahoma" w:hAnsi="Tahoma" w:cs="Tahoma"/>
          <w:sz w:val="22"/>
          <w:szCs w:val="22"/>
        </w:rPr>
        <w:t xml:space="preserve"> cancelar “las mesadas atrasadas a que tenga derecho” el accionante</w:t>
      </w:r>
      <w:r w:rsidR="004E2C64">
        <w:rPr>
          <w:rFonts w:ascii="Tahoma" w:hAnsi="Tahoma" w:cs="Tahoma"/>
          <w:sz w:val="22"/>
          <w:szCs w:val="22"/>
        </w:rPr>
        <w:t>.</w:t>
      </w:r>
      <w:r w:rsidR="004E2C64" w:rsidRPr="00727C19">
        <w:rPr>
          <w:rFonts w:ascii="Tahoma" w:hAnsi="Tahoma" w:cs="Tahoma"/>
          <w:sz w:val="22"/>
          <w:szCs w:val="22"/>
        </w:rPr>
        <w:t xml:space="preserve"> </w:t>
      </w:r>
    </w:p>
    <w:p w14:paraId="7217B7B5" w14:textId="77777777" w:rsidR="00F14A52" w:rsidRPr="00727C19" w:rsidRDefault="00F14A52" w:rsidP="00D30587">
      <w:pPr>
        <w:pStyle w:val="Textoindependiente"/>
        <w:spacing w:after="0" w:line="276" w:lineRule="auto"/>
        <w:ind w:right="51" w:firstLine="708"/>
        <w:jc w:val="both"/>
        <w:rPr>
          <w:rFonts w:ascii="Tahoma" w:hAnsi="Tahoma" w:cs="Tahoma"/>
          <w:sz w:val="22"/>
          <w:szCs w:val="22"/>
        </w:rPr>
      </w:pPr>
    </w:p>
    <w:p w14:paraId="3FE33D73" w14:textId="77777777" w:rsidR="001A149C" w:rsidRPr="00727C19" w:rsidRDefault="00F14A52" w:rsidP="00D30587">
      <w:pPr>
        <w:pStyle w:val="Textoindependiente"/>
        <w:spacing w:after="0" w:line="276" w:lineRule="auto"/>
        <w:ind w:right="51" w:firstLine="708"/>
        <w:jc w:val="both"/>
        <w:rPr>
          <w:rFonts w:ascii="Tahoma" w:hAnsi="Tahoma" w:cs="Tahoma"/>
          <w:sz w:val="22"/>
          <w:szCs w:val="22"/>
        </w:rPr>
      </w:pPr>
      <w:r w:rsidRPr="00727C19">
        <w:rPr>
          <w:rFonts w:ascii="Tahoma" w:hAnsi="Tahoma" w:cs="Tahoma"/>
          <w:sz w:val="22"/>
          <w:szCs w:val="22"/>
        </w:rPr>
        <w:t xml:space="preserve">Ahora bien, </w:t>
      </w:r>
      <w:r w:rsidR="0050321E" w:rsidRPr="00727C19">
        <w:rPr>
          <w:rFonts w:ascii="Tahoma" w:hAnsi="Tahoma" w:cs="Tahoma"/>
          <w:sz w:val="22"/>
          <w:szCs w:val="22"/>
        </w:rPr>
        <w:t>no puede pasar por alto la Sala que en la historia laboral aparecen cotizaciones con posterioridad a la fecha de calificación, sin embargo, frente a las mismas la Sala colige que obedecen, como primera medida a una negativa obstinada del ente de seguridad social de reconocer la prestación, pues nótese que entre la fecha de la sentencia de tutela que ordenó el reconocimiento y la última cotizaciones existen escas</w:t>
      </w:r>
      <w:r w:rsidR="001A149C" w:rsidRPr="00727C19">
        <w:rPr>
          <w:rFonts w:ascii="Tahoma" w:hAnsi="Tahoma" w:cs="Tahoma"/>
          <w:sz w:val="22"/>
          <w:szCs w:val="22"/>
        </w:rPr>
        <w:t>os 2 meses; y en segundo lugar, por cuanto, era inevitable que una persona con un 66,80% de incapacidad laborar se desafiliara del sistema de seguridad social en salud que quizá era el único medio con el que contaba para palear o mitigar los efectos de las enfermedades que lo aquejan, lo que de contera llevaba a que se mantuviera afiliado al sistema de pensiones hasta la fecha, se itera, en el que le fue reconocido a través de la acción constitucional</w:t>
      </w:r>
    </w:p>
    <w:p w14:paraId="5B4B1497" w14:textId="77777777" w:rsidR="001A149C" w:rsidRPr="00727C19" w:rsidRDefault="001A149C" w:rsidP="00D30587">
      <w:pPr>
        <w:pStyle w:val="Textoindependiente"/>
        <w:spacing w:after="0" w:line="276" w:lineRule="auto"/>
        <w:ind w:right="51" w:firstLine="708"/>
        <w:jc w:val="both"/>
        <w:rPr>
          <w:rFonts w:ascii="Tahoma" w:hAnsi="Tahoma" w:cs="Tahoma"/>
          <w:sz w:val="22"/>
          <w:szCs w:val="22"/>
        </w:rPr>
      </w:pPr>
    </w:p>
    <w:p w14:paraId="11E82986" w14:textId="7560F5D2" w:rsidR="006D000B" w:rsidRPr="00727C19" w:rsidRDefault="001A149C" w:rsidP="006D000B">
      <w:pPr>
        <w:ind w:firstLine="708"/>
        <w:jc w:val="both"/>
        <w:rPr>
          <w:rFonts w:eastAsia="Times New Roman"/>
          <w:sz w:val="22"/>
          <w:szCs w:val="22"/>
          <w:lang w:eastAsia="es-ES"/>
        </w:rPr>
      </w:pPr>
      <w:r w:rsidRPr="00727C19">
        <w:rPr>
          <w:sz w:val="22"/>
          <w:szCs w:val="22"/>
        </w:rPr>
        <w:t xml:space="preserve">Así las cosas, se ordenará el reconocimiento retroactivo de la prestación a partir del 19 de agosto de 2011 y hasta el </w:t>
      </w:r>
      <w:r w:rsidR="00D302E9" w:rsidRPr="00727C19">
        <w:rPr>
          <w:sz w:val="22"/>
          <w:szCs w:val="22"/>
        </w:rPr>
        <w:t xml:space="preserve">31 de </w:t>
      </w:r>
      <w:r w:rsidR="00D302E9" w:rsidRPr="00727C19">
        <w:rPr>
          <w:rFonts w:eastAsia="Times New Roman"/>
          <w:sz w:val="22"/>
          <w:szCs w:val="22"/>
          <w:lang w:eastAsia="es-ES"/>
        </w:rPr>
        <w:t xml:space="preserve">marzo de 2014, por 13 mesadas mensuales </w:t>
      </w:r>
      <w:r w:rsidR="00A32858" w:rsidRPr="00727C19">
        <w:rPr>
          <w:rFonts w:eastAsia="Times New Roman"/>
          <w:i/>
          <w:sz w:val="22"/>
          <w:szCs w:val="22"/>
          <w:lang w:eastAsia="es-ES"/>
        </w:rPr>
        <w:t>–por haberse causado la pensión con posterioridad al 31 de julio de 2011-</w:t>
      </w:r>
      <w:r w:rsidR="00A32858" w:rsidRPr="00727C19">
        <w:rPr>
          <w:rFonts w:eastAsia="Times New Roman"/>
          <w:sz w:val="22"/>
          <w:szCs w:val="22"/>
          <w:lang w:eastAsia="es-ES"/>
        </w:rPr>
        <w:t xml:space="preserve"> </w:t>
      </w:r>
      <w:r w:rsidR="00D302E9" w:rsidRPr="00727C19">
        <w:rPr>
          <w:rFonts w:eastAsia="Times New Roman"/>
          <w:sz w:val="22"/>
          <w:szCs w:val="22"/>
          <w:lang w:eastAsia="es-ES"/>
        </w:rPr>
        <w:t xml:space="preserve">y en cuantía del salario mínimo legal, lo cual arroja una suma de </w:t>
      </w:r>
      <w:r w:rsidR="006D000B" w:rsidRPr="00727C19">
        <w:rPr>
          <w:rFonts w:eastAsia="Times New Roman"/>
          <w:sz w:val="22"/>
          <w:szCs w:val="22"/>
          <w:lang w:eastAsia="es-ES"/>
        </w:rPr>
        <w:t>$</w:t>
      </w:r>
      <w:r w:rsidR="00D302E9" w:rsidRPr="00727C19">
        <w:rPr>
          <w:rFonts w:eastAsia="Times New Roman"/>
          <w:sz w:val="22"/>
          <w:szCs w:val="22"/>
          <w:lang w:eastAsia="es-ES"/>
        </w:rPr>
        <w:t>20.927.040</w:t>
      </w:r>
      <w:r w:rsidR="006D000B" w:rsidRPr="00727C19">
        <w:rPr>
          <w:rFonts w:eastAsia="Times New Roman"/>
          <w:sz w:val="22"/>
          <w:szCs w:val="22"/>
          <w:lang w:eastAsia="es-ES"/>
        </w:rPr>
        <w:t xml:space="preserve">, tal como se observa </w:t>
      </w:r>
      <w:r w:rsidR="00DB52A8" w:rsidRPr="00727C19">
        <w:rPr>
          <w:rFonts w:eastAsia="Times New Roman"/>
          <w:sz w:val="22"/>
          <w:szCs w:val="22"/>
          <w:lang w:eastAsia="es-ES"/>
        </w:rPr>
        <w:t>en la liquidación que se pone de presente a los asistentes y que hará parte del acta que se levante con ocasión de la presente diligencia</w:t>
      </w:r>
      <w:r w:rsidR="006D000B" w:rsidRPr="00727C19">
        <w:rPr>
          <w:rFonts w:eastAsia="Times New Roman"/>
          <w:sz w:val="22"/>
          <w:szCs w:val="22"/>
          <w:lang w:eastAsia="es-ES"/>
        </w:rPr>
        <w:t>.</w:t>
      </w:r>
    </w:p>
    <w:p w14:paraId="0615A153" w14:textId="77777777" w:rsidR="00DB52A8" w:rsidRPr="00727C19" w:rsidRDefault="00DB52A8" w:rsidP="006D000B">
      <w:pPr>
        <w:ind w:firstLine="708"/>
        <w:jc w:val="both"/>
        <w:rPr>
          <w:rFonts w:eastAsia="Times New Roman"/>
          <w:sz w:val="22"/>
          <w:szCs w:val="22"/>
          <w:lang w:eastAsia="es-ES"/>
        </w:rPr>
      </w:pPr>
    </w:p>
    <w:p w14:paraId="06DAA13B" w14:textId="11FA8935" w:rsidR="00DB52A8" w:rsidRPr="00727C19" w:rsidRDefault="00DB52A8" w:rsidP="006D000B">
      <w:pPr>
        <w:ind w:firstLine="708"/>
        <w:jc w:val="both"/>
        <w:rPr>
          <w:rFonts w:eastAsia="Times New Roman"/>
          <w:sz w:val="22"/>
          <w:szCs w:val="22"/>
          <w:lang w:eastAsia="es-ES"/>
        </w:rPr>
      </w:pPr>
      <w:r w:rsidRPr="00727C19">
        <w:rPr>
          <w:rFonts w:eastAsia="Times New Roman"/>
          <w:sz w:val="22"/>
          <w:szCs w:val="22"/>
          <w:lang w:eastAsia="es-ES"/>
        </w:rPr>
        <w:t>Finalmente, se ordenará el reconocimiento de los intereses moratorios a partir de la ejecutoria de la presente decisión por concederse la prestación con fundamento en una interpretación constitucional favorable.</w:t>
      </w:r>
    </w:p>
    <w:p w14:paraId="1558FD4F" w14:textId="77777777" w:rsidR="00DB52A8" w:rsidRPr="00727C19" w:rsidRDefault="00DB52A8" w:rsidP="006D000B">
      <w:pPr>
        <w:ind w:firstLine="708"/>
        <w:jc w:val="both"/>
        <w:rPr>
          <w:rFonts w:eastAsia="Times New Roman"/>
          <w:sz w:val="22"/>
          <w:szCs w:val="22"/>
          <w:lang w:eastAsia="es-ES"/>
        </w:rPr>
      </w:pPr>
    </w:p>
    <w:p w14:paraId="4641B122" w14:textId="1EECAB19" w:rsidR="008427F7" w:rsidRPr="00727C19" w:rsidRDefault="00DB52A8" w:rsidP="00A32858">
      <w:pPr>
        <w:ind w:firstLine="708"/>
        <w:jc w:val="both"/>
        <w:rPr>
          <w:sz w:val="22"/>
          <w:szCs w:val="22"/>
        </w:rPr>
      </w:pPr>
      <w:r w:rsidRPr="00727C19">
        <w:rPr>
          <w:rFonts w:eastAsia="Times New Roman"/>
          <w:sz w:val="22"/>
          <w:szCs w:val="22"/>
          <w:lang w:eastAsia="es-ES"/>
        </w:rPr>
        <w:t>Como consecuencia de lo anter</w:t>
      </w:r>
      <w:r w:rsidR="00A32858" w:rsidRPr="00727C19">
        <w:rPr>
          <w:rFonts w:eastAsia="Times New Roman"/>
          <w:sz w:val="22"/>
          <w:szCs w:val="22"/>
          <w:lang w:eastAsia="es-ES"/>
        </w:rPr>
        <w:t>i</w:t>
      </w:r>
      <w:r w:rsidRPr="00727C19">
        <w:rPr>
          <w:rFonts w:eastAsia="Times New Roman"/>
          <w:sz w:val="22"/>
          <w:szCs w:val="22"/>
          <w:lang w:eastAsia="es-ES"/>
        </w:rPr>
        <w:t>or</w:t>
      </w:r>
      <w:r w:rsidR="00A32858" w:rsidRPr="00727C19">
        <w:rPr>
          <w:rFonts w:eastAsia="Times New Roman"/>
          <w:sz w:val="22"/>
          <w:szCs w:val="22"/>
          <w:lang w:eastAsia="es-ES"/>
        </w:rPr>
        <w:t xml:space="preserve">, se modificarán los ordinales segundo a cuarto de la sentencia de primer grado. </w:t>
      </w:r>
      <w:r w:rsidR="00BA3B72" w:rsidRPr="00727C19">
        <w:rPr>
          <w:sz w:val="22"/>
          <w:szCs w:val="22"/>
        </w:rPr>
        <w:t xml:space="preserve">Las costas en </w:t>
      </w:r>
      <w:r w:rsidR="00A32858" w:rsidRPr="00727C19">
        <w:rPr>
          <w:sz w:val="22"/>
          <w:szCs w:val="22"/>
        </w:rPr>
        <w:t>ambas instancias correrán a cargo de Colpensiones y a favor del demandante en un 90%</w:t>
      </w:r>
      <w:r w:rsidR="00BA3B72" w:rsidRPr="00727C19">
        <w:rPr>
          <w:sz w:val="22"/>
          <w:szCs w:val="22"/>
        </w:rPr>
        <w:t xml:space="preserve"> y se liquidarán por la secretaría del juzgado de origen.</w:t>
      </w:r>
    </w:p>
    <w:p w14:paraId="0456591E" w14:textId="77777777" w:rsidR="00A32858" w:rsidRPr="00727C19" w:rsidRDefault="00A32858" w:rsidP="007313E1">
      <w:pPr>
        <w:jc w:val="both"/>
        <w:rPr>
          <w:sz w:val="22"/>
          <w:szCs w:val="22"/>
        </w:rPr>
      </w:pPr>
    </w:p>
    <w:p w14:paraId="6E3296B4" w14:textId="77777777" w:rsidR="00F4601E" w:rsidRPr="00727C19" w:rsidRDefault="000569DA" w:rsidP="00F4601E">
      <w:pPr>
        <w:pStyle w:val="Sangradetextonormal"/>
        <w:spacing w:line="276" w:lineRule="auto"/>
        <w:rPr>
          <w:sz w:val="22"/>
          <w:szCs w:val="22"/>
        </w:rPr>
      </w:pPr>
      <w:r w:rsidRPr="00727C19">
        <w:rPr>
          <w:sz w:val="22"/>
          <w:szCs w:val="22"/>
        </w:rPr>
        <w:t xml:space="preserve">En mérito de  lo expuesto, la </w:t>
      </w:r>
      <w:r w:rsidRPr="00727C19">
        <w:rPr>
          <w:b/>
          <w:sz w:val="22"/>
          <w:szCs w:val="22"/>
        </w:rPr>
        <w:t>Sala No. 1 de Decisión Laboral del Tribunal Superior de Pereira</w:t>
      </w:r>
      <w:r w:rsidR="00F4601E" w:rsidRPr="00727C19">
        <w:rPr>
          <w:sz w:val="22"/>
          <w:szCs w:val="22"/>
        </w:rPr>
        <w:t>, administrando justicia en nombre de la República  y por autoridad de la Ley,</w:t>
      </w:r>
    </w:p>
    <w:p w14:paraId="25CC5773" w14:textId="77777777" w:rsidR="00F4601E" w:rsidRPr="00727C19" w:rsidRDefault="00F4601E" w:rsidP="00F4601E">
      <w:pPr>
        <w:widowControl w:val="0"/>
        <w:autoSpaceDE w:val="0"/>
        <w:autoSpaceDN w:val="0"/>
        <w:adjustRightInd w:val="0"/>
        <w:jc w:val="center"/>
        <w:rPr>
          <w:b/>
          <w:sz w:val="22"/>
          <w:szCs w:val="22"/>
        </w:rPr>
      </w:pPr>
    </w:p>
    <w:p w14:paraId="2B43AB86" w14:textId="77777777" w:rsidR="00F4601E" w:rsidRPr="00727C19" w:rsidRDefault="00F4601E" w:rsidP="00F4601E">
      <w:pPr>
        <w:widowControl w:val="0"/>
        <w:autoSpaceDE w:val="0"/>
        <w:autoSpaceDN w:val="0"/>
        <w:adjustRightInd w:val="0"/>
        <w:jc w:val="center"/>
        <w:rPr>
          <w:b/>
          <w:sz w:val="22"/>
          <w:szCs w:val="22"/>
        </w:rPr>
      </w:pPr>
      <w:r w:rsidRPr="00727C19">
        <w:rPr>
          <w:b/>
          <w:sz w:val="22"/>
          <w:szCs w:val="22"/>
        </w:rPr>
        <w:t>R E S U E L V E:</w:t>
      </w:r>
    </w:p>
    <w:p w14:paraId="5E17F7DD" w14:textId="77777777" w:rsidR="00F4601E" w:rsidRPr="00727C19" w:rsidRDefault="00F4601E" w:rsidP="00F4601E">
      <w:pPr>
        <w:widowControl w:val="0"/>
        <w:autoSpaceDE w:val="0"/>
        <w:autoSpaceDN w:val="0"/>
        <w:adjustRightInd w:val="0"/>
        <w:jc w:val="both"/>
        <w:rPr>
          <w:sz w:val="22"/>
          <w:szCs w:val="22"/>
        </w:rPr>
      </w:pPr>
    </w:p>
    <w:p w14:paraId="27FA152E" w14:textId="2B0345AE" w:rsidR="00BA3B72" w:rsidRPr="00727C19" w:rsidRDefault="00F4601E" w:rsidP="00BA3B72">
      <w:pPr>
        <w:widowControl w:val="0"/>
        <w:autoSpaceDE w:val="0"/>
        <w:autoSpaceDN w:val="0"/>
        <w:adjustRightInd w:val="0"/>
        <w:ind w:firstLine="708"/>
        <w:jc w:val="both"/>
        <w:rPr>
          <w:sz w:val="22"/>
          <w:szCs w:val="22"/>
        </w:rPr>
      </w:pPr>
      <w:r w:rsidRPr="00727C19">
        <w:rPr>
          <w:b/>
          <w:sz w:val="22"/>
          <w:szCs w:val="22"/>
          <w:u w:val="single"/>
        </w:rPr>
        <w:t>Primero</w:t>
      </w:r>
      <w:r w:rsidRPr="00727C19">
        <w:rPr>
          <w:sz w:val="22"/>
          <w:szCs w:val="22"/>
        </w:rPr>
        <w:t xml:space="preserve">.- </w:t>
      </w:r>
      <w:r w:rsidR="00A32858" w:rsidRPr="00727C19">
        <w:rPr>
          <w:b/>
          <w:sz w:val="22"/>
          <w:szCs w:val="22"/>
        </w:rPr>
        <w:t>Modificar</w:t>
      </w:r>
      <w:r w:rsidR="00A32858" w:rsidRPr="00727C19">
        <w:rPr>
          <w:sz w:val="22"/>
          <w:szCs w:val="22"/>
        </w:rPr>
        <w:t xml:space="preserve"> los ordinales segundo a cuarto de </w:t>
      </w:r>
      <w:r w:rsidR="00BA3B72" w:rsidRPr="00727C19">
        <w:rPr>
          <w:sz w:val="22"/>
          <w:szCs w:val="22"/>
        </w:rPr>
        <w:t>la sentencia proferida el 18 de marzo de 2015 por el Juzgado Tercero Laboral del Circuito de Pereira, dentro del proceso ordinario laboral promovido por</w:t>
      </w:r>
      <w:r w:rsidR="00BA3B72" w:rsidRPr="00727C19">
        <w:rPr>
          <w:b/>
          <w:sz w:val="22"/>
          <w:szCs w:val="22"/>
        </w:rPr>
        <w:t xml:space="preserve"> Gilnober de Jesús Henao </w:t>
      </w:r>
      <w:r w:rsidR="00BA3B72" w:rsidRPr="00727C19">
        <w:rPr>
          <w:sz w:val="22"/>
          <w:szCs w:val="22"/>
          <w:lang w:val="es-ES_tradnl"/>
        </w:rPr>
        <w:t>en</w:t>
      </w:r>
      <w:r w:rsidR="00BA3B72" w:rsidRPr="00727C19">
        <w:rPr>
          <w:b/>
          <w:sz w:val="22"/>
          <w:szCs w:val="22"/>
        </w:rPr>
        <w:t xml:space="preserve"> </w:t>
      </w:r>
      <w:r w:rsidR="00BA3B72" w:rsidRPr="00727C19">
        <w:rPr>
          <w:sz w:val="22"/>
          <w:szCs w:val="22"/>
        </w:rPr>
        <w:t xml:space="preserve">contra de </w:t>
      </w:r>
      <w:r w:rsidR="00BA3B72" w:rsidRPr="00727C19">
        <w:rPr>
          <w:b/>
          <w:sz w:val="22"/>
          <w:szCs w:val="22"/>
        </w:rPr>
        <w:t>Colpensiones</w:t>
      </w:r>
      <w:r w:rsidR="00A32858" w:rsidRPr="00727C19">
        <w:rPr>
          <w:sz w:val="22"/>
          <w:szCs w:val="22"/>
        </w:rPr>
        <w:t>, en el sentido de que el demandante tiene derecho al reconocimiento de retroactivo pensional causado entre el 19 de agosto de 2011 y el 31 de marzo de 2014, el cual asciende</w:t>
      </w:r>
      <w:r w:rsidR="00495971" w:rsidRPr="00727C19">
        <w:rPr>
          <w:sz w:val="22"/>
          <w:szCs w:val="22"/>
        </w:rPr>
        <w:t xml:space="preserve"> a </w:t>
      </w:r>
      <w:r w:rsidR="00495971" w:rsidRPr="00727C19">
        <w:rPr>
          <w:rFonts w:eastAsia="Times New Roman"/>
          <w:sz w:val="22"/>
          <w:szCs w:val="22"/>
          <w:lang w:eastAsia="es-ES"/>
        </w:rPr>
        <w:t>$20.927.040, y al reconocimiento de los intereses moratorios a partir de la ejecutoria de la presente sentencia y hasta el pago efectivo de la obligación</w:t>
      </w:r>
      <w:r w:rsidR="00BA3B72" w:rsidRPr="00727C19">
        <w:rPr>
          <w:sz w:val="22"/>
          <w:szCs w:val="22"/>
        </w:rPr>
        <w:t>.</w:t>
      </w:r>
    </w:p>
    <w:p w14:paraId="2A6FD0E6" w14:textId="77777777" w:rsidR="00F4601E" w:rsidRPr="00727C19" w:rsidRDefault="00F4601E" w:rsidP="00F4601E">
      <w:pPr>
        <w:ind w:firstLine="709"/>
        <w:jc w:val="both"/>
        <w:rPr>
          <w:sz w:val="22"/>
          <w:szCs w:val="22"/>
        </w:rPr>
      </w:pPr>
    </w:p>
    <w:p w14:paraId="1EADDC9A" w14:textId="197EDA5B" w:rsidR="00F4601E" w:rsidRPr="00727C19" w:rsidRDefault="00F4601E" w:rsidP="00F4601E">
      <w:pPr>
        <w:ind w:firstLine="709"/>
        <w:jc w:val="both"/>
        <w:rPr>
          <w:sz w:val="22"/>
          <w:szCs w:val="22"/>
        </w:rPr>
      </w:pPr>
      <w:r w:rsidRPr="00727C19">
        <w:rPr>
          <w:b/>
          <w:sz w:val="22"/>
          <w:szCs w:val="22"/>
          <w:u w:val="single"/>
        </w:rPr>
        <w:t>Segundo</w:t>
      </w:r>
      <w:r w:rsidRPr="00727C19">
        <w:rPr>
          <w:sz w:val="22"/>
          <w:szCs w:val="22"/>
        </w:rPr>
        <w:t xml:space="preserve">.- </w:t>
      </w:r>
      <w:r w:rsidR="00BA3B72" w:rsidRPr="00727C19">
        <w:rPr>
          <w:sz w:val="22"/>
          <w:szCs w:val="22"/>
        </w:rPr>
        <w:t xml:space="preserve">Costas en esta instancia a cargo </w:t>
      </w:r>
      <w:r w:rsidR="00495971" w:rsidRPr="00727C19">
        <w:rPr>
          <w:sz w:val="22"/>
          <w:szCs w:val="22"/>
        </w:rPr>
        <w:t>de la entidad demandada y</w:t>
      </w:r>
      <w:r w:rsidR="00495971" w:rsidRPr="00727C19">
        <w:rPr>
          <w:b/>
          <w:sz w:val="22"/>
          <w:szCs w:val="22"/>
        </w:rPr>
        <w:t xml:space="preserve"> </w:t>
      </w:r>
      <w:r w:rsidR="00495971" w:rsidRPr="00727C19">
        <w:rPr>
          <w:sz w:val="22"/>
          <w:szCs w:val="22"/>
        </w:rPr>
        <w:t xml:space="preserve">a favor </w:t>
      </w:r>
      <w:r w:rsidR="00BA3B72" w:rsidRPr="00727C19">
        <w:rPr>
          <w:sz w:val="22"/>
          <w:szCs w:val="22"/>
        </w:rPr>
        <w:t xml:space="preserve">del señor </w:t>
      </w:r>
      <w:r w:rsidR="00BA3B72" w:rsidRPr="00727C19">
        <w:rPr>
          <w:b/>
          <w:sz w:val="22"/>
          <w:szCs w:val="22"/>
        </w:rPr>
        <w:t xml:space="preserve">Gilnober de Jesús Henao </w:t>
      </w:r>
      <w:r w:rsidR="00BA3B72" w:rsidRPr="00727C19">
        <w:rPr>
          <w:sz w:val="22"/>
          <w:szCs w:val="22"/>
        </w:rPr>
        <w:t>en un 100%. Liquídense por la secretaría del juzgado de origen según lo previsto en el artículo 366 del Código General del Proceso.</w:t>
      </w:r>
    </w:p>
    <w:p w14:paraId="33F11193" w14:textId="77777777" w:rsidR="00F4601E" w:rsidRPr="00727C19" w:rsidRDefault="00F4601E" w:rsidP="00F4601E">
      <w:pPr>
        <w:widowControl w:val="0"/>
        <w:autoSpaceDE w:val="0"/>
        <w:autoSpaceDN w:val="0"/>
        <w:adjustRightInd w:val="0"/>
        <w:jc w:val="both"/>
        <w:rPr>
          <w:sz w:val="22"/>
          <w:szCs w:val="22"/>
        </w:rPr>
      </w:pPr>
    </w:p>
    <w:p w14:paraId="423BF118" w14:textId="77777777" w:rsidR="00F4601E" w:rsidRPr="00727C19" w:rsidRDefault="00F4601E" w:rsidP="00F4601E">
      <w:pPr>
        <w:widowControl w:val="0"/>
        <w:autoSpaceDE w:val="0"/>
        <w:autoSpaceDN w:val="0"/>
        <w:adjustRightInd w:val="0"/>
        <w:ind w:firstLine="708"/>
        <w:jc w:val="both"/>
        <w:rPr>
          <w:b/>
          <w:bCs/>
          <w:sz w:val="22"/>
          <w:szCs w:val="22"/>
        </w:rPr>
      </w:pPr>
      <w:r w:rsidRPr="00727C19">
        <w:rPr>
          <w:b/>
          <w:bCs/>
          <w:sz w:val="22"/>
          <w:szCs w:val="22"/>
        </w:rPr>
        <w:t>Notificación surtida en estrados.</w:t>
      </w:r>
      <w:r w:rsidR="00B40014" w:rsidRPr="00727C19">
        <w:rPr>
          <w:b/>
          <w:bCs/>
          <w:sz w:val="22"/>
          <w:szCs w:val="22"/>
        </w:rPr>
        <w:t xml:space="preserve"> </w:t>
      </w:r>
      <w:r w:rsidRPr="00727C19">
        <w:rPr>
          <w:b/>
          <w:sz w:val="22"/>
          <w:szCs w:val="22"/>
        </w:rPr>
        <w:t>Cúmplase</w:t>
      </w:r>
      <w:r w:rsidRPr="00727C19">
        <w:rPr>
          <w:sz w:val="22"/>
          <w:szCs w:val="22"/>
        </w:rPr>
        <w:t xml:space="preserve"> y </w:t>
      </w:r>
      <w:r w:rsidRPr="00727C19">
        <w:rPr>
          <w:b/>
          <w:sz w:val="22"/>
          <w:szCs w:val="22"/>
        </w:rPr>
        <w:t>devuélvase</w:t>
      </w:r>
      <w:r w:rsidRPr="00727C19">
        <w:rPr>
          <w:sz w:val="22"/>
          <w:szCs w:val="22"/>
        </w:rPr>
        <w:t xml:space="preserve"> el expediente al Juzgado de origen.</w:t>
      </w:r>
    </w:p>
    <w:p w14:paraId="2B09DBE3" w14:textId="77777777" w:rsidR="00786516" w:rsidRPr="00727C19" w:rsidRDefault="00786516" w:rsidP="00F4601E">
      <w:pPr>
        <w:widowControl w:val="0"/>
        <w:autoSpaceDE w:val="0"/>
        <w:autoSpaceDN w:val="0"/>
        <w:adjustRightInd w:val="0"/>
        <w:jc w:val="both"/>
        <w:rPr>
          <w:sz w:val="22"/>
          <w:szCs w:val="22"/>
        </w:rPr>
      </w:pPr>
    </w:p>
    <w:p w14:paraId="016F9EDB" w14:textId="37D7CF02" w:rsidR="00F4601E" w:rsidRPr="00727C19" w:rsidRDefault="00F4601E" w:rsidP="00884913">
      <w:pPr>
        <w:widowControl w:val="0"/>
        <w:autoSpaceDE w:val="0"/>
        <w:autoSpaceDN w:val="0"/>
        <w:adjustRightInd w:val="0"/>
        <w:jc w:val="both"/>
        <w:rPr>
          <w:sz w:val="22"/>
          <w:szCs w:val="22"/>
        </w:rPr>
      </w:pPr>
      <w:r w:rsidRPr="00727C19">
        <w:rPr>
          <w:sz w:val="22"/>
          <w:szCs w:val="22"/>
        </w:rPr>
        <w:tab/>
        <w:t xml:space="preserve">Los Magistrados, </w:t>
      </w:r>
    </w:p>
    <w:p w14:paraId="322DE1AB" w14:textId="77777777" w:rsidR="00F4601E" w:rsidRDefault="00F4601E" w:rsidP="00F4601E">
      <w:pPr>
        <w:pStyle w:val="Ttulo3"/>
        <w:spacing w:before="0" w:line="276" w:lineRule="auto"/>
        <w:jc w:val="center"/>
        <w:rPr>
          <w:rFonts w:ascii="Tahoma" w:hAnsi="Tahoma" w:cs="Tahoma"/>
          <w:b/>
          <w:bCs/>
          <w:color w:val="auto"/>
          <w:sz w:val="22"/>
          <w:szCs w:val="22"/>
        </w:rPr>
      </w:pPr>
    </w:p>
    <w:p w14:paraId="0EACBF50" w14:textId="77777777" w:rsidR="00786516" w:rsidRDefault="00786516" w:rsidP="00786516"/>
    <w:p w14:paraId="14340754" w14:textId="77777777" w:rsidR="00786516" w:rsidRPr="00786516" w:rsidRDefault="00786516" w:rsidP="00786516"/>
    <w:p w14:paraId="25373A1C" w14:textId="77777777" w:rsidR="00F4601E" w:rsidRPr="00727C19" w:rsidRDefault="00F4601E" w:rsidP="00F4601E">
      <w:pPr>
        <w:rPr>
          <w:sz w:val="22"/>
          <w:szCs w:val="22"/>
        </w:rPr>
      </w:pPr>
    </w:p>
    <w:p w14:paraId="52BD131C" w14:textId="77777777" w:rsidR="00F4601E" w:rsidRPr="00727C19" w:rsidRDefault="00F4601E" w:rsidP="00F4601E">
      <w:pPr>
        <w:pStyle w:val="Ttulo3"/>
        <w:spacing w:before="0" w:line="276" w:lineRule="auto"/>
        <w:jc w:val="center"/>
        <w:rPr>
          <w:rFonts w:ascii="Tahoma" w:hAnsi="Tahoma" w:cs="Tahoma"/>
          <w:b/>
          <w:bCs/>
          <w:color w:val="auto"/>
          <w:sz w:val="22"/>
          <w:szCs w:val="22"/>
        </w:rPr>
      </w:pPr>
      <w:r w:rsidRPr="00727C19">
        <w:rPr>
          <w:rFonts w:ascii="Tahoma" w:hAnsi="Tahoma" w:cs="Tahoma"/>
          <w:b/>
          <w:bCs/>
          <w:color w:val="auto"/>
          <w:sz w:val="22"/>
          <w:szCs w:val="22"/>
        </w:rPr>
        <w:t>ANA LUCÍA CAICEDO CALDERÓN</w:t>
      </w:r>
    </w:p>
    <w:p w14:paraId="3A92ED94" w14:textId="77777777" w:rsidR="00F4601E" w:rsidRPr="00727C19" w:rsidRDefault="00F4601E" w:rsidP="00F4601E">
      <w:pPr>
        <w:jc w:val="both"/>
        <w:rPr>
          <w:b/>
          <w:sz w:val="22"/>
          <w:szCs w:val="22"/>
        </w:rPr>
      </w:pPr>
    </w:p>
    <w:p w14:paraId="328B8490" w14:textId="77777777" w:rsidR="00495971" w:rsidRDefault="00495971" w:rsidP="00F4601E">
      <w:pPr>
        <w:jc w:val="both"/>
        <w:rPr>
          <w:b/>
          <w:sz w:val="22"/>
          <w:szCs w:val="22"/>
        </w:rPr>
      </w:pPr>
    </w:p>
    <w:p w14:paraId="34455A0C" w14:textId="77777777" w:rsidR="00786516" w:rsidRDefault="00786516" w:rsidP="00F4601E">
      <w:pPr>
        <w:jc w:val="both"/>
        <w:rPr>
          <w:b/>
          <w:sz w:val="22"/>
          <w:szCs w:val="22"/>
        </w:rPr>
      </w:pPr>
    </w:p>
    <w:p w14:paraId="73E13EFC" w14:textId="77777777" w:rsidR="00727C19" w:rsidRPr="00727C19" w:rsidRDefault="00727C19" w:rsidP="00F4601E">
      <w:pPr>
        <w:jc w:val="both"/>
        <w:rPr>
          <w:b/>
          <w:sz w:val="22"/>
          <w:szCs w:val="22"/>
        </w:rPr>
      </w:pPr>
    </w:p>
    <w:p w14:paraId="31B1252D" w14:textId="77777777" w:rsidR="00F4601E" w:rsidRPr="00727C19" w:rsidRDefault="00F4601E" w:rsidP="00F4601E">
      <w:pPr>
        <w:jc w:val="both"/>
        <w:rPr>
          <w:b/>
          <w:sz w:val="22"/>
          <w:szCs w:val="22"/>
        </w:rPr>
      </w:pPr>
    </w:p>
    <w:p w14:paraId="73EC0417" w14:textId="6E093FCB" w:rsidR="00F4601E" w:rsidRPr="00727C19" w:rsidRDefault="00F4601E" w:rsidP="00AC3B2C">
      <w:pPr>
        <w:jc w:val="both"/>
        <w:rPr>
          <w:b/>
          <w:sz w:val="22"/>
          <w:szCs w:val="22"/>
        </w:rPr>
      </w:pPr>
      <w:r w:rsidRPr="00727C19">
        <w:rPr>
          <w:b/>
          <w:sz w:val="22"/>
          <w:szCs w:val="22"/>
        </w:rPr>
        <w:t xml:space="preserve">JULIO CÉSAR SALAZAR MUÑOZ   </w:t>
      </w:r>
      <w:r w:rsidRPr="00727C19">
        <w:rPr>
          <w:b/>
          <w:sz w:val="22"/>
          <w:szCs w:val="22"/>
        </w:rPr>
        <w:tab/>
      </w:r>
      <w:r w:rsidR="00727C19">
        <w:rPr>
          <w:b/>
          <w:sz w:val="22"/>
          <w:szCs w:val="22"/>
        </w:rPr>
        <w:t xml:space="preserve">                    </w:t>
      </w:r>
      <w:r w:rsidRPr="00727C19">
        <w:rPr>
          <w:b/>
          <w:sz w:val="22"/>
          <w:szCs w:val="22"/>
        </w:rPr>
        <w:t xml:space="preserve">   FRANCISCO JAVIER TAMAYO TABARES</w:t>
      </w:r>
    </w:p>
    <w:p w14:paraId="4065D0E7" w14:textId="77777777" w:rsidR="00F4601E" w:rsidRPr="00A226EC" w:rsidRDefault="00F4601E" w:rsidP="00F4601E"/>
    <w:p w14:paraId="1D0C1326" w14:textId="77777777" w:rsidR="00F4601E" w:rsidRDefault="00F4601E" w:rsidP="00F4601E"/>
    <w:p w14:paraId="639C5C3E" w14:textId="77777777" w:rsidR="00786516" w:rsidRDefault="00786516" w:rsidP="00F4601E"/>
    <w:p w14:paraId="008BA738" w14:textId="77777777" w:rsidR="00786516" w:rsidRDefault="00786516" w:rsidP="00F4601E"/>
    <w:p w14:paraId="233A4DA6" w14:textId="14BE5A51" w:rsidR="00727C19" w:rsidRDefault="00727C19" w:rsidP="00727C19">
      <w:pPr>
        <w:jc w:val="center"/>
      </w:pPr>
      <w:r>
        <w:t>___________________</w:t>
      </w:r>
    </w:p>
    <w:p w14:paraId="0EC195C6" w14:textId="6461AA42" w:rsidR="00727C19" w:rsidRPr="00A226EC" w:rsidRDefault="00727C19" w:rsidP="00727C19">
      <w:pPr>
        <w:jc w:val="center"/>
      </w:pPr>
      <w:r>
        <w:t>Secretario Ad-hoc</w:t>
      </w:r>
    </w:p>
    <w:p w14:paraId="7D3F8338" w14:textId="77777777" w:rsidR="00BA3B72" w:rsidRDefault="00BA3B72" w:rsidP="000569DA">
      <w:pPr>
        <w:jc w:val="center"/>
      </w:pPr>
    </w:p>
    <w:p w14:paraId="659B8095" w14:textId="77777777" w:rsidR="00727C19" w:rsidRPr="00A226EC" w:rsidRDefault="00727C19" w:rsidP="000569DA">
      <w:pPr>
        <w:jc w:val="center"/>
      </w:pPr>
    </w:p>
    <w:p w14:paraId="1FCB311F" w14:textId="6B1E1CB0" w:rsidR="00BA3B72" w:rsidRPr="00A226EC" w:rsidRDefault="00BA3B72" w:rsidP="000569DA">
      <w:pPr>
        <w:jc w:val="center"/>
        <w:rPr>
          <w:b/>
        </w:rPr>
      </w:pPr>
      <w:r w:rsidRPr="00A226EC">
        <w:rPr>
          <w:b/>
        </w:rPr>
        <w:t>Liquidación retroactivo</w:t>
      </w:r>
    </w:p>
    <w:p w14:paraId="1731C34D" w14:textId="77777777" w:rsidR="00BA3B72" w:rsidRPr="00A226EC" w:rsidRDefault="00BA3B72" w:rsidP="000569DA">
      <w:pPr>
        <w:jc w:val="center"/>
      </w:pPr>
    </w:p>
    <w:tbl>
      <w:tblPr>
        <w:tblW w:w="0" w:type="auto"/>
        <w:jc w:val="center"/>
        <w:tblCellMar>
          <w:left w:w="70" w:type="dxa"/>
          <w:right w:w="70" w:type="dxa"/>
        </w:tblCellMar>
        <w:tblLook w:val="04A0" w:firstRow="1" w:lastRow="0" w:firstColumn="1" w:lastColumn="0" w:noHBand="0" w:noVBand="1"/>
      </w:tblPr>
      <w:tblGrid>
        <w:gridCol w:w="546"/>
        <w:gridCol w:w="973"/>
        <w:gridCol w:w="994"/>
        <w:gridCol w:w="762"/>
        <w:gridCol w:w="2092"/>
        <w:gridCol w:w="1626"/>
      </w:tblGrid>
      <w:tr w:rsidR="00495971" w:rsidRPr="00495971" w14:paraId="1423ED8B" w14:textId="77777777" w:rsidTr="00495971">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1A265EE5"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Año</w:t>
            </w:r>
          </w:p>
        </w:tc>
        <w:tc>
          <w:tcPr>
            <w:tcW w:w="0" w:type="auto"/>
            <w:tcBorders>
              <w:top w:val="single" w:sz="4" w:space="0" w:color="808000"/>
              <w:left w:val="nil"/>
              <w:bottom w:val="nil"/>
              <w:right w:val="single" w:sz="4" w:space="0" w:color="808000"/>
            </w:tcBorders>
            <w:shd w:val="clear" w:color="000000" w:fill="FFFF99"/>
            <w:vAlign w:val="center"/>
            <w:hideMark/>
          </w:tcPr>
          <w:p w14:paraId="4D132A84"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7352F40C"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5069785B"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793B089B"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14:paraId="68C6226F" w14:textId="77777777" w:rsidR="00495971" w:rsidRPr="00495971" w:rsidRDefault="00495971" w:rsidP="00495971">
            <w:pPr>
              <w:spacing w:line="240" w:lineRule="auto"/>
              <w:jc w:val="center"/>
              <w:rPr>
                <w:rFonts w:ascii="Calibri" w:eastAsia="Times New Roman" w:hAnsi="Calibri" w:cs="Times New Roman"/>
                <w:b/>
                <w:bCs/>
                <w:color w:val="000000"/>
                <w:sz w:val="16"/>
                <w:szCs w:val="16"/>
                <w:lang w:eastAsia="es-ES"/>
              </w:rPr>
            </w:pPr>
            <w:r w:rsidRPr="00495971">
              <w:rPr>
                <w:rFonts w:ascii="Calibri" w:eastAsia="Times New Roman" w:hAnsi="Calibri" w:cs="Times New Roman"/>
                <w:b/>
                <w:bCs/>
                <w:color w:val="000000"/>
                <w:sz w:val="16"/>
                <w:szCs w:val="16"/>
                <w:lang w:eastAsia="es-ES"/>
              </w:rPr>
              <w:t xml:space="preserve"> Diferencias a cancelar </w:t>
            </w:r>
          </w:p>
        </w:tc>
      </w:tr>
      <w:tr w:rsidR="00495971" w:rsidRPr="00495971" w14:paraId="5A1274DC" w14:textId="77777777" w:rsidTr="00495971">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415CB295"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2011</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C3BC3BD"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19-ago-11</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BD0F9AF"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31-dic-11</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5B07881D"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5,4</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4AFD9CB2" w14:textId="77777777" w:rsidR="00495971" w:rsidRPr="00495971" w:rsidRDefault="00495971" w:rsidP="00495971">
            <w:pPr>
              <w:spacing w:line="240" w:lineRule="auto"/>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 xml:space="preserve">                       535.600,00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7E714289" w14:textId="77777777" w:rsidR="00495971" w:rsidRPr="00495971" w:rsidRDefault="00495971" w:rsidP="00495971">
            <w:pPr>
              <w:spacing w:line="240" w:lineRule="auto"/>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 xml:space="preserve">              2.892.240 </w:t>
            </w:r>
          </w:p>
        </w:tc>
      </w:tr>
      <w:tr w:rsidR="00495971" w:rsidRPr="00495971" w14:paraId="0159784B" w14:textId="77777777" w:rsidTr="0049597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119F5C4"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2012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BF60B83"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192479FB"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7686069"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14</w:t>
            </w:r>
          </w:p>
        </w:tc>
        <w:tc>
          <w:tcPr>
            <w:tcW w:w="0" w:type="auto"/>
            <w:tcBorders>
              <w:top w:val="nil"/>
              <w:left w:val="nil"/>
              <w:bottom w:val="single" w:sz="4" w:space="0" w:color="003366"/>
              <w:right w:val="single" w:sz="4" w:space="0" w:color="003366"/>
            </w:tcBorders>
            <w:shd w:val="clear" w:color="000000" w:fill="FFFFCC"/>
            <w:vAlign w:val="bottom"/>
            <w:hideMark/>
          </w:tcPr>
          <w:p w14:paraId="6A4767E5" w14:textId="77777777" w:rsidR="00495971" w:rsidRPr="00495971" w:rsidRDefault="00495971" w:rsidP="00495971">
            <w:pPr>
              <w:spacing w:line="240" w:lineRule="auto"/>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 xml:space="preserve">                       566.700,00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069AE88" w14:textId="77777777" w:rsidR="00495971" w:rsidRPr="00495971" w:rsidRDefault="00495971" w:rsidP="00495971">
            <w:pPr>
              <w:spacing w:line="240" w:lineRule="auto"/>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 xml:space="preserve">              7.933.800 </w:t>
            </w:r>
          </w:p>
        </w:tc>
      </w:tr>
      <w:tr w:rsidR="00495971" w:rsidRPr="00495971" w14:paraId="4C9B1ECD" w14:textId="77777777" w:rsidTr="0049597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0688366"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85DC10"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3E58285B"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710FD07"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14</w:t>
            </w:r>
          </w:p>
        </w:tc>
        <w:tc>
          <w:tcPr>
            <w:tcW w:w="0" w:type="auto"/>
            <w:tcBorders>
              <w:top w:val="nil"/>
              <w:left w:val="nil"/>
              <w:bottom w:val="single" w:sz="4" w:space="0" w:color="003366"/>
              <w:right w:val="single" w:sz="4" w:space="0" w:color="003366"/>
            </w:tcBorders>
            <w:shd w:val="clear" w:color="000000" w:fill="FFFFCC"/>
            <w:vAlign w:val="bottom"/>
            <w:hideMark/>
          </w:tcPr>
          <w:p w14:paraId="41C7EACE" w14:textId="77777777" w:rsidR="00495971" w:rsidRPr="00495971" w:rsidRDefault="00495971" w:rsidP="00495971">
            <w:pPr>
              <w:spacing w:line="240" w:lineRule="auto"/>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D87C4F1" w14:textId="77777777" w:rsidR="00495971" w:rsidRPr="00495971" w:rsidRDefault="00495971" w:rsidP="00495971">
            <w:pPr>
              <w:spacing w:line="240" w:lineRule="auto"/>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 xml:space="preserve">              8.253.000 </w:t>
            </w:r>
          </w:p>
        </w:tc>
      </w:tr>
      <w:tr w:rsidR="00495971" w:rsidRPr="00495971" w14:paraId="65753CFF" w14:textId="77777777" w:rsidTr="0049597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5F982B9"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018F4C3"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58729290" w14:textId="77777777" w:rsidR="00495971" w:rsidRPr="00495971" w:rsidRDefault="00495971" w:rsidP="00495971">
            <w:pPr>
              <w:spacing w:line="240" w:lineRule="auto"/>
              <w:jc w:val="right"/>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31-mar-14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E6D8138" w14:textId="77777777" w:rsidR="00495971" w:rsidRPr="00495971" w:rsidRDefault="00495971" w:rsidP="00495971">
            <w:pPr>
              <w:spacing w:line="240" w:lineRule="auto"/>
              <w:jc w:val="center"/>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3</w:t>
            </w:r>
          </w:p>
        </w:tc>
        <w:tc>
          <w:tcPr>
            <w:tcW w:w="0" w:type="auto"/>
            <w:tcBorders>
              <w:top w:val="nil"/>
              <w:left w:val="nil"/>
              <w:bottom w:val="single" w:sz="4" w:space="0" w:color="003366"/>
              <w:right w:val="single" w:sz="4" w:space="0" w:color="003366"/>
            </w:tcBorders>
            <w:shd w:val="clear" w:color="000000" w:fill="FFFFCC"/>
            <w:vAlign w:val="bottom"/>
            <w:hideMark/>
          </w:tcPr>
          <w:p w14:paraId="0A031FD5" w14:textId="77777777" w:rsidR="00495971" w:rsidRPr="00495971" w:rsidRDefault="00495971" w:rsidP="00495971">
            <w:pPr>
              <w:spacing w:line="240" w:lineRule="auto"/>
              <w:rPr>
                <w:rFonts w:ascii="Calibri" w:eastAsia="Times New Roman" w:hAnsi="Calibri" w:cs="Times New Roman"/>
                <w:sz w:val="20"/>
                <w:szCs w:val="20"/>
                <w:lang w:eastAsia="es-ES"/>
              </w:rPr>
            </w:pPr>
            <w:r w:rsidRPr="00495971">
              <w:rPr>
                <w:rFonts w:ascii="Calibri" w:eastAsia="Times New Roman" w:hAnsi="Calibri" w:cs="Times New Roman"/>
                <w:sz w:val="20"/>
                <w:szCs w:val="20"/>
                <w:lang w:eastAsia="es-ES"/>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4E8E3BB" w14:textId="77777777" w:rsidR="00495971" w:rsidRPr="00495971" w:rsidRDefault="00495971" w:rsidP="00495971">
            <w:pPr>
              <w:spacing w:line="240" w:lineRule="auto"/>
              <w:rPr>
                <w:rFonts w:ascii="Calibri" w:eastAsia="Times New Roman" w:hAnsi="Calibri" w:cs="Times New Roman"/>
                <w:color w:val="000000"/>
                <w:sz w:val="20"/>
                <w:szCs w:val="20"/>
                <w:lang w:eastAsia="es-ES"/>
              </w:rPr>
            </w:pPr>
            <w:r w:rsidRPr="00495971">
              <w:rPr>
                <w:rFonts w:ascii="Calibri" w:eastAsia="Times New Roman" w:hAnsi="Calibri" w:cs="Times New Roman"/>
                <w:color w:val="000000"/>
                <w:sz w:val="20"/>
                <w:szCs w:val="20"/>
                <w:lang w:eastAsia="es-ES"/>
              </w:rPr>
              <w:t xml:space="preserve">              1.848.000 </w:t>
            </w:r>
          </w:p>
        </w:tc>
      </w:tr>
      <w:tr w:rsidR="00495971" w:rsidRPr="00495971" w14:paraId="1E47082E" w14:textId="77777777" w:rsidTr="00495971">
        <w:trPr>
          <w:trHeight w:val="255"/>
          <w:jc w:val="center"/>
        </w:trPr>
        <w:tc>
          <w:tcPr>
            <w:tcW w:w="0" w:type="auto"/>
            <w:tcBorders>
              <w:top w:val="nil"/>
              <w:left w:val="nil"/>
              <w:bottom w:val="nil"/>
              <w:right w:val="nil"/>
            </w:tcBorders>
            <w:shd w:val="clear" w:color="auto" w:fill="auto"/>
            <w:noWrap/>
            <w:vAlign w:val="bottom"/>
            <w:hideMark/>
          </w:tcPr>
          <w:p w14:paraId="5DB1E817" w14:textId="77777777" w:rsidR="00495971" w:rsidRPr="00495971" w:rsidRDefault="00495971" w:rsidP="00495971">
            <w:pPr>
              <w:spacing w:line="240" w:lineRule="auto"/>
              <w:rPr>
                <w:rFonts w:ascii="Calibri" w:eastAsia="Times New Roman" w:hAnsi="Calibri"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0D2191F3" w14:textId="77777777" w:rsidR="00495971" w:rsidRPr="00495971" w:rsidRDefault="00495971" w:rsidP="00495971">
            <w:pPr>
              <w:spacing w:line="240" w:lineRule="auto"/>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5BE8D7B7" w14:textId="77777777" w:rsidR="00495971" w:rsidRPr="00495971" w:rsidRDefault="00495971" w:rsidP="00495971">
            <w:pPr>
              <w:spacing w:line="240" w:lineRule="auto"/>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0EA8696A" w14:textId="77777777" w:rsidR="00495971" w:rsidRPr="00495971" w:rsidRDefault="00495971" w:rsidP="00495971">
            <w:pPr>
              <w:spacing w:line="240" w:lineRule="auto"/>
              <w:rPr>
                <w:rFonts w:ascii="Times New Roman" w:eastAsia="Times New Roman" w:hAnsi="Times New Roman" w:cs="Times New Roman"/>
                <w:sz w:val="20"/>
                <w:szCs w:val="20"/>
                <w:lang w:eastAsia="es-ES"/>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14:paraId="6DE0CA7E" w14:textId="77777777" w:rsidR="00495971" w:rsidRPr="00495971" w:rsidRDefault="00495971" w:rsidP="00495971">
            <w:pPr>
              <w:spacing w:line="240" w:lineRule="auto"/>
              <w:jc w:val="center"/>
              <w:rPr>
                <w:rFonts w:ascii="Calibri" w:eastAsia="Times New Roman" w:hAnsi="Calibri" w:cs="Times New Roman"/>
                <w:b/>
                <w:bCs/>
                <w:sz w:val="20"/>
                <w:szCs w:val="20"/>
                <w:lang w:eastAsia="es-ES"/>
              </w:rPr>
            </w:pPr>
            <w:r w:rsidRPr="00495971">
              <w:rPr>
                <w:rFonts w:ascii="Calibri" w:eastAsia="Times New Roman" w:hAnsi="Calibri" w:cs="Times New Roman"/>
                <w:b/>
                <w:bCs/>
                <w:sz w:val="20"/>
                <w:szCs w:val="20"/>
                <w:lang w:eastAsia="es-ES"/>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63C52C72" w14:textId="77777777" w:rsidR="00495971" w:rsidRPr="00495971" w:rsidRDefault="00495971" w:rsidP="00495971">
            <w:pPr>
              <w:spacing w:line="240" w:lineRule="auto"/>
              <w:rPr>
                <w:rFonts w:ascii="Calibri" w:eastAsia="Times New Roman" w:hAnsi="Calibri" w:cs="Times New Roman"/>
                <w:b/>
                <w:bCs/>
                <w:color w:val="000000"/>
                <w:sz w:val="20"/>
                <w:szCs w:val="20"/>
                <w:lang w:eastAsia="es-ES"/>
              </w:rPr>
            </w:pPr>
            <w:r w:rsidRPr="00495971">
              <w:rPr>
                <w:rFonts w:ascii="Calibri" w:eastAsia="Times New Roman" w:hAnsi="Calibri" w:cs="Times New Roman"/>
                <w:b/>
                <w:bCs/>
                <w:color w:val="000000"/>
                <w:sz w:val="20"/>
                <w:szCs w:val="20"/>
                <w:lang w:eastAsia="es-ES"/>
              </w:rPr>
              <w:t xml:space="preserve">            20.927.040 </w:t>
            </w:r>
          </w:p>
        </w:tc>
      </w:tr>
    </w:tbl>
    <w:p w14:paraId="3BB6A4B2" w14:textId="77777777" w:rsidR="00545F80" w:rsidRPr="00A226EC" w:rsidRDefault="00545F80" w:rsidP="000569DA">
      <w:pPr>
        <w:jc w:val="center"/>
      </w:pPr>
    </w:p>
    <w:p w14:paraId="171CB00C" w14:textId="77777777" w:rsidR="00BA3B72" w:rsidRPr="00A226EC" w:rsidRDefault="00BA3B72" w:rsidP="000569DA">
      <w:pPr>
        <w:jc w:val="center"/>
      </w:pPr>
    </w:p>
    <w:p w14:paraId="3C5658AB" w14:textId="77777777" w:rsidR="00BA3B72" w:rsidRPr="00A226EC" w:rsidRDefault="00BA3B72" w:rsidP="00BA3B72">
      <w:pPr>
        <w:pStyle w:val="Ttulo3"/>
        <w:spacing w:before="0" w:line="276" w:lineRule="auto"/>
        <w:jc w:val="center"/>
        <w:rPr>
          <w:rFonts w:ascii="Tahoma" w:hAnsi="Tahoma" w:cs="Tahoma"/>
          <w:b/>
          <w:bCs/>
          <w:color w:val="auto"/>
        </w:rPr>
      </w:pPr>
      <w:r w:rsidRPr="00A226EC">
        <w:rPr>
          <w:rFonts w:ascii="Tahoma" w:hAnsi="Tahoma" w:cs="Tahoma"/>
          <w:b/>
          <w:bCs/>
          <w:color w:val="auto"/>
        </w:rPr>
        <w:t>ANA LUCÍA CAICEDO CALDERÓN</w:t>
      </w:r>
    </w:p>
    <w:p w14:paraId="429A8112" w14:textId="77777777" w:rsidR="00BA3B72" w:rsidRPr="00A226EC" w:rsidRDefault="00BA3B72" w:rsidP="000569DA">
      <w:pPr>
        <w:jc w:val="center"/>
      </w:pPr>
    </w:p>
    <w:sectPr w:rsidR="00BA3B72" w:rsidRPr="00A226EC" w:rsidSect="00C37564">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FF97" w14:textId="77777777" w:rsidR="00C445AA" w:rsidRDefault="00C445AA" w:rsidP="00D535CA">
      <w:pPr>
        <w:spacing w:line="240" w:lineRule="auto"/>
      </w:pPr>
      <w:r>
        <w:separator/>
      </w:r>
    </w:p>
  </w:endnote>
  <w:endnote w:type="continuationSeparator" w:id="0">
    <w:p w14:paraId="38D81607" w14:textId="77777777" w:rsidR="00C445AA" w:rsidRDefault="00C445AA" w:rsidP="00D53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09481"/>
      <w:docPartObj>
        <w:docPartGallery w:val="Page Numbers (Bottom of Page)"/>
        <w:docPartUnique/>
      </w:docPartObj>
    </w:sdtPr>
    <w:sdtEndPr/>
    <w:sdtContent>
      <w:p w14:paraId="100B91B2" w14:textId="77777777" w:rsidR="00EC51C3" w:rsidRDefault="00EC51C3">
        <w:pPr>
          <w:pStyle w:val="Piedepgina"/>
          <w:jc w:val="right"/>
        </w:pPr>
        <w:r>
          <w:fldChar w:fldCharType="begin"/>
        </w:r>
        <w:r>
          <w:instrText>PAGE   \* MERGEFORMAT</w:instrText>
        </w:r>
        <w:r>
          <w:fldChar w:fldCharType="separate"/>
        </w:r>
        <w:r w:rsidR="002605E7">
          <w:rPr>
            <w:noProof/>
          </w:rPr>
          <w:t>6</w:t>
        </w:r>
        <w:r>
          <w:fldChar w:fldCharType="end"/>
        </w:r>
      </w:p>
    </w:sdtContent>
  </w:sdt>
  <w:p w14:paraId="26E10FD7" w14:textId="77777777" w:rsidR="00EC51C3" w:rsidRDefault="00EC5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1262" w14:textId="77777777" w:rsidR="00C445AA" w:rsidRDefault="00C445AA" w:rsidP="00D535CA">
      <w:pPr>
        <w:spacing w:line="240" w:lineRule="auto"/>
      </w:pPr>
      <w:r>
        <w:separator/>
      </w:r>
    </w:p>
  </w:footnote>
  <w:footnote w:type="continuationSeparator" w:id="0">
    <w:p w14:paraId="57A12C6F" w14:textId="77777777" w:rsidR="00C445AA" w:rsidRDefault="00C445AA" w:rsidP="00D535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D54C" w14:textId="56BA2D29" w:rsidR="00EC51C3" w:rsidRPr="00FA7C26" w:rsidRDefault="00EC51C3" w:rsidP="00FA7C26">
    <w:pPr>
      <w:spacing w:line="240" w:lineRule="auto"/>
      <w:jc w:val="both"/>
      <w:rPr>
        <w:rFonts w:ascii="Times New Roman" w:hAnsi="Times New Roman" w:cs="Times New Roman"/>
        <w:sz w:val="16"/>
        <w:szCs w:val="16"/>
      </w:rPr>
    </w:pPr>
    <w:r w:rsidRPr="00FA7C26">
      <w:rPr>
        <w:rFonts w:ascii="Times New Roman" w:hAnsi="Times New Roman" w:cs="Times New Roman"/>
        <w:sz w:val="16"/>
        <w:szCs w:val="16"/>
      </w:rPr>
      <w:t>Radicación No.:</w:t>
    </w:r>
    <w:r>
      <w:rPr>
        <w:rFonts w:ascii="Times New Roman" w:hAnsi="Times New Roman" w:cs="Times New Roman"/>
        <w:sz w:val="16"/>
        <w:szCs w:val="16"/>
      </w:rPr>
      <w:t xml:space="preserve">   </w:t>
    </w:r>
    <w:r w:rsidRPr="00FA7C26">
      <w:rPr>
        <w:rFonts w:ascii="Times New Roman" w:hAnsi="Times New Roman" w:cs="Times New Roman"/>
        <w:sz w:val="16"/>
        <w:szCs w:val="16"/>
      </w:rPr>
      <w:t>66001-31-05-003-2014-00530-01</w:t>
    </w:r>
  </w:p>
  <w:p w14:paraId="5DB565F1" w14:textId="3F635A48" w:rsidR="00EC51C3" w:rsidRPr="00FA7C26" w:rsidRDefault="00EC51C3" w:rsidP="00FA7C26">
    <w:pPr>
      <w:spacing w:line="240" w:lineRule="auto"/>
      <w:jc w:val="both"/>
      <w:rPr>
        <w:rFonts w:ascii="Times New Roman" w:hAnsi="Times New Roman" w:cs="Times New Roman"/>
        <w:sz w:val="16"/>
        <w:szCs w:val="16"/>
      </w:rPr>
    </w:pPr>
    <w:r w:rsidRPr="00FA7C26">
      <w:rPr>
        <w:rFonts w:ascii="Times New Roman" w:hAnsi="Times New Roman" w:cs="Times New Roman"/>
        <w:sz w:val="16"/>
        <w:szCs w:val="16"/>
      </w:rPr>
      <w:t>Demandante:</w:t>
    </w:r>
    <w:r>
      <w:rPr>
        <w:rFonts w:ascii="Times New Roman" w:hAnsi="Times New Roman" w:cs="Times New Roman"/>
        <w:sz w:val="16"/>
        <w:szCs w:val="16"/>
      </w:rPr>
      <w:t xml:space="preserve">       </w:t>
    </w:r>
    <w:r w:rsidRPr="00FA7C26">
      <w:rPr>
        <w:rFonts w:ascii="Times New Roman" w:hAnsi="Times New Roman" w:cs="Times New Roman"/>
        <w:sz w:val="16"/>
        <w:szCs w:val="16"/>
      </w:rPr>
      <w:t>Gilnober de Jesús Henao</w:t>
    </w:r>
  </w:p>
  <w:p w14:paraId="1314B5E1" w14:textId="618B5492" w:rsidR="00EC51C3" w:rsidRPr="00FA7C26" w:rsidRDefault="00EC51C3" w:rsidP="00FA7C26">
    <w:pPr>
      <w:spacing w:line="240" w:lineRule="auto"/>
      <w:jc w:val="both"/>
      <w:rPr>
        <w:rFonts w:ascii="Times New Roman" w:hAnsi="Times New Roman" w:cs="Times New Roman"/>
        <w:sz w:val="16"/>
        <w:szCs w:val="16"/>
      </w:rPr>
    </w:pPr>
    <w:r w:rsidRPr="00FA7C26">
      <w:rPr>
        <w:rFonts w:ascii="Times New Roman" w:hAnsi="Times New Roman" w:cs="Times New Roman"/>
        <w:sz w:val="16"/>
        <w:szCs w:val="16"/>
      </w:rPr>
      <w:t>Demandado:</w:t>
    </w:r>
    <w:r>
      <w:rPr>
        <w:rFonts w:ascii="Times New Roman" w:hAnsi="Times New Roman" w:cs="Times New Roman"/>
        <w:sz w:val="16"/>
        <w:szCs w:val="16"/>
      </w:rPr>
      <w:t xml:space="preserve">        </w:t>
    </w:r>
    <w:r w:rsidRPr="00FA7C26">
      <w:rPr>
        <w:rFonts w:ascii="Times New Roman" w:hAnsi="Times New Roman" w:cs="Times New Roman"/>
        <w:sz w:val="16"/>
        <w:szCs w:val="16"/>
      </w:rPr>
      <w:t>Colpensiones</w:t>
    </w:r>
  </w:p>
  <w:p w14:paraId="62F27DFF" w14:textId="54ECA83B" w:rsidR="00EC51C3" w:rsidRPr="00FA7C26" w:rsidRDefault="00EC51C3" w:rsidP="00FA7C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4FDF"/>
    <w:multiLevelType w:val="multilevel"/>
    <w:tmpl w:val="C5AAB5E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3663146"/>
    <w:multiLevelType w:val="hybridMultilevel"/>
    <w:tmpl w:val="E7C891D6"/>
    <w:lvl w:ilvl="0" w:tplc="63284E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9159D2"/>
    <w:multiLevelType w:val="multilevel"/>
    <w:tmpl w:val="19367A62"/>
    <w:lvl w:ilvl="0">
      <w:start w:val="5"/>
      <w:numFmt w:val="decimal"/>
      <w:lvlText w:val="%1"/>
      <w:lvlJc w:val="left"/>
      <w:pPr>
        <w:ind w:left="375" w:hanging="375"/>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
    <w:nsid w:val="2B7312DD"/>
    <w:multiLevelType w:val="hybridMultilevel"/>
    <w:tmpl w:val="C80E430A"/>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C33FB9"/>
    <w:multiLevelType w:val="hybridMultilevel"/>
    <w:tmpl w:val="D1040692"/>
    <w:lvl w:ilvl="0" w:tplc="8D602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21559"/>
    <w:multiLevelType w:val="hybridMultilevel"/>
    <w:tmpl w:val="82A222C2"/>
    <w:lvl w:ilvl="0" w:tplc="B726CD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7">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2E"/>
    <w:rsid w:val="000065CD"/>
    <w:rsid w:val="0002249B"/>
    <w:rsid w:val="000248C8"/>
    <w:rsid w:val="0003016D"/>
    <w:rsid w:val="000511F4"/>
    <w:rsid w:val="000569DA"/>
    <w:rsid w:val="00091EF2"/>
    <w:rsid w:val="00096795"/>
    <w:rsid w:val="00097A05"/>
    <w:rsid w:val="000A40D2"/>
    <w:rsid w:val="000D6790"/>
    <w:rsid w:val="000D6E3F"/>
    <w:rsid w:val="000D7C8B"/>
    <w:rsid w:val="000F3915"/>
    <w:rsid w:val="00102B99"/>
    <w:rsid w:val="00103410"/>
    <w:rsid w:val="00157C33"/>
    <w:rsid w:val="00171180"/>
    <w:rsid w:val="00181BB4"/>
    <w:rsid w:val="0019112A"/>
    <w:rsid w:val="001958FA"/>
    <w:rsid w:val="001A00E9"/>
    <w:rsid w:val="001A149C"/>
    <w:rsid w:val="001C19BE"/>
    <w:rsid w:val="001C354F"/>
    <w:rsid w:val="001E6A06"/>
    <w:rsid w:val="001F7F18"/>
    <w:rsid w:val="0021151E"/>
    <w:rsid w:val="0025270B"/>
    <w:rsid w:val="002605E7"/>
    <w:rsid w:val="0026688D"/>
    <w:rsid w:val="00272F4D"/>
    <w:rsid w:val="00290B5E"/>
    <w:rsid w:val="002B1A65"/>
    <w:rsid w:val="002C09DD"/>
    <w:rsid w:val="002D477B"/>
    <w:rsid w:val="002F4933"/>
    <w:rsid w:val="0032502C"/>
    <w:rsid w:val="00331221"/>
    <w:rsid w:val="00336313"/>
    <w:rsid w:val="00360562"/>
    <w:rsid w:val="00383E26"/>
    <w:rsid w:val="00387A09"/>
    <w:rsid w:val="003A5340"/>
    <w:rsid w:val="003B26A3"/>
    <w:rsid w:val="003E2889"/>
    <w:rsid w:val="004000F5"/>
    <w:rsid w:val="00413549"/>
    <w:rsid w:val="004302A1"/>
    <w:rsid w:val="004447B1"/>
    <w:rsid w:val="00450355"/>
    <w:rsid w:val="004626D1"/>
    <w:rsid w:val="0046382E"/>
    <w:rsid w:val="00490164"/>
    <w:rsid w:val="00495157"/>
    <w:rsid w:val="00495971"/>
    <w:rsid w:val="004A1AD1"/>
    <w:rsid w:val="004A2BF2"/>
    <w:rsid w:val="004C140F"/>
    <w:rsid w:val="004C39D2"/>
    <w:rsid w:val="004C4BCC"/>
    <w:rsid w:val="004D0165"/>
    <w:rsid w:val="004E2C64"/>
    <w:rsid w:val="004F4285"/>
    <w:rsid w:val="004F5C99"/>
    <w:rsid w:val="0050321E"/>
    <w:rsid w:val="005230D9"/>
    <w:rsid w:val="005446D6"/>
    <w:rsid w:val="00545F80"/>
    <w:rsid w:val="00556560"/>
    <w:rsid w:val="00572615"/>
    <w:rsid w:val="00580318"/>
    <w:rsid w:val="00580600"/>
    <w:rsid w:val="005923C3"/>
    <w:rsid w:val="005C449D"/>
    <w:rsid w:val="005E165C"/>
    <w:rsid w:val="00603117"/>
    <w:rsid w:val="006041E7"/>
    <w:rsid w:val="00607A39"/>
    <w:rsid w:val="00616DAA"/>
    <w:rsid w:val="006173F6"/>
    <w:rsid w:val="00621489"/>
    <w:rsid w:val="00625A3D"/>
    <w:rsid w:val="0063211C"/>
    <w:rsid w:val="00636DAD"/>
    <w:rsid w:val="00652675"/>
    <w:rsid w:val="006769E2"/>
    <w:rsid w:val="00684CA1"/>
    <w:rsid w:val="006A3AE6"/>
    <w:rsid w:val="006D000B"/>
    <w:rsid w:val="006D079F"/>
    <w:rsid w:val="006D7921"/>
    <w:rsid w:val="006D7C2A"/>
    <w:rsid w:val="006E3A2A"/>
    <w:rsid w:val="006F0821"/>
    <w:rsid w:val="00700768"/>
    <w:rsid w:val="00701173"/>
    <w:rsid w:val="00706FA4"/>
    <w:rsid w:val="00724633"/>
    <w:rsid w:val="00727C19"/>
    <w:rsid w:val="007313E1"/>
    <w:rsid w:val="00746E1F"/>
    <w:rsid w:val="007513BE"/>
    <w:rsid w:val="00755345"/>
    <w:rsid w:val="00760BEA"/>
    <w:rsid w:val="00786516"/>
    <w:rsid w:val="007B78AD"/>
    <w:rsid w:val="007C24F2"/>
    <w:rsid w:val="007D6CAE"/>
    <w:rsid w:val="007E5CE3"/>
    <w:rsid w:val="007F7AF4"/>
    <w:rsid w:val="008052C8"/>
    <w:rsid w:val="00807F7C"/>
    <w:rsid w:val="008259CB"/>
    <w:rsid w:val="008427F7"/>
    <w:rsid w:val="008712DF"/>
    <w:rsid w:val="00884913"/>
    <w:rsid w:val="008900BE"/>
    <w:rsid w:val="008D3B81"/>
    <w:rsid w:val="008D4D42"/>
    <w:rsid w:val="008D6A19"/>
    <w:rsid w:val="008D77ED"/>
    <w:rsid w:val="008E0327"/>
    <w:rsid w:val="008E6454"/>
    <w:rsid w:val="008F676E"/>
    <w:rsid w:val="00903892"/>
    <w:rsid w:val="00906B6D"/>
    <w:rsid w:val="009105DE"/>
    <w:rsid w:val="00915178"/>
    <w:rsid w:val="009158A2"/>
    <w:rsid w:val="009260B4"/>
    <w:rsid w:val="0093773C"/>
    <w:rsid w:val="009423B6"/>
    <w:rsid w:val="009675F4"/>
    <w:rsid w:val="0097541E"/>
    <w:rsid w:val="00992D5A"/>
    <w:rsid w:val="00997C07"/>
    <w:rsid w:val="009B1B68"/>
    <w:rsid w:val="009D09EA"/>
    <w:rsid w:val="009D321A"/>
    <w:rsid w:val="009E5A09"/>
    <w:rsid w:val="009F562C"/>
    <w:rsid w:val="00A226EC"/>
    <w:rsid w:val="00A31A58"/>
    <w:rsid w:val="00A32858"/>
    <w:rsid w:val="00A6403C"/>
    <w:rsid w:val="00A645EF"/>
    <w:rsid w:val="00A64C38"/>
    <w:rsid w:val="00A9002B"/>
    <w:rsid w:val="00AC3B2C"/>
    <w:rsid w:val="00AD43BD"/>
    <w:rsid w:val="00AE3364"/>
    <w:rsid w:val="00AE7CED"/>
    <w:rsid w:val="00AF0991"/>
    <w:rsid w:val="00AF487D"/>
    <w:rsid w:val="00B0056D"/>
    <w:rsid w:val="00B03CD9"/>
    <w:rsid w:val="00B12B70"/>
    <w:rsid w:val="00B26E78"/>
    <w:rsid w:val="00B40014"/>
    <w:rsid w:val="00B44707"/>
    <w:rsid w:val="00B454F4"/>
    <w:rsid w:val="00B5162F"/>
    <w:rsid w:val="00B6485A"/>
    <w:rsid w:val="00B71666"/>
    <w:rsid w:val="00B95C01"/>
    <w:rsid w:val="00B9764F"/>
    <w:rsid w:val="00B97BDA"/>
    <w:rsid w:val="00BA38F8"/>
    <w:rsid w:val="00BA3B72"/>
    <w:rsid w:val="00BB44FE"/>
    <w:rsid w:val="00BF2EA5"/>
    <w:rsid w:val="00C2202C"/>
    <w:rsid w:val="00C37564"/>
    <w:rsid w:val="00C42A1A"/>
    <w:rsid w:val="00C445AA"/>
    <w:rsid w:val="00C500C4"/>
    <w:rsid w:val="00C52F6C"/>
    <w:rsid w:val="00C614A3"/>
    <w:rsid w:val="00C82BC7"/>
    <w:rsid w:val="00CB1595"/>
    <w:rsid w:val="00CE133C"/>
    <w:rsid w:val="00CF4FBD"/>
    <w:rsid w:val="00D060E7"/>
    <w:rsid w:val="00D24E43"/>
    <w:rsid w:val="00D302E9"/>
    <w:rsid w:val="00D30587"/>
    <w:rsid w:val="00D47B42"/>
    <w:rsid w:val="00D535CA"/>
    <w:rsid w:val="00D56FCE"/>
    <w:rsid w:val="00DB52A8"/>
    <w:rsid w:val="00DE0376"/>
    <w:rsid w:val="00E0163F"/>
    <w:rsid w:val="00E036B1"/>
    <w:rsid w:val="00E1193A"/>
    <w:rsid w:val="00E2512A"/>
    <w:rsid w:val="00E2792D"/>
    <w:rsid w:val="00E37B11"/>
    <w:rsid w:val="00E7285D"/>
    <w:rsid w:val="00E74177"/>
    <w:rsid w:val="00EA438F"/>
    <w:rsid w:val="00EA63B5"/>
    <w:rsid w:val="00EC51C3"/>
    <w:rsid w:val="00ED4289"/>
    <w:rsid w:val="00ED4981"/>
    <w:rsid w:val="00EE2D63"/>
    <w:rsid w:val="00EE3E1C"/>
    <w:rsid w:val="00EF35CB"/>
    <w:rsid w:val="00F1417B"/>
    <w:rsid w:val="00F14A52"/>
    <w:rsid w:val="00F15BC2"/>
    <w:rsid w:val="00F24087"/>
    <w:rsid w:val="00F33F11"/>
    <w:rsid w:val="00F34B84"/>
    <w:rsid w:val="00F36926"/>
    <w:rsid w:val="00F4601E"/>
    <w:rsid w:val="00F85C8A"/>
    <w:rsid w:val="00FA3F90"/>
    <w:rsid w:val="00FA7C26"/>
    <w:rsid w:val="00FC05F6"/>
    <w:rsid w:val="00FD5CBB"/>
    <w:rsid w:val="00FD6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B192"/>
  <w15:chartTrackingRefBased/>
  <w15:docId w15:val="{C2D037D4-FDE4-4A06-A61F-85685829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78"/>
  </w:style>
  <w:style w:type="paragraph" w:styleId="Ttulo3">
    <w:name w:val="heading 3"/>
    <w:basedOn w:val="Normal"/>
    <w:next w:val="Normal"/>
    <w:link w:val="Ttulo3Car"/>
    <w:uiPriority w:val="9"/>
    <w:semiHidden/>
    <w:unhideWhenUsed/>
    <w:qFormat/>
    <w:rsid w:val="00F4601E"/>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178"/>
    <w:pPr>
      <w:ind w:left="720"/>
      <w:contextualSpacing/>
    </w:pPr>
  </w:style>
  <w:style w:type="paragraph" w:styleId="Textonotapie">
    <w:name w:val="footnote text"/>
    <w:basedOn w:val="Normal"/>
    <w:link w:val="TextonotapieCar"/>
    <w:uiPriority w:val="99"/>
    <w:semiHidden/>
    <w:unhideWhenUsed/>
    <w:rsid w:val="00D535CA"/>
    <w:pPr>
      <w:spacing w:line="240" w:lineRule="auto"/>
    </w:pPr>
    <w:rPr>
      <w:sz w:val="20"/>
      <w:szCs w:val="20"/>
    </w:rPr>
  </w:style>
  <w:style w:type="character" w:customStyle="1" w:styleId="TextonotapieCar">
    <w:name w:val="Texto nota pie Car"/>
    <w:basedOn w:val="Fuentedeprrafopredeter"/>
    <w:link w:val="Textonotapie"/>
    <w:uiPriority w:val="99"/>
    <w:semiHidden/>
    <w:rsid w:val="00D535C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535CA"/>
    <w:rPr>
      <w:vertAlign w:val="superscript"/>
    </w:rPr>
  </w:style>
  <w:style w:type="paragraph" w:styleId="Sinespaciado">
    <w:name w:val="No Spacing"/>
    <w:basedOn w:val="Normal"/>
    <w:uiPriority w:val="1"/>
    <w:qFormat/>
    <w:rsid w:val="009D09EA"/>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9D09EA"/>
  </w:style>
  <w:style w:type="character" w:styleId="nfasis">
    <w:name w:val="Emphasis"/>
    <w:basedOn w:val="Fuentedeprrafopredeter"/>
    <w:uiPriority w:val="20"/>
    <w:qFormat/>
    <w:rsid w:val="009D09EA"/>
    <w:rPr>
      <w:i/>
      <w:iCs/>
    </w:rPr>
  </w:style>
  <w:style w:type="character" w:customStyle="1" w:styleId="Ttulo3Car">
    <w:name w:val="Título 3 Car"/>
    <w:basedOn w:val="Fuentedeprrafopredeter"/>
    <w:link w:val="Ttulo3"/>
    <w:uiPriority w:val="9"/>
    <w:semiHidden/>
    <w:rsid w:val="00F4601E"/>
    <w:rPr>
      <w:rFonts w:asciiTheme="majorHAnsi" w:eastAsiaTheme="majorEastAsia" w:hAnsiTheme="majorHAnsi" w:cstheme="majorBidi"/>
      <w:color w:val="1F4D78" w:themeColor="accent1" w:themeShade="7F"/>
    </w:rPr>
  </w:style>
  <w:style w:type="paragraph" w:styleId="Sangradetextonormal">
    <w:name w:val="Body Text Indent"/>
    <w:basedOn w:val="Normal"/>
    <w:link w:val="SangradetextonormalCar"/>
    <w:rsid w:val="00F4601E"/>
    <w:pPr>
      <w:widowControl w:val="0"/>
      <w:autoSpaceDE w:val="0"/>
      <w:autoSpaceDN w:val="0"/>
      <w:adjustRightInd w:val="0"/>
      <w:spacing w:line="360" w:lineRule="auto"/>
      <w:ind w:firstLine="708"/>
      <w:jc w:val="both"/>
    </w:pPr>
    <w:rPr>
      <w:rFonts w:eastAsia="Times New Roman"/>
      <w:lang w:eastAsia="es-ES"/>
    </w:rPr>
  </w:style>
  <w:style w:type="character" w:customStyle="1" w:styleId="SangradetextonormalCar">
    <w:name w:val="Sangría de texto normal Car"/>
    <w:basedOn w:val="Fuentedeprrafopredeter"/>
    <w:link w:val="Sangradetextonormal"/>
    <w:rsid w:val="00F4601E"/>
    <w:rPr>
      <w:rFonts w:eastAsia="Times New Roman"/>
      <w:lang w:eastAsia="es-ES"/>
    </w:rPr>
  </w:style>
  <w:style w:type="paragraph" w:styleId="Encabezado">
    <w:name w:val="header"/>
    <w:basedOn w:val="Normal"/>
    <w:link w:val="EncabezadoCar"/>
    <w:uiPriority w:val="99"/>
    <w:unhideWhenUsed/>
    <w:rsid w:val="00AC3B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3B2C"/>
  </w:style>
  <w:style w:type="paragraph" w:styleId="Piedepgina">
    <w:name w:val="footer"/>
    <w:basedOn w:val="Normal"/>
    <w:link w:val="PiedepginaCar"/>
    <w:uiPriority w:val="99"/>
    <w:unhideWhenUsed/>
    <w:rsid w:val="00AC3B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3B2C"/>
  </w:style>
  <w:style w:type="paragraph" w:styleId="Textodeglobo">
    <w:name w:val="Balloon Text"/>
    <w:basedOn w:val="Normal"/>
    <w:link w:val="TextodegloboCar"/>
    <w:uiPriority w:val="99"/>
    <w:semiHidden/>
    <w:unhideWhenUsed/>
    <w:rsid w:val="000569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9DA"/>
    <w:rPr>
      <w:rFonts w:ascii="Segoe UI" w:hAnsi="Segoe UI" w:cs="Segoe UI"/>
      <w:sz w:val="18"/>
      <w:szCs w:val="18"/>
    </w:rPr>
  </w:style>
  <w:style w:type="paragraph" w:styleId="Puesto">
    <w:name w:val="Title"/>
    <w:basedOn w:val="Normal"/>
    <w:link w:val="PuestoCar"/>
    <w:qFormat/>
    <w:rsid w:val="00B5162F"/>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B5162F"/>
    <w:rPr>
      <w:rFonts w:ascii="Arial" w:eastAsia="Times New Roman" w:hAnsi="Arial" w:cs="Arial"/>
      <w:b/>
      <w:lang w:eastAsia="es-ES"/>
    </w:rPr>
  </w:style>
  <w:style w:type="paragraph" w:styleId="Textoindependiente">
    <w:name w:val="Body Text"/>
    <w:basedOn w:val="Normal"/>
    <w:link w:val="TextoindependienteCar"/>
    <w:unhideWhenUsed/>
    <w:rsid w:val="00D30587"/>
    <w:pPr>
      <w:spacing w:after="120" w:line="240" w:lineRule="auto"/>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D30587"/>
    <w:rPr>
      <w:rFonts w:ascii="Times New Roman" w:eastAsia="Times New Roman" w:hAnsi="Times New Roman" w:cs="Times New Roman"/>
      <w:lang w:eastAsia="es-ES"/>
    </w:rPr>
  </w:style>
  <w:style w:type="paragraph" w:customStyle="1" w:styleId="xmsonormal">
    <w:name w:val="x_msonormal"/>
    <w:basedOn w:val="Normal"/>
    <w:rsid w:val="00450355"/>
    <w:pPr>
      <w:spacing w:before="100" w:beforeAutospacing="1" w:after="100" w:afterAutospacing="1" w:line="240" w:lineRule="auto"/>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5131">
      <w:bodyDiv w:val="1"/>
      <w:marLeft w:val="0"/>
      <w:marRight w:val="0"/>
      <w:marTop w:val="0"/>
      <w:marBottom w:val="0"/>
      <w:divBdr>
        <w:top w:val="none" w:sz="0" w:space="0" w:color="auto"/>
        <w:left w:val="none" w:sz="0" w:space="0" w:color="auto"/>
        <w:bottom w:val="none" w:sz="0" w:space="0" w:color="auto"/>
        <w:right w:val="none" w:sz="0" w:space="0" w:color="auto"/>
      </w:divBdr>
    </w:div>
    <w:div w:id="389620231">
      <w:bodyDiv w:val="1"/>
      <w:marLeft w:val="0"/>
      <w:marRight w:val="0"/>
      <w:marTop w:val="0"/>
      <w:marBottom w:val="0"/>
      <w:divBdr>
        <w:top w:val="none" w:sz="0" w:space="0" w:color="auto"/>
        <w:left w:val="none" w:sz="0" w:space="0" w:color="auto"/>
        <w:bottom w:val="none" w:sz="0" w:space="0" w:color="auto"/>
        <w:right w:val="none" w:sz="0" w:space="0" w:color="auto"/>
      </w:divBdr>
    </w:div>
    <w:div w:id="1176382148">
      <w:bodyDiv w:val="1"/>
      <w:marLeft w:val="0"/>
      <w:marRight w:val="0"/>
      <w:marTop w:val="0"/>
      <w:marBottom w:val="0"/>
      <w:divBdr>
        <w:top w:val="none" w:sz="0" w:space="0" w:color="auto"/>
        <w:left w:val="none" w:sz="0" w:space="0" w:color="auto"/>
        <w:bottom w:val="none" w:sz="0" w:space="0" w:color="auto"/>
        <w:right w:val="none" w:sz="0" w:space="0" w:color="auto"/>
      </w:divBdr>
    </w:div>
    <w:div w:id="1417096815">
      <w:bodyDiv w:val="1"/>
      <w:marLeft w:val="0"/>
      <w:marRight w:val="0"/>
      <w:marTop w:val="0"/>
      <w:marBottom w:val="0"/>
      <w:divBdr>
        <w:top w:val="none" w:sz="0" w:space="0" w:color="auto"/>
        <w:left w:val="none" w:sz="0" w:space="0" w:color="auto"/>
        <w:bottom w:val="none" w:sz="0" w:space="0" w:color="auto"/>
        <w:right w:val="none" w:sz="0" w:space="0" w:color="auto"/>
      </w:divBdr>
    </w:div>
    <w:div w:id="1868984493">
      <w:bodyDiv w:val="1"/>
      <w:marLeft w:val="0"/>
      <w:marRight w:val="0"/>
      <w:marTop w:val="0"/>
      <w:marBottom w:val="0"/>
      <w:divBdr>
        <w:top w:val="none" w:sz="0" w:space="0" w:color="auto"/>
        <w:left w:val="none" w:sz="0" w:space="0" w:color="auto"/>
        <w:bottom w:val="none" w:sz="0" w:space="0" w:color="auto"/>
        <w:right w:val="none" w:sz="0" w:space="0" w:color="auto"/>
      </w:divBdr>
    </w:div>
    <w:div w:id="20449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DC07-6E9C-4ED8-98F1-D330F9A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6</Pages>
  <Words>2888</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63</cp:revision>
  <cp:lastPrinted>2016-09-09T12:47:00Z</cp:lastPrinted>
  <dcterms:created xsi:type="dcterms:W3CDTF">2016-08-04T20:43:00Z</dcterms:created>
  <dcterms:modified xsi:type="dcterms:W3CDTF">2016-11-21T20:53:00Z</dcterms:modified>
</cp:coreProperties>
</file>