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260DD62" w14:textId="77777777" w:rsidR="009A4059" w:rsidRPr="002B7B53" w:rsidRDefault="009A4059" w:rsidP="001929E3">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1919BED0" w14:textId="77777777" w:rsidR="009A4059" w:rsidRPr="002B7B53" w:rsidRDefault="009A4059" w:rsidP="005C75F8">
      <w:pPr>
        <w:pStyle w:val="Puesto"/>
        <w:spacing w:line="240" w:lineRule="auto"/>
        <w:jc w:val="both"/>
        <w:rPr>
          <w:rFonts w:ascii="Tahoma" w:hAnsi="Tahoma" w:cs="Tahoma"/>
          <w:b w:val="0"/>
          <w:sz w:val="18"/>
          <w:szCs w:val="18"/>
        </w:rPr>
      </w:pPr>
    </w:p>
    <w:p w14:paraId="0BB9EC9C" w14:textId="5FE97323"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9061EA">
        <w:rPr>
          <w:rFonts w:ascii="Tahoma" w:hAnsi="Tahoma" w:cs="Tahoma"/>
          <w:b w:val="0"/>
          <w:bCs/>
          <w:sz w:val="18"/>
          <w:szCs w:val="18"/>
        </w:rPr>
        <w:t xml:space="preserve">5 de septiembre de </w:t>
      </w:r>
      <w:r w:rsidR="009061EA" w:rsidRPr="002B7B53">
        <w:rPr>
          <w:rFonts w:ascii="Tahoma" w:hAnsi="Tahoma" w:cs="Tahoma"/>
          <w:b w:val="0"/>
          <w:bCs/>
          <w:sz w:val="18"/>
          <w:szCs w:val="18"/>
        </w:rPr>
        <w:t>201</w:t>
      </w:r>
      <w:r w:rsidR="009061EA">
        <w:rPr>
          <w:rFonts w:ascii="Tahoma" w:hAnsi="Tahoma" w:cs="Tahoma"/>
          <w:b w:val="0"/>
          <w:bCs/>
          <w:sz w:val="18"/>
          <w:szCs w:val="18"/>
        </w:rPr>
        <w:t xml:space="preserve">6 (26 </w:t>
      </w:r>
      <w:r w:rsidR="007F3C57">
        <w:rPr>
          <w:rFonts w:ascii="Tahoma" w:hAnsi="Tahoma" w:cs="Tahoma"/>
          <w:b w:val="0"/>
          <w:bCs/>
          <w:sz w:val="18"/>
          <w:szCs w:val="18"/>
        </w:rPr>
        <w:t xml:space="preserve">de </w:t>
      </w:r>
      <w:r w:rsidR="005C6AFD">
        <w:rPr>
          <w:rFonts w:ascii="Tahoma" w:hAnsi="Tahoma" w:cs="Tahoma"/>
          <w:b w:val="0"/>
          <w:bCs/>
          <w:sz w:val="18"/>
          <w:szCs w:val="18"/>
        </w:rPr>
        <w:t>agosto</w:t>
      </w:r>
      <w:r w:rsidR="009061EA">
        <w:rPr>
          <w:rFonts w:ascii="Tahoma" w:hAnsi="Tahoma" w:cs="Tahoma"/>
          <w:b w:val="0"/>
          <w:bCs/>
          <w:sz w:val="18"/>
          <w:szCs w:val="18"/>
        </w:rPr>
        <w:t>)</w:t>
      </w:r>
      <w:r w:rsidR="007F3C57">
        <w:rPr>
          <w:rFonts w:ascii="Tahoma" w:hAnsi="Tahoma" w:cs="Tahoma"/>
          <w:b w:val="0"/>
          <w:bCs/>
          <w:sz w:val="18"/>
          <w:szCs w:val="18"/>
        </w:rPr>
        <w:t xml:space="preserve"> </w:t>
      </w:r>
    </w:p>
    <w:p w14:paraId="76B6D53D" w14:textId="77777777"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C6AFD">
        <w:rPr>
          <w:rFonts w:ascii="Tahoma" w:hAnsi="Tahoma" w:cs="Tahoma"/>
          <w:b w:val="0"/>
          <w:sz w:val="18"/>
          <w:szCs w:val="18"/>
        </w:rPr>
        <w:t>2</w:t>
      </w:r>
      <w:r w:rsidRPr="002B7B53">
        <w:rPr>
          <w:rFonts w:ascii="Tahoma" w:hAnsi="Tahoma" w:cs="Tahoma"/>
          <w:b w:val="0"/>
          <w:sz w:val="18"/>
          <w:szCs w:val="18"/>
        </w:rPr>
        <w:t>-</w:t>
      </w:r>
      <w:r w:rsidR="005C6AFD">
        <w:rPr>
          <w:rFonts w:ascii="Tahoma" w:hAnsi="Tahoma" w:cs="Tahoma"/>
          <w:b w:val="0"/>
          <w:sz w:val="18"/>
          <w:szCs w:val="18"/>
        </w:rPr>
        <w:t>2014-00029</w:t>
      </w:r>
      <w:r w:rsidR="007F3C57">
        <w:rPr>
          <w:rFonts w:ascii="Tahoma" w:hAnsi="Tahoma" w:cs="Tahoma"/>
          <w:b w:val="0"/>
          <w:sz w:val="18"/>
          <w:szCs w:val="18"/>
        </w:rPr>
        <w:t>-01</w:t>
      </w:r>
    </w:p>
    <w:p w14:paraId="5F1F8AAE" w14:textId="77777777"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5818296C" w14:textId="77777777"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5C6AFD">
        <w:rPr>
          <w:rFonts w:ascii="Tahoma" w:hAnsi="Tahoma" w:cs="Tahoma"/>
          <w:b w:val="0"/>
          <w:sz w:val="18"/>
          <w:szCs w:val="18"/>
        </w:rPr>
        <w:t>Edilia Bedoya Montoya</w:t>
      </w:r>
    </w:p>
    <w:p w14:paraId="31FA09DF" w14:textId="77777777" w:rsidR="009A4059" w:rsidRPr="002B7B53" w:rsidRDefault="009A4059" w:rsidP="00CE773D">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60599098" w14:textId="77777777"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C6AFD">
        <w:rPr>
          <w:rFonts w:ascii="Tahoma" w:hAnsi="Tahoma" w:cs="Tahoma"/>
          <w:b w:val="0"/>
          <w:sz w:val="18"/>
          <w:szCs w:val="18"/>
        </w:rPr>
        <w:t>Segundo</w:t>
      </w:r>
      <w:r w:rsidR="007F3C57">
        <w:rPr>
          <w:rFonts w:ascii="Tahoma" w:hAnsi="Tahoma" w:cs="Tahoma"/>
          <w:b w:val="0"/>
          <w:sz w:val="18"/>
          <w:szCs w:val="18"/>
        </w:rPr>
        <w:t xml:space="preserve"> </w:t>
      </w:r>
      <w:r w:rsidRPr="002B7B53">
        <w:rPr>
          <w:rFonts w:ascii="Tahoma" w:hAnsi="Tahoma" w:cs="Tahoma"/>
          <w:b w:val="0"/>
          <w:sz w:val="18"/>
          <w:szCs w:val="18"/>
        </w:rPr>
        <w:t>Laboral del Circuito de Pereira</w:t>
      </w:r>
    </w:p>
    <w:p w14:paraId="670CF63A" w14:textId="77777777"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2A6E4210" w14:textId="4E052A63" w:rsidR="00EC059E" w:rsidRPr="00EC059E" w:rsidRDefault="005A1C22" w:rsidP="00EC059E">
      <w:pPr>
        <w:pStyle w:val="Puesto"/>
        <w:spacing w:line="240" w:lineRule="auto"/>
        <w:ind w:left="2127" w:hanging="2127"/>
        <w:jc w:val="both"/>
        <w:rPr>
          <w:rFonts w:ascii="Tahoma" w:hAnsi="Tahoma" w:cs="Tahoma"/>
          <w:b w:val="0"/>
          <w:sz w:val="18"/>
          <w:szCs w:val="18"/>
        </w:rPr>
      </w:pPr>
      <w:r>
        <w:rPr>
          <w:rFonts w:ascii="Tahoma" w:hAnsi="Tahoma" w:cs="Tahoma"/>
          <w:sz w:val="18"/>
          <w:szCs w:val="18"/>
        </w:rPr>
        <w:t>Tema:</w:t>
      </w:r>
      <w:r>
        <w:rPr>
          <w:rFonts w:ascii="Tahoma" w:hAnsi="Tahoma" w:cs="Tahoma"/>
          <w:sz w:val="18"/>
          <w:szCs w:val="18"/>
        </w:rPr>
        <w:tab/>
      </w:r>
      <w:r w:rsidR="00376339" w:rsidRPr="00376339">
        <w:rPr>
          <w:rFonts w:ascii="Tahoma" w:hAnsi="Tahoma" w:cs="Tahoma"/>
          <w:sz w:val="18"/>
          <w:szCs w:val="18"/>
        </w:rPr>
        <w:t>OBTENCIÓN DEL INGRESO BASE DE LIQUIDACIÓN PARA LAS PERSONAS BENEFICIARIAS DEL RÉGIMEN DE TRANSICIÓN ESTABLECIDO EN EL ARTÍCULO 36 DE LA LEY 100 DE 1993</w:t>
      </w:r>
      <w:r w:rsidR="00376339">
        <w:rPr>
          <w:rFonts w:ascii="Tahoma" w:hAnsi="Tahoma" w:cs="Tahoma"/>
          <w:sz w:val="18"/>
          <w:szCs w:val="18"/>
        </w:rPr>
        <w:t xml:space="preserve">: </w:t>
      </w:r>
      <w:r w:rsidR="00EC059E">
        <w:rPr>
          <w:rFonts w:ascii="Tahoma" w:hAnsi="Tahoma" w:cs="Tahoma"/>
          <w:b w:val="0"/>
          <w:sz w:val="18"/>
          <w:szCs w:val="18"/>
        </w:rPr>
        <w:t>h</w:t>
      </w:r>
      <w:r w:rsidR="00EC059E" w:rsidRPr="00EC059E">
        <w:rPr>
          <w:rFonts w:ascii="Tahoma" w:hAnsi="Tahoma" w:cs="Tahoma"/>
          <w:b w:val="0"/>
          <w:sz w:val="18"/>
          <w:szCs w:val="18"/>
        </w:rPr>
        <w:t>a sido consistente la postura jurídica de esta Corporación en el sentido de afirmar que el ingreso base de liquidación (IBL) de los beneficiarios del régimen de transición depende del tiempo que le hiciere falta a los mismos para acceder a la prestación. Así, para quienes les faltaba más de 10 años para acceder a la pensión, el I.B.L. se liquidará atendiendo a los preceptos establecidos en el artículo 21 de la Ley 100 de 1993, esto es, con el promedio de los salarios devengados en los últimos 10 años que precedieron el reconocimiento de la pensión, o el de toda la vida, siempre que el número de semanas cotizadas sea haya sido superior 1250; por su parte para quienes, como la actora, les faltaban menos de 10 años a la entrada en vigencia de la Ley 100 de 1993 para acceder a la prestación se les aplicará el tercer inciso del artículo 36 de la Ley 100 de 1993; que admite el cálculo a partir del promedio de lo cotizado dentro del tiempo que le hacía falta al afiliado para obtener la pensión parados en la fecha de entrada en vigencia de la Ley 100 de 1993, o el de toda la vida laboral, eligiendo entre esos dos métodos de liquidación el que más favorezca los intereses del pensionado.</w:t>
      </w:r>
    </w:p>
    <w:p w14:paraId="4CAD0037" w14:textId="77777777" w:rsidR="00CE773D" w:rsidRDefault="00CE773D" w:rsidP="005C75F8">
      <w:pPr>
        <w:pStyle w:val="Puesto"/>
        <w:spacing w:line="276" w:lineRule="auto"/>
        <w:jc w:val="both"/>
        <w:rPr>
          <w:rFonts w:ascii="Tahoma" w:hAnsi="Tahoma" w:cs="Tahoma"/>
          <w:b w:val="0"/>
          <w:bCs/>
          <w:sz w:val="18"/>
          <w:szCs w:val="18"/>
        </w:rPr>
      </w:pPr>
    </w:p>
    <w:p w14:paraId="23EE2DC7" w14:textId="77777777"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035EDF13" w14:textId="77777777"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69A07CB8" w14:textId="77777777" w:rsidR="009A4059" w:rsidRPr="00042881" w:rsidRDefault="009A4059" w:rsidP="005C75F8">
      <w:pPr>
        <w:pStyle w:val="Sinespaciado"/>
        <w:rPr>
          <w:sz w:val="22"/>
          <w:szCs w:val="22"/>
        </w:rPr>
      </w:pPr>
    </w:p>
    <w:p w14:paraId="4CDD8E1D" w14:textId="77777777" w:rsidR="009A4059" w:rsidRPr="002B7B53" w:rsidRDefault="009A4059" w:rsidP="000F4F7B">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6AA1BE42" w14:textId="77777777" w:rsidR="009A4059" w:rsidRPr="00042881" w:rsidRDefault="009A4059" w:rsidP="00794993">
      <w:pPr>
        <w:pStyle w:val="Sinespaciado"/>
        <w:rPr>
          <w:sz w:val="22"/>
          <w:szCs w:val="22"/>
        </w:rPr>
      </w:pPr>
    </w:p>
    <w:p w14:paraId="5A0CCE01" w14:textId="77777777" w:rsidR="009A4059" w:rsidRPr="002B7B53" w:rsidRDefault="00D83F33" w:rsidP="000F4F7B">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3847E903" w14:textId="0565D383" w:rsidR="009A4059" w:rsidRPr="002B7B53" w:rsidRDefault="009A4059" w:rsidP="000F4F7B">
      <w:pPr>
        <w:spacing w:line="276" w:lineRule="auto"/>
        <w:jc w:val="center"/>
        <w:rPr>
          <w:rFonts w:ascii="Tahoma" w:hAnsi="Tahoma" w:cs="Tahoma"/>
          <w:b/>
        </w:rPr>
      </w:pPr>
      <w:r w:rsidRPr="002B7B53">
        <w:rPr>
          <w:rFonts w:ascii="Tahoma" w:hAnsi="Tahoma" w:cs="Tahoma"/>
          <w:b/>
        </w:rPr>
        <w:t>(</w:t>
      </w:r>
      <w:r w:rsidR="009061EA">
        <w:rPr>
          <w:rFonts w:ascii="Tahoma" w:hAnsi="Tahoma" w:cs="Tahoma"/>
          <w:b/>
        </w:rPr>
        <w:t>5 de septiembre de 2016)</w:t>
      </w:r>
      <w:r w:rsidR="007F3C57">
        <w:rPr>
          <w:rFonts w:ascii="Tahoma" w:hAnsi="Tahoma" w:cs="Tahoma"/>
          <w:b/>
        </w:rPr>
        <w:t xml:space="preserve"> </w:t>
      </w:r>
    </w:p>
    <w:p w14:paraId="39C2DA1A" w14:textId="77777777" w:rsidR="009A4059" w:rsidRPr="00042881" w:rsidRDefault="009A4059" w:rsidP="00794993">
      <w:pPr>
        <w:pStyle w:val="Sinespaciado"/>
        <w:rPr>
          <w:sz w:val="22"/>
          <w:szCs w:val="22"/>
        </w:rPr>
      </w:pPr>
    </w:p>
    <w:p w14:paraId="0335F243" w14:textId="77777777" w:rsidR="009A4059" w:rsidRPr="002B7B53" w:rsidRDefault="009A4059" w:rsidP="000F4F7B">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479BAD83" w14:textId="77777777" w:rsidR="009A4059" w:rsidRPr="00042881" w:rsidRDefault="009A4059" w:rsidP="00794993">
      <w:pPr>
        <w:pStyle w:val="Sinespaciado"/>
        <w:rPr>
          <w:sz w:val="22"/>
          <w:szCs w:val="22"/>
          <w:lang w:val="es-ES_tradnl"/>
        </w:rPr>
      </w:pPr>
      <w:r w:rsidRPr="002B7B53">
        <w:tab/>
      </w:r>
    </w:p>
    <w:p w14:paraId="64C327FB" w14:textId="7BB8082F" w:rsidR="001929E3" w:rsidRDefault="00980CDA" w:rsidP="005C75F8">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5C6AFD">
        <w:rPr>
          <w:rFonts w:ascii="Tahoma" w:hAnsi="Tahoma" w:cs="Tahoma"/>
          <w:lang w:val="es-ES_tradnl"/>
        </w:rPr>
        <w:t>_____</w:t>
      </w:r>
      <w:r w:rsidR="007F3C57">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9061EA">
        <w:rPr>
          <w:rFonts w:ascii="Tahoma" w:hAnsi="Tahoma" w:cs="Tahoma"/>
          <w:lang w:val="es-ES_tradnl"/>
        </w:rPr>
        <w:t>lunes 5 de septiembre de 2016 (</w:t>
      </w:r>
      <w:r w:rsidR="005C6AFD">
        <w:rPr>
          <w:rFonts w:ascii="Tahoma" w:hAnsi="Tahoma" w:cs="Tahoma"/>
          <w:lang w:val="es-ES_tradnl"/>
        </w:rPr>
        <w:t>26</w:t>
      </w:r>
      <w:r w:rsidR="007F3C57">
        <w:rPr>
          <w:rFonts w:ascii="Tahoma" w:hAnsi="Tahoma" w:cs="Tahoma"/>
          <w:lang w:val="es-ES_tradnl"/>
        </w:rPr>
        <w:t xml:space="preserve"> de </w:t>
      </w:r>
      <w:r w:rsidR="005C6AFD">
        <w:rPr>
          <w:rFonts w:ascii="Tahoma" w:hAnsi="Tahoma" w:cs="Tahoma"/>
          <w:lang w:val="es-ES_tradnl"/>
        </w:rPr>
        <w:t>agosto</w:t>
      </w:r>
      <w:r w:rsidR="009061EA">
        <w:rPr>
          <w:rFonts w:ascii="Tahoma" w:hAnsi="Tahoma" w:cs="Tahoma"/>
          <w:lang w:val="es-ES_tradnl"/>
        </w:rPr>
        <w:t>)</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5C6AFD">
        <w:rPr>
          <w:rFonts w:ascii="Tahoma" w:hAnsi="Tahoma" w:cs="Tahoma"/>
          <w:b/>
          <w:lang w:val="es-ES_tradnl"/>
        </w:rPr>
        <w:t>Edilia Bedoya Montoya</w:t>
      </w:r>
      <w:r>
        <w:rPr>
          <w:rFonts w:ascii="Tahoma" w:hAnsi="Tahoma" w:cs="Tahoma"/>
          <w:lang w:val="es-ES_tradnl"/>
        </w:rPr>
        <w:t xml:space="preserve">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9A4059" w:rsidRPr="002B7B53">
        <w:rPr>
          <w:rFonts w:ascii="Tahoma" w:hAnsi="Tahoma" w:cs="Tahoma"/>
          <w:lang w:val="es-ES_tradnl"/>
        </w:rPr>
        <w:t>.</w:t>
      </w:r>
      <w:r w:rsidR="005C75F8">
        <w:rPr>
          <w:rFonts w:ascii="Tahoma" w:hAnsi="Tahoma" w:cs="Tahoma"/>
          <w:lang w:val="es-ES_tradnl"/>
        </w:rPr>
        <w:t xml:space="preserve"> </w:t>
      </w:r>
    </w:p>
    <w:p w14:paraId="46397905" w14:textId="77777777" w:rsidR="001929E3" w:rsidRDefault="001929E3" w:rsidP="005C75F8">
      <w:pPr>
        <w:spacing w:line="276" w:lineRule="auto"/>
        <w:ind w:firstLine="708"/>
        <w:jc w:val="both"/>
        <w:rPr>
          <w:rFonts w:ascii="Tahoma" w:hAnsi="Tahoma" w:cs="Tahoma"/>
          <w:lang w:val="es-ES_tradnl"/>
        </w:rPr>
      </w:pPr>
    </w:p>
    <w:p w14:paraId="72B01263" w14:textId="2DE1B069" w:rsidR="009A4059" w:rsidRDefault="009A4059" w:rsidP="005C75F8">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67BE53CE" w14:textId="77777777" w:rsidR="009A4059" w:rsidRPr="008D0272" w:rsidRDefault="009A4059" w:rsidP="001929E3">
      <w:pPr>
        <w:pStyle w:val="Sinespaciado"/>
      </w:pPr>
    </w:p>
    <w:p w14:paraId="0BA1E42D" w14:textId="77777777" w:rsidR="009A4059" w:rsidRPr="002B7B53"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5CBB39C2" w14:textId="77777777" w:rsidR="009A4059" w:rsidRPr="008D0272" w:rsidRDefault="009A4059" w:rsidP="008D0272">
      <w:pPr>
        <w:pStyle w:val="Sinespaciado"/>
      </w:pPr>
    </w:p>
    <w:p w14:paraId="15A3B626" w14:textId="77777777"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448F8E25" w14:textId="77777777" w:rsidR="00C30D72" w:rsidRPr="008D0272" w:rsidRDefault="00C30D72" w:rsidP="008D0272">
      <w:pPr>
        <w:pStyle w:val="Sinespaciado"/>
      </w:pPr>
    </w:p>
    <w:p w14:paraId="524D0013" w14:textId="77777777" w:rsidR="009A4059"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6E68F17A" w14:textId="77777777" w:rsidR="00376339" w:rsidRDefault="00376339" w:rsidP="005C75F8">
      <w:pPr>
        <w:pStyle w:val="Sinespaciado"/>
        <w:spacing w:line="276" w:lineRule="auto"/>
        <w:jc w:val="both"/>
      </w:pPr>
    </w:p>
    <w:p w14:paraId="3BF15593" w14:textId="592C5BE0" w:rsidR="005C75F8" w:rsidRPr="000C1918" w:rsidRDefault="005C75F8" w:rsidP="005C75F8">
      <w:pPr>
        <w:widowControl w:val="0"/>
        <w:autoSpaceDE w:val="0"/>
        <w:autoSpaceDN w:val="0"/>
        <w:adjustRightInd w:val="0"/>
        <w:spacing w:line="276" w:lineRule="auto"/>
        <w:ind w:firstLine="708"/>
        <w:jc w:val="both"/>
        <w:rPr>
          <w:rFonts w:ascii="Tahoma" w:hAnsi="Tahoma" w:cs="Tahoma"/>
          <w:color w:val="000000" w:themeColor="text1"/>
        </w:rPr>
      </w:pPr>
      <w:r w:rsidRPr="00364064">
        <w:rPr>
          <w:rFonts w:ascii="Tahoma" w:hAnsi="Tahoma" w:cs="Tahoma"/>
          <w:color w:val="000000" w:themeColor="text1"/>
        </w:rPr>
        <w:t>Como quiera que los alegatos</w:t>
      </w:r>
      <w:r>
        <w:rPr>
          <w:rFonts w:ascii="Tahoma" w:hAnsi="Tahoma" w:cs="Tahoma"/>
          <w:color w:val="000000" w:themeColor="text1"/>
        </w:rPr>
        <w:t xml:space="preserve"> acabados de escuchar</w:t>
      </w:r>
      <w:r w:rsidRPr="00364064">
        <w:rPr>
          <w:rFonts w:ascii="Tahoma" w:hAnsi="Tahoma" w:cs="Tahoma"/>
          <w:color w:val="000000" w:themeColor="text1"/>
        </w:rPr>
        <w:t xml:space="preserve"> coinciden a cabalidad con los puntos fácticos y jurídicos objeto de discusión en esta instancia, procede </w:t>
      </w:r>
      <w:r>
        <w:rPr>
          <w:rFonts w:ascii="Tahoma" w:hAnsi="Tahoma" w:cs="Tahoma"/>
          <w:color w:val="000000" w:themeColor="text1"/>
        </w:rPr>
        <w:t xml:space="preserve">la Sala </w:t>
      </w:r>
      <w:r w:rsidRPr="002B7B53">
        <w:rPr>
          <w:rFonts w:ascii="Tahoma" w:hAnsi="Tahoma" w:cs="Tahoma"/>
        </w:rPr>
        <w:t xml:space="preserve">a resolver </w:t>
      </w:r>
      <w:r>
        <w:rPr>
          <w:rFonts w:ascii="Tahoma" w:hAnsi="Tahoma" w:cs="Tahoma"/>
        </w:rPr>
        <w:t xml:space="preserve">el grado jurisdiccional de consulta de la sentencia emitida por </w:t>
      </w:r>
      <w:r>
        <w:rPr>
          <w:rFonts w:ascii="Tahoma" w:hAnsi="Tahoma" w:cs="Tahoma"/>
          <w:lang w:val="es-CO"/>
        </w:rPr>
        <w:t xml:space="preserve">el Juzgado </w:t>
      </w:r>
      <w:r w:rsidRPr="002B7B53">
        <w:rPr>
          <w:rFonts w:ascii="Tahoma" w:hAnsi="Tahoma" w:cs="Tahoma"/>
        </w:rPr>
        <w:t xml:space="preserve">a resolver </w:t>
      </w:r>
      <w:r>
        <w:rPr>
          <w:rFonts w:ascii="Tahoma" w:hAnsi="Tahoma" w:cs="Tahoma"/>
        </w:rPr>
        <w:t xml:space="preserve">el grado jurisdiccional de consulta de la sentencia emitida por el Juzgado Segundo </w:t>
      </w:r>
      <w:r>
        <w:rPr>
          <w:rFonts w:ascii="Tahoma" w:hAnsi="Tahoma" w:cs="Tahoma"/>
          <w:lang w:val="es-CO"/>
        </w:rPr>
        <w:t xml:space="preserve">Laboral del Circuito de Pereira el pasado </w:t>
      </w:r>
      <w:r>
        <w:rPr>
          <w:rFonts w:ascii="Tahoma" w:hAnsi="Tahoma" w:cs="Tahoma"/>
        </w:rPr>
        <w:t>21 de abril de 2015</w:t>
      </w:r>
      <w:r>
        <w:rPr>
          <w:rFonts w:ascii="Tahoma" w:hAnsi="Tahoma" w:cs="Tahoma"/>
          <w:lang w:val="es-CO"/>
        </w:rPr>
        <w:t>, la cual fuera desfavorable a la entidad pública demandada.</w:t>
      </w:r>
    </w:p>
    <w:p w14:paraId="681D0262" w14:textId="77777777" w:rsidR="005C75F8" w:rsidRPr="008D0272" w:rsidRDefault="005C75F8" w:rsidP="008D0272">
      <w:pPr>
        <w:pStyle w:val="Sinespaciado"/>
      </w:pPr>
    </w:p>
    <w:p w14:paraId="3F8023F7" w14:textId="77777777" w:rsidR="00237416" w:rsidRDefault="00237416" w:rsidP="000F4F7B">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lastRenderedPageBreak/>
        <w:t>Problema jurídico por resolver</w:t>
      </w:r>
    </w:p>
    <w:p w14:paraId="31F09A91" w14:textId="77777777" w:rsidR="00ED49B8" w:rsidRPr="008D0272" w:rsidRDefault="00ED49B8" w:rsidP="008D0272">
      <w:pPr>
        <w:pStyle w:val="Sinespaciado"/>
      </w:pPr>
    </w:p>
    <w:p w14:paraId="3328F5B4" w14:textId="63B64D82" w:rsidR="00C247D4" w:rsidRDefault="00ED49B8" w:rsidP="00C247D4">
      <w:pPr>
        <w:tabs>
          <w:tab w:val="left" w:pos="561"/>
        </w:tabs>
        <w:spacing w:line="276" w:lineRule="auto"/>
        <w:jc w:val="both"/>
        <w:rPr>
          <w:rFonts w:ascii="Tahoma" w:hAnsi="Tahoma" w:cs="Tahoma"/>
        </w:rPr>
      </w:pPr>
      <w:r w:rsidRPr="00924069">
        <w:rPr>
          <w:rFonts w:ascii="Tahoma" w:hAnsi="Tahoma" w:cs="Tahoma"/>
        </w:rPr>
        <w:tab/>
      </w:r>
      <w:r w:rsidRPr="00376339">
        <w:rPr>
          <w:rFonts w:ascii="Tahoma" w:hAnsi="Tahoma" w:cs="Tahoma"/>
        </w:rPr>
        <w:t xml:space="preserve">De acuerdo a lo expuesto en la sentencia de primera instancia, </w:t>
      </w:r>
      <w:r w:rsidR="00376339" w:rsidRPr="00376339">
        <w:rPr>
          <w:rFonts w:ascii="Tahoma" w:hAnsi="Tahoma" w:cs="Tahoma"/>
        </w:rPr>
        <w:t xml:space="preserve">le corresponde a la Sala establecer si es procedente que el Ingreso Base de Liquidación de una pensión reconocida en aplicación del régimen de transición de que trata el artículo 36 </w:t>
      </w:r>
      <w:r w:rsidR="005C75F8">
        <w:rPr>
          <w:rFonts w:ascii="Tahoma" w:hAnsi="Tahoma" w:cs="Tahoma"/>
        </w:rPr>
        <w:t>de la ley 100 de 1993 se liquide</w:t>
      </w:r>
      <w:r w:rsidR="00376339" w:rsidRPr="00376339">
        <w:rPr>
          <w:rFonts w:ascii="Tahoma" w:hAnsi="Tahoma" w:cs="Tahoma"/>
        </w:rPr>
        <w:t xml:space="preserve"> con base en el promedio de lo devengado p</w:t>
      </w:r>
      <w:r w:rsidR="005C75F8">
        <w:rPr>
          <w:rFonts w:ascii="Tahoma" w:hAnsi="Tahoma" w:cs="Tahoma"/>
        </w:rPr>
        <w:t>or la afiliada dentro del</w:t>
      </w:r>
      <w:r w:rsidR="00376339" w:rsidRPr="00376339">
        <w:rPr>
          <w:rFonts w:ascii="Tahoma" w:hAnsi="Tahoma" w:cs="Tahoma"/>
        </w:rPr>
        <w:t xml:space="preserve"> </w:t>
      </w:r>
      <w:r w:rsidR="00376339">
        <w:rPr>
          <w:rFonts w:ascii="Tahoma" w:hAnsi="Tahoma" w:cs="Tahoma"/>
        </w:rPr>
        <w:t xml:space="preserve">tiempo que le </w:t>
      </w:r>
      <w:r w:rsidR="005C75F8">
        <w:rPr>
          <w:rFonts w:ascii="Tahoma" w:hAnsi="Tahoma" w:cs="Tahoma"/>
        </w:rPr>
        <w:t>hacía falta</w:t>
      </w:r>
      <w:r w:rsidR="00376339">
        <w:rPr>
          <w:rFonts w:ascii="Tahoma" w:hAnsi="Tahoma" w:cs="Tahoma"/>
        </w:rPr>
        <w:t xml:space="preserve"> para</w:t>
      </w:r>
      <w:r w:rsidR="00C247D4">
        <w:rPr>
          <w:rFonts w:ascii="Tahoma" w:hAnsi="Tahoma" w:cs="Tahoma"/>
        </w:rPr>
        <w:t xml:space="preserve"> pensionarse a partir del 1º de abril de 199</w:t>
      </w:r>
      <w:r w:rsidR="000D659F">
        <w:rPr>
          <w:rFonts w:ascii="Tahoma" w:hAnsi="Tahoma" w:cs="Tahoma"/>
        </w:rPr>
        <w:t>4</w:t>
      </w:r>
      <w:r w:rsidR="00C247D4">
        <w:rPr>
          <w:rFonts w:ascii="Tahoma" w:hAnsi="Tahoma" w:cs="Tahoma"/>
        </w:rPr>
        <w:t>, fecha en que entró en vigencia la Ley 100 de 1993.</w:t>
      </w:r>
      <w:r w:rsidR="00376339">
        <w:rPr>
          <w:rFonts w:ascii="Tahoma" w:hAnsi="Tahoma" w:cs="Tahoma"/>
        </w:rPr>
        <w:t xml:space="preserve"> </w:t>
      </w:r>
    </w:p>
    <w:p w14:paraId="182142C0" w14:textId="5E6F40A3" w:rsidR="009A4059" w:rsidRPr="000D659F" w:rsidRDefault="000D659F" w:rsidP="000D659F">
      <w:pPr>
        <w:pStyle w:val="Prrafodelista"/>
        <w:numPr>
          <w:ilvl w:val="0"/>
          <w:numId w:val="11"/>
        </w:numPr>
        <w:tabs>
          <w:tab w:val="left" w:pos="561"/>
        </w:tabs>
        <w:spacing w:line="276" w:lineRule="auto"/>
        <w:jc w:val="center"/>
        <w:rPr>
          <w:rFonts w:ascii="Tahoma" w:hAnsi="Tahoma" w:cs="Tahoma"/>
          <w:b/>
        </w:rPr>
      </w:pPr>
      <w:r>
        <w:rPr>
          <w:rFonts w:ascii="Tahoma" w:hAnsi="Tahoma" w:cs="Tahoma"/>
          <w:b/>
        </w:rPr>
        <w:t xml:space="preserve"> </w:t>
      </w:r>
      <w:r w:rsidR="00D90180" w:rsidRPr="000D659F">
        <w:rPr>
          <w:rFonts w:ascii="Tahoma" w:hAnsi="Tahoma" w:cs="Tahoma"/>
          <w:b/>
        </w:rPr>
        <w:t>La demanda</w:t>
      </w:r>
      <w:r w:rsidR="00237416" w:rsidRPr="000D659F">
        <w:rPr>
          <w:rFonts w:ascii="Tahoma" w:hAnsi="Tahoma" w:cs="Tahoma"/>
          <w:b/>
        </w:rPr>
        <w:t xml:space="preserve"> y su contestación</w:t>
      </w:r>
    </w:p>
    <w:p w14:paraId="4F0A8548" w14:textId="77777777" w:rsidR="009A4059" w:rsidRPr="00042881" w:rsidRDefault="009A4059" w:rsidP="00794993">
      <w:pPr>
        <w:pStyle w:val="Sinespaciado"/>
        <w:rPr>
          <w:sz w:val="20"/>
          <w:szCs w:val="20"/>
        </w:rPr>
      </w:pPr>
    </w:p>
    <w:p w14:paraId="24EA6165" w14:textId="77777777" w:rsidR="00C247D4" w:rsidRDefault="00E85619" w:rsidP="000F4F7B">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La </w:t>
      </w:r>
      <w:r w:rsidR="003A7AB2">
        <w:rPr>
          <w:rFonts w:ascii="Tahoma" w:hAnsi="Tahoma" w:cs="Tahoma"/>
        </w:rPr>
        <w:t>citad</w:t>
      </w:r>
      <w:r>
        <w:rPr>
          <w:rFonts w:ascii="Tahoma" w:hAnsi="Tahoma" w:cs="Tahoma"/>
        </w:rPr>
        <w:t>a</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w:t>
      </w:r>
      <w:r w:rsidR="008B1DA1">
        <w:rPr>
          <w:rFonts w:ascii="Tahoma" w:hAnsi="Tahoma" w:cs="Tahoma"/>
        </w:rPr>
        <w:t xml:space="preserve"> se</w:t>
      </w:r>
      <w:r w:rsidR="007F7A0D">
        <w:rPr>
          <w:rFonts w:ascii="Tahoma" w:hAnsi="Tahoma" w:cs="Tahoma"/>
        </w:rPr>
        <w:t xml:space="preserve"> </w:t>
      </w:r>
      <w:r w:rsidR="005C6AFD">
        <w:rPr>
          <w:rFonts w:ascii="Tahoma" w:hAnsi="Tahoma" w:cs="Tahoma"/>
        </w:rPr>
        <w:t>ordene a Colpensiones re</w:t>
      </w:r>
      <w:r w:rsidR="00C247D4">
        <w:rPr>
          <w:rFonts w:ascii="Tahoma" w:hAnsi="Tahoma" w:cs="Tahoma"/>
        </w:rPr>
        <w:t>-liquidar su</w:t>
      </w:r>
      <w:r w:rsidR="005C6AFD">
        <w:rPr>
          <w:rFonts w:ascii="Tahoma" w:hAnsi="Tahoma" w:cs="Tahoma"/>
        </w:rPr>
        <w:t xml:space="preserve"> pensión de vejez desde el 01 de febrero de 2004 y hasta que subsistan las condiciones que dieron origen al reajuste de las mesadas pensionales. </w:t>
      </w:r>
    </w:p>
    <w:p w14:paraId="7E7F7D49" w14:textId="77777777" w:rsidR="00C247D4" w:rsidRDefault="00C247D4" w:rsidP="000F4F7B">
      <w:pPr>
        <w:widowControl w:val="0"/>
        <w:autoSpaceDE w:val="0"/>
        <w:autoSpaceDN w:val="0"/>
        <w:adjustRightInd w:val="0"/>
        <w:spacing w:line="276" w:lineRule="auto"/>
        <w:ind w:firstLine="709"/>
        <w:jc w:val="both"/>
        <w:rPr>
          <w:rFonts w:ascii="Tahoma" w:hAnsi="Tahoma" w:cs="Tahoma"/>
        </w:rPr>
      </w:pPr>
    </w:p>
    <w:p w14:paraId="61A80A93" w14:textId="0CAD7C70" w:rsidR="007A0603" w:rsidRDefault="005C6AFD" w:rsidP="000F4F7B">
      <w:pPr>
        <w:widowControl w:val="0"/>
        <w:autoSpaceDE w:val="0"/>
        <w:autoSpaceDN w:val="0"/>
        <w:adjustRightInd w:val="0"/>
        <w:spacing w:line="276" w:lineRule="auto"/>
        <w:ind w:firstLine="709"/>
        <w:jc w:val="both"/>
        <w:rPr>
          <w:rFonts w:ascii="Tahoma" w:hAnsi="Tahoma" w:cs="Tahoma"/>
        </w:rPr>
      </w:pPr>
      <w:r>
        <w:rPr>
          <w:rFonts w:ascii="Tahoma" w:hAnsi="Tahoma" w:cs="Tahoma"/>
        </w:rPr>
        <w:t>Además</w:t>
      </w:r>
      <w:r w:rsidR="00C247D4">
        <w:rPr>
          <w:rFonts w:ascii="Tahoma" w:hAnsi="Tahoma" w:cs="Tahoma"/>
        </w:rPr>
        <w:t>,</w:t>
      </w:r>
      <w:r>
        <w:rPr>
          <w:rFonts w:ascii="Tahoma" w:hAnsi="Tahoma" w:cs="Tahoma"/>
        </w:rPr>
        <w:t xml:space="preserve"> pretende que </w:t>
      </w:r>
      <w:r w:rsidR="00C247D4">
        <w:rPr>
          <w:rFonts w:ascii="Tahoma" w:hAnsi="Tahoma" w:cs="Tahoma"/>
        </w:rPr>
        <w:t xml:space="preserve">se ordene a la demandada </w:t>
      </w:r>
      <w:r>
        <w:rPr>
          <w:rFonts w:ascii="Tahoma" w:hAnsi="Tahoma" w:cs="Tahoma"/>
        </w:rPr>
        <w:t>el</w:t>
      </w:r>
      <w:r w:rsidR="00C247D4">
        <w:rPr>
          <w:rFonts w:ascii="Tahoma" w:hAnsi="Tahoma" w:cs="Tahoma"/>
        </w:rPr>
        <w:t xml:space="preserve"> pago del</w:t>
      </w:r>
      <w:r>
        <w:rPr>
          <w:rFonts w:ascii="Tahoma" w:hAnsi="Tahoma" w:cs="Tahoma"/>
        </w:rPr>
        <w:t xml:space="preserve"> reajuste de la mesada pensional correspondiente, junto con el reajus</w:t>
      </w:r>
      <w:r w:rsidR="008E095A">
        <w:rPr>
          <w:rFonts w:ascii="Tahoma" w:hAnsi="Tahoma" w:cs="Tahoma"/>
        </w:rPr>
        <w:t>te de la pensión de la demandante</w:t>
      </w:r>
      <w:r>
        <w:rPr>
          <w:rFonts w:ascii="Tahoma" w:hAnsi="Tahoma" w:cs="Tahoma"/>
        </w:rPr>
        <w:t xml:space="preserve"> y la respectiva indexación de este reajus</w:t>
      </w:r>
      <w:r w:rsidR="00C247D4">
        <w:rPr>
          <w:rFonts w:ascii="Tahoma" w:hAnsi="Tahoma" w:cs="Tahoma"/>
        </w:rPr>
        <w:t>te. Igualmente</w:t>
      </w:r>
      <w:r>
        <w:rPr>
          <w:rFonts w:ascii="Tahoma" w:hAnsi="Tahoma" w:cs="Tahoma"/>
        </w:rPr>
        <w:t>, solicita</w:t>
      </w:r>
      <w:r w:rsidR="00C247D4">
        <w:rPr>
          <w:rFonts w:ascii="Tahoma" w:hAnsi="Tahoma" w:cs="Tahoma"/>
        </w:rPr>
        <w:t xml:space="preserve"> que se ordene a la accionada </w:t>
      </w:r>
      <w:r>
        <w:rPr>
          <w:rFonts w:ascii="Tahoma" w:hAnsi="Tahoma" w:cs="Tahoma"/>
        </w:rPr>
        <w:t>la inclusión en nómina del nue</w:t>
      </w:r>
      <w:r w:rsidR="00C247D4">
        <w:rPr>
          <w:rFonts w:ascii="Tahoma" w:hAnsi="Tahoma" w:cs="Tahoma"/>
        </w:rPr>
        <w:t>vo valor de la mesada pensional.</w:t>
      </w:r>
    </w:p>
    <w:p w14:paraId="06AA8711" w14:textId="77777777" w:rsidR="007A0603" w:rsidRPr="00042881" w:rsidRDefault="007A0603" w:rsidP="00794993">
      <w:pPr>
        <w:pStyle w:val="Sinespaciado"/>
        <w:rPr>
          <w:sz w:val="20"/>
          <w:szCs w:val="20"/>
        </w:rPr>
      </w:pPr>
    </w:p>
    <w:p w14:paraId="570C4C99" w14:textId="6471C7E1" w:rsidR="007960D1" w:rsidRDefault="00B44497" w:rsidP="000F4F7B">
      <w:pPr>
        <w:widowControl w:val="0"/>
        <w:autoSpaceDE w:val="0"/>
        <w:autoSpaceDN w:val="0"/>
        <w:adjustRightInd w:val="0"/>
        <w:spacing w:line="276" w:lineRule="auto"/>
        <w:ind w:firstLine="709"/>
        <w:jc w:val="both"/>
        <w:rPr>
          <w:rFonts w:ascii="Tahoma" w:hAnsi="Tahoma" w:cs="Tahoma"/>
          <w:i/>
          <w:sz w:val="22"/>
          <w:szCs w:val="22"/>
        </w:rPr>
      </w:pPr>
      <w:r>
        <w:rPr>
          <w:rFonts w:ascii="Tahoma" w:hAnsi="Tahoma" w:cs="Tahoma"/>
        </w:rPr>
        <w:t>Para funda</w:t>
      </w:r>
      <w:r w:rsidR="000F0AEC">
        <w:rPr>
          <w:rFonts w:ascii="Tahoma" w:hAnsi="Tahoma" w:cs="Tahoma"/>
        </w:rPr>
        <w:t xml:space="preserve">r dichas pretensiones </w:t>
      </w:r>
      <w:r w:rsidR="008B1DA1">
        <w:rPr>
          <w:rFonts w:ascii="Tahoma" w:hAnsi="Tahoma" w:cs="Tahoma"/>
        </w:rPr>
        <w:t>manif</w:t>
      </w:r>
      <w:r w:rsidR="00E80289">
        <w:rPr>
          <w:rFonts w:ascii="Tahoma" w:hAnsi="Tahoma" w:cs="Tahoma"/>
        </w:rPr>
        <w:t>i</w:t>
      </w:r>
      <w:r w:rsidR="008B1DA1">
        <w:rPr>
          <w:rFonts w:ascii="Tahoma" w:hAnsi="Tahoma" w:cs="Tahoma"/>
        </w:rPr>
        <w:t>est</w:t>
      </w:r>
      <w:r w:rsidR="00E80289">
        <w:rPr>
          <w:rFonts w:ascii="Tahoma" w:hAnsi="Tahoma" w:cs="Tahoma"/>
        </w:rPr>
        <w:t>a</w:t>
      </w:r>
      <w:r>
        <w:rPr>
          <w:rFonts w:ascii="Tahoma" w:hAnsi="Tahoma" w:cs="Tahoma"/>
        </w:rPr>
        <w:t xml:space="preserve"> que </w:t>
      </w:r>
      <w:r w:rsidR="005C6AFD">
        <w:rPr>
          <w:rFonts w:ascii="Tahoma" w:hAnsi="Tahoma" w:cs="Tahoma"/>
        </w:rPr>
        <w:t xml:space="preserve">el día 12 de diciembre de 2003, presentó la solicitud para obtener la pensión de vejez ante el ISS, hoy Colpensiones, la cual, mediante Resolución No. 00160 del 24 de enero de 2004, concedió la pensión </w:t>
      </w:r>
      <w:r w:rsidR="00C247D4">
        <w:rPr>
          <w:rFonts w:ascii="Tahoma" w:hAnsi="Tahoma" w:cs="Tahoma"/>
        </w:rPr>
        <w:t>“</w:t>
      </w:r>
      <w:r w:rsidR="005C6AFD" w:rsidRPr="00E46457">
        <w:rPr>
          <w:rFonts w:ascii="Tahoma" w:hAnsi="Tahoma" w:cs="Tahoma"/>
          <w:i/>
          <w:sz w:val="22"/>
          <w:szCs w:val="22"/>
        </w:rPr>
        <w:t>a partir del 01 de febrero de 2004 en cuantía mensual por valor de $</w:t>
      </w:r>
      <w:r w:rsidR="00E46457" w:rsidRPr="00E46457">
        <w:rPr>
          <w:rFonts w:ascii="Tahoma" w:hAnsi="Tahoma" w:cs="Tahoma"/>
          <w:i/>
          <w:sz w:val="22"/>
          <w:szCs w:val="22"/>
        </w:rPr>
        <w:t xml:space="preserve">433.450, con un IBL de </w:t>
      </w:r>
      <w:r w:rsidR="00E46457" w:rsidRPr="00C247D4">
        <w:rPr>
          <w:rFonts w:ascii="Tahoma" w:hAnsi="Tahoma" w:cs="Tahoma"/>
          <w:b/>
          <w:i/>
          <w:sz w:val="22"/>
          <w:szCs w:val="22"/>
          <w:u w:val="single"/>
        </w:rPr>
        <w:t>$528.598</w:t>
      </w:r>
      <w:r w:rsidR="00E46457" w:rsidRPr="00E46457">
        <w:rPr>
          <w:rFonts w:ascii="Tahoma" w:hAnsi="Tahoma" w:cs="Tahoma"/>
          <w:i/>
          <w:sz w:val="22"/>
          <w:szCs w:val="22"/>
        </w:rPr>
        <w:t xml:space="preserve"> aplicando una tasa de reemplazo del 90% por contar únicamente con 1.393 semanas”.</w:t>
      </w:r>
    </w:p>
    <w:p w14:paraId="0DE376FB" w14:textId="77777777" w:rsidR="00E46457" w:rsidRDefault="00E46457" w:rsidP="000F4F7B">
      <w:pPr>
        <w:widowControl w:val="0"/>
        <w:autoSpaceDE w:val="0"/>
        <w:autoSpaceDN w:val="0"/>
        <w:adjustRightInd w:val="0"/>
        <w:spacing w:line="276" w:lineRule="auto"/>
        <w:ind w:firstLine="709"/>
        <w:jc w:val="both"/>
        <w:rPr>
          <w:rFonts w:ascii="Tahoma" w:hAnsi="Tahoma" w:cs="Tahoma"/>
          <w:i/>
          <w:sz w:val="22"/>
          <w:szCs w:val="22"/>
        </w:rPr>
      </w:pPr>
    </w:p>
    <w:p w14:paraId="6A583626" w14:textId="479AF758" w:rsidR="00E46457" w:rsidRDefault="00E46457" w:rsidP="000F4F7B">
      <w:pPr>
        <w:widowControl w:val="0"/>
        <w:autoSpaceDE w:val="0"/>
        <w:autoSpaceDN w:val="0"/>
        <w:adjustRightInd w:val="0"/>
        <w:spacing w:line="276" w:lineRule="auto"/>
        <w:ind w:firstLine="709"/>
        <w:jc w:val="both"/>
        <w:rPr>
          <w:rFonts w:ascii="Tahoma" w:hAnsi="Tahoma" w:cs="Tahoma"/>
        </w:rPr>
      </w:pPr>
      <w:r w:rsidRPr="00E46457">
        <w:rPr>
          <w:rFonts w:ascii="Tahoma" w:hAnsi="Tahoma" w:cs="Tahoma"/>
        </w:rPr>
        <w:t>Aduce que</w:t>
      </w:r>
      <w:r w:rsidR="00C247D4">
        <w:rPr>
          <w:rFonts w:ascii="Tahoma" w:hAnsi="Tahoma" w:cs="Tahoma"/>
        </w:rPr>
        <w:t xml:space="preserve"> contra el mentado acto administrativo</w:t>
      </w:r>
      <w:r w:rsidRPr="00E46457">
        <w:rPr>
          <w:rFonts w:ascii="Tahoma" w:hAnsi="Tahoma" w:cs="Tahoma"/>
        </w:rPr>
        <w:t xml:space="preserve"> se presentó reclamación</w:t>
      </w:r>
      <w:r>
        <w:rPr>
          <w:rFonts w:ascii="Tahoma" w:hAnsi="Tahoma" w:cs="Tahoma"/>
        </w:rPr>
        <w:t xml:space="preserve"> el 14 de junio de 2012, solicitando la reliquidación de la prestación, en aplicación del principio de favorabilidad. Ante </w:t>
      </w:r>
      <w:r w:rsidR="00C247D4">
        <w:rPr>
          <w:rFonts w:ascii="Tahoma" w:hAnsi="Tahoma" w:cs="Tahoma"/>
        </w:rPr>
        <w:t>tal</w:t>
      </w:r>
      <w:r>
        <w:rPr>
          <w:rFonts w:ascii="Tahoma" w:hAnsi="Tahoma" w:cs="Tahoma"/>
        </w:rPr>
        <w:t xml:space="preserve"> solicitud, Colpensiones, mediante Resolución No. GNR 335022 del 03 d</w:t>
      </w:r>
      <w:r w:rsidR="00C247D4">
        <w:rPr>
          <w:rFonts w:ascii="Tahoma" w:hAnsi="Tahoma" w:cs="Tahoma"/>
        </w:rPr>
        <w:t>e diciembre de 2013, modificó su decisión</w:t>
      </w:r>
      <w:r>
        <w:rPr>
          <w:rFonts w:ascii="Tahoma" w:hAnsi="Tahoma" w:cs="Tahoma"/>
        </w:rPr>
        <w:t>, en el sentido de re</w:t>
      </w:r>
      <w:r w:rsidR="00C247D4">
        <w:rPr>
          <w:rFonts w:ascii="Tahoma" w:hAnsi="Tahoma" w:cs="Tahoma"/>
        </w:rPr>
        <w:t>-</w:t>
      </w:r>
      <w:r>
        <w:rPr>
          <w:rFonts w:ascii="Tahoma" w:hAnsi="Tahoma" w:cs="Tahoma"/>
        </w:rPr>
        <w:t>liquidar la pensión de vejez a la señora Bedoya Montoya, la cual quedó liquidada de la siguiente forma: “</w:t>
      </w:r>
      <w:r w:rsidR="008E095A">
        <w:rPr>
          <w:rFonts w:ascii="Tahoma" w:hAnsi="Tahoma" w:cs="Tahoma"/>
          <w:i/>
          <w:sz w:val="22"/>
          <w:szCs w:val="22"/>
        </w:rPr>
        <w:t xml:space="preserve">IBL: $705.912 </w:t>
      </w:r>
      <w:r w:rsidRPr="00E46457">
        <w:rPr>
          <w:rFonts w:ascii="Tahoma" w:hAnsi="Tahoma" w:cs="Tahoma"/>
          <w:i/>
          <w:sz w:val="22"/>
          <w:szCs w:val="22"/>
        </w:rPr>
        <w:t>al cual se le aplica una tasa de reemplazo del 90% para un</w:t>
      </w:r>
      <w:r w:rsidR="008E095A">
        <w:rPr>
          <w:rFonts w:ascii="Tahoma" w:hAnsi="Tahoma" w:cs="Tahoma"/>
          <w:i/>
          <w:sz w:val="22"/>
          <w:szCs w:val="22"/>
        </w:rPr>
        <w:t>a mesada pensional de $586.311</w:t>
      </w:r>
      <w:r w:rsidR="003A5517">
        <w:rPr>
          <w:rFonts w:ascii="Tahoma" w:hAnsi="Tahoma" w:cs="Tahoma"/>
          <w:i/>
          <w:sz w:val="22"/>
          <w:szCs w:val="22"/>
        </w:rPr>
        <w:t xml:space="preserve"> a partir del 1º</w:t>
      </w:r>
      <w:r w:rsidRPr="00E46457">
        <w:rPr>
          <w:rFonts w:ascii="Tahoma" w:hAnsi="Tahoma" w:cs="Tahoma"/>
          <w:i/>
          <w:sz w:val="22"/>
          <w:szCs w:val="22"/>
        </w:rPr>
        <w:t xml:space="preserve"> de septiembre de 2009”.</w:t>
      </w:r>
      <w:r>
        <w:rPr>
          <w:rFonts w:ascii="Tahoma" w:hAnsi="Tahoma" w:cs="Tahoma"/>
          <w:i/>
          <w:sz w:val="22"/>
          <w:szCs w:val="22"/>
        </w:rPr>
        <w:t xml:space="preserve"> </w:t>
      </w:r>
      <w:r>
        <w:rPr>
          <w:rFonts w:ascii="Tahoma" w:hAnsi="Tahoma" w:cs="Tahoma"/>
        </w:rPr>
        <w:t>Sin</w:t>
      </w:r>
      <w:r w:rsidR="000153A7">
        <w:rPr>
          <w:rFonts w:ascii="Tahoma" w:hAnsi="Tahoma" w:cs="Tahoma"/>
        </w:rPr>
        <w:t xml:space="preserve"> embargo, la actora advirtió</w:t>
      </w:r>
      <w:r>
        <w:rPr>
          <w:rFonts w:ascii="Tahoma" w:hAnsi="Tahoma" w:cs="Tahoma"/>
        </w:rPr>
        <w:t xml:space="preserve"> al momento de revisar dicha reliquidación, </w:t>
      </w:r>
      <w:r w:rsidR="00C247D4">
        <w:rPr>
          <w:rFonts w:ascii="Tahoma" w:hAnsi="Tahoma" w:cs="Tahoma"/>
        </w:rPr>
        <w:t>que</w:t>
      </w:r>
      <w:r>
        <w:rPr>
          <w:rFonts w:ascii="Tahoma" w:hAnsi="Tahoma" w:cs="Tahoma"/>
        </w:rPr>
        <w:t xml:space="preserve"> tiene</w:t>
      </w:r>
      <w:r w:rsidR="000153A7">
        <w:rPr>
          <w:rFonts w:ascii="Tahoma" w:hAnsi="Tahoma" w:cs="Tahoma"/>
        </w:rPr>
        <w:t xml:space="preserve"> derecho a</w:t>
      </w:r>
      <w:r>
        <w:rPr>
          <w:rFonts w:ascii="Tahoma" w:hAnsi="Tahoma" w:cs="Tahoma"/>
        </w:rPr>
        <w:t xml:space="preserve"> un IBL</w:t>
      </w:r>
      <w:r w:rsidR="000153A7">
        <w:rPr>
          <w:rFonts w:ascii="Tahoma" w:hAnsi="Tahoma" w:cs="Tahoma"/>
        </w:rPr>
        <w:t xml:space="preserve"> mucho</w:t>
      </w:r>
      <w:r>
        <w:rPr>
          <w:rFonts w:ascii="Tahoma" w:hAnsi="Tahoma" w:cs="Tahoma"/>
        </w:rPr>
        <w:t xml:space="preserve"> ma</w:t>
      </w:r>
      <w:r w:rsidR="000153A7">
        <w:rPr>
          <w:rFonts w:ascii="Tahoma" w:hAnsi="Tahoma" w:cs="Tahoma"/>
        </w:rPr>
        <w:t xml:space="preserve">yor al liquidado por la entidad, pues según sus cálculos el valor de su primera mesada debía ascender no a la suma de </w:t>
      </w:r>
      <w:r w:rsidR="000153A7" w:rsidRPr="000153A7">
        <w:rPr>
          <w:rFonts w:ascii="Tahoma" w:hAnsi="Tahoma" w:cs="Tahoma"/>
        </w:rPr>
        <w:t>$</w:t>
      </w:r>
      <w:r w:rsidR="003A5517">
        <w:rPr>
          <w:rFonts w:ascii="Tahoma" w:hAnsi="Tahoma" w:cs="Tahoma"/>
        </w:rPr>
        <w:t>586.311</w:t>
      </w:r>
      <w:r w:rsidR="000153A7" w:rsidRPr="000153A7">
        <w:rPr>
          <w:rFonts w:ascii="Tahoma" w:hAnsi="Tahoma" w:cs="Tahoma"/>
        </w:rPr>
        <w:t xml:space="preserve"> </w:t>
      </w:r>
      <w:r w:rsidR="000153A7">
        <w:rPr>
          <w:rFonts w:ascii="Tahoma" w:hAnsi="Tahoma" w:cs="Tahoma"/>
        </w:rPr>
        <w:t>sino de $2.095.560.</w:t>
      </w:r>
      <w:r w:rsidR="000153A7" w:rsidRPr="000153A7">
        <w:rPr>
          <w:rFonts w:ascii="Tahoma" w:hAnsi="Tahoma" w:cs="Tahoma"/>
        </w:rPr>
        <w:t xml:space="preserve"> </w:t>
      </w:r>
      <w:r w:rsidR="000153A7">
        <w:rPr>
          <w:rFonts w:ascii="Tahoma" w:hAnsi="Tahoma" w:cs="Tahoma"/>
        </w:rPr>
        <w:t xml:space="preserve"> </w:t>
      </w:r>
    </w:p>
    <w:p w14:paraId="058C8693" w14:textId="77777777" w:rsidR="005F636B" w:rsidRDefault="005F636B" w:rsidP="004F3B41">
      <w:pPr>
        <w:pStyle w:val="Sinespaciado"/>
      </w:pPr>
    </w:p>
    <w:p w14:paraId="7B13662D" w14:textId="2727B44D" w:rsidR="00BD15AE" w:rsidRDefault="00C47C71" w:rsidP="000F4F7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w:t>
      </w:r>
      <w:r w:rsidR="006A0488">
        <w:rPr>
          <w:rFonts w:ascii="Tahoma" w:hAnsi="Tahoma" w:cs="Tahoma"/>
        </w:rPr>
        <w:t xml:space="preserve">s los hechos relacionados con </w:t>
      </w:r>
      <w:r w:rsidR="000153A7">
        <w:rPr>
          <w:rFonts w:ascii="Tahoma" w:hAnsi="Tahoma" w:cs="Tahoma"/>
        </w:rPr>
        <w:t>la pensión que desde el año 2004 disfruta</w:t>
      </w:r>
      <w:r w:rsidR="00B02064">
        <w:rPr>
          <w:rFonts w:ascii="Tahoma" w:hAnsi="Tahoma" w:cs="Tahoma"/>
        </w:rPr>
        <w:t xml:space="preserve"> la demandante, además de la reliquidación de dicha pensión, realizada mediante la Resolución No. GNR 335022</w:t>
      </w:r>
      <w:r w:rsidR="006A0488">
        <w:rPr>
          <w:rFonts w:ascii="Tahoma" w:hAnsi="Tahoma" w:cs="Tahoma"/>
        </w:rPr>
        <w:t>; f</w:t>
      </w:r>
      <w:r w:rsidR="00BD15AE">
        <w:rPr>
          <w:rFonts w:ascii="Tahoma" w:hAnsi="Tahoma" w:cs="Tahoma"/>
        </w:rPr>
        <w:t xml:space="preserve">rente a los demás </w:t>
      </w:r>
      <w:r w:rsidR="005C363A">
        <w:rPr>
          <w:rFonts w:ascii="Tahoma" w:hAnsi="Tahoma" w:cs="Tahoma"/>
        </w:rPr>
        <w:t>señaló q</w:t>
      </w:r>
      <w:r w:rsidR="0079712E">
        <w:rPr>
          <w:rFonts w:ascii="Tahoma" w:hAnsi="Tahoma" w:cs="Tahoma"/>
        </w:rPr>
        <w:t>ue no</w:t>
      </w:r>
      <w:r w:rsidR="00B02064">
        <w:rPr>
          <w:rFonts w:ascii="Tahoma" w:hAnsi="Tahoma" w:cs="Tahoma"/>
        </w:rPr>
        <w:t xml:space="preserve"> eran ciertos o que no</w:t>
      </w:r>
      <w:r w:rsidR="0079712E">
        <w:rPr>
          <w:rFonts w:ascii="Tahoma" w:hAnsi="Tahoma" w:cs="Tahoma"/>
        </w:rPr>
        <w:t xml:space="preserve"> le constaban</w:t>
      </w:r>
      <w:r w:rsidR="00BD15AE">
        <w:rPr>
          <w:rFonts w:ascii="Tahoma" w:hAnsi="Tahoma" w:cs="Tahoma"/>
        </w:rPr>
        <w:t xml:space="preserve">. </w:t>
      </w:r>
      <w:r w:rsidR="001B71BE">
        <w:rPr>
          <w:rFonts w:ascii="Tahoma" w:hAnsi="Tahoma" w:cs="Tahoma"/>
        </w:rPr>
        <w:t>Seguidamente se opuso a la totalidad de las pretensiones y pr</w:t>
      </w:r>
      <w:r w:rsidR="00B02064">
        <w:rPr>
          <w:rFonts w:ascii="Tahoma" w:hAnsi="Tahoma" w:cs="Tahoma"/>
        </w:rPr>
        <w:t>opuso como excepciones</w:t>
      </w:r>
      <w:r w:rsidR="001B71BE">
        <w:rPr>
          <w:rFonts w:ascii="Tahoma" w:hAnsi="Tahoma" w:cs="Tahoma"/>
        </w:rPr>
        <w:t xml:space="preserve"> las que denominó “</w:t>
      </w:r>
      <w:r w:rsidR="00BD15AE">
        <w:rPr>
          <w:rFonts w:ascii="Tahoma" w:hAnsi="Tahoma" w:cs="Tahoma"/>
        </w:rPr>
        <w:t>Inexis</w:t>
      </w:r>
      <w:r w:rsidR="00B02064">
        <w:rPr>
          <w:rFonts w:ascii="Tahoma" w:hAnsi="Tahoma" w:cs="Tahoma"/>
        </w:rPr>
        <w:t>tencia del Derecho a la Reliquidación</w:t>
      </w:r>
      <w:r w:rsidR="0079712E">
        <w:rPr>
          <w:rFonts w:ascii="Tahoma" w:hAnsi="Tahoma" w:cs="Tahoma"/>
        </w:rPr>
        <w:t>”, “Prescripción” y “Genéricas”.</w:t>
      </w:r>
    </w:p>
    <w:p w14:paraId="3243D611" w14:textId="77777777" w:rsidR="00B1619D" w:rsidRPr="00042881" w:rsidRDefault="001B71BE" w:rsidP="000F0AEC">
      <w:pPr>
        <w:pStyle w:val="Sinespaciado"/>
        <w:rPr>
          <w:sz w:val="20"/>
          <w:szCs w:val="20"/>
        </w:rPr>
      </w:pPr>
      <w:r>
        <w:t xml:space="preserve">     </w:t>
      </w:r>
    </w:p>
    <w:p w14:paraId="6F781E9E" w14:textId="0A047B82" w:rsidR="009A4059" w:rsidRPr="000D659F" w:rsidRDefault="006E78E8" w:rsidP="000D659F">
      <w:pPr>
        <w:pStyle w:val="Prrafodelista"/>
        <w:widowControl w:val="0"/>
        <w:numPr>
          <w:ilvl w:val="0"/>
          <w:numId w:val="11"/>
        </w:numPr>
        <w:autoSpaceDE w:val="0"/>
        <w:autoSpaceDN w:val="0"/>
        <w:adjustRightInd w:val="0"/>
        <w:spacing w:line="276" w:lineRule="auto"/>
        <w:jc w:val="center"/>
        <w:rPr>
          <w:rFonts w:ascii="Tahoma" w:hAnsi="Tahoma" w:cs="Tahoma"/>
          <w:b/>
        </w:rPr>
      </w:pPr>
      <w:r w:rsidRPr="000D659F">
        <w:rPr>
          <w:rFonts w:ascii="Tahoma" w:hAnsi="Tahoma" w:cs="Tahoma"/>
          <w:b/>
        </w:rPr>
        <w:t>La sentencia de primera instancia</w:t>
      </w:r>
    </w:p>
    <w:p w14:paraId="6E3B886F" w14:textId="77777777" w:rsidR="00B1619D" w:rsidRPr="00042881" w:rsidRDefault="00B1619D" w:rsidP="000F0AEC">
      <w:pPr>
        <w:pStyle w:val="Sinespaciado"/>
        <w:rPr>
          <w:sz w:val="20"/>
          <w:szCs w:val="20"/>
        </w:rPr>
      </w:pPr>
    </w:p>
    <w:p w14:paraId="7CEE0008" w14:textId="6C15E0E5" w:rsidR="005C288D" w:rsidRDefault="009A4059" w:rsidP="00C21AEF">
      <w:pPr>
        <w:spacing w:line="276" w:lineRule="auto"/>
        <w:ind w:firstLine="709"/>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 xml:space="preserve">de conocimiento </w:t>
      </w:r>
      <w:r w:rsidR="00F70563">
        <w:rPr>
          <w:rFonts w:ascii="Tahoma" w:hAnsi="Tahoma" w:cs="Tahoma"/>
        </w:rPr>
        <w:t>declaró que la señora Edilia Bedoya Montoya</w:t>
      </w:r>
      <w:r w:rsidR="009D4C09">
        <w:rPr>
          <w:rFonts w:ascii="Tahoma" w:hAnsi="Tahoma" w:cs="Tahoma"/>
        </w:rPr>
        <w:t xml:space="preserve"> tiene derecho </w:t>
      </w:r>
      <w:r w:rsidR="00F70563">
        <w:rPr>
          <w:rFonts w:ascii="Tahoma" w:hAnsi="Tahoma" w:cs="Tahoma"/>
        </w:rPr>
        <w:t>a que su mesada pensional sea calculada con el tiempo que le hacía falta para pensionarse, por resultarle más favorable,</w:t>
      </w:r>
      <w:r w:rsidR="000153A7">
        <w:rPr>
          <w:rFonts w:ascii="Tahoma" w:hAnsi="Tahoma" w:cs="Tahoma"/>
        </w:rPr>
        <w:t xml:space="preserve"> sin variación de</w:t>
      </w:r>
      <w:r w:rsidR="00F70563">
        <w:rPr>
          <w:rFonts w:ascii="Tahoma" w:hAnsi="Tahoma" w:cs="Tahoma"/>
        </w:rPr>
        <w:t xml:space="preserve"> la tasa de reemplazo del 90% ya reconocida.</w:t>
      </w:r>
    </w:p>
    <w:p w14:paraId="518440E5" w14:textId="77777777" w:rsidR="005C288D" w:rsidRDefault="005C288D" w:rsidP="00C21AEF">
      <w:pPr>
        <w:spacing w:line="276" w:lineRule="auto"/>
        <w:ind w:firstLine="709"/>
        <w:jc w:val="both"/>
        <w:rPr>
          <w:rFonts w:ascii="Tahoma" w:hAnsi="Tahoma" w:cs="Tahoma"/>
        </w:rPr>
      </w:pPr>
    </w:p>
    <w:p w14:paraId="60FBAC63" w14:textId="77777777" w:rsidR="00755ADE" w:rsidRDefault="000153A7" w:rsidP="00C21AEF">
      <w:pPr>
        <w:spacing w:line="276" w:lineRule="auto"/>
        <w:ind w:firstLine="709"/>
        <w:jc w:val="both"/>
        <w:rPr>
          <w:rFonts w:ascii="Tahoma" w:hAnsi="Tahoma" w:cs="Tahoma"/>
        </w:rPr>
      </w:pPr>
      <w:r>
        <w:rPr>
          <w:rFonts w:ascii="Tahoma" w:hAnsi="Tahoma" w:cs="Tahoma"/>
        </w:rPr>
        <w:lastRenderedPageBreak/>
        <w:t>Ello así, efectuada la liquidación por la a-quo, se encontró que la primera mesada del actor debía ascender a la suma $489.272</w:t>
      </w:r>
      <w:r w:rsidR="00755ADE">
        <w:rPr>
          <w:rFonts w:ascii="Tahoma" w:hAnsi="Tahoma" w:cs="Tahoma"/>
        </w:rPr>
        <w:t xml:space="preserve">, cifra un poco superior a la reconocida por la AFP demandada. </w:t>
      </w:r>
      <w:r w:rsidR="005C288D">
        <w:rPr>
          <w:rFonts w:ascii="Tahoma" w:hAnsi="Tahoma" w:cs="Tahoma"/>
        </w:rPr>
        <w:t>Como consecuencia de lo anterior, c</w:t>
      </w:r>
      <w:r w:rsidR="009D4C09">
        <w:rPr>
          <w:rFonts w:ascii="Tahoma" w:hAnsi="Tahoma" w:cs="Tahoma"/>
        </w:rPr>
        <w:t xml:space="preserve">ondenó a </w:t>
      </w:r>
      <w:r w:rsidR="005C288D">
        <w:rPr>
          <w:rFonts w:ascii="Tahoma" w:hAnsi="Tahoma" w:cs="Tahoma"/>
        </w:rPr>
        <w:t xml:space="preserve">Colpensiones </w:t>
      </w:r>
      <w:r w:rsidR="009D4C09">
        <w:rPr>
          <w:rFonts w:ascii="Tahoma" w:hAnsi="Tahoma" w:cs="Tahoma"/>
        </w:rPr>
        <w:t xml:space="preserve">a reconocer y pagar a favor de la demandante </w:t>
      </w:r>
      <w:r w:rsidR="00F70563">
        <w:rPr>
          <w:rFonts w:ascii="Tahoma" w:hAnsi="Tahoma" w:cs="Tahoma"/>
        </w:rPr>
        <w:t>las diferencias pensionales entre las mesadas percibidas y las que debía percibir desde el 14 de junio de 2009 hasta el 31 de marzo de 2015,</w:t>
      </w:r>
      <w:r w:rsidR="00755ADE">
        <w:rPr>
          <w:rFonts w:ascii="Tahoma" w:hAnsi="Tahoma" w:cs="Tahoma"/>
        </w:rPr>
        <w:t xml:space="preserve"> por haber prosperado parcialmente la prescripción,</w:t>
      </w:r>
      <w:r w:rsidR="00F70563">
        <w:rPr>
          <w:rFonts w:ascii="Tahoma" w:hAnsi="Tahoma" w:cs="Tahoma"/>
        </w:rPr>
        <w:t xml:space="preserve"> la cual asciende a la suma de $1.073.410 y una indexación por valor de $96.556.41</w:t>
      </w:r>
      <w:r w:rsidR="00755ADE">
        <w:rPr>
          <w:rFonts w:ascii="Tahoma" w:hAnsi="Tahoma" w:cs="Tahoma"/>
        </w:rPr>
        <w:t>,</w:t>
      </w:r>
      <w:r w:rsidR="00F70563">
        <w:rPr>
          <w:rFonts w:ascii="Tahoma" w:hAnsi="Tahoma" w:cs="Tahoma"/>
        </w:rPr>
        <w:t xml:space="preserve"> para un</w:t>
      </w:r>
      <w:r w:rsidR="002D4DE5">
        <w:rPr>
          <w:rFonts w:ascii="Tahoma" w:hAnsi="Tahoma" w:cs="Tahoma"/>
        </w:rPr>
        <w:t xml:space="preserve"> gran total a reconocer de $1.16</w:t>
      </w:r>
      <w:r w:rsidR="00755ADE">
        <w:rPr>
          <w:rFonts w:ascii="Tahoma" w:hAnsi="Tahoma" w:cs="Tahoma"/>
        </w:rPr>
        <w:t>9.996.41.</w:t>
      </w:r>
    </w:p>
    <w:p w14:paraId="19129DBA" w14:textId="77777777" w:rsidR="00755ADE" w:rsidRDefault="00755ADE" w:rsidP="00C21AEF">
      <w:pPr>
        <w:spacing w:line="276" w:lineRule="auto"/>
        <w:ind w:firstLine="709"/>
        <w:jc w:val="both"/>
        <w:rPr>
          <w:rFonts w:ascii="Tahoma" w:hAnsi="Tahoma" w:cs="Tahoma"/>
        </w:rPr>
      </w:pPr>
    </w:p>
    <w:p w14:paraId="59BA731F" w14:textId="720EAEF2" w:rsidR="00403413" w:rsidRDefault="00755ADE" w:rsidP="00C21AEF">
      <w:pPr>
        <w:spacing w:line="276" w:lineRule="auto"/>
        <w:ind w:firstLine="709"/>
        <w:jc w:val="both"/>
        <w:rPr>
          <w:rFonts w:ascii="Tahoma" w:hAnsi="Tahoma" w:cs="Tahoma"/>
        </w:rPr>
      </w:pPr>
      <w:r>
        <w:rPr>
          <w:rFonts w:ascii="Tahoma" w:hAnsi="Tahoma" w:cs="Tahoma"/>
        </w:rPr>
        <w:t>Además, la a</w:t>
      </w:r>
      <w:r w:rsidR="00F70563">
        <w:rPr>
          <w:rFonts w:ascii="Tahoma" w:hAnsi="Tahoma" w:cs="Tahoma"/>
        </w:rPr>
        <w:t>-quo condenó a la demandada a modificar la Resolución No. 00160 de 2004, a favor de la señora Bedoya Montoya, en cuanto al IBL por valor de $543.636, valor al que al aplicarle la tasa de reemplazo del 90%, arroja como primera mesada pensional de $489.272. También, condenó a la accionada a que continúe pagando a la demandante, la suma de $760.364 a partir del mes de abril de 2015, sin perjuicio de los rea</w:t>
      </w:r>
      <w:r>
        <w:rPr>
          <w:rFonts w:ascii="Tahoma" w:hAnsi="Tahoma" w:cs="Tahoma"/>
        </w:rPr>
        <w:t>justes legales anuales y a los d</w:t>
      </w:r>
      <w:r w:rsidR="00F70563">
        <w:rPr>
          <w:rFonts w:ascii="Tahoma" w:hAnsi="Tahoma" w:cs="Tahoma"/>
        </w:rPr>
        <w:t xml:space="preserve">escuentos </w:t>
      </w:r>
      <w:r w:rsidR="007F09E8">
        <w:rPr>
          <w:rFonts w:ascii="Tahoma" w:hAnsi="Tahoma" w:cs="Tahoma"/>
        </w:rPr>
        <w:t>de Ley.</w:t>
      </w:r>
    </w:p>
    <w:p w14:paraId="60DF559C" w14:textId="77777777" w:rsidR="00321053" w:rsidRPr="00545C85" w:rsidRDefault="00321053" w:rsidP="00545C85">
      <w:pPr>
        <w:pStyle w:val="Sinespaciado"/>
      </w:pPr>
    </w:p>
    <w:p w14:paraId="363968A8" w14:textId="5A6D3762" w:rsidR="007E7DCB" w:rsidRDefault="00C40D90" w:rsidP="00B711CA">
      <w:pPr>
        <w:spacing w:line="276" w:lineRule="auto"/>
        <w:ind w:firstLine="709"/>
        <w:jc w:val="both"/>
        <w:rPr>
          <w:rFonts w:ascii="Tahoma" w:hAnsi="Tahoma" w:cs="Tahoma"/>
        </w:rPr>
      </w:pPr>
      <w:r w:rsidRPr="002C2FEC">
        <w:rPr>
          <w:rFonts w:ascii="Tahoma" w:hAnsi="Tahoma" w:cs="Tahoma"/>
        </w:rPr>
        <w:t>Para</w:t>
      </w:r>
      <w:r w:rsidR="00755ADE">
        <w:rPr>
          <w:rFonts w:ascii="Tahoma" w:hAnsi="Tahoma" w:cs="Tahoma"/>
        </w:rPr>
        <w:t xml:space="preserve"> llegar a tal determinación la a</w:t>
      </w:r>
      <w:r w:rsidRPr="002C2FEC">
        <w:rPr>
          <w:rFonts w:ascii="Tahoma" w:hAnsi="Tahoma" w:cs="Tahoma"/>
        </w:rPr>
        <w:t>-quo consideró</w:t>
      </w:r>
      <w:r w:rsidR="00545C85">
        <w:rPr>
          <w:rFonts w:ascii="Tahoma" w:hAnsi="Tahoma" w:cs="Tahoma"/>
        </w:rPr>
        <w:t xml:space="preserve"> </w:t>
      </w:r>
      <w:r w:rsidR="000B7E3E">
        <w:rPr>
          <w:rFonts w:ascii="Tahoma" w:hAnsi="Tahoma" w:cs="Tahoma"/>
        </w:rPr>
        <w:t xml:space="preserve">que </w:t>
      </w:r>
      <w:r w:rsidR="00687E13">
        <w:rPr>
          <w:rFonts w:ascii="Tahoma" w:hAnsi="Tahoma" w:cs="Tahoma"/>
        </w:rPr>
        <w:t xml:space="preserve">a </w:t>
      </w:r>
      <w:r w:rsidR="007F09E8">
        <w:rPr>
          <w:rFonts w:ascii="Tahoma" w:hAnsi="Tahoma" w:cs="Tahoma"/>
        </w:rPr>
        <w:t xml:space="preserve">la accionante, para el 01 de abril de 1994, </w:t>
      </w:r>
      <w:r w:rsidR="00687E13">
        <w:rPr>
          <w:rFonts w:ascii="Tahoma" w:hAnsi="Tahoma" w:cs="Tahoma"/>
        </w:rPr>
        <w:t>le faltaban menos de 10 años para obtener la edad requerida para la pensión, y por lo tanto, le es aplicable el</w:t>
      </w:r>
      <w:r w:rsidR="007F09E8">
        <w:rPr>
          <w:rFonts w:ascii="Tahoma" w:hAnsi="Tahoma" w:cs="Tahoma"/>
        </w:rPr>
        <w:t xml:space="preserve"> Inciso 3</w:t>
      </w:r>
      <w:r w:rsidR="00E47C89">
        <w:rPr>
          <w:rFonts w:ascii="Tahoma" w:hAnsi="Tahoma" w:cs="Tahoma"/>
        </w:rPr>
        <w:t>º del a</w:t>
      </w:r>
      <w:r w:rsidR="007F09E8">
        <w:rPr>
          <w:rFonts w:ascii="Tahoma" w:hAnsi="Tahoma" w:cs="Tahoma"/>
        </w:rPr>
        <w:t>rtículo 36 de la Ley 100 de 1993</w:t>
      </w:r>
      <w:r w:rsidR="00687E13">
        <w:rPr>
          <w:rFonts w:ascii="Tahoma" w:hAnsi="Tahoma" w:cs="Tahoma"/>
        </w:rPr>
        <w:t xml:space="preserve">, que expresa que se puede escoger el IBL más favorable, esto es, el IBL del promedio de la base sobre la cual se cotizó en el tiempo que le hiciere falta para obtener la pensión, o </w:t>
      </w:r>
      <w:r w:rsidR="00755ADE">
        <w:rPr>
          <w:rFonts w:ascii="Tahoma" w:hAnsi="Tahoma" w:cs="Tahoma"/>
        </w:rPr>
        <w:t>el de toda la vida</w:t>
      </w:r>
      <w:r w:rsidR="00E47C89">
        <w:rPr>
          <w:rFonts w:ascii="Tahoma" w:hAnsi="Tahoma" w:cs="Tahoma"/>
        </w:rPr>
        <w:t xml:space="preserve"> laboral</w:t>
      </w:r>
      <w:r w:rsidR="00755ADE">
        <w:rPr>
          <w:rFonts w:ascii="Tahoma" w:hAnsi="Tahoma" w:cs="Tahoma"/>
        </w:rPr>
        <w:t xml:space="preserve"> si éste fuese</w:t>
      </w:r>
      <w:r w:rsidR="00687E13">
        <w:rPr>
          <w:rFonts w:ascii="Tahoma" w:hAnsi="Tahoma" w:cs="Tahoma"/>
        </w:rPr>
        <w:t xml:space="preserve"> superior. </w:t>
      </w:r>
    </w:p>
    <w:p w14:paraId="2AF2A09D" w14:textId="77777777" w:rsidR="00E47C89" w:rsidRDefault="00E47C89" w:rsidP="00B711CA">
      <w:pPr>
        <w:spacing w:line="276" w:lineRule="auto"/>
        <w:ind w:firstLine="709"/>
        <w:jc w:val="both"/>
        <w:rPr>
          <w:rFonts w:ascii="Tahoma" w:hAnsi="Tahoma" w:cs="Tahoma"/>
        </w:rPr>
      </w:pPr>
    </w:p>
    <w:p w14:paraId="53BDE0DB" w14:textId="137D6918" w:rsidR="004D7E26" w:rsidRDefault="007E7DCB" w:rsidP="00B711CA">
      <w:pPr>
        <w:spacing w:line="276" w:lineRule="auto"/>
        <w:ind w:firstLine="709"/>
        <w:jc w:val="both"/>
        <w:rPr>
          <w:rFonts w:ascii="Tahoma" w:hAnsi="Tahoma" w:cs="Tahoma"/>
        </w:rPr>
      </w:pPr>
      <w:r>
        <w:rPr>
          <w:rFonts w:ascii="Tahoma" w:hAnsi="Tahoma" w:cs="Tahoma"/>
        </w:rPr>
        <w:t xml:space="preserve">Ahora, como el tiempo que le hacía falta a la señora Bedoya Montoya para obtener la edad requerida era de 3540 días, dicho periodo se computó, no de acuerdo al calendario, sino de acuerdo a las cotizaciones </w:t>
      </w:r>
      <w:r w:rsidR="00E47C89">
        <w:rPr>
          <w:rFonts w:ascii="Tahoma" w:hAnsi="Tahoma" w:cs="Tahoma"/>
        </w:rPr>
        <w:t xml:space="preserve">efectivamente </w:t>
      </w:r>
      <w:r>
        <w:rPr>
          <w:rFonts w:ascii="Tahoma" w:hAnsi="Tahoma" w:cs="Tahoma"/>
        </w:rPr>
        <w:t xml:space="preserve">realizadas </w:t>
      </w:r>
      <w:r w:rsidR="00E47C89">
        <w:rPr>
          <w:rFonts w:ascii="Tahoma" w:hAnsi="Tahoma" w:cs="Tahoma"/>
        </w:rPr>
        <w:t xml:space="preserve">al Sistema, </w:t>
      </w:r>
      <w:r w:rsidR="003A5517">
        <w:rPr>
          <w:rFonts w:ascii="Tahoma" w:hAnsi="Tahoma" w:cs="Tahoma"/>
        </w:rPr>
        <w:t>de manera que la</w:t>
      </w:r>
      <w:r w:rsidR="00E47C89">
        <w:rPr>
          <w:rFonts w:ascii="Tahoma" w:hAnsi="Tahoma" w:cs="Tahoma"/>
        </w:rPr>
        <w:t xml:space="preserve"> liquidación se apuntaló entre los ciclos cotizados del</w:t>
      </w:r>
      <w:r>
        <w:rPr>
          <w:rFonts w:ascii="Tahoma" w:hAnsi="Tahoma" w:cs="Tahoma"/>
        </w:rPr>
        <w:t xml:space="preserve"> 15 de julio de 1991 </w:t>
      </w:r>
      <w:r w:rsidR="00E47C89">
        <w:rPr>
          <w:rFonts w:ascii="Tahoma" w:hAnsi="Tahoma" w:cs="Tahoma"/>
        </w:rPr>
        <w:t xml:space="preserve">al </w:t>
      </w:r>
      <w:r>
        <w:rPr>
          <w:rFonts w:ascii="Tahoma" w:hAnsi="Tahoma" w:cs="Tahoma"/>
        </w:rPr>
        <w:t xml:space="preserve">31 de </w:t>
      </w:r>
      <w:r w:rsidR="00227D10">
        <w:rPr>
          <w:rFonts w:ascii="Tahoma" w:hAnsi="Tahoma" w:cs="Tahoma"/>
        </w:rPr>
        <w:t xml:space="preserve">enero de 2003, </w:t>
      </w:r>
      <w:r w:rsidR="00A53DA2">
        <w:rPr>
          <w:rFonts w:ascii="Tahoma" w:hAnsi="Tahoma" w:cs="Tahoma"/>
        </w:rPr>
        <w:t>actualizando el ingreso base de cotización</w:t>
      </w:r>
      <w:r w:rsidR="00227D10">
        <w:rPr>
          <w:rFonts w:ascii="Tahoma" w:hAnsi="Tahoma" w:cs="Tahoma"/>
        </w:rPr>
        <w:t xml:space="preserve"> </w:t>
      </w:r>
      <w:r w:rsidR="0021548F">
        <w:rPr>
          <w:rFonts w:ascii="Tahoma" w:hAnsi="Tahoma" w:cs="Tahoma"/>
        </w:rPr>
        <w:t xml:space="preserve">conforme a la fórmula establecida por la Sala Laboral de la Corte Suprema de Justicia, </w:t>
      </w:r>
      <w:r w:rsidR="00A53DA2">
        <w:rPr>
          <w:rFonts w:ascii="Tahoma" w:hAnsi="Tahoma" w:cs="Tahoma"/>
        </w:rPr>
        <w:t xml:space="preserve">lo que </w:t>
      </w:r>
      <w:r w:rsidR="0021548F">
        <w:rPr>
          <w:rFonts w:ascii="Tahoma" w:hAnsi="Tahoma" w:cs="Tahoma"/>
        </w:rPr>
        <w:t xml:space="preserve">arrojó </w:t>
      </w:r>
      <w:r w:rsidR="00A53DA2">
        <w:rPr>
          <w:rFonts w:ascii="Tahoma" w:hAnsi="Tahoma" w:cs="Tahoma"/>
        </w:rPr>
        <w:t xml:space="preserve">un </w:t>
      </w:r>
      <w:r w:rsidR="00227D10">
        <w:rPr>
          <w:rFonts w:ascii="Tahoma" w:hAnsi="Tahoma" w:cs="Tahoma"/>
        </w:rPr>
        <w:t>IBL</w:t>
      </w:r>
      <w:r w:rsidR="00A53DA2">
        <w:rPr>
          <w:rFonts w:ascii="Tahoma" w:hAnsi="Tahoma" w:cs="Tahoma"/>
        </w:rPr>
        <w:t xml:space="preserve"> </w:t>
      </w:r>
      <w:r w:rsidR="0021548F">
        <w:rPr>
          <w:rFonts w:ascii="Tahoma" w:hAnsi="Tahoma" w:cs="Tahoma"/>
        </w:rPr>
        <w:t xml:space="preserve">de </w:t>
      </w:r>
      <w:r w:rsidR="003A5517">
        <w:rPr>
          <w:rFonts w:ascii="Tahoma" w:hAnsi="Tahoma" w:cs="Tahoma"/>
        </w:rPr>
        <w:t>$543.636.</w:t>
      </w:r>
    </w:p>
    <w:p w14:paraId="490B77D9" w14:textId="77777777" w:rsidR="00A53DA2" w:rsidRDefault="00A53DA2" w:rsidP="00B711CA">
      <w:pPr>
        <w:spacing w:line="276" w:lineRule="auto"/>
        <w:ind w:firstLine="709"/>
        <w:jc w:val="both"/>
        <w:rPr>
          <w:rFonts w:ascii="Tahoma" w:hAnsi="Tahoma" w:cs="Tahoma"/>
        </w:rPr>
      </w:pPr>
    </w:p>
    <w:p w14:paraId="366810A5" w14:textId="3AA147A9" w:rsidR="004D7E26" w:rsidRDefault="000D659F" w:rsidP="003A5517">
      <w:pPr>
        <w:spacing w:line="276" w:lineRule="auto"/>
        <w:ind w:firstLine="709"/>
        <w:jc w:val="both"/>
        <w:rPr>
          <w:rFonts w:ascii="Tahoma" w:hAnsi="Tahoma" w:cs="Tahoma"/>
        </w:rPr>
      </w:pPr>
      <w:r>
        <w:rPr>
          <w:rFonts w:ascii="Tahoma" w:hAnsi="Tahoma" w:cs="Tahoma"/>
        </w:rPr>
        <w:t>Finalmente</w:t>
      </w:r>
      <w:r w:rsidR="004D7E26">
        <w:rPr>
          <w:rFonts w:ascii="Tahoma" w:hAnsi="Tahoma" w:cs="Tahoma"/>
        </w:rPr>
        <w:t>, como a la demandante le fue re</w:t>
      </w:r>
      <w:r w:rsidR="00A53DA2">
        <w:rPr>
          <w:rFonts w:ascii="Tahoma" w:hAnsi="Tahoma" w:cs="Tahoma"/>
        </w:rPr>
        <w:t>-</w:t>
      </w:r>
      <w:r w:rsidR="004D7E26">
        <w:rPr>
          <w:rFonts w:ascii="Tahoma" w:hAnsi="Tahoma" w:cs="Tahoma"/>
        </w:rPr>
        <w:t>liquidada la pensión mediante la Resolución GNR 335022 del 03 de diciembr</w:t>
      </w:r>
      <w:r w:rsidR="003A5517">
        <w:rPr>
          <w:rFonts w:ascii="Tahoma" w:hAnsi="Tahoma" w:cs="Tahoma"/>
        </w:rPr>
        <w:t>e de 2013, a partir del año 2009</w:t>
      </w:r>
      <w:r w:rsidR="004D7E26">
        <w:rPr>
          <w:rFonts w:ascii="Tahoma" w:hAnsi="Tahoma" w:cs="Tahoma"/>
        </w:rPr>
        <w:t>,</w:t>
      </w:r>
      <w:r w:rsidR="00A53DA2">
        <w:rPr>
          <w:rFonts w:ascii="Tahoma" w:hAnsi="Tahoma" w:cs="Tahoma"/>
        </w:rPr>
        <w:t xml:space="preserve"> y se obtuvo</w:t>
      </w:r>
      <w:r w:rsidR="004D7E26">
        <w:rPr>
          <w:rFonts w:ascii="Tahoma" w:hAnsi="Tahoma" w:cs="Tahoma"/>
        </w:rPr>
        <w:t xml:space="preserve"> como mesada re</w:t>
      </w:r>
      <w:r w:rsidR="00A53DA2">
        <w:rPr>
          <w:rFonts w:ascii="Tahoma" w:hAnsi="Tahoma" w:cs="Tahoma"/>
        </w:rPr>
        <w:t>-</w:t>
      </w:r>
      <w:r w:rsidR="004D7E26">
        <w:rPr>
          <w:rFonts w:ascii="Tahoma" w:hAnsi="Tahoma" w:cs="Tahoma"/>
        </w:rPr>
        <w:t xml:space="preserve">liquidada para dicha anualidad </w:t>
      </w:r>
      <w:r w:rsidR="00A2190B">
        <w:rPr>
          <w:rFonts w:ascii="Tahoma" w:hAnsi="Tahoma" w:cs="Tahoma"/>
        </w:rPr>
        <w:t>la suma de $</w:t>
      </w:r>
      <w:r w:rsidR="003A5517">
        <w:rPr>
          <w:rFonts w:ascii="Tahoma" w:hAnsi="Tahoma" w:cs="Tahoma"/>
        </w:rPr>
        <w:t>631.281</w:t>
      </w:r>
      <w:r w:rsidR="00A2190B">
        <w:rPr>
          <w:rFonts w:ascii="Tahoma" w:hAnsi="Tahoma" w:cs="Tahoma"/>
        </w:rPr>
        <w:t>, se observó</w:t>
      </w:r>
      <w:r w:rsidR="004D7E26">
        <w:rPr>
          <w:rFonts w:ascii="Tahoma" w:hAnsi="Tahoma" w:cs="Tahoma"/>
        </w:rPr>
        <w:t xml:space="preserve"> que resulta</w:t>
      </w:r>
      <w:r w:rsidR="00A2190B">
        <w:rPr>
          <w:rFonts w:ascii="Tahoma" w:hAnsi="Tahoma" w:cs="Tahoma"/>
        </w:rPr>
        <w:t xml:space="preserve"> inferior a la obtenida por ese D</w:t>
      </w:r>
      <w:r w:rsidR="004D7E26">
        <w:rPr>
          <w:rFonts w:ascii="Tahoma" w:hAnsi="Tahoma" w:cs="Tahoma"/>
        </w:rPr>
        <w:t xml:space="preserve">espacho, equivalente a </w:t>
      </w:r>
      <w:r w:rsidR="00A2190B">
        <w:rPr>
          <w:rFonts w:ascii="Tahoma" w:hAnsi="Tahoma" w:cs="Tahoma"/>
        </w:rPr>
        <w:t>$</w:t>
      </w:r>
      <w:r w:rsidR="003A5517">
        <w:rPr>
          <w:rFonts w:ascii="Tahoma" w:hAnsi="Tahoma" w:cs="Tahoma"/>
        </w:rPr>
        <w:t>643.477</w:t>
      </w:r>
      <w:r w:rsidR="004D7E26">
        <w:rPr>
          <w:rFonts w:ascii="Tahoma" w:hAnsi="Tahoma" w:cs="Tahoma"/>
        </w:rPr>
        <w:t>, por ende, se ordenó el pago de la diferencia existente entre las mesadas re</w:t>
      </w:r>
      <w:r w:rsidR="00A53DA2">
        <w:rPr>
          <w:rFonts w:ascii="Tahoma" w:hAnsi="Tahoma" w:cs="Tahoma"/>
        </w:rPr>
        <w:t>-</w:t>
      </w:r>
      <w:r w:rsidR="004D7E26">
        <w:rPr>
          <w:rFonts w:ascii="Tahoma" w:hAnsi="Tahoma" w:cs="Tahoma"/>
        </w:rPr>
        <w:t xml:space="preserve">liquidadas por Colpensiones y la arrojada por ese Despacho. </w:t>
      </w:r>
    </w:p>
    <w:p w14:paraId="75C39AEC" w14:textId="77777777" w:rsidR="00E8354D" w:rsidRDefault="00E8354D" w:rsidP="00A2190B">
      <w:pPr>
        <w:widowControl w:val="0"/>
        <w:autoSpaceDE w:val="0"/>
        <w:autoSpaceDN w:val="0"/>
        <w:adjustRightInd w:val="0"/>
        <w:spacing w:line="276" w:lineRule="auto"/>
        <w:jc w:val="both"/>
        <w:rPr>
          <w:rFonts w:ascii="Tahoma" w:hAnsi="Tahoma" w:cs="Tahoma"/>
        </w:rPr>
      </w:pPr>
    </w:p>
    <w:p w14:paraId="6C1B55C7" w14:textId="77777777" w:rsidR="009A4059" w:rsidRPr="002B7B53" w:rsidRDefault="002C2FEC" w:rsidP="000D659F">
      <w:pPr>
        <w:widowControl w:val="0"/>
        <w:numPr>
          <w:ilvl w:val="0"/>
          <w:numId w:val="11"/>
        </w:numPr>
        <w:autoSpaceDE w:val="0"/>
        <w:autoSpaceDN w:val="0"/>
        <w:adjustRightInd w:val="0"/>
        <w:spacing w:line="276" w:lineRule="auto"/>
        <w:ind w:left="0" w:firstLine="0"/>
        <w:jc w:val="center"/>
        <w:rPr>
          <w:rFonts w:ascii="Tahoma" w:hAnsi="Tahoma" w:cs="Tahoma"/>
          <w:b/>
        </w:rPr>
      </w:pPr>
      <w:r>
        <w:rPr>
          <w:rFonts w:ascii="Tahoma" w:hAnsi="Tahoma" w:cs="Tahoma"/>
          <w:b/>
        </w:rPr>
        <w:t xml:space="preserve">Procedencia </w:t>
      </w:r>
      <w:r w:rsidR="00BF3B8F">
        <w:rPr>
          <w:rFonts w:ascii="Tahoma" w:hAnsi="Tahoma" w:cs="Tahoma"/>
          <w:b/>
        </w:rPr>
        <w:t>de la consulta</w:t>
      </w:r>
    </w:p>
    <w:p w14:paraId="6FB6B1D8" w14:textId="77777777" w:rsidR="009A4059" w:rsidRPr="00042881" w:rsidRDefault="009A4059" w:rsidP="00C21AEF">
      <w:pPr>
        <w:pStyle w:val="Sinespaciado"/>
        <w:rPr>
          <w:sz w:val="20"/>
          <w:szCs w:val="20"/>
        </w:rPr>
      </w:pPr>
    </w:p>
    <w:p w14:paraId="3E66F488" w14:textId="0EBFCA0B" w:rsidR="00A53DA2" w:rsidRPr="00863CCE" w:rsidRDefault="00B30E20" w:rsidP="00A53DA2">
      <w:pPr>
        <w:pStyle w:val="Sangradetextonormal"/>
        <w:spacing w:line="276" w:lineRule="auto"/>
        <w:ind w:firstLine="561"/>
      </w:pPr>
      <w:r w:rsidRPr="00863CCE">
        <w:t xml:space="preserve">Como quiera que la sentencia fue totalmente desfavorable para </w:t>
      </w:r>
      <w:r>
        <w:t>Colpensiones</w:t>
      </w:r>
      <w:r w:rsidRPr="00863CCE">
        <w:t xml:space="preserve"> y no fue apelada, se dispuso el grado jurisdiccional de consulta.</w:t>
      </w:r>
    </w:p>
    <w:p w14:paraId="5B8304F0" w14:textId="77777777" w:rsidR="00920F05" w:rsidRPr="00042881" w:rsidRDefault="00920F05" w:rsidP="00C21AEF">
      <w:pPr>
        <w:pStyle w:val="Sinespaciado"/>
        <w:rPr>
          <w:sz w:val="20"/>
          <w:szCs w:val="20"/>
        </w:rPr>
      </w:pPr>
    </w:p>
    <w:p w14:paraId="4C615A61" w14:textId="77777777" w:rsidR="009B0213" w:rsidRPr="008079AE" w:rsidRDefault="00AA407F" w:rsidP="000D659F">
      <w:pPr>
        <w:widowControl w:val="0"/>
        <w:numPr>
          <w:ilvl w:val="0"/>
          <w:numId w:val="11"/>
        </w:numPr>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r w:rsidRPr="00B1619D">
        <w:rPr>
          <w:rFonts w:ascii="Tahoma" w:hAnsi="Tahoma" w:cs="Tahoma"/>
        </w:rPr>
        <w:tab/>
      </w:r>
    </w:p>
    <w:p w14:paraId="4DD52A5B" w14:textId="77777777" w:rsidR="009B0213" w:rsidRPr="00042881" w:rsidRDefault="009B0213" w:rsidP="00A53DA2">
      <w:pPr>
        <w:pStyle w:val="Sinespaciado"/>
        <w:rPr>
          <w:sz w:val="20"/>
          <w:szCs w:val="20"/>
        </w:rPr>
      </w:pPr>
    </w:p>
    <w:p w14:paraId="05C6CD36" w14:textId="36982CF8" w:rsidR="0010792F" w:rsidRDefault="00D02404" w:rsidP="000D659F">
      <w:pPr>
        <w:pStyle w:val="Textoindependiente"/>
        <w:numPr>
          <w:ilvl w:val="1"/>
          <w:numId w:val="12"/>
        </w:numPr>
        <w:spacing w:after="0" w:line="276" w:lineRule="auto"/>
        <w:ind w:left="1418" w:right="51"/>
        <w:jc w:val="both"/>
        <w:rPr>
          <w:rFonts w:ascii="Tahoma" w:hAnsi="Tahoma" w:cs="Tahoma"/>
          <w:b/>
        </w:rPr>
      </w:pPr>
      <w:r w:rsidRPr="00D02404">
        <w:rPr>
          <w:rFonts w:ascii="Tahoma" w:hAnsi="Tahoma" w:cs="Tahoma"/>
          <w:b/>
        </w:rPr>
        <w:t>Cálculo del Ingreso Base de Liquidación para las personas beneficiarios del Régimen de Transición.</w:t>
      </w:r>
    </w:p>
    <w:p w14:paraId="1DF3CB0C" w14:textId="77777777" w:rsidR="00D02404" w:rsidRDefault="00D02404" w:rsidP="00D02404">
      <w:pPr>
        <w:pStyle w:val="Textoindependiente"/>
        <w:spacing w:after="0" w:line="276" w:lineRule="auto"/>
        <w:ind w:left="1080" w:right="51"/>
        <w:jc w:val="both"/>
        <w:rPr>
          <w:rFonts w:ascii="Tahoma" w:hAnsi="Tahoma" w:cs="Tahoma"/>
          <w:b/>
        </w:rPr>
      </w:pPr>
    </w:p>
    <w:p w14:paraId="7633554D" w14:textId="77777777" w:rsidR="00EC059E" w:rsidRDefault="00EC059E" w:rsidP="00EC059E">
      <w:pPr>
        <w:spacing w:line="276" w:lineRule="auto"/>
        <w:ind w:firstLine="708"/>
        <w:jc w:val="both"/>
        <w:rPr>
          <w:rFonts w:ascii="Tahoma" w:hAnsi="Tahoma" w:cs="Tahoma"/>
        </w:rPr>
      </w:pPr>
      <w:r w:rsidRPr="00347719">
        <w:rPr>
          <w:rFonts w:ascii="Tahoma" w:hAnsi="Tahoma" w:cs="Tahoma"/>
        </w:rPr>
        <w:t xml:space="preserve">Ha sido consistente la postura jurídica de esta Corporación en el sentido de afirmar que el ingreso base de liquidación (IBL) de los beneficiarios del régimen de transición depende del tiempo que le hiciere falta a los mismos para acceder a la prestación. Así, para </w:t>
      </w:r>
      <w:r w:rsidRPr="00347719">
        <w:rPr>
          <w:rFonts w:ascii="Tahoma" w:hAnsi="Tahoma" w:cs="Tahoma"/>
        </w:rPr>
        <w:lastRenderedPageBreak/>
        <w:t xml:space="preserve">quienes les faltaba más de 10 años para acceder a la pensión, el I.B.L. se liquidará atendiendo a los preceptos establecidos en el artículo 21 de la Ley 100 de 1993, esto es, con el promedio de los salarios devengados en los últimos 10 años que precedieron el reconocimiento de la pensión, o el de toda la vida, siempre que el </w:t>
      </w:r>
      <w:r>
        <w:rPr>
          <w:rFonts w:ascii="Tahoma" w:hAnsi="Tahoma" w:cs="Tahoma"/>
        </w:rPr>
        <w:t xml:space="preserve">número de semanas cotizadas por el afiliado </w:t>
      </w:r>
      <w:r w:rsidRPr="00347719">
        <w:rPr>
          <w:rFonts w:ascii="Tahoma" w:hAnsi="Tahoma" w:cs="Tahoma"/>
        </w:rPr>
        <w:t>haya sido superior</w:t>
      </w:r>
      <w:r>
        <w:rPr>
          <w:rFonts w:ascii="Tahoma" w:hAnsi="Tahoma" w:cs="Tahoma"/>
        </w:rPr>
        <w:t xml:space="preserve"> a</w:t>
      </w:r>
      <w:r w:rsidRPr="00347719">
        <w:rPr>
          <w:rFonts w:ascii="Tahoma" w:hAnsi="Tahoma" w:cs="Tahoma"/>
        </w:rPr>
        <w:t xml:space="preserve"> 1250; por su parte para quienes, como la actora, les faltaban menos de 10 años a la entrada en vigencia de la Ley 100 de 1993 para acceder a la prestación se les aplicará el tercer inciso del artículo 36 de la Ley 100 de 1993; que admite el cálculo a partir del promedio de lo cotizado dentro del tiempo que le hacía falta al afiliado</w:t>
      </w:r>
      <w:r>
        <w:rPr>
          <w:rFonts w:ascii="Tahoma" w:hAnsi="Tahoma" w:cs="Tahoma"/>
        </w:rPr>
        <w:t xml:space="preserve"> para obtener la pensión desde</w:t>
      </w:r>
      <w:r w:rsidRPr="00347719">
        <w:rPr>
          <w:rFonts w:ascii="Tahoma" w:hAnsi="Tahoma" w:cs="Tahoma"/>
        </w:rPr>
        <w:t xml:space="preserve"> la fecha de entrada en vigencia de la Ley 100 de 1993, o el de toda la vida laboral, eligiendo entre esos dos métodos de liquidación el que más favorezca los intereses del pensionado.</w:t>
      </w:r>
    </w:p>
    <w:p w14:paraId="5B49B77C" w14:textId="77777777" w:rsidR="00C700A5" w:rsidRPr="00EC107E" w:rsidRDefault="00C700A5" w:rsidP="00C700A5">
      <w:pPr>
        <w:spacing w:line="276" w:lineRule="auto"/>
        <w:jc w:val="both"/>
        <w:rPr>
          <w:rFonts w:ascii="Tahoma" w:hAnsi="Tahoma" w:cs="Tahoma"/>
        </w:rPr>
      </w:pPr>
    </w:p>
    <w:p w14:paraId="361107DC" w14:textId="77777777" w:rsidR="00C700A5" w:rsidRPr="00EC107E" w:rsidRDefault="00C700A5" w:rsidP="00C700A5">
      <w:pPr>
        <w:spacing w:line="276" w:lineRule="auto"/>
        <w:jc w:val="both"/>
        <w:rPr>
          <w:rFonts w:ascii="Tahoma" w:hAnsi="Tahoma" w:cs="Tahoma"/>
        </w:rPr>
      </w:pPr>
      <w:r w:rsidRPr="00EC107E">
        <w:rPr>
          <w:rFonts w:ascii="Tahoma" w:hAnsi="Tahoma" w:cs="Tahoma"/>
        </w:rPr>
        <w:tab/>
        <w:t>Ahora bien, al revisar la liquidación efectuada en sede de primera instancia, advierte la Sala que la juzgadora fijó como parámetro que, la trayectoria de tiempo que se aplica en la fórmula de cálculo del IBL, no corresponde a las cotizaciones efectuadas por la actora dentro de un lapso fijo de 10 años, sino que los 10 años corresponde a las cotizaciones efectivamente realizadas, con lo cual, desde luego, se excluyen las no cotizadas, sencillamente porque la norma, especialmente el artículo 2º de la Ley 797 de 2003, que adicionó el artículo 13 de la Ley 100 de 1993, previene que el IBL se construye con un promedio aritmético a partir de los salarios efectivamente cotizados, que normalizados a días para llevar a cabo la operación matemática, no son otros que los días que el afiliado cotizó.</w:t>
      </w:r>
    </w:p>
    <w:p w14:paraId="46674768" w14:textId="77777777" w:rsidR="00C700A5" w:rsidRPr="00EC107E" w:rsidRDefault="00C700A5" w:rsidP="00C700A5">
      <w:pPr>
        <w:spacing w:line="276" w:lineRule="auto"/>
        <w:jc w:val="both"/>
        <w:rPr>
          <w:rFonts w:ascii="Tahoma" w:hAnsi="Tahoma" w:cs="Tahoma"/>
        </w:rPr>
      </w:pPr>
    </w:p>
    <w:p w14:paraId="032B3B60" w14:textId="5BCB743D" w:rsidR="00C700A5" w:rsidRPr="00EC107E" w:rsidRDefault="00C700A5" w:rsidP="00C700A5">
      <w:pPr>
        <w:spacing w:line="276" w:lineRule="auto"/>
        <w:jc w:val="both"/>
        <w:rPr>
          <w:rFonts w:ascii="Tahoma" w:hAnsi="Tahoma" w:cs="Tahoma"/>
        </w:rPr>
      </w:pPr>
      <w:r>
        <w:rPr>
          <w:rFonts w:ascii="Tahoma" w:hAnsi="Tahoma" w:cs="Tahoma"/>
          <w:shd w:val="clear" w:color="auto" w:fill="FFFFFF"/>
        </w:rPr>
        <w:tab/>
        <w:t>E</w:t>
      </w:r>
      <w:r w:rsidRPr="00EC107E">
        <w:rPr>
          <w:rFonts w:ascii="Tahoma" w:hAnsi="Tahoma" w:cs="Tahoma"/>
          <w:shd w:val="clear" w:color="auto" w:fill="FFFFFF"/>
        </w:rPr>
        <w:t>n otras palabras, vale advertir que lo que se calcula no es el promedio de los últimos 10 años entendidos en sentido cronológico continuo, sino de los últimos diez años cotizados, vale decir de los últimos 120 meses cotizados (3600 días), los cuales en tiempo real pudieron haber sido cotizados en más de 10 años por haberse presentado interrupciones en la continuidad de la cotización, pues siempre que haya espacios de inactividad en el sistema, estos se desplazan hasta completar los 10 años de IBC.</w:t>
      </w:r>
    </w:p>
    <w:p w14:paraId="36BB5687" w14:textId="77777777" w:rsidR="00042881" w:rsidRPr="00C3314B" w:rsidRDefault="00042881" w:rsidP="00C3314B">
      <w:pPr>
        <w:pStyle w:val="Sinespaciado"/>
      </w:pPr>
    </w:p>
    <w:p w14:paraId="33F0829E" w14:textId="6DB3DB35" w:rsidR="00EC059E" w:rsidRPr="000D659F" w:rsidRDefault="000D659F" w:rsidP="000D659F">
      <w:pPr>
        <w:pStyle w:val="Prrafodelista"/>
        <w:spacing w:line="276" w:lineRule="auto"/>
        <w:ind w:left="709"/>
        <w:rPr>
          <w:rFonts w:ascii="Tahoma" w:hAnsi="Tahoma" w:cs="Tahoma"/>
          <w:b/>
          <w:lang w:val="es-CO"/>
        </w:rPr>
      </w:pPr>
      <w:r>
        <w:rPr>
          <w:rFonts w:ascii="Tahoma" w:hAnsi="Tahoma" w:cs="Tahoma"/>
          <w:b/>
          <w:lang w:val="es-CO"/>
        </w:rPr>
        <w:t xml:space="preserve">4.2   </w:t>
      </w:r>
      <w:bookmarkStart w:id="0" w:name="_GoBack"/>
      <w:bookmarkEnd w:id="0"/>
      <w:r w:rsidR="00EC059E" w:rsidRPr="000D659F">
        <w:rPr>
          <w:rFonts w:ascii="Tahoma" w:hAnsi="Tahoma" w:cs="Tahoma"/>
          <w:b/>
          <w:lang w:val="es-CO"/>
        </w:rPr>
        <w:t>CASO CONCRETO</w:t>
      </w:r>
    </w:p>
    <w:p w14:paraId="2CCFB15B" w14:textId="77777777" w:rsidR="00EC059E" w:rsidRPr="00EC107E" w:rsidRDefault="00EC059E" w:rsidP="00EC059E">
      <w:pPr>
        <w:pStyle w:val="Textoindependiente21"/>
        <w:spacing w:line="276" w:lineRule="auto"/>
        <w:ind w:firstLine="708"/>
        <w:rPr>
          <w:rFonts w:ascii="Tahoma" w:eastAsiaTheme="minorHAnsi" w:hAnsi="Tahoma" w:cs="Tahoma"/>
          <w:b/>
          <w:sz w:val="22"/>
          <w:szCs w:val="22"/>
          <w:lang w:eastAsia="en-US"/>
        </w:rPr>
      </w:pPr>
    </w:p>
    <w:p w14:paraId="02AE160D" w14:textId="5FB805DA" w:rsidR="001929E3" w:rsidRDefault="001929E3" w:rsidP="001929E3">
      <w:pPr>
        <w:pStyle w:val="Textoindependiente"/>
        <w:spacing w:after="0" w:line="276" w:lineRule="auto"/>
        <w:ind w:right="51" w:firstLine="708"/>
        <w:jc w:val="both"/>
        <w:rPr>
          <w:rFonts w:ascii="Tahoma" w:hAnsi="Tahoma" w:cs="Tahoma"/>
        </w:rPr>
      </w:pPr>
      <w:r>
        <w:rPr>
          <w:rFonts w:ascii="Tahoma" w:hAnsi="Tahoma" w:cs="Tahoma"/>
        </w:rPr>
        <w:t xml:space="preserve">Esta Sala encuentra que la demandante efectivamente tiene derecho a que se calcule el valor de su mesada pensional con el tiempo que le hacía falta para pensionarse, pues para el 01 de abril de 1994, fecha de entrada en vigencia de la Ley 100 de 1993, le faltaba un poco menos de 10 años para pensionarse, y como lo establece el Inciso 3 del Artículo 36 de la citada norma, </w:t>
      </w:r>
      <w:r w:rsidR="003A5517">
        <w:rPr>
          <w:rFonts w:ascii="Tahoma" w:hAnsi="Tahoma" w:cs="Tahoma"/>
        </w:rPr>
        <w:t>bajo esas</w:t>
      </w:r>
      <w:r w:rsidR="00FD4E47">
        <w:rPr>
          <w:rFonts w:ascii="Tahoma" w:hAnsi="Tahoma" w:cs="Tahoma"/>
        </w:rPr>
        <w:t xml:space="preserve"> circunstancias</w:t>
      </w:r>
      <w:r w:rsidRPr="00F91EB1">
        <w:rPr>
          <w:rFonts w:ascii="Tahoma" w:hAnsi="Tahoma" w:cs="Tahoma"/>
        </w:rPr>
        <w:t>,</w:t>
      </w:r>
      <w:r w:rsidR="00FD4E47">
        <w:rPr>
          <w:rFonts w:ascii="Tahoma" w:hAnsi="Tahoma" w:cs="Tahoma"/>
        </w:rPr>
        <w:t xml:space="preserve"> se puede escoger entre el promedio de lo devengado en el tiempo que le hiciere falta</w:t>
      </w:r>
      <w:r w:rsidRPr="00F91EB1">
        <w:rPr>
          <w:rFonts w:ascii="Tahoma" w:hAnsi="Tahoma" w:cs="Tahoma"/>
        </w:rPr>
        <w:t xml:space="preserve"> o el cotizado</w:t>
      </w:r>
      <w:r w:rsidR="00FD4E47">
        <w:rPr>
          <w:rFonts w:ascii="Tahoma" w:hAnsi="Tahoma" w:cs="Tahoma"/>
        </w:rPr>
        <w:t xml:space="preserve"> durante todo el tiempo, cualquiera que resulte más favorable al afiliado.</w:t>
      </w:r>
    </w:p>
    <w:p w14:paraId="6B90A9BE" w14:textId="77777777" w:rsidR="001929E3" w:rsidRDefault="001929E3" w:rsidP="001929E3">
      <w:pPr>
        <w:pStyle w:val="Textoindependiente"/>
        <w:spacing w:after="0" w:line="276" w:lineRule="auto"/>
        <w:ind w:right="51" w:firstLine="708"/>
        <w:jc w:val="both"/>
        <w:rPr>
          <w:rFonts w:ascii="Tahoma" w:hAnsi="Tahoma" w:cs="Tahoma"/>
        </w:rPr>
      </w:pPr>
    </w:p>
    <w:p w14:paraId="27CCC0A2" w14:textId="77777777" w:rsidR="001929E3" w:rsidRDefault="001929E3" w:rsidP="001929E3">
      <w:pPr>
        <w:pStyle w:val="Textoindependiente"/>
        <w:spacing w:after="0" w:line="276" w:lineRule="auto"/>
        <w:ind w:right="51" w:firstLine="708"/>
        <w:jc w:val="both"/>
        <w:rPr>
          <w:rFonts w:ascii="Tahoma" w:hAnsi="Tahoma" w:cs="Tahoma"/>
        </w:rPr>
      </w:pPr>
      <w:r>
        <w:rPr>
          <w:rFonts w:ascii="Tahoma" w:hAnsi="Tahoma" w:cs="Tahoma"/>
        </w:rPr>
        <w:t>Ahora, en relación con el fenómeno de la prescripción, esta Sala encuentra que efectivamente operó dicho fenómeno, pues la reclamación de reliquidación se presentó el día 14 de junio de 2012, por lo cual, todas las sumas anteriores al 14 de junio de 2009, se encuentran prescritas.</w:t>
      </w:r>
    </w:p>
    <w:p w14:paraId="1AD89A8F" w14:textId="77777777" w:rsidR="001929E3" w:rsidRDefault="001929E3" w:rsidP="001929E3">
      <w:pPr>
        <w:pStyle w:val="Textoindependiente21"/>
        <w:spacing w:line="276" w:lineRule="auto"/>
        <w:ind w:firstLine="0"/>
        <w:rPr>
          <w:rFonts w:ascii="Tahoma" w:eastAsiaTheme="minorHAnsi" w:hAnsi="Tahoma" w:cs="Tahoma"/>
          <w:sz w:val="24"/>
          <w:szCs w:val="24"/>
          <w:lang w:eastAsia="en-US"/>
        </w:rPr>
      </w:pPr>
    </w:p>
    <w:p w14:paraId="36D3AE40" w14:textId="5ED750DF" w:rsidR="00EC059E" w:rsidRPr="00EC059E" w:rsidRDefault="00EC059E" w:rsidP="00EC059E">
      <w:pPr>
        <w:pStyle w:val="Textoindependiente21"/>
        <w:spacing w:line="276" w:lineRule="auto"/>
        <w:ind w:firstLine="708"/>
        <w:rPr>
          <w:rFonts w:ascii="Tahoma" w:eastAsiaTheme="minorHAnsi" w:hAnsi="Tahoma" w:cs="Tahoma"/>
          <w:sz w:val="24"/>
          <w:szCs w:val="24"/>
          <w:lang w:eastAsia="en-US"/>
        </w:rPr>
      </w:pPr>
      <w:r w:rsidRPr="00EC059E">
        <w:rPr>
          <w:rFonts w:ascii="Tahoma" w:eastAsiaTheme="minorHAnsi" w:hAnsi="Tahoma" w:cs="Tahoma"/>
          <w:sz w:val="24"/>
          <w:szCs w:val="24"/>
          <w:lang w:eastAsia="en-US"/>
        </w:rPr>
        <w:t>Bajo los anteriores parámetros y puesta la mirada en el reporte de semanas cotizadas por la actora (</w:t>
      </w:r>
      <w:r w:rsidR="001929E3" w:rsidRPr="00EC059E">
        <w:rPr>
          <w:rFonts w:ascii="Tahoma" w:eastAsiaTheme="minorHAnsi" w:hAnsi="Tahoma" w:cs="Tahoma"/>
          <w:sz w:val="24"/>
          <w:szCs w:val="24"/>
          <w:lang w:eastAsia="en-US"/>
        </w:rPr>
        <w:t>Fl</w:t>
      </w:r>
      <w:r w:rsidR="001929E3">
        <w:rPr>
          <w:rFonts w:ascii="Tahoma" w:eastAsiaTheme="minorHAnsi" w:hAnsi="Tahoma" w:cs="Tahoma"/>
          <w:sz w:val="24"/>
          <w:szCs w:val="24"/>
          <w:lang w:eastAsia="en-US"/>
        </w:rPr>
        <w:t>s. 114 y s.s.</w:t>
      </w:r>
      <w:r w:rsidRPr="00EC059E">
        <w:rPr>
          <w:rFonts w:ascii="Tahoma" w:eastAsiaTheme="minorHAnsi" w:hAnsi="Tahoma" w:cs="Tahoma"/>
          <w:sz w:val="24"/>
          <w:szCs w:val="24"/>
          <w:lang w:eastAsia="en-US"/>
        </w:rPr>
        <w:t xml:space="preserve">), la Sala efectuó el </w:t>
      </w:r>
      <w:r>
        <w:rPr>
          <w:rFonts w:ascii="Tahoma" w:eastAsiaTheme="minorHAnsi" w:hAnsi="Tahoma" w:cs="Tahoma"/>
          <w:sz w:val="24"/>
          <w:szCs w:val="24"/>
          <w:lang w:eastAsia="en-US"/>
        </w:rPr>
        <w:t xml:space="preserve">respectivo </w:t>
      </w:r>
      <w:r w:rsidRPr="00EC059E">
        <w:rPr>
          <w:rFonts w:ascii="Tahoma" w:eastAsiaTheme="minorHAnsi" w:hAnsi="Tahoma" w:cs="Tahoma"/>
          <w:sz w:val="24"/>
          <w:szCs w:val="24"/>
          <w:lang w:eastAsia="en-US"/>
        </w:rPr>
        <w:t>cálculo de la mesada pensional, cuyo resultado</w:t>
      </w:r>
      <w:r w:rsidR="001929E3">
        <w:rPr>
          <w:rFonts w:ascii="Tahoma" w:eastAsiaTheme="minorHAnsi" w:hAnsi="Tahoma" w:cs="Tahoma"/>
          <w:sz w:val="24"/>
          <w:szCs w:val="24"/>
          <w:lang w:eastAsia="en-US"/>
        </w:rPr>
        <w:t xml:space="preserve"> no difiere del obtenido en primera instancia, tal cual se puede constatar en el </w:t>
      </w:r>
      <w:r w:rsidR="001929E3">
        <w:rPr>
          <w:rFonts w:ascii="Tahoma" w:eastAsiaTheme="minorHAnsi" w:hAnsi="Tahoma" w:cs="Tahoma"/>
          <w:sz w:val="24"/>
          <w:szCs w:val="24"/>
          <w:lang w:eastAsia="en-US"/>
        </w:rPr>
        <w:lastRenderedPageBreak/>
        <w:t>cuadro que hace parte del acta de la audiencia y que en este momento se pone en conocimiento de las partes.</w:t>
      </w:r>
    </w:p>
    <w:p w14:paraId="2EF72DDD" w14:textId="76F857F1" w:rsidR="002416AF" w:rsidRPr="00F00B6F" w:rsidRDefault="002416AF" w:rsidP="00F00B6F">
      <w:pPr>
        <w:pStyle w:val="Sinespaciado"/>
      </w:pPr>
    </w:p>
    <w:p w14:paraId="5BA73447" w14:textId="07AACF41" w:rsidR="002416AF" w:rsidRPr="00924069" w:rsidRDefault="001929E3" w:rsidP="002416AF">
      <w:pPr>
        <w:tabs>
          <w:tab w:val="left" w:pos="748"/>
        </w:tabs>
        <w:spacing w:line="276" w:lineRule="auto"/>
        <w:ind w:firstLine="709"/>
        <w:jc w:val="both"/>
        <w:rPr>
          <w:rFonts w:ascii="Tahoma" w:hAnsi="Tahoma" w:cs="Tahoma"/>
          <w:bCs/>
        </w:rPr>
      </w:pPr>
      <w:r>
        <w:rPr>
          <w:rFonts w:ascii="Tahoma" w:hAnsi="Tahoma" w:cs="Tahoma"/>
          <w:bCs/>
        </w:rPr>
        <w:t>Corolario de lo anterior, la decisión de primera instancia habrá de confirmarse en esta sede de consulta.</w:t>
      </w:r>
    </w:p>
    <w:p w14:paraId="388D5C17" w14:textId="77777777" w:rsidR="00BC0060" w:rsidRPr="00C3314B" w:rsidRDefault="00BC0060" w:rsidP="00C3314B">
      <w:pPr>
        <w:pStyle w:val="Sinespaciado"/>
      </w:pPr>
    </w:p>
    <w:p w14:paraId="22129F18" w14:textId="77777777" w:rsidR="009A4059" w:rsidRPr="009750A9" w:rsidRDefault="009A4059" w:rsidP="000F4F7B">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3F6E3329" w14:textId="77777777" w:rsidR="001366A4" w:rsidRPr="00C3314B" w:rsidRDefault="001366A4" w:rsidP="00C3314B">
      <w:pPr>
        <w:pStyle w:val="Sinespaciado"/>
      </w:pPr>
    </w:p>
    <w:p w14:paraId="01AD84C3" w14:textId="77777777" w:rsidR="009A4059" w:rsidRPr="009750A9" w:rsidRDefault="009A4059" w:rsidP="000F4F7B">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78CAF0A6" w14:textId="77777777" w:rsidR="009A4059" w:rsidRPr="00C3314B" w:rsidRDefault="009A4059" w:rsidP="00C3314B">
      <w:pPr>
        <w:pStyle w:val="Sinespaciado"/>
      </w:pPr>
    </w:p>
    <w:p w14:paraId="3297898E" w14:textId="68C74342" w:rsidR="002416AF" w:rsidRDefault="00960114" w:rsidP="00823530">
      <w:pPr>
        <w:spacing w:line="276" w:lineRule="auto"/>
        <w:ind w:firstLine="708"/>
        <w:jc w:val="both"/>
        <w:rPr>
          <w:rFonts w:ascii="Tahoma" w:hAnsi="Tahoma" w:cs="Tahoma"/>
          <w:sz w:val="22"/>
          <w:szCs w:val="22"/>
        </w:rPr>
      </w:pPr>
      <w:r w:rsidRPr="009750A9">
        <w:rPr>
          <w:rFonts w:ascii="Tahoma" w:hAnsi="Tahoma" w:cs="Tahoma"/>
          <w:b/>
          <w:u w:val="single"/>
        </w:rPr>
        <w:t>PRIMERO</w:t>
      </w:r>
      <w:r w:rsidR="009A4059" w:rsidRPr="009750A9">
        <w:rPr>
          <w:rFonts w:ascii="Tahoma" w:hAnsi="Tahoma" w:cs="Tahoma"/>
        </w:rPr>
        <w:t xml:space="preserve">.- </w:t>
      </w:r>
      <w:r w:rsidR="00823530" w:rsidRPr="00823530">
        <w:rPr>
          <w:rFonts w:ascii="Tahoma" w:hAnsi="Tahoma" w:cs="Tahoma"/>
          <w:b/>
        </w:rPr>
        <w:t>CONFIRMAR</w:t>
      </w:r>
      <w:r w:rsidR="00823530">
        <w:rPr>
          <w:rFonts w:ascii="Tahoma" w:hAnsi="Tahoma" w:cs="Tahoma"/>
          <w:b/>
        </w:rPr>
        <w:t xml:space="preserve"> </w:t>
      </w:r>
      <w:r w:rsidR="00823530">
        <w:rPr>
          <w:rFonts w:ascii="Tahoma" w:hAnsi="Tahoma" w:cs="Tahoma"/>
        </w:rPr>
        <w:t>la sentenci</w:t>
      </w:r>
      <w:r w:rsidR="001929E3">
        <w:rPr>
          <w:rFonts w:ascii="Tahoma" w:hAnsi="Tahoma" w:cs="Tahoma"/>
        </w:rPr>
        <w:t>a emitida por el Juzgado Segundo</w:t>
      </w:r>
      <w:r w:rsidR="00823530">
        <w:rPr>
          <w:rFonts w:ascii="Tahoma" w:hAnsi="Tahoma" w:cs="Tahoma"/>
        </w:rPr>
        <w:t xml:space="preserve"> </w:t>
      </w:r>
      <w:r w:rsidR="00823530" w:rsidRPr="002B7B53">
        <w:rPr>
          <w:rFonts w:ascii="Tahoma" w:hAnsi="Tahoma" w:cs="Tahoma"/>
        </w:rPr>
        <w:t xml:space="preserve">Laboral del Circuito de Pereira el </w:t>
      </w:r>
      <w:r w:rsidR="001929E3">
        <w:rPr>
          <w:rFonts w:ascii="Tahoma" w:hAnsi="Tahoma" w:cs="Tahoma"/>
        </w:rPr>
        <w:t>21 de abril</w:t>
      </w:r>
      <w:r w:rsidR="00823530">
        <w:rPr>
          <w:rFonts w:ascii="Tahoma" w:hAnsi="Tahoma" w:cs="Tahoma"/>
        </w:rPr>
        <w:t xml:space="preserve"> </w:t>
      </w:r>
      <w:r w:rsidR="001929E3">
        <w:rPr>
          <w:rFonts w:ascii="Tahoma" w:hAnsi="Tahoma" w:cs="Tahoma"/>
        </w:rPr>
        <w:t>de 2015</w:t>
      </w:r>
      <w:r w:rsidR="00823530">
        <w:rPr>
          <w:rFonts w:ascii="Tahoma" w:hAnsi="Tahoma" w:cs="Tahoma"/>
        </w:rPr>
        <w:t>, dentro del presente proceso ordinario laboral.</w:t>
      </w:r>
    </w:p>
    <w:p w14:paraId="7A84D497" w14:textId="77777777" w:rsidR="002416AF" w:rsidRPr="00924069" w:rsidRDefault="002416AF" w:rsidP="002416AF">
      <w:pPr>
        <w:ind w:left="709"/>
        <w:jc w:val="both"/>
        <w:rPr>
          <w:rFonts w:ascii="Tahoma" w:hAnsi="Tahoma" w:cs="Tahoma"/>
          <w:sz w:val="22"/>
          <w:szCs w:val="22"/>
        </w:rPr>
      </w:pPr>
    </w:p>
    <w:p w14:paraId="05AF5379" w14:textId="355DEE70" w:rsidR="003F0B87" w:rsidRPr="009750A9" w:rsidRDefault="001929E3" w:rsidP="001929E3">
      <w:pPr>
        <w:spacing w:line="276" w:lineRule="auto"/>
        <w:ind w:firstLine="708"/>
        <w:jc w:val="both"/>
        <w:rPr>
          <w:rFonts w:ascii="Tahoma" w:hAnsi="Tahoma" w:cs="Tahoma"/>
          <w:b/>
        </w:rPr>
      </w:pPr>
      <w:r>
        <w:rPr>
          <w:rFonts w:ascii="Tahoma" w:hAnsi="Tahoma" w:cs="Tahoma"/>
          <w:b/>
          <w:u w:val="single"/>
        </w:rPr>
        <w:t>SEGUNDO</w:t>
      </w:r>
      <w:r w:rsidR="00FB2380" w:rsidRPr="002768FD">
        <w:rPr>
          <w:rFonts w:ascii="Tahoma" w:hAnsi="Tahoma" w:cs="Tahoma"/>
          <w:b/>
          <w:u w:val="single"/>
        </w:rPr>
        <w:t>.</w:t>
      </w:r>
      <w:r w:rsidR="00FB2380" w:rsidRPr="00FB2380">
        <w:rPr>
          <w:rFonts w:ascii="Tahoma" w:hAnsi="Tahoma" w:cs="Tahoma"/>
          <w:b/>
        </w:rPr>
        <w:t>-</w:t>
      </w:r>
      <w:r w:rsidR="003F0B87" w:rsidRPr="009750A9">
        <w:rPr>
          <w:rFonts w:ascii="Tahoma" w:hAnsi="Tahoma" w:cs="Tahoma"/>
          <w:b/>
        </w:rPr>
        <w:t xml:space="preserve"> </w:t>
      </w:r>
      <w:r w:rsidR="00D35B73" w:rsidRPr="009750A9">
        <w:rPr>
          <w:rFonts w:ascii="Tahoma" w:hAnsi="Tahoma" w:cs="Tahoma"/>
        </w:rPr>
        <w:t xml:space="preserve">Sin lugar </w:t>
      </w:r>
      <w:r w:rsidR="00FB093A" w:rsidRPr="009750A9">
        <w:rPr>
          <w:rFonts w:ascii="Tahoma" w:hAnsi="Tahoma" w:cs="Tahoma"/>
        </w:rPr>
        <w:t>a costas en este grado jurisdiccional</w:t>
      </w:r>
      <w:r w:rsidR="003F0B87" w:rsidRPr="009750A9">
        <w:rPr>
          <w:rFonts w:ascii="Tahoma" w:hAnsi="Tahoma" w:cs="Tahoma"/>
        </w:rPr>
        <w:t>.</w:t>
      </w:r>
    </w:p>
    <w:p w14:paraId="32220EDE" w14:textId="77777777" w:rsidR="001366A4" w:rsidRPr="00C3314B" w:rsidRDefault="003F0B87" w:rsidP="001B17E9">
      <w:pPr>
        <w:pStyle w:val="Sinespaciado"/>
        <w:ind w:left="708"/>
      </w:pPr>
      <w:r w:rsidRPr="009750A9">
        <w:t xml:space="preserve"> </w:t>
      </w:r>
    </w:p>
    <w:p w14:paraId="5FA1202E" w14:textId="77777777" w:rsidR="009A4059" w:rsidRPr="00703D0D" w:rsidRDefault="009A4059" w:rsidP="001B17E9">
      <w:pPr>
        <w:widowControl w:val="0"/>
        <w:autoSpaceDE w:val="0"/>
        <w:autoSpaceDN w:val="0"/>
        <w:adjustRightInd w:val="0"/>
        <w:spacing w:line="276" w:lineRule="auto"/>
        <w:ind w:left="708"/>
        <w:jc w:val="both"/>
        <w:rPr>
          <w:rFonts w:ascii="Tahoma" w:hAnsi="Tahoma" w:cs="Tahoma"/>
          <w:b/>
          <w:bCs/>
        </w:rPr>
      </w:pPr>
      <w:r w:rsidRPr="00703D0D">
        <w:rPr>
          <w:rFonts w:ascii="Tahoma" w:hAnsi="Tahoma" w:cs="Tahoma"/>
        </w:rPr>
        <w:tab/>
      </w:r>
      <w:r w:rsidR="00FB2BDC" w:rsidRPr="00703D0D">
        <w:rPr>
          <w:rFonts w:ascii="Tahoma" w:hAnsi="Tahoma" w:cs="Tahoma"/>
          <w:b/>
          <w:bCs/>
        </w:rPr>
        <w:t>Notificación surtida en estrados</w:t>
      </w:r>
      <w:r w:rsidRPr="00703D0D">
        <w:rPr>
          <w:rFonts w:ascii="Tahoma" w:hAnsi="Tahoma" w:cs="Tahoma"/>
          <w:b/>
          <w:bCs/>
        </w:rPr>
        <w:t>.</w:t>
      </w:r>
    </w:p>
    <w:p w14:paraId="435C7421" w14:textId="77777777" w:rsidR="009A4059" w:rsidRPr="00C3314B" w:rsidRDefault="009A4059" w:rsidP="001B17E9">
      <w:pPr>
        <w:pStyle w:val="Sinespaciado"/>
        <w:ind w:left="708"/>
      </w:pPr>
    </w:p>
    <w:p w14:paraId="4CDFF3A6" w14:textId="77777777" w:rsidR="009A4059" w:rsidRPr="009750A9" w:rsidRDefault="00FB2BDC" w:rsidP="001B17E9">
      <w:pPr>
        <w:widowControl w:val="0"/>
        <w:autoSpaceDE w:val="0"/>
        <w:autoSpaceDN w:val="0"/>
        <w:adjustRightInd w:val="0"/>
        <w:spacing w:line="276" w:lineRule="auto"/>
        <w:ind w:left="708"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46930317" w14:textId="77777777" w:rsidR="009A4059" w:rsidRPr="00C3314B" w:rsidRDefault="009A4059" w:rsidP="001B17E9">
      <w:pPr>
        <w:pStyle w:val="Sinespaciado"/>
        <w:ind w:left="708"/>
      </w:pPr>
    </w:p>
    <w:p w14:paraId="10EA76C1" w14:textId="2E6FF04E" w:rsidR="009A4059" w:rsidRPr="009750A9" w:rsidRDefault="009A4059" w:rsidP="001B17E9">
      <w:pPr>
        <w:widowControl w:val="0"/>
        <w:autoSpaceDE w:val="0"/>
        <w:autoSpaceDN w:val="0"/>
        <w:adjustRightInd w:val="0"/>
        <w:spacing w:line="276" w:lineRule="auto"/>
        <w:ind w:left="708"/>
        <w:jc w:val="both"/>
        <w:rPr>
          <w:rFonts w:ascii="Tahoma" w:hAnsi="Tahoma" w:cs="Tahoma"/>
        </w:rPr>
      </w:pPr>
      <w:r w:rsidRPr="009750A9">
        <w:rPr>
          <w:rFonts w:ascii="Tahoma" w:hAnsi="Tahoma" w:cs="Tahoma"/>
        </w:rPr>
        <w:tab/>
      </w:r>
    </w:p>
    <w:p w14:paraId="0DDA8516" w14:textId="77777777" w:rsidR="001D77FA" w:rsidRPr="00C3314B" w:rsidRDefault="001D77FA" w:rsidP="001B17E9">
      <w:pPr>
        <w:pStyle w:val="Sinespaciado"/>
        <w:ind w:left="708"/>
      </w:pPr>
    </w:p>
    <w:p w14:paraId="13304E99" w14:textId="77777777" w:rsidR="009A4059" w:rsidRPr="009750A9" w:rsidRDefault="009A4059" w:rsidP="001B17E9">
      <w:pPr>
        <w:spacing w:line="276" w:lineRule="auto"/>
        <w:ind w:left="708"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F440080" w14:textId="77777777" w:rsidR="00E90515" w:rsidRDefault="00E90515" w:rsidP="001B17E9">
      <w:pPr>
        <w:pStyle w:val="Sinespaciado"/>
        <w:ind w:left="708"/>
        <w:rPr>
          <w:sz w:val="22"/>
          <w:szCs w:val="22"/>
        </w:rPr>
      </w:pPr>
    </w:p>
    <w:p w14:paraId="2ED3FBD4" w14:textId="77777777" w:rsidR="0015291F" w:rsidRDefault="0015291F" w:rsidP="001B17E9">
      <w:pPr>
        <w:pStyle w:val="Sinespaciado"/>
        <w:ind w:left="708"/>
        <w:rPr>
          <w:sz w:val="22"/>
          <w:szCs w:val="22"/>
        </w:rPr>
      </w:pPr>
    </w:p>
    <w:p w14:paraId="1570B8E1" w14:textId="77777777" w:rsidR="00E90515" w:rsidRPr="00042881" w:rsidRDefault="00E90515" w:rsidP="001B17E9">
      <w:pPr>
        <w:pStyle w:val="Sinespaciado"/>
        <w:ind w:left="708"/>
        <w:rPr>
          <w:sz w:val="22"/>
          <w:szCs w:val="22"/>
        </w:rPr>
      </w:pPr>
    </w:p>
    <w:p w14:paraId="20714072" w14:textId="77777777" w:rsidR="009A4059" w:rsidRPr="009750A9" w:rsidRDefault="009A4059" w:rsidP="001B17E9">
      <w:pPr>
        <w:pStyle w:val="Ttulo3"/>
        <w:spacing w:before="0" w:after="0" w:line="276" w:lineRule="auto"/>
        <w:ind w:left="708"/>
        <w:jc w:val="center"/>
        <w:rPr>
          <w:rFonts w:ascii="Tahoma" w:hAnsi="Tahoma" w:cs="Tahoma"/>
          <w:bCs w:val="0"/>
          <w:sz w:val="24"/>
          <w:szCs w:val="24"/>
        </w:rPr>
      </w:pPr>
      <w:r w:rsidRPr="009750A9">
        <w:rPr>
          <w:rFonts w:ascii="Tahoma" w:hAnsi="Tahoma" w:cs="Tahoma"/>
          <w:bCs w:val="0"/>
          <w:sz w:val="24"/>
          <w:szCs w:val="24"/>
        </w:rPr>
        <w:t>ANA LUCÍA CAICEDO CALDERÓN</w:t>
      </w:r>
    </w:p>
    <w:p w14:paraId="33C20B70" w14:textId="77777777" w:rsidR="00BF0FC3" w:rsidRPr="00042881" w:rsidRDefault="00BF0FC3" w:rsidP="001B17E9">
      <w:pPr>
        <w:pStyle w:val="Sinespaciado"/>
        <w:ind w:left="708"/>
        <w:rPr>
          <w:sz w:val="22"/>
          <w:szCs w:val="22"/>
        </w:rPr>
      </w:pPr>
    </w:p>
    <w:p w14:paraId="363DA01B" w14:textId="77777777" w:rsidR="004A0AAF" w:rsidRPr="009750A9" w:rsidRDefault="004A0AAF" w:rsidP="001B17E9">
      <w:pPr>
        <w:spacing w:line="276" w:lineRule="auto"/>
        <w:ind w:left="708" w:firstLine="708"/>
        <w:jc w:val="both"/>
        <w:rPr>
          <w:rFonts w:ascii="Tahoma" w:hAnsi="Tahoma" w:cs="Tahoma"/>
        </w:rPr>
      </w:pPr>
      <w:r w:rsidRPr="009750A9">
        <w:rPr>
          <w:rFonts w:ascii="Tahoma" w:hAnsi="Tahoma" w:cs="Tahoma"/>
        </w:rPr>
        <w:t>Los Magistrados,</w:t>
      </w:r>
    </w:p>
    <w:p w14:paraId="7533EC2B" w14:textId="77777777" w:rsidR="00E90515" w:rsidRDefault="00E90515" w:rsidP="001B17E9">
      <w:pPr>
        <w:pStyle w:val="Sinespaciado"/>
        <w:ind w:left="708"/>
        <w:rPr>
          <w:sz w:val="22"/>
          <w:szCs w:val="22"/>
        </w:rPr>
      </w:pPr>
    </w:p>
    <w:p w14:paraId="63F82EF2" w14:textId="77777777" w:rsidR="0015291F" w:rsidRDefault="0015291F" w:rsidP="001B17E9">
      <w:pPr>
        <w:pStyle w:val="Sinespaciado"/>
        <w:ind w:left="708"/>
        <w:rPr>
          <w:sz w:val="22"/>
          <w:szCs w:val="22"/>
        </w:rPr>
      </w:pPr>
    </w:p>
    <w:p w14:paraId="432DE789" w14:textId="77777777" w:rsidR="0015291F" w:rsidRDefault="0015291F" w:rsidP="001B17E9">
      <w:pPr>
        <w:pStyle w:val="Sinespaciado"/>
        <w:ind w:left="708"/>
        <w:rPr>
          <w:sz w:val="22"/>
          <w:szCs w:val="22"/>
        </w:rPr>
      </w:pPr>
    </w:p>
    <w:p w14:paraId="531842A4" w14:textId="77777777" w:rsidR="0015291F" w:rsidRPr="00042881" w:rsidRDefault="0015291F" w:rsidP="001B17E9">
      <w:pPr>
        <w:pStyle w:val="Sinespaciado"/>
        <w:ind w:left="708"/>
        <w:rPr>
          <w:sz w:val="22"/>
          <w:szCs w:val="22"/>
        </w:rPr>
      </w:pPr>
    </w:p>
    <w:p w14:paraId="64C17F8B" w14:textId="2992654E" w:rsidR="009A4059" w:rsidRPr="009750A9" w:rsidRDefault="009A4059" w:rsidP="001929E3">
      <w:pPr>
        <w:spacing w:line="276" w:lineRule="auto"/>
        <w:ind w:left="708"/>
        <w:rPr>
          <w:rFonts w:ascii="Tahoma" w:hAnsi="Tahoma" w:cs="Tahoma"/>
          <w:b/>
        </w:rPr>
      </w:pPr>
      <w:r w:rsidRPr="009750A9">
        <w:rPr>
          <w:rFonts w:ascii="Tahoma" w:hAnsi="Tahoma" w:cs="Tahoma"/>
          <w:b/>
        </w:rPr>
        <w:t>JULIO CÉSAR SALAZAR MUÑOZ</w:t>
      </w:r>
      <w:r w:rsidRPr="009750A9">
        <w:rPr>
          <w:rFonts w:ascii="Tahoma" w:hAnsi="Tahoma" w:cs="Tahoma"/>
          <w:b/>
        </w:rPr>
        <w:tab/>
        <w:t>FRANCISCO JAVIER TAMAYO TABARES</w:t>
      </w:r>
    </w:p>
    <w:p w14:paraId="6E46DBE6" w14:textId="77777777" w:rsidR="00437AF7" w:rsidRPr="00042881" w:rsidRDefault="00437AF7" w:rsidP="001B17E9">
      <w:pPr>
        <w:pStyle w:val="Sinespaciado"/>
        <w:ind w:left="708"/>
        <w:rPr>
          <w:sz w:val="22"/>
          <w:szCs w:val="22"/>
        </w:rPr>
      </w:pPr>
    </w:p>
    <w:p w14:paraId="4DEDBA0E" w14:textId="77777777" w:rsidR="00E90515" w:rsidRDefault="00E90515" w:rsidP="00FD4E47">
      <w:pPr>
        <w:pStyle w:val="Sinespaciado"/>
        <w:rPr>
          <w:b/>
          <w:sz w:val="22"/>
          <w:szCs w:val="22"/>
        </w:rPr>
      </w:pPr>
    </w:p>
    <w:p w14:paraId="17629E28" w14:textId="77777777" w:rsidR="009061EA" w:rsidRDefault="009061EA" w:rsidP="00FD4E47">
      <w:pPr>
        <w:pStyle w:val="Sinespaciado"/>
        <w:rPr>
          <w:b/>
          <w:sz w:val="22"/>
          <w:szCs w:val="22"/>
        </w:rPr>
      </w:pPr>
    </w:p>
    <w:p w14:paraId="3D5A1263" w14:textId="77777777" w:rsidR="009061EA" w:rsidRDefault="009061EA" w:rsidP="00FD4E47">
      <w:pPr>
        <w:pStyle w:val="Sinespaciado"/>
        <w:rPr>
          <w:b/>
          <w:sz w:val="22"/>
          <w:szCs w:val="22"/>
        </w:rPr>
      </w:pPr>
    </w:p>
    <w:p w14:paraId="43804019" w14:textId="77777777" w:rsidR="009061EA" w:rsidRDefault="009061EA" w:rsidP="00FD4E47">
      <w:pPr>
        <w:pStyle w:val="Sinespaciado"/>
        <w:rPr>
          <w:b/>
          <w:sz w:val="22"/>
          <w:szCs w:val="22"/>
        </w:rPr>
      </w:pPr>
    </w:p>
    <w:p w14:paraId="34078EBE" w14:textId="77777777" w:rsidR="00042881" w:rsidRPr="00042881" w:rsidRDefault="00042881" w:rsidP="001B17E9">
      <w:pPr>
        <w:pStyle w:val="Sinespaciado"/>
        <w:ind w:left="708"/>
        <w:rPr>
          <w:b/>
          <w:sz w:val="22"/>
          <w:szCs w:val="22"/>
        </w:rPr>
      </w:pPr>
    </w:p>
    <w:p w14:paraId="57FC9895" w14:textId="31C56373" w:rsidR="00B3066E" w:rsidRPr="00FD4E47" w:rsidRDefault="00821189" w:rsidP="00FD4E47">
      <w:pPr>
        <w:spacing w:line="276" w:lineRule="auto"/>
        <w:ind w:left="708"/>
        <w:jc w:val="center"/>
        <w:rPr>
          <w:rFonts w:ascii="Tahoma" w:hAnsi="Tahoma" w:cs="Tahoma"/>
        </w:rPr>
      </w:pPr>
      <w:r w:rsidRPr="009750A9">
        <w:rPr>
          <w:rFonts w:ascii="Tahoma" w:hAnsi="Tahoma" w:cs="Tahoma"/>
        </w:rPr>
        <w:t>Secretari</w:t>
      </w:r>
      <w:r w:rsidR="001929E3">
        <w:rPr>
          <w:rFonts w:ascii="Tahoma" w:hAnsi="Tahoma" w:cs="Tahoma"/>
        </w:rPr>
        <w:t>o</w:t>
      </w:r>
      <w:r w:rsidRPr="009750A9">
        <w:rPr>
          <w:rFonts w:ascii="Tahoma" w:hAnsi="Tahoma" w:cs="Tahoma"/>
        </w:rPr>
        <w:t xml:space="preserve"> Ad-Hoc</w:t>
      </w:r>
    </w:p>
    <w:p w14:paraId="10766F1D" w14:textId="77777777" w:rsidR="00B3066E" w:rsidRDefault="00B3066E" w:rsidP="00FB2380">
      <w:pPr>
        <w:pStyle w:val="Sinespaciado"/>
        <w:rPr>
          <w:sz w:val="22"/>
          <w:szCs w:val="22"/>
        </w:rPr>
      </w:pPr>
    </w:p>
    <w:p w14:paraId="7C84F1CA" w14:textId="77777777" w:rsidR="00FD4E47" w:rsidRDefault="00FD4E47" w:rsidP="00FB2380">
      <w:pPr>
        <w:pStyle w:val="Sinespaciado"/>
        <w:rPr>
          <w:sz w:val="22"/>
          <w:szCs w:val="22"/>
        </w:rPr>
      </w:pPr>
    </w:p>
    <w:p w14:paraId="133CC95F" w14:textId="77777777" w:rsidR="00FD4E47" w:rsidRDefault="00FD4E47" w:rsidP="00FB2380">
      <w:pPr>
        <w:pStyle w:val="Sinespaciado"/>
        <w:rPr>
          <w:sz w:val="22"/>
          <w:szCs w:val="22"/>
        </w:rPr>
      </w:pPr>
    </w:p>
    <w:p w14:paraId="1E060613" w14:textId="77777777" w:rsidR="00FD4E47" w:rsidRDefault="00FD4E47" w:rsidP="00FB2380">
      <w:pPr>
        <w:pStyle w:val="Sinespaciado"/>
        <w:rPr>
          <w:sz w:val="22"/>
          <w:szCs w:val="22"/>
        </w:rPr>
      </w:pPr>
    </w:p>
    <w:p w14:paraId="6823C218" w14:textId="77777777" w:rsidR="00FD4E47" w:rsidRDefault="00FD4E47" w:rsidP="00FB2380">
      <w:pPr>
        <w:pStyle w:val="Sinespaciado"/>
        <w:rPr>
          <w:sz w:val="22"/>
          <w:szCs w:val="22"/>
        </w:rPr>
      </w:pPr>
    </w:p>
    <w:p w14:paraId="3ED9FF97" w14:textId="77777777" w:rsidR="00FD4E47" w:rsidRDefault="00FD4E47" w:rsidP="00FB2380">
      <w:pPr>
        <w:pStyle w:val="Sinespaciado"/>
        <w:rPr>
          <w:sz w:val="22"/>
          <w:szCs w:val="22"/>
        </w:rPr>
      </w:pPr>
    </w:p>
    <w:p w14:paraId="4C2F1AC6" w14:textId="77777777" w:rsidR="00FD4E47" w:rsidRDefault="00FD4E47" w:rsidP="00FB2380">
      <w:pPr>
        <w:pStyle w:val="Sinespaciado"/>
        <w:rPr>
          <w:sz w:val="22"/>
          <w:szCs w:val="22"/>
        </w:rPr>
      </w:pPr>
    </w:p>
    <w:p w14:paraId="4622EC61" w14:textId="77777777" w:rsidR="00FD4E47" w:rsidRDefault="00FD4E47" w:rsidP="00FB2380">
      <w:pPr>
        <w:pStyle w:val="Sinespaciado"/>
        <w:rPr>
          <w:sz w:val="22"/>
          <w:szCs w:val="22"/>
        </w:rPr>
      </w:pPr>
    </w:p>
    <w:p w14:paraId="44D325E5" w14:textId="77777777" w:rsidR="00FD4E47" w:rsidRDefault="00FD4E47" w:rsidP="00FB2380">
      <w:pPr>
        <w:pStyle w:val="Sinespaciado"/>
        <w:rPr>
          <w:sz w:val="22"/>
          <w:szCs w:val="22"/>
        </w:rPr>
      </w:pPr>
    </w:p>
    <w:p w14:paraId="7361A82A" w14:textId="77777777" w:rsidR="00FD4E47" w:rsidRDefault="00FD4E47" w:rsidP="00FB2380">
      <w:pPr>
        <w:pStyle w:val="Sinespaciado"/>
        <w:rPr>
          <w:sz w:val="22"/>
          <w:szCs w:val="22"/>
        </w:rPr>
      </w:pPr>
    </w:p>
    <w:p w14:paraId="047D5BA2" w14:textId="77777777" w:rsidR="00FD4E47" w:rsidRDefault="00FD4E47" w:rsidP="00FB2380">
      <w:pPr>
        <w:pStyle w:val="Sinespaciado"/>
        <w:rPr>
          <w:sz w:val="22"/>
          <w:szCs w:val="22"/>
        </w:rPr>
      </w:pPr>
    </w:p>
    <w:p w14:paraId="5830F971" w14:textId="77777777" w:rsidR="00FD4E47" w:rsidRDefault="00FD4E47" w:rsidP="00FB2380">
      <w:pPr>
        <w:pStyle w:val="Sinespaciado"/>
        <w:rPr>
          <w:sz w:val="22"/>
          <w:szCs w:val="22"/>
        </w:rPr>
      </w:pPr>
    </w:p>
    <w:p w14:paraId="69DE489A" w14:textId="77777777" w:rsidR="00FD4E47" w:rsidRDefault="00FD4E47" w:rsidP="00FB2380">
      <w:pPr>
        <w:pStyle w:val="Sinespaciado"/>
        <w:rPr>
          <w:sz w:val="22"/>
          <w:szCs w:val="22"/>
        </w:rPr>
      </w:pPr>
    </w:p>
    <w:p w14:paraId="0F943302" w14:textId="77777777" w:rsidR="00FD4E47" w:rsidRDefault="00FD4E47" w:rsidP="00FB2380">
      <w:pPr>
        <w:pStyle w:val="Sinespaciado"/>
        <w:rPr>
          <w:sz w:val="22"/>
          <w:szCs w:val="22"/>
        </w:rPr>
      </w:pPr>
    </w:p>
    <w:p w14:paraId="43759F41" w14:textId="77777777" w:rsidR="00FD4E47" w:rsidRDefault="00FD4E47" w:rsidP="00FB2380">
      <w:pPr>
        <w:pStyle w:val="Sinespaciado"/>
        <w:rPr>
          <w:sz w:val="22"/>
          <w:szCs w:val="22"/>
        </w:rPr>
      </w:pPr>
    </w:p>
    <w:p w14:paraId="126B5E0D" w14:textId="77777777" w:rsidR="00FD4E47" w:rsidRDefault="00FD4E47" w:rsidP="00FB2380">
      <w:pPr>
        <w:pStyle w:val="Sinespaciado"/>
        <w:rPr>
          <w:sz w:val="22"/>
          <w:szCs w:val="22"/>
        </w:rPr>
      </w:pPr>
    </w:p>
    <w:tbl>
      <w:tblPr>
        <w:tblW w:w="5003" w:type="pct"/>
        <w:tblInd w:w="-5" w:type="dxa"/>
        <w:tblCellMar>
          <w:left w:w="70" w:type="dxa"/>
          <w:right w:w="70" w:type="dxa"/>
        </w:tblCellMar>
        <w:tblLook w:val="04A0" w:firstRow="1" w:lastRow="0" w:firstColumn="1" w:lastColumn="0" w:noHBand="0" w:noVBand="1"/>
      </w:tblPr>
      <w:tblGrid>
        <w:gridCol w:w="827"/>
        <w:gridCol w:w="843"/>
        <w:gridCol w:w="1172"/>
        <w:gridCol w:w="1254"/>
        <w:gridCol w:w="146"/>
        <w:gridCol w:w="1577"/>
        <w:gridCol w:w="952"/>
        <w:gridCol w:w="1301"/>
        <w:gridCol w:w="1677"/>
      </w:tblGrid>
      <w:tr w:rsidR="001929E3" w14:paraId="28504F3A" w14:textId="77777777" w:rsidTr="00703D0D">
        <w:trPr>
          <w:trHeight w:val="48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14:paraId="1F4B56DE" w14:textId="77777777" w:rsidR="001929E3" w:rsidRDefault="001929E3">
            <w:pPr>
              <w:jc w:val="center"/>
              <w:rPr>
                <w:rFonts w:ascii="Calibri" w:hAnsi="Calibri"/>
                <w:b/>
                <w:bCs/>
                <w:i/>
                <w:iCs/>
                <w:color w:val="000000"/>
                <w:sz w:val="22"/>
                <w:szCs w:val="22"/>
              </w:rPr>
            </w:pPr>
            <w:r>
              <w:rPr>
                <w:rFonts w:ascii="Calibri" w:hAnsi="Calibri"/>
                <w:b/>
                <w:bCs/>
                <w:i/>
                <w:iCs/>
                <w:color w:val="000000"/>
                <w:sz w:val="22"/>
                <w:szCs w:val="22"/>
              </w:rPr>
              <w:t>EDILIA BEDOYA MONTOYA</w:t>
            </w:r>
          </w:p>
        </w:tc>
      </w:tr>
      <w:tr w:rsidR="001929E3" w14:paraId="7669C51C" w14:textId="77777777" w:rsidTr="00703D0D">
        <w:trPr>
          <w:trHeight w:val="225"/>
        </w:trPr>
        <w:tc>
          <w:tcPr>
            <w:tcW w:w="1458" w:type="pct"/>
            <w:gridSpan w:val="3"/>
            <w:tcBorders>
              <w:top w:val="nil"/>
              <w:left w:val="nil"/>
              <w:bottom w:val="single" w:sz="4" w:space="0" w:color="auto"/>
              <w:right w:val="nil"/>
            </w:tcBorders>
            <w:shd w:val="clear" w:color="000000" w:fill="FFFF99"/>
            <w:vAlign w:val="center"/>
            <w:hideMark/>
          </w:tcPr>
          <w:p w14:paraId="2BFC2FF9" w14:textId="77777777" w:rsidR="001929E3" w:rsidRDefault="001929E3">
            <w:pPr>
              <w:rPr>
                <w:rFonts w:ascii="Calibri" w:hAnsi="Calibri"/>
                <w:b/>
                <w:bCs/>
                <w:i/>
                <w:iCs/>
                <w:color w:val="000000"/>
                <w:sz w:val="16"/>
                <w:szCs w:val="16"/>
              </w:rPr>
            </w:pPr>
            <w:r>
              <w:rPr>
                <w:rFonts w:ascii="Calibri" w:hAnsi="Calibri"/>
                <w:b/>
                <w:bCs/>
                <w:i/>
                <w:iCs/>
                <w:color w:val="000000"/>
                <w:sz w:val="16"/>
                <w:szCs w:val="16"/>
              </w:rPr>
              <w:t>Fecha de nacimiento:</w:t>
            </w:r>
          </w:p>
        </w:tc>
        <w:tc>
          <w:tcPr>
            <w:tcW w:w="643" w:type="pct"/>
            <w:tcBorders>
              <w:top w:val="nil"/>
              <w:left w:val="nil"/>
              <w:bottom w:val="single" w:sz="4" w:space="0" w:color="auto"/>
              <w:right w:val="single" w:sz="8" w:space="0" w:color="auto"/>
            </w:tcBorders>
            <w:shd w:val="clear" w:color="auto" w:fill="auto"/>
            <w:noWrap/>
            <w:vAlign w:val="center"/>
            <w:hideMark/>
          </w:tcPr>
          <w:p w14:paraId="04C93D60" w14:textId="77777777" w:rsidR="001929E3" w:rsidRDefault="001929E3">
            <w:pPr>
              <w:jc w:val="center"/>
              <w:rPr>
                <w:rFonts w:ascii="Calibri" w:hAnsi="Calibri"/>
                <w:i/>
                <w:iCs/>
                <w:color w:val="000000"/>
                <w:sz w:val="16"/>
                <w:szCs w:val="16"/>
              </w:rPr>
            </w:pPr>
            <w:r>
              <w:rPr>
                <w:rFonts w:ascii="Calibri" w:hAnsi="Calibri"/>
                <w:i/>
                <w:iCs/>
                <w:color w:val="000000"/>
                <w:sz w:val="16"/>
                <w:szCs w:val="16"/>
              </w:rPr>
              <w:t>29-dic-48</w:t>
            </w:r>
          </w:p>
        </w:tc>
        <w:tc>
          <w:tcPr>
            <w:tcW w:w="75" w:type="pct"/>
            <w:tcBorders>
              <w:top w:val="nil"/>
              <w:left w:val="nil"/>
              <w:bottom w:val="nil"/>
              <w:right w:val="nil"/>
            </w:tcBorders>
            <w:shd w:val="clear" w:color="auto" w:fill="auto"/>
            <w:noWrap/>
            <w:vAlign w:val="bottom"/>
            <w:hideMark/>
          </w:tcPr>
          <w:p w14:paraId="37443E27" w14:textId="77777777" w:rsidR="001929E3" w:rsidRDefault="001929E3">
            <w:pPr>
              <w:jc w:val="center"/>
              <w:rPr>
                <w:rFonts w:ascii="Calibri" w:hAnsi="Calibri"/>
                <w:i/>
                <w:iCs/>
                <w:color w:val="000000"/>
                <w:sz w:val="16"/>
                <w:szCs w:val="16"/>
              </w:rPr>
            </w:pPr>
          </w:p>
        </w:tc>
        <w:tc>
          <w:tcPr>
            <w:tcW w:w="1963" w:type="pct"/>
            <w:gridSpan w:val="3"/>
            <w:tcBorders>
              <w:top w:val="nil"/>
              <w:left w:val="single" w:sz="8" w:space="0" w:color="auto"/>
              <w:bottom w:val="single" w:sz="4" w:space="0" w:color="auto"/>
              <w:right w:val="nil"/>
            </w:tcBorders>
            <w:shd w:val="clear" w:color="000000" w:fill="FFFF99"/>
            <w:vAlign w:val="center"/>
            <w:hideMark/>
          </w:tcPr>
          <w:p w14:paraId="50113370" w14:textId="77777777" w:rsidR="001929E3" w:rsidRDefault="001929E3">
            <w:pPr>
              <w:rPr>
                <w:rFonts w:ascii="Calibri" w:hAnsi="Calibri"/>
                <w:b/>
                <w:bCs/>
                <w:i/>
                <w:iCs/>
                <w:color w:val="000000"/>
                <w:sz w:val="16"/>
                <w:szCs w:val="16"/>
              </w:rPr>
            </w:pPr>
            <w:r>
              <w:rPr>
                <w:rFonts w:ascii="Calibri" w:hAnsi="Calibri"/>
                <w:b/>
                <w:bCs/>
                <w:i/>
                <w:iCs/>
                <w:color w:val="000000"/>
                <w:sz w:val="16"/>
                <w:szCs w:val="16"/>
              </w:rPr>
              <w:t>Fecha reconocimiento pensión:</w:t>
            </w:r>
          </w:p>
        </w:tc>
        <w:tc>
          <w:tcPr>
            <w:tcW w:w="861" w:type="pct"/>
            <w:tcBorders>
              <w:top w:val="nil"/>
              <w:left w:val="nil"/>
              <w:bottom w:val="single" w:sz="4" w:space="0" w:color="auto"/>
              <w:right w:val="single" w:sz="8" w:space="0" w:color="auto"/>
            </w:tcBorders>
            <w:shd w:val="clear" w:color="auto" w:fill="auto"/>
            <w:noWrap/>
            <w:vAlign w:val="center"/>
            <w:hideMark/>
          </w:tcPr>
          <w:p w14:paraId="3EEF1E4A"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01/02/2004</w:t>
            </w:r>
          </w:p>
        </w:tc>
      </w:tr>
      <w:tr w:rsidR="001929E3" w14:paraId="623204A3" w14:textId="77777777" w:rsidTr="00703D0D">
        <w:trPr>
          <w:trHeight w:val="225"/>
        </w:trPr>
        <w:tc>
          <w:tcPr>
            <w:tcW w:w="1458" w:type="pct"/>
            <w:gridSpan w:val="3"/>
            <w:tcBorders>
              <w:top w:val="single" w:sz="4" w:space="0" w:color="auto"/>
              <w:left w:val="nil"/>
              <w:bottom w:val="single" w:sz="8" w:space="0" w:color="auto"/>
              <w:right w:val="nil"/>
            </w:tcBorders>
            <w:shd w:val="clear" w:color="000000" w:fill="FFFF99"/>
            <w:vAlign w:val="center"/>
            <w:hideMark/>
          </w:tcPr>
          <w:p w14:paraId="52BBC745" w14:textId="77777777" w:rsidR="001929E3" w:rsidRDefault="001929E3">
            <w:pPr>
              <w:rPr>
                <w:rFonts w:ascii="Calibri" w:hAnsi="Calibri"/>
                <w:b/>
                <w:bCs/>
                <w:i/>
                <w:iCs/>
                <w:color w:val="000000"/>
                <w:sz w:val="16"/>
                <w:szCs w:val="16"/>
              </w:rPr>
            </w:pPr>
            <w:r>
              <w:rPr>
                <w:rFonts w:ascii="Calibri" w:hAnsi="Calibri"/>
                <w:b/>
                <w:bCs/>
                <w:i/>
                <w:iCs/>
                <w:color w:val="000000"/>
                <w:sz w:val="16"/>
                <w:szCs w:val="16"/>
              </w:rPr>
              <w:t>Total semanas cotizadas:</w:t>
            </w:r>
          </w:p>
        </w:tc>
        <w:tc>
          <w:tcPr>
            <w:tcW w:w="643" w:type="pct"/>
            <w:tcBorders>
              <w:top w:val="nil"/>
              <w:left w:val="nil"/>
              <w:bottom w:val="single" w:sz="8" w:space="0" w:color="auto"/>
              <w:right w:val="single" w:sz="8" w:space="0" w:color="auto"/>
            </w:tcBorders>
            <w:shd w:val="clear" w:color="auto" w:fill="auto"/>
            <w:noWrap/>
            <w:vAlign w:val="center"/>
            <w:hideMark/>
          </w:tcPr>
          <w:p w14:paraId="08D884E7" w14:textId="77777777" w:rsidR="001929E3" w:rsidRDefault="001929E3">
            <w:pPr>
              <w:jc w:val="center"/>
              <w:rPr>
                <w:rFonts w:ascii="Calibri" w:hAnsi="Calibri"/>
                <w:color w:val="000000"/>
              </w:rPr>
            </w:pPr>
            <w:r>
              <w:rPr>
                <w:rFonts w:ascii="Calibri" w:hAnsi="Calibri"/>
                <w:color w:val="000000"/>
              </w:rPr>
              <w:t>501,14</w:t>
            </w:r>
          </w:p>
        </w:tc>
        <w:tc>
          <w:tcPr>
            <w:tcW w:w="75" w:type="pct"/>
            <w:tcBorders>
              <w:top w:val="nil"/>
              <w:left w:val="nil"/>
              <w:bottom w:val="nil"/>
              <w:right w:val="nil"/>
            </w:tcBorders>
            <w:shd w:val="clear" w:color="auto" w:fill="auto"/>
            <w:noWrap/>
            <w:vAlign w:val="bottom"/>
            <w:hideMark/>
          </w:tcPr>
          <w:p w14:paraId="756F356E" w14:textId="77777777" w:rsidR="001929E3" w:rsidRDefault="001929E3">
            <w:pPr>
              <w:jc w:val="center"/>
              <w:rPr>
                <w:rFonts w:ascii="Calibri" w:hAnsi="Calibri"/>
                <w:color w:val="000000"/>
              </w:rPr>
            </w:pPr>
          </w:p>
        </w:tc>
        <w:tc>
          <w:tcPr>
            <w:tcW w:w="809" w:type="pct"/>
            <w:tcBorders>
              <w:top w:val="nil"/>
              <w:left w:val="single" w:sz="8" w:space="0" w:color="auto"/>
              <w:bottom w:val="single" w:sz="4" w:space="0" w:color="auto"/>
              <w:right w:val="nil"/>
            </w:tcBorders>
            <w:shd w:val="clear" w:color="000000" w:fill="FFFF99"/>
            <w:noWrap/>
            <w:vAlign w:val="center"/>
            <w:hideMark/>
          </w:tcPr>
          <w:p w14:paraId="4661C0E9" w14:textId="77777777" w:rsidR="001929E3" w:rsidRDefault="001929E3">
            <w:pPr>
              <w:jc w:val="right"/>
              <w:rPr>
                <w:rFonts w:ascii="Calibri" w:hAnsi="Calibri"/>
                <w:b/>
                <w:bCs/>
                <w:i/>
                <w:iCs/>
                <w:color w:val="000000"/>
                <w:sz w:val="16"/>
                <w:szCs w:val="16"/>
              </w:rPr>
            </w:pPr>
            <w:r>
              <w:rPr>
                <w:rFonts w:ascii="Calibri" w:hAnsi="Calibri"/>
                <w:b/>
                <w:bCs/>
                <w:i/>
                <w:iCs/>
                <w:color w:val="000000"/>
                <w:sz w:val="16"/>
                <w:szCs w:val="16"/>
              </w:rPr>
              <w:t xml:space="preserve">Tasa Ley 100/93: </w:t>
            </w:r>
          </w:p>
        </w:tc>
        <w:tc>
          <w:tcPr>
            <w:tcW w:w="488" w:type="pct"/>
            <w:tcBorders>
              <w:top w:val="nil"/>
              <w:left w:val="nil"/>
              <w:bottom w:val="single" w:sz="4" w:space="0" w:color="auto"/>
              <w:right w:val="nil"/>
            </w:tcBorders>
            <w:shd w:val="clear" w:color="auto" w:fill="auto"/>
            <w:noWrap/>
            <w:vAlign w:val="center"/>
            <w:hideMark/>
          </w:tcPr>
          <w:p w14:paraId="2F327F8A" w14:textId="77777777" w:rsidR="001929E3" w:rsidRDefault="001929E3">
            <w:pPr>
              <w:jc w:val="center"/>
              <w:rPr>
                <w:rFonts w:ascii="Calibri" w:hAnsi="Calibri"/>
                <w:b/>
                <w:bCs/>
                <w:color w:val="000000"/>
                <w:sz w:val="16"/>
                <w:szCs w:val="16"/>
              </w:rPr>
            </w:pPr>
            <w:r>
              <w:rPr>
                <w:rFonts w:ascii="Calibri" w:hAnsi="Calibri"/>
                <w:b/>
                <w:bCs/>
                <w:color w:val="000000"/>
                <w:sz w:val="16"/>
                <w:szCs w:val="16"/>
              </w:rPr>
              <w:t>NO</w:t>
            </w:r>
          </w:p>
        </w:tc>
        <w:tc>
          <w:tcPr>
            <w:tcW w:w="667" w:type="pct"/>
            <w:tcBorders>
              <w:top w:val="nil"/>
              <w:left w:val="single" w:sz="4" w:space="0" w:color="808000"/>
              <w:bottom w:val="single" w:sz="4" w:space="0" w:color="auto"/>
              <w:right w:val="nil"/>
            </w:tcBorders>
            <w:shd w:val="clear" w:color="000000" w:fill="FFFF99"/>
            <w:noWrap/>
            <w:vAlign w:val="center"/>
            <w:hideMark/>
          </w:tcPr>
          <w:p w14:paraId="3F53A341"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90,00%</w:t>
            </w:r>
          </w:p>
        </w:tc>
        <w:tc>
          <w:tcPr>
            <w:tcW w:w="861" w:type="pct"/>
            <w:tcBorders>
              <w:top w:val="nil"/>
              <w:left w:val="nil"/>
              <w:bottom w:val="single" w:sz="4" w:space="0" w:color="auto"/>
              <w:right w:val="single" w:sz="8" w:space="0" w:color="auto"/>
            </w:tcBorders>
            <w:shd w:val="clear" w:color="auto" w:fill="auto"/>
            <w:noWrap/>
            <w:vAlign w:val="bottom"/>
            <w:hideMark/>
          </w:tcPr>
          <w:p w14:paraId="06AAD174" w14:textId="77777777" w:rsidR="001929E3" w:rsidRDefault="001929E3">
            <w:pPr>
              <w:rPr>
                <w:rFonts w:ascii="Calibri" w:hAnsi="Calibri"/>
                <w:i/>
                <w:iCs/>
                <w:color w:val="000000"/>
              </w:rPr>
            </w:pPr>
            <w:r>
              <w:rPr>
                <w:rFonts w:ascii="Calibri" w:hAnsi="Calibri"/>
                <w:i/>
                <w:iCs/>
                <w:color w:val="000000"/>
              </w:rPr>
              <w:t> </w:t>
            </w:r>
          </w:p>
        </w:tc>
      </w:tr>
      <w:tr w:rsidR="001929E3" w14:paraId="3DDCBAE2" w14:textId="77777777" w:rsidTr="00703D0D">
        <w:trPr>
          <w:trHeight w:val="330"/>
        </w:trPr>
        <w:tc>
          <w:tcPr>
            <w:tcW w:w="424" w:type="pct"/>
            <w:tcBorders>
              <w:top w:val="nil"/>
              <w:left w:val="nil"/>
              <w:bottom w:val="nil"/>
              <w:right w:val="nil"/>
            </w:tcBorders>
            <w:shd w:val="clear" w:color="auto" w:fill="auto"/>
            <w:noWrap/>
            <w:vAlign w:val="bottom"/>
            <w:hideMark/>
          </w:tcPr>
          <w:p w14:paraId="33E8D594" w14:textId="77777777" w:rsidR="001929E3" w:rsidRDefault="001929E3">
            <w:pPr>
              <w:rPr>
                <w:rFonts w:ascii="Calibri" w:hAnsi="Calibri"/>
                <w:i/>
                <w:iCs/>
                <w:color w:val="000000"/>
              </w:rPr>
            </w:pPr>
          </w:p>
        </w:tc>
        <w:tc>
          <w:tcPr>
            <w:tcW w:w="433" w:type="pct"/>
            <w:tcBorders>
              <w:top w:val="nil"/>
              <w:left w:val="nil"/>
              <w:bottom w:val="nil"/>
              <w:right w:val="nil"/>
            </w:tcBorders>
            <w:shd w:val="clear" w:color="auto" w:fill="auto"/>
            <w:noWrap/>
            <w:vAlign w:val="bottom"/>
            <w:hideMark/>
          </w:tcPr>
          <w:p w14:paraId="06566BFB" w14:textId="77777777" w:rsidR="001929E3" w:rsidRDefault="001929E3">
            <w:pPr>
              <w:rPr>
                <w:sz w:val="20"/>
                <w:szCs w:val="20"/>
              </w:rPr>
            </w:pPr>
          </w:p>
        </w:tc>
        <w:tc>
          <w:tcPr>
            <w:tcW w:w="601" w:type="pct"/>
            <w:tcBorders>
              <w:top w:val="nil"/>
              <w:left w:val="nil"/>
              <w:bottom w:val="nil"/>
              <w:right w:val="nil"/>
            </w:tcBorders>
            <w:shd w:val="clear" w:color="auto" w:fill="auto"/>
            <w:noWrap/>
            <w:vAlign w:val="bottom"/>
            <w:hideMark/>
          </w:tcPr>
          <w:p w14:paraId="3C792E29" w14:textId="77777777" w:rsidR="001929E3" w:rsidRDefault="001929E3">
            <w:pPr>
              <w:rPr>
                <w:sz w:val="20"/>
                <w:szCs w:val="20"/>
              </w:rPr>
            </w:pPr>
          </w:p>
        </w:tc>
        <w:tc>
          <w:tcPr>
            <w:tcW w:w="643" w:type="pct"/>
            <w:tcBorders>
              <w:top w:val="nil"/>
              <w:left w:val="nil"/>
              <w:bottom w:val="nil"/>
              <w:right w:val="single" w:sz="8" w:space="0" w:color="auto"/>
            </w:tcBorders>
            <w:shd w:val="clear" w:color="auto" w:fill="auto"/>
            <w:noWrap/>
            <w:vAlign w:val="bottom"/>
            <w:hideMark/>
          </w:tcPr>
          <w:p w14:paraId="0FECBAA8" w14:textId="77777777" w:rsidR="001929E3" w:rsidRDefault="001929E3">
            <w:pPr>
              <w:rPr>
                <w:rFonts w:ascii="Calibri" w:hAnsi="Calibri"/>
                <w:i/>
                <w:iCs/>
                <w:color w:val="000000"/>
              </w:rPr>
            </w:pPr>
            <w:r>
              <w:rPr>
                <w:rFonts w:ascii="Calibri" w:hAnsi="Calibri"/>
                <w:i/>
                <w:iCs/>
                <w:color w:val="000000"/>
              </w:rPr>
              <w:t> </w:t>
            </w:r>
          </w:p>
        </w:tc>
        <w:tc>
          <w:tcPr>
            <w:tcW w:w="75" w:type="pct"/>
            <w:tcBorders>
              <w:top w:val="nil"/>
              <w:left w:val="nil"/>
              <w:bottom w:val="nil"/>
              <w:right w:val="nil"/>
            </w:tcBorders>
            <w:shd w:val="clear" w:color="auto" w:fill="auto"/>
            <w:noWrap/>
            <w:vAlign w:val="bottom"/>
            <w:hideMark/>
          </w:tcPr>
          <w:p w14:paraId="07C177C1" w14:textId="77777777" w:rsidR="001929E3" w:rsidRDefault="001929E3">
            <w:pPr>
              <w:rPr>
                <w:rFonts w:ascii="Calibri" w:hAnsi="Calibri"/>
                <w:i/>
                <w:iCs/>
                <w:color w:val="000000"/>
              </w:rPr>
            </w:pPr>
          </w:p>
        </w:tc>
        <w:tc>
          <w:tcPr>
            <w:tcW w:w="809" w:type="pct"/>
            <w:tcBorders>
              <w:top w:val="nil"/>
              <w:left w:val="single" w:sz="8" w:space="0" w:color="auto"/>
              <w:bottom w:val="nil"/>
              <w:right w:val="nil"/>
            </w:tcBorders>
            <w:shd w:val="clear" w:color="auto" w:fill="auto"/>
            <w:noWrap/>
            <w:vAlign w:val="bottom"/>
            <w:hideMark/>
          </w:tcPr>
          <w:p w14:paraId="241BEDD9" w14:textId="77777777" w:rsidR="001929E3" w:rsidRDefault="001929E3">
            <w:pPr>
              <w:rPr>
                <w:rFonts w:ascii="Calibri" w:hAnsi="Calibri"/>
                <w:i/>
                <w:iCs/>
                <w:color w:val="000000"/>
              </w:rPr>
            </w:pPr>
            <w:r>
              <w:rPr>
                <w:rFonts w:ascii="Calibri" w:hAnsi="Calibri"/>
                <w:i/>
                <w:iCs/>
                <w:color w:val="000000"/>
              </w:rPr>
              <w:t> </w:t>
            </w:r>
          </w:p>
        </w:tc>
        <w:tc>
          <w:tcPr>
            <w:tcW w:w="488" w:type="pct"/>
            <w:tcBorders>
              <w:top w:val="nil"/>
              <w:left w:val="nil"/>
              <w:bottom w:val="nil"/>
              <w:right w:val="nil"/>
            </w:tcBorders>
            <w:shd w:val="clear" w:color="auto" w:fill="auto"/>
            <w:noWrap/>
            <w:vAlign w:val="bottom"/>
            <w:hideMark/>
          </w:tcPr>
          <w:p w14:paraId="5E80634A" w14:textId="77777777" w:rsidR="001929E3" w:rsidRDefault="001929E3">
            <w:pPr>
              <w:rPr>
                <w:rFonts w:ascii="Calibri" w:hAnsi="Calibri"/>
                <w:i/>
                <w:iCs/>
                <w:color w:val="000000"/>
              </w:rPr>
            </w:pPr>
          </w:p>
        </w:tc>
        <w:tc>
          <w:tcPr>
            <w:tcW w:w="667" w:type="pct"/>
            <w:tcBorders>
              <w:top w:val="nil"/>
              <w:left w:val="nil"/>
              <w:bottom w:val="nil"/>
              <w:right w:val="nil"/>
            </w:tcBorders>
            <w:shd w:val="clear" w:color="auto" w:fill="auto"/>
            <w:noWrap/>
            <w:vAlign w:val="bottom"/>
            <w:hideMark/>
          </w:tcPr>
          <w:p w14:paraId="7E6DF654" w14:textId="77777777" w:rsidR="001929E3" w:rsidRDefault="001929E3">
            <w:pPr>
              <w:rPr>
                <w:sz w:val="20"/>
                <w:szCs w:val="20"/>
              </w:rPr>
            </w:pPr>
          </w:p>
        </w:tc>
        <w:tc>
          <w:tcPr>
            <w:tcW w:w="861" w:type="pct"/>
            <w:tcBorders>
              <w:top w:val="nil"/>
              <w:left w:val="nil"/>
              <w:bottom w:val="nil"/>
              <w:right w:val="single" w:sz="8" w:space="0" w:color="auto"/>
            </w:tcBorders>
            <w:shd w:val="clear" w:color="auto" w:fill="auto"/>
            <w:noWrap/>
            <w:vAlign w:val="bottom"/>
            <w:hideMark/>
          </w:tcPr>
          <w:p w14:paraId="5B8FFCA9" w14:textId="77777777" w:rsidR="001929E3" w:rsidRDefault="001929E3">
            <w:pPr>
              <w:rPr>
                <w:rFonts w:ascii="Calibri" w:hAnsi="Calibri"/>
                <w:i/>
                <w:iCs/>
                <w:color w:val="000000"/>
              </w:rPr>
            </w:pPr>
            <w:r>
              <w:rPr>
                <w:rFonts w:ascii="Calibri" w:hAnsi="Calibri"/>
                <w:i/>
                <w:iCs/>
                <w:color w:val="000000"/>
              </w:rPr>
              <w:t> </w:t>
            </w:r>
          </w:p>
        </w:tc>
      </w:tr>
      <w:tr w:rsidR="001929E3" w14:paraId="7E08DE94" w14:textId="77777777" w:rsidTr="00703D0D">
        <w:trPr>
          <w:trHeight w:val="45"/>
        </w:trPr>
        <w:tc>
          <w:tcPr>
            <w:tcW w:w="424" w:type="pct"/>
            <w:tcBorders>
              <w:top w:val="nil"/>
              <w:left w:val="nil"/>
              <w:bottom w:val="nil"/>
              <w:right w:val="nil"/>
            </w:tcBorders>
            <w:shd w:val="clear" w:color="auto" w:fill="auto"/>
            <w:noWrap/>
            <w:vAlign w:val="bottom"/>
            <w:hideMark/>
          </w:tcPr>
          <w:p w14:paraId="57FA419F" w14:textId="77777777" w:rsidR="001929E3" w:rsidRDefault="001929E3">
            <w:pPr>
              <w:rPr>
                <w:rFonts w:ascii="Calibri" w:hAnsi="Calibri"/>
                <w:i/>
                <w:iCs/>
                <w:color w:val="000000"/>
              </w:rPr>
            </w:pPr>
          </w:p>
        </w:tc>
        <w:tc>
          <w:tcPr>
            <w:tcW w:w="433" w:type="pct"/>
            <w:tcBorders>
              <w:top w:val="nil"/>
              <w:left w:val="nil"/>
              <w:bottom w:val="nil"/>
              <w:right w:val="nil"/>
            </w:tcBorders>
            <w:shd w:val="clear" w:color="auto" w:fill="auto"/>
            <w:noWrap/>
            <w:vAlign w:val="bottom"/>
            <w:hideMark/>
          </w:tcPr>
          <w:p w14:paraId="36B46294" w14:textId="77777777" w:rsidR="001929E3" w:rsidRDefault="001929E3">
            <w:pPr>
              <w:rPr>
                <w:sz w:val="20"/>
                <w:szCs w:val="20"/>
              </w:rPr>
            </w:pPr>
          </w:p>
        </w:tc>
        <w:tc>
          <w:tcPr>
            <w:tcW w:w="601" w:type="pct"/>
            <w:tcBorders>
              <w:top w:val="nil"/>
              <w:left w:val="nil"/>
              <w:bottom w:val="nil"/>
              <w:right w:val="nil"/>
            </w:tcBorders>
            <w:shd w:val="clear" w:color="auto" w:fill="auto"/>
            <w:noWrap/>
            <w:vAlign w:val="bottom"/>
            <w:hideMark/>
          </w:tcPr>
          <w:p w14:paraId="41369E3C" w14:textId="77777777" w:rsidR="001929E3" w:rsidRDefault="001929E3">
            <w:pPr>
              <w:rPr>
                <w:sz w:val="20"/>
                <w:szCs w:val="20"/>
              </w:rPr>
            </w:pPr>
          </w:p>
        </w:tc>
        <w:tc>
          <w:tcPr>
            <w:tcW w:w="643" w:type="pct"/>
            <w:tcBorders>
              <w:top w:val="nil"/>
              <w:left w:val="nil"/>
              <w:bottom w:val="nil"/>
              <w:right w:val="single" w:sz="8" w:space="0" w:color="auto"/>
            </w:tcBorders>
            <w:shd w:val="clear" w:color="auto" w:fill="auto"/>
            <w:noWrap/>
            <w:vAlign w:val="bottom"/>
            <w:hideMark/>
          </w:tcPr>
          <w:p w14:paraId="67612ECC" w14:textId="77777777" w:rsidR="001929E3" w:rsidRDefault="001929E3">
            <w:pPr>
              <w:rPr>
                <w:rFonts w:ascii="Calibri" w:hAnsi="Calibri"/>
                <w:i/>
                <w:iCs/>
                <w:color w:val="000000"/>
              </w:rPr>
            </w:pPr>
            <w:r>
              <w:rPr>
                <w:rFonts w:ascii="Calibri" w:hAnsi="Calibri"/>
                <w:i/>
                <w:iCs/>
                <w:color w:val="000000"/>
              </w:rPr>
              <w:t> </w:t>
            </w:r>
          </w:p>
        </w:tc>
        <w:tc>
          <w:tcPr>
            <w:tcW w:w="75" w:type="pct"/>
            <w:tcBorders>
              <w:top w:val="nil"/>
              <w:left w:val="nil"/>
              <w:bottom w:val="nil"/>
              <w:right w:val="nil"/>
            </w:tcBorders>
            <w:shd w:val="clear" w:color="auto" w:fill="auto"/>
            <w:noWrap/>
            <w:vAlign w:val="bottom"/>
            <w:hideMark/>
          </w:tcPr>
          <w:p w14:paraId="164D417F" w14:textId="77777777" w:rsidR="001929E3" w:rsidRDefault="001929E3">
            <w:pPr>
              <w:rPr>
                <w:rFonts w:ascii="Calibri" w:hAnsi="Calibri"/>
                <w:i/>
                <w:iCs/>
                <w:color w:val="000000"/>
              </w:rPr>
            </w:pPr>
          </w:p>
        </w:tc>
        <w:tc>
          <w:tcPr>
            <w:tcW w:w="809" w:type="pct"/>
            <w:tcBorders>
              <w:top w:val="nil"/>
              <w:left w:val="single" w:sz="8" w:space="0" w:color="auto"/>
              <w:bottom w:val="nil"/>
              <w:right w:val="nil"/>
            </w:tcBorders>
            <w:shd w:val="clear" w:color="auto" w:fill="auto"/>
            <w:noWrap/>
            <w:vAlign w:val="bottom"/>
            <w:hideMark/>
          </w:tcPr>
          <w:p w14:paraId="2CD66281" w14:textId="77777777" w:rsidR="001929E3" w:rsidRDefault="001929E3">
            <w:pPr>
              <w:rPr>
                <w:rFonts w:ascii="Calibri" w:hAnsi="Calibri"/>
                <w:i/>
                <w:iCs/>
                <w:color w:val="000000"/>
              </w:rPr>
            </w:pPr>
            <w:r>
              <w:rPr>
                <w:rFonts w:ascii="Calibri" w:hAnsi="Calibri"/>
                <w:i/>
                <w:iCs/>
                <w:color w:val="000000"/>
              </w:rPr>
              <w:t> </w:t>
            </w:r>
          </w:p>
        </w:tc>
        <w:tc>
          <w:tcPr>
            <w:tcW w:w="488" w:type="pct"/>
            <w:tcBorders>
              <w:top w:val="nil"/>
              <w:left w:val="nil"/>
              <w:bottom w:val="nil"/>
              <w:right w:val="nil"/>
            </w:tcBorders>
            <w:shd w:val="clear" w:color="auto" w:fill="auto"/>
            <w:noWrap/>
            <w:vAlign w:val="bottom"/>
            <w:hideMark/>
          </w:tcPr>
          <w:p w14:paraId="378DBFA3" w14:textId="77777777" w:rsidR="001929E3" w:rsidRDefault="001929E3">
            <w:pPr>
              <w:rPr>
                <w:rFonts w:ascii="Calibri" w:hAnsi="Calibri"/>
                <w:i/>
                <w:iCs/>
                <w:color w:val="000000"/>
              </w:rPr>
            </w:pPr>
          </w:p>
        </w:tc>
        <w:tc>
          <w:tcPr>
            <w:tcW w:w="667" w:type="pct"/>
            <w:tcBorders>
              <w:top w:val="nil"/>
              <w:left w:val="nil"/>
              <w:bottom w:val="nil"/>
              <w:right w:val="nil"/>
            </w:tcBorders>
            <w:shd w:val="clear" w:color="auto" w:fill="auto"/>
            <w:noWrap/>
            <w:vAlign w:val="bottom"/>
            <w:hideMark/>
          </w:tcPr>
          <w:p w14:paraId="53FDA2B6" w14:textId="77777777" w:rsidR="001929E3" w:rsidRDefault="001929E3">
            <w:pPr>
              <w:rPr>
                <w:sz w:val="20"/>
                <w:szCs w:val="20"/>
              </w:rPr>
            </w:pPr>
          </w:p>
        </w:tc>
        <w:tc>
          <w:tcPr>
            <w:tcW w:w="861" w:type="pct"/>
            <w:tcBorders>
              <w:top w:val="nil"/>
              <w:left w:val="nil"/>
              <w:bottom w:val="nil"/>
              <w:right w:val="single" w:sz="8" w:space="0" w:color="auto"/>
            </w:tcBorders>
            <w:shd w:val="clear" w:color="auto" w:fill="auto"/>
            <w:noWrap/>
            <w:vAlign w:val="bottom"/>
            <w:hideMark/>
          </w:tcPr>
          <w:p w14:paraId="4457F96F" w14:textId="77777777" w:rsidR="001929E3" w:rsidRDefault="001929E3">
            <w:pPr>
              <w:rPr>
                <w:rFonts w:ascii="Calibri" w:hAnsi="Calibri"/>
                <w:i/>
                <w:iCs/>
                <w:color w:val="000000"/>
              </w:rPr>
            </w:pPr>
            <w:r>
              <w:rPr>
                <w:rFonts w:ascii="Calibri" w:hAnsi="Calibri"/>
                <w:i/>
                <w:iCs/>
                <w:color w:val="000000"/>
              </w:rPr>
              <w:t> </w:t>
            </w:r>
          </w:p>
        </w:tc>
      </w:tr>
      <w:tr w:rsidR="001929E3" w14:paraId="529E3DC7" w14:textId="77777777" w:rsidTr="00703D0D">
        <w:trPr>
          <w:trHeight w:val="435"/>
        </w:trPr>
        <w:tc>
          <w:tcPr>
            <w:tcW w:w="2101" w:type="pct"/>
            <w:gridSpan w:val="4"/>
            <w:tcBorders>
              <w:top w:val="single" w:sz="8" w:space="0" w:color="auto"/>
              <w:left w:val="nil"/>
              <w:bottom w:val="single" w:sz="4" w:space="0" w:color="808000"/>
              <w:right w:val="nil"/>
            </w:tcBorders>
            <w:shd w:val="clear" w:color="000000" w:fill="FFFF99"/>
            <w:vAlign w:val="center"/>
            <w:hideMark/>
          </w:tcPr>
          <w:p w14:paraId="354FCA01"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HISTORIA LABORAL DEL AFILIADO</w:t>
            </w:r>
          </w:p>
        </w:tc>
        <w:tc>
          <w:tcPr>
            <w:tcW w:w="75" w:type="pct"/>
            <w:tcBorders>
              <w:top w:val="nil"/>
              <w:left w:val="nil"/>
              <w:bottom w:val="nil"/>
              <w:right w:val="nil"/>
            </w:tcBorders>
            <w:shd w:val="clear" w:color="auto" w:fill="auto"/>
            <w:noWrap/>
            <w:vAlign w:val="bottom"/>
            <w:hideMark/>
          </w:tcPr>
          <w:p w14:paraId="5105541D" w14:textId="77777777" w:rsidR="001929E3" w:rsidRDefault="001929E3">
            <w:pPr>
              <w:jc w:val="center"/>
              <w:rPr>
                <w:rFonts w:ascii="Calibri" w:hAnsi="Calibri"/>
                <w:b/>
                <w:bCs/>
                <w:i/>
                <w:iCs/>
                <w:color w:val="000000"/>
                <w:sz w:val="16"/>
                <w:szCs w:val="16"/>
              </w:rPr>
            </w:pPr>
          </w:p>
        </w:tc>
        <w:tc>
          <w:tcPr>
            <w:tcW w:w="809"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5478CEE0"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Ingreso Base de cotización actualizado</w:t>
            </w:r>
          </w:p>
        </w:tc>
        <w:tc>
          <w:tcPr>
            <w:tcW w:w="1154" w:type="pct"/>
            <w:gridSpan w:val="2"/>
            <w:tcBorders>
              <w:top w:val="single" w:sz="4" w:space="0" w:color="auto"/>
              <w:left w:val="nil"/>
              <w:bottom w:val="single" w:sz="4" w:space="0" w:color="808000"/>
              <w:right w:val="nil"/>
            </w:tcBorders>
            <w:shd w:val="clear" w:color="000000" w:fill="FFFF99"/>
            <w:vAlign w:val="center"/>
            <w:hideMark/>
          </w:tcPr>
          <w:p w14:paraId="39A54842"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IPC Dane                                    (serie de empalme)</w:t>
            </w:r>
          </w:p>
        </w:tc>
        <w:tc>
          <w:tcPr>
            <w:tcW w:w="861" w:type="pct"/>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14D1E080" w14:textId="77777777" w:rsidR="001929E3" w:rsidRDefault="001929E3">
            <w:pPr>
              <w:jc w:val="center"/>
              <w:rPr>
                <w:rFonts w:ascii="Calibri" w:hAnsi="Calibri"/>
                <w:b/>
                <w:bCs/>
                <w:i/>
                <w:iCs/>
                <w:color w:val="000000"/>
                <w:sz w:val="20"/>
                <w:szCs w:val="20"/>
              </w:rPr>
            </w:pPr>
            <w:r>
              <w:rPr>
                <w:rFonts w:ascii="Calibri" w:hAnsi="Calibri"/>
                <w:b/>
                <w:bCs/>
                <w:i/>
                <w:iCs/>
                <w:color w:val="000000"/>
                <w:sz w:val="20"/>
                <w:szCs w:val="20"/>
              </w:rPr>
              <w:t>Promedio Salarial        (Dias x IBC actualizado/total dias)</w:t>
            </w:r>
          </w:p>
        </w:tc>
      </w:tr>
      <w:tr w:rsidR="001929E3" w14:paraId="29A768B3" w14:textId="77777777" w:rsidTr="00703D0D">
        <w:trPr>
          <w:trHeight w:val="315"/>
        </w:trPr>
        <w:tc>
          <w:tcPr>
            <w:tcW w:w="857" w:type="pct"/>
            <w:gridSpan w:val="2"/>
            <w:tcBorders>
              <w:top w:val="single" w:sz="4" w:space="0" w:color="808000"/>
              <w:left w:val="nil"/>
              <w:bottom w:val="single" w:sz="4" w:space="0" w:color="808000"/>
              <w:right w:val="nil"/>
            </w:tcBorders>
            <w:shd w:val="clear" w:color="000000" w:fill="FFFFCC"/>
            <w:vAlign w:val="center"/>
            <w:hideMark/>
          </w:tcPr>
          <w:p w14:paraId="1BB4ECBD"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Fechas de aporte</w:t>
            </w:r>
          </w:p>
        </w:tc>
        <w:tc>
          <w:tcPr>
            <w:tcW w:w="601"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06EAC24A"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Número de días</w:t>
            </w:r>
          </w:p>
        </w:tc>
        <w:tc>
          <w:tcPr>
            <w:tcW w:w="643" w:type="pct"/>
            <w:vMerge w:val="restart"/>
            <w:tcBorders>
              <w:top w:val="nil"/>
              <w:left w:val="single" w:sz="4" w:space="0" w:color="808000"/>
              <w:bottom w:val="single" w:sz="8" w:space="0" w:color="000000"/>
              <w:right w:val="single" w:sz="8" w:space="0" w:color="auto"/>
            </w:tcBorders>
            <w:shd w:val="clear" w:color="000000" w:fill="FFFFCC"/>
            <w:vAlign w:val="center"/>
            <w:hideMark/>
          </w:tcPr>
          <w:p w14:paraId="772C4A20"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Ingreso Base de Cotización</w:t>
            </w:r>
          </w:p>
        </w:tc>
        <w:tc>
          <w:tcPr>
            <w:tcW w:w="75" w:type="pct"/>
            <w:tcBorders>
              <w:top w:val="nil"/>
              <w:left w:val="nil"/>
              <w:bottom w:val="nil"/>
              <w:right w:val="nil"/>
            </w:tcBorders>
            <w:shd w:val="clear" w:color="auto" w:fill="auto"/>
            <w:noWrap/>
            <w:vAlign w:val="bottom"/>
            <w:hideMark/>
          </w:tcPr>
          <w:p w14:paraId="7924A522" w14:textId="77777777" w:rsidR="001929E3" w:rsidRDefault="001929E3">
            <w:pPr>
              <w:jc w:val="center"/>
              <w:rPr>
                <w:rFonts w:ascii="Calibri" w:hAnsi="Calibri"/>
                <w:b/>
                <w:bCs/>
                <w:i/>
                <w:iCs/>
                <w:color w:val="000000"/>
                <w:sz w:val="16"/>
                <w:szCs w:val="16"/>
              </w:rPr>
            </w:pPr>
          </w:p>
        </w:tc>
        <w:tc>
          <w:tcPr>
            <w:tcW w:w="809" w:type="pct"/>
            <w:vMerge/>
            <w:tcBorders>
              <w:top w:val="single" w:sz="4" w:space="0" w:color="auto"/>
              <w:left w:val="single" w:sz="8" w:space="0" w:color="auto"/>
              <w:bottom w:val="single" w:sz="8" w:space="0" w:color="000000"/>
              <w:right w:val="single" w:sz="4" w:space="0" w:color="808000"/>
            </w:tcBorders>
            <w:vAlign w:val="center"/>
            <w:hideMark/>
          </w:tcPr>
          <w:p w14:paraId="0DDFFEC5" w14:textId="77777777" w:rsidR="001929E3" w:rsidRDefault="001929E3">
            <w:pPr>
              <w:rPr>
                <w:rFonts w:ascii="Calibri" w:hAnsi="Calibri"/>
                <w:b/>
                <w:bCs/>
                <w:i/>
                <w:iCs/>
                <w:color w:val="000000"/>
                <w:sz w:val="16"/>
                <w:szCs w:val="16"/>
              </w:rPr>
            </w:pPr>
          </w:p>
        </w:tc>
        <w:tc>
          <w:tcPr>
            <w:tcW w:w="488"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653D70F4"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IPC Final</w:t>
            </w:r>
          </w:p>
        </w:tc>
        <w:tc>
          <w:tcPr>
            <w:tcW w:w="667"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012332FC"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IPC Inicial</w:t>
            </w:r>
          </w:p>
        </w:tc>
        <w:tc>
          <w:tcPr>
            <w:tcW w:w="861" w:type="pct"/>
            <w:vMerge/>
            <w:tcBorders>
              <w:top w:val="single" w:sz="4" w:space="0" w:color="auto"/>
              <w:left w:val="single" w:sz="4" w:space="0" w:color="808000"/>
              <w:bottom w:val="single" w:sz="8" w:space="0" w:color="000000"/>
              <w:right w:val="single" w:sz="8" w:space="0" w:color="auto"/>
            </w:tcBorders>
            <w:vAlign w:val="center"/>
            <w:hideMark/>
          </w:tcPr>
          <w:p w14:paraId="3E67A811" w14:textId="77777777" w:rsidR="001929E3" w:rsidRDefault="001929E3">
            <w:pPr>
              <w:rPr>
                <w:rFonts w:ascii="Calibri" w:hAnsi="Calibri"/>
                <w:b/>
                <w:bCs/>
                <w:i/>
                <w:iCs/>
                <w:color w:val="000000"/>
                <w:sz w:val="20"/>
                <w:szCs w:val="20"/>
              </w:rPr>
            </w:pPr>
          </w:p>
        </w:tc>
      </w:tr>
      <w:tr w:rsidR="001929E3" w14:paraId="1D3CBBC8" w14:textId="77777777" w:rsidTr="00703D0D">
        <w:trPr>
          <w:trHeight w:val="495"/>
        </w:trPr>
        <w:tc>
          <w:tcPr>
            <w:tcW w:w="424" w:type="pct"/>
            <w:tcBorders>
              <w:top w:val="nil"/>
              <w:left w:val="nil"/>
              <w:bottom w:val="single" w:sz="8" w:space="0" w:color="auto"/>
              <w:right w:val="single" w:sz="4" w:space="0" w:color="808000"/>
            </w:tcBorders>
            <w:shd w:val="clear" w:color="000000" w:fill="FFFF99"/>
            <w:noWrap/>
            <w:vAlign w:val="center"/>
            <w:hideMark/>
          </w:tcPr>
          <w:p w14:paraId="166855C6"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Desde</w:t>
            </w:r>
          </w:p>
        </w:tc>
        <w:tc>
          <w:tcPr>
            <w:tcW w:w="433" w:type="pct"/>
            <w:tcBorders>
              <w:top w:val="nil"/>
              <w:left w:val="nil"/>
              <w:bottom w:val="single" w:sz="8" w:space="0" w:color="auto"/>
              <w:right w:val="single" w:sz="4" w:space="0" w:color="808000"/>
            </w:tcBorders>
            <w:shd w:val="clear" w:color="000000" w:fill="FFFF99"/>
            <w:noWrap/>
            <w:vAlign w:val="center"/>
            <w:hideMark/>
          </w:tcPr>
          <w:p w14:paraId="3BAF4FFE"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Hasta</w:t>
            </w:r>
          </w:p>
        </w:tc>
        <w:tc>
          <w:tcPr>
            <w:tcW w:w="601" w:type="pct"/>
            <w:vMerge/>
            <w:tcBorders>
              <w:top w:val="nil"/>
              <w:left w:val="single" w:sz="4" w:space="0" w:color="808000"/>
              <w:bottom w:val="single" w:sz="8" w:space="0" w:color="000000"/>
              <w:right w:val="single" w:sz="4" w:space="0" w:color="808000"/>
            </w:tcBorders>
            <w:vAlign w:val="center"/>
            <w:hideMark/>
          </w:tcPr>
          <w:p w14:paraId="4F9C8C8D" w14:textId="77777777" w:rsidR="001929E3" w:rsidRDefault="001929E3">
            <w:pPr>
              <w:rPr>
                <w:rFonts w:ascii="Calibri" w:hAnsi="Calibri"/>
                <w:b/>
                <w:bCs/>
                <w:i/>
                <w:iCs/>
                <w:color w:val="000000"/>
                <w:sz w:val="16"/>
                <w:szCs w:val="16"/>
              </w:rPr>
            </w:pPr>
          </w:p>
        </w:tc>
        <w:tc>
          <w:tcPr>
            <w:tcW w:w="643" w:type="pct"/>
            <w:vMerge/>
            <w:tcBorders>
              <w:top w:val="nil"/>
              <w:left w:val="single" w:sz="4" w:space="0" w:color="808000"/>
              <w:bottom w:val="single" w:sz="8" w:space="0" w:color="000000"/>
              <w:right w:val="single" w:sz="8" w:space="0" w:color="auto"/>
            </w:tcBorders>
            <w:vAlign w:val="center"/>
            <w:hideMark/>
          </w:tcPr>
          <w:p w14:paraId="43C8EFCA" w14:textId="77777777" w:rsidR="001929E3" w:rsidRDefault="001929E3">
            <w:pPr>
              <w:rPr>
                <w:rFonts w:ascii="Calibri" w:hAnsi="Calibri"/>
                <w:b/>
                <w:bCs/>
                <w:i/>
                <w:iCs/>
                <w:color w:val="000000"/>
                <w:sz w:val="16"/>
                <w:szCs w:val="16"/>
              </w:rPr>
            </w:pPr>
          </w:p>
        </w:tc>
        <w:tc>
          <w:tcPr>
            <w:tcW w:w="75" w:type="pct"/>
            <w:tcBorders>
              <w:top w:val="nil"/>
              <w:left w:val="nil"/>
              <w:bottom w:val="nil"/>
              <w:right w:val="nil"/>
            </w:tcBorders>
            <w:shd w:val="clear" w:color="auto" w:fill="auto"/>
            <w:noWrap/>
            <w:vAlign w:val="bottom"/>
            <w:hideMark/>
          </w:tcPr>
          <w:p w14:paraId="0EA3E7CF" w14:textId="77777777" w:rsidR="001929E3" w:rsidRDefault="001929E3">
            <w:pPr>
              <w:jc w:val="center"/>
              <w:rPr>
                <w:rFonts w:ascii="Calibri" w:hAnsi="Calibri"/>
                <w:b/>
                <w:bCs/>
                <w:i/>
                <w:iCs/>
                <w:color w:val="000000"/>
                <w:sz w:val="16"/>
                <w:szCs w:val="16"/>
              </w:rPr>
            </w:pPr>
          </w:p>
        </w:tc>
        <w:tc>
          <w:tcPr>
            <w:tcW w:w="809" w:type="pct"/>
            <w:vMerge/>
            <w:tcBorders>
              <w:top w:val="single" w:sz="4" w:space="0" w:color="auto"/>
              <w:left w:val="single" w:sz="8" w:space="0" w:color="auto"/>
              <w:bottom w:val="single" w:sz="8" w:space="0" w:color="000000"/>
              <w:right w:val="single" w:sz="4" w:space="0" w:color="808000"/>
            </w:tcBorders>
            <w:vAlign w:val="center"/>
            <w:hideMark/>
          </w:tcPr>
          <w:p w14:paraId="4100B85B" w14:textId="77777777" w:rsidR="001929E3" w:rsidRDefault="001929E3">
            <w:pPr>
              <w:rPr>
                <w:rFonts w:ascii="Calibri" w:hAnsi="Calibri"/>
                <w:b/>
                <w:bCs/>
                <w:i/>
                <w:iCs/>
                <w:color w:val="000000"/>
                <w:sz w:val="16"/>
                <w:szCs w:val="16"/>
              </w:rPr>
            </w:pPr>
          </w:p>
        </w:tc>
        <w:tc>
          <w:tcPr>
            <w:tcW w:w="488" w:type="pct"/>
            <w:vMerge/>
            <w:tcBorders>
              <w:top w:val="nil"/>
              <w:left w:val="single" w:sz="4" w:space="0" w:color="808000"/>
              <w:bottom w:val="single" w:sz="8" w:space="0" w:color="000000"/>
              <w:right w:val="single" w:sz="4" w:space="0" w:color="808000"/>
            </w:tcBorders>
            <w:vAlign w:val="center"/>
            <w:hideMark/>
          </w:tcPr>
          <w:p w14:paraId="53AD51D3" w14:textId="77777777" w:rsidR="001929E3" w:rsidRDefault="001929E3">
            <w:pPr>
              <w:rPr>
                <w:rFonts w:ascii="Calibri" w:hAnsi="Calibri"/>
                <w:b/>
                <w:bCs/>
                <w:i/>
                <w:iCs/>
                <w:color w:val="000000"/>
                <w:sz w:val="16"/>
                <w:szCs w:val="16"/>
              </w:rPr>
            </w:pPr>
          </w:p>
        </w:tc>
        <w:tc>
          <w:tcPr>
            <w:tcW w:w="667" w:type="pct"/>
            <w:vMerge/>
            <w:tcBorders>
              <w:top w:val="nil"/>
              <w:left w:val="single" w:sz="4" w:space="0" w:color="808000"/>
              <w:bottom w:val="single" w:sz="8" w:space="0" w:color="000000"/>
              <w:right w:val="single" w:sz="4" w:space="0" w:color="808000"/>
            </w:tcBorders>
            <w:vAlign w:val="center"/>
            <w:hideMark/>
          </w:tcPr>
          <w:p w14:paraId="3B28F288" w14:textId="77777777" w:rsidR="001929E3" w:rsidRDefault="001929E3">
            <w:pPr>
              <w:rPr>
                <w:rFonts w:ascii="Calibri" w:hAnsi="Calibri"/>
                <w:b/>
                <w:bCs/>
                <w:i/>
                <w:iCs/>
                <w:color w:val="000000"/>
                <w:sz w:val="16"/>
                <w:szCs w:val="16"/>
              </w:rPr>
            </w:pPr>
          </w:p>
        </w:tc>
        <w:tc>
          <w:tcPr>
            <w:tcW w:w="861" w:type="pct"/>
            <w:vMerge/>
            <w:tcBorders>
              <w:top w:val="single" w:sz="4" w:space="0" w:color="auto"/>
              <w:left w:val="single" w:sz="4" w:space="0" w:color="808000"/>
              <w:bottom w:val="single" w:sz="8" w:space="0" w:color="000000"/>
              <w:right w:val="single" w:sz="8" w:space="0" w:color="auto"/>
            </w:tcBorders>
            <w:vAlign w:val="center"/>
            <w:hideMark/>
          </w:tcPr>
          <w:p w14:paraId="2CED0DF2" w14:textId="77777777" w:rsidR="001929E3" w:rsidRDefault="001929E3">
            <w:pPr>
              <w:rPr>
                <w:rFonts w:ascii="Calibri" w:hAnsi="Calibri"/>
                <w:b/>
                <w:bCs/>
                <w:i/>
                <w:iCs/>
                <w:color w:val="000000"/>
                <w:sz w:val="20"/>
                <w:szCs w:val="20"/>
              </w:rPr>
            </w:pPr>
          </w:p>
        </w:tc>
      </w:tr>
      <w:tr w:rsidR="001929E3" w14:paraId="01151787" w14:textId="77777777" w:rsidTr="00703D0D">
        <w:trPr>
          <w:trHeight w:val="315"/>
        </w:trPr>
        <w:tc>
          <w:tcPr>
            <w:tcW w:w="424" w:type="pct"/>
            <w:tcBorders>
              <w:top w:val="single" w:sz="4" w:space="0" w:color="808000"/>
              <w:left w:val="single" w:sz="4" w:space="0" w:color="auto"/>
              <w:bottom w:val="single" w:sz="4" w:space="0" w:color="808000"/>
              <w:right w:val="single" w:sz="4" w:space="0" w:color="808000"/>
            </w:tcBorders>
            <w:shd w:val="clear" w:color="auto" w:fill="auto"/>
            <w:noWrap/>
            <w:vAlign w:val="center"/>
            <w:hideMark/>
          </w:tcPr>
          <w:p w14:paraId="3DFCAA58" w14:textId="77777777" w:rsidR="001929E3" w:rsidRDefault="001929E3">
            <w:pPr>
              <w:jc w:val="center"/>
              <w:rPr>
                <w:rFonts w:ascii="Calibri" w:hAnsi="Calibri"/>
                <w:i/>
                <w:iCs/>
                <w:color w:val="000000"/>
                <w:sz w:val="16"/>
                <w:szCs w:val="16"/>
              </w:rPr>
            </w:pPr>
            <w:r>
              <w:rPr>
                <w:rFonts w:ascii="Calibri" w:hAnsi="Calibri"/>
                <w:i/>
                <w:iCs/>
                <w:color w:val="000000"/>
                <w:sz w:val="16"/>
                <w:szCs w:val="16"/>
              </w:rPr>
              <w:t>21-oct-91</w:t>
            </w:r>
          </w:p>
        </w:tc>
        <w:tc>
          <w:tcPr>
            <w:tcW w:w="433"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11FBEC6"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31-dic-91</w:t>
            </w:r>
          </w:p>
        </w:tc>
        <w:tc>
          <w:tcPr>
            <w:tcW w:w="60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9E66C5F" w14:textId="77777777" w:rsidR="001929E3" w:rsidRDefault="001929E3">
            <w:pPr>
              <w:jc w:val="center"/>
              <w:rPr>
                <w:rFonts w:ascii="Calibri" w:hAnsi="Calibri"/>
                <w:i/>
                <w:iCs/>
                <w:color w:val="000000"/>
                <w:sz w:val="16"/>
                <w:szCs w:val="16"/>
              </w:rPr>
            </w:pPr>
            <w:r>
              <w:rPr>
                <w:rFonts w:ascii="Calibri" w:hAnsi="Calibri"/>
                <w:i/>
                <w:iCs/>
                <w:color w:val="000000"/>
                <w:sz w:val="16"/>
                <w:szCs w:val="16"/>
              </w:rPr>
              <w:t>72</w:t>
            </w:r>
          </w:p>
        </w:tc>
        <w:tc>
          <w:tcPr>
            <w:tcW w:w="643" w:type="pct"/>
            <w:tcBorders>
              <w:top w:val="single" w:sz="4" w:space="0" w:color="808000"/>
              <w:left w:val="single" w:sz="4" w:space="0" w:color="808000"/>
              <w:bottom w:val="single" w:sz="4" w:space="0" w:color="808000"/>
              <w:right w:val="single" w:sz="4" w:space="0" w:color="auto"/>
            </w:tcBorders>
            <w:shd w:val="clear" w:color="auto" w:fill="auto"/>
            <w:noWrap/>
            <w:vAlign w:val="center"/>
            <w:hideMark/>
          </w:tcPr>
          <w:p w14:paraId="77D86C6C"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54.630,00 </w:t>
            </w:r>
          </w:p>
        </w:tc>
        <w:tc>
          <w:tcPr>
            <w:tcW w:w="75" w:type="pct"/>
            <w:tcBorders>
              <w:top w:val="single" w:sz="4" w:space="0" w:color="808000"/>
              <w:left w:val="nil"/>
              <w:bottom w:val="nil"/>
              <w:right w:val="nil"/>
            </w:tcBorders>
            <w:shd w:val="clear" w:color="auto" w:fill="auto"/>
            <w:noWrap/>
            <w:vAlign w:val="bottom"/>
            <w:hideMark/>
          </w:tcPr>
          <w:p w14:paraId="44C46B5D"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nil"/>
              <w:right w:val="single" w:sz="4" w:space="0" w:color="000000"/>
            </w:tcBorders>
            <w:shd w:val="clear" w:color="000000" w:fill="FFFF99"/>
            <w:noWrap/>
            <w:vAlign w:val="center"/>
            <w:hideMark/>
          </w:tcPr>
          <w:p w14:paraId="3E5799A4"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378.931,14 </w:t>
            </w:r>
          </w:p>
        </w:tc>
        <w:tc>
          <w:tcPr>
            <w:tcW w:w="488" w:type="pct"/>
            <w:tcBorders>
              <w:top w:val="single" w:sz="4" w:space="0" w:color="808000"/>
              <w:left w:val="single" w:sz="4" w:space="0" w:color="000000"/>
              <w:bottom w:val="nil"/>
              <w:right w:val="single" w:sz="4" w:space="0" w:color="000000"/>
            </w:tcBorders>
            <w:shd w:val="clear" w:color="auto" w:fill="auto"/>
            <w:noWrap/>
            <w:vAlign w:val="center"/>
            <w:hideMark/>
          </w:tcPr>
          <w:p w14:paraId="41ADEDAA"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single" w:sz="4" w:space="0" w:color="000000"/>
              <w:bottom w:val="nil"/>
              <w:right w:val="single" w:sz="4" w:space="0" w:color="000000"/>
            </w:tcBorders>
            <w:shd w:val="clear" w:color="auto" w:fill="auto"/>
            <w:noWrap/>
            <w:vAlign w:val="center"/>
            <w:hideMark/>
          </w:tcPr>
          <w:p w14:paraId="4883585E"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10,96 </w:t>
            </w:r>
          </w:p>
        </w:tc>
        <w:tc>
          <w:tcPr>
            <w:tcW w:w="861" w:type="pct"/>
            <w:tcBorders>
              <w:top w:val="single" w:sz="4" w:space="0" w:color="808000"/>
              <w:left w:val="single" w:sz="4" w:space="0" w:color="000000"/>
              <w:bottom w:val="nil"/>
              <w:right w:val="single" w:sz="4" w:space="0" w:color="auto"/>
            </w:tcBorders>
            <w:shd w:val="clear" w:color="auto" w:fill="auto"/>
            <w:noWrap/>
            <w:vAlign w:val="center"/>
            <w:hideMark/>
          </w:tcPr>
          <w:p w14:paraId="71E1DE2B"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7.777 </w:t>
            </w:r>
          </w:p>
        </w:tc>
      </w:tr>
      <w:tr w:rsidR="001929E3" w14:paraId="4FC311C2"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21344BEB"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01-ene-92</w:t>
            </w:r>
          </w:p>
        </w:tc>
        <w:tc>
          <w:tcPr>
            <w:tcW w:w="433" w:type="pct"/>
            <w:tcBorders>
              <w:top w:val="nil"/>
              <w:left w:val="nil"/>
              <w:bottom w:val="single" w:sz="4" w:space="0" w:color="808000"/>
              <w:right w:val="single" w:sz="4" w:space="0" w:color="808000"/>
            </w:tcBorders>
            <w:shd w:val="clear" w:color="auto" w:fill="auto"/>
            <w:noWrap/>
            <w:vAlign w:val="center"/>
            <w:hideMark/>
          </w:tcPr>
          <w:p w14:paraId="6E5140D9"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31-dic-92</w:t>
            </w:r>
          </w:p>
        </w:tc>
        <w:tc>
          <w:tcPr>
            <w:tcW w:w="601" w:type="pct"/>
            <w:tcBorders>
              <w:top w:val="nil"/>
              <w:left w:val="nil"/>
              <w:bottom w:val="single" w:sz="4" w:space="0" w:color="808000"/>
              <w:right w:val="single" w:sz="4" w:space="0" w:color="808000"/>
            </w:tcBorders>
            <w:shd w:val="clear" w:color="auto" w:fill="auto"/>
            <w:noWrap/>
            <w:vAlign w:val="center"/>
            <w:hideMark/>
          </w:tcPr>
          <w:p w14:paraId="3E31BF4E" w14:textId="77777777" w:rsidR="001929E3" w:rsidRDefault="001929E3">
            <w:pPr>
              <w:jc w:val="center"/>
              <w:rPr>
                <w:rFonts w:ascii="Calibri" w:hAnsi="Calibri"/>
                <w:i/>
                <w:iCs/>
                <w:color w:val="000000"/>
                <w:sz w:val="16"/>
                <w:szCs w:val="16"/>
              </w:rPr>
            </w:pPr>
            <w:r>
              <w:rPr>
                <w:rFonts w:ascii="Calibri" w:hAnsi="Calibri"/>
                <w:i/>
                <w:iCs/>
                <w:color w:val="000000"/>
                <w:sz w:val="16"/>
                <w:szCs w:val="16"/>
              </w:rPr>
              <w:t>366</w:t>
            </w:r>
          </w:p>
        </w:tc>
        <w:tc>
          <w:tcPr>
            <w:tcW w:w="643" w:type="pct"/>
            <w:tcBorders>
              <w:top w:val="nil"/>
              <w:left w:val="nil"/>
              <w:bottom w:val="single" w:sz="4" w:space="0" w:color="808000"/>
              <w:right w:val="single" w:sz="4" w:space="0" w:color="auto"/>
            </w:tcBorders>
            <w:shd w:val="clear" w:color="auto" w:fill="auto"/>
            <w:noWrap/>
            <w:vAlign w:val="center"/>
            <w:hideMark/>
          </w:tcPr>
          <w:p w14:paraId="1584D5F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70.260,00 </w:t>
            </w:r>
          </w:p>
        </w:tc>
        <w:tc>
          <w:tcPr>
            <w:tcW w:w="75" w:type="pct"/>
            <w:tcBorders>
              <w:top w:val="nil"/>
              <w:left w:val="nil"/>
              <w:bottom w:val="nil"/>
              <w:right w:val="nil"/>
            </w:tcBorders>
            <w:shd w:val="clear" w:color="auto" w:fill="auto"/>
            <w:noWrap/>
            <w:vAlign w:val="bottom"/>
            <w:hideMark/>
          </w:tcPr>
          <w:p w14:paraId="2410911D"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2A9BC41A"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384.270,10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34BEE69F"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1AA23F0D"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13,90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5D598EAB"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40.092 </w:t>
            </w:r>
          </w:p>
        </w:tc>
      </w:tr>
      <w:tr w:rsidR="001929E3" w14:paraId="3CABBC59"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098D1EF0"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01-ene-93</w:t>
            </w:r>
          </w:p>
        </w:tc>
        <w:tc>
          <w:tcPr>
            <w:tcW w:w="433" w:type="pct"/>
            <w:tcBorders>
              <w:top w:val="nil"/>
              <w:left w:val="nil"/>
              <w:bottom w:val="single" w:sz="4" w:space="0" w:color="808000"/>
              <w:right w:val="single" w:sz="4" w:space="0" w:color="808000"/>
            </w:tcBorders>
            <w:shd w:val="clear" w:color="auto" w:fill="auto"/>
            <w:noWrap/>
            <w:vAlign w:val="center"/>
            <w:hideMark/>
          </w:tcPr>
          <w:p w14:paraId="05E8A067" w14:textId="77777777" w:rsidR="001929E3" w:rsidRDefault="001929E3">
            <w:pPr>
              <w:jc w:val="right"/>
              <w:rPr>
                <w:rFonts w:ascii="Calibri" w:hAnsi="Calibri"/>
                <w:i/>
                <w:iCs/>
                <w:color w:val="000000"/>
                <w:sz w:val="16"/>
                <w:szCs w:val="16"/>
              </w:rPr>
            </w:pPr>
            <w:r>
              <w:rPr>
                <w:rFonts w:ascii="Calibri" w:hAnsi="Calibri"/>
                <w:i/>
                <w:iCs/>
                <w:color w:val="000000"/>
                <w:sz w:val="16"/>
                <w:szCs w:val="16"/>
              </w:rPr>
              <w:t>30-sep-93</w:t>
            </w:r>
          </w:p>
        </w:tc>
        <w:tc>
          <w:tcPr>
            <w:tcW w:w="601" w:type="pct"/>
            <w:tcBorders>
              <w:top w:val="nil"/>
              <w:left w:val="nil"/>
              <w:bottom w:val="single" w:sz="4" w:space="0" w:color="808000"/>
              <w:right w:val="single" w:sz="4" w:space="0" w:color="808000"/>
            </w:tcBorders>
            <w:shd w:val="clear" w:color="auto" w:fill="auto"/>
            <w:noWrap/>
            <w:vAlign w:val="center"/>
            <w:hideMark/>
          </w:tcPr>
          <w:p w14:paraId="485E4045" w14:textId="77777777" w:rsidR="001929E3" w:rsidRDefault="001929E3">
            <w:pPr>
              <w:jc w:val="center"/>
              <w:rPr>
                <w:rFonts w:ascii="Calibri" w:hAnsi="Calibri"/>
                <w:i/>
                <w:iCs/>
                <w:color w:val="000000"/>
                <w:sz w:val="16"/>
                <w:szCs w:val="16"/>
              </w:rPr>
            </w:pPr>
            <w:r>
              <w:rPr>
                <w:rFonts w:ascii="Calibri" w:hAnsi="Calibri"/>
                <w:i/>
                <w:iCs/>
                <w:color w:val="000000"/>
                <w:sz w:val="16"/>
                <w:szCs w:val="16"/>
              </w:rPr>
              <w:t>273</w:t>
            </w:r>
          </w:p>
        </w:tc>
        <w:tc>
          <w:tcPr>
            <w:tcW w:w="643" w:type="pct"/>
            <w:tcBorders>
              <w:top w:val="nil"/>
              <w:left w:val="nil"/>
              <w:bottom w:val="single" w:sz="4" w:space="0" w:color="808000"/>
              <w:right w:val="single" w:sz="4" w:space="0" w:color="auto"/>
            </w:tcBorders>
            <w:shd w:val="clear" w:color="auto" w:fill="auto"/>
            <w:noWrap/>
            <w:vAlign w:val="center"/>
            <w:hideMark/>
          </w:tcPr>
          <w:p w14:paraId="62D4816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89.070,00 </w:t>
            </w:r>
          </w:p>
        </w:tc>
        <w:tc>
          <w:tcPr>
            <w:tcW w:w="75" w:type="pct"/>
            <w:tcBorders>
              <w:top w:val="nil"/>
              <w:left w:val="nil"/>
              <w:bottom w:val="nil"/>
              <w:right w:val="nil"/>
            </w:tcBorders>
            <w:shd w:val="clear" w:color="auto" w:fill="auto"/>
            <w:noWrap/>
            <w:vAlign w:val="bottom"/>
            <w:hideMark/>
          </w:tcPr>
          <w:p w14:paraId="0D74A981"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4F977AFA"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389.300,77 </w:t>
            </w:r>
          </w:p>
        </w:tc>
        <w:tc>
          <w:tcPr>
            <w:tcW w:w="488" w:type="pct"/>
            <w:tcBorders>
              <w:top w:val="nil"/>
              <w:left w:val="nil"/>
              <w:bottom w:val="nil"/>
              <w:right w:val="single" w:sz="4" w:space="0" w:color="000000"/>
            </w:tcBorders>
            <w:shd w:val="clear" w:color="auto" w:fill="auto"/>
            <w:noWrap/>
            <w:vAlign w:val="center"/>
            <w:hideMark/>
          </w:tcPr>
          <w:p w14:paraId="01559CBF"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4C6AE948"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17,40 </w:t>
            </w:r>
          </w:p>
        </w:tc>
        <w:tc>
          <w:tcPr>
            <w:tcW w:w="861" w:type="pct"/>
            <w:tcBorders>
              <w:top w:val="nil"/>
              <w:left w:val="nil"/>
              <w:bottom w:val="nil"/>
              <w:right w:val="single" w:sz="4" w:space="0" w:color="auto"/>
            </w:tcBorders>
            <w:shd w:val="clear" w:color="auto" w:fill="auto"/>
            <w:noWrap/>
            <w:vAlign w:val="center"/>
            <w:hideMark/>
          </w:tcPr>
          <w:p w14:paraId="3C845B3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30.296 </w:t>
            </w:r>
          </w:p>
        </w:tc>
      </w:tr>
      <w:tr w:rsidR="001929E3" w14:paraId="3AC37F3E"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23656FBC"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01-oct-93</w:t>
            </w:r>
          </w:p>
        </w:tc>
        <w:tc>
          <w:tcPr>
            <w:tcW w:w="433" w:type="pct"/>
            <w:tcBorders>
              <w:top w:val="nil"/>
              <w:left w:val="nil"/>
              <w:bottom w:val="single" w:sz="4" w:space="0" w:color="808000"/>
              <w:right w:val="single" w:sz="4" w:space="0" w:color="808000"/>
            </w:tcBorders>
            <w:shd w:val="clear" w:color="auto" w:fill="auto"/>
            <w:noWrap/>
            <w:vAlign w:val="center"/>
            <w:hideMark/>
          </w:tcPr>
          <w:p w14:paraId="057C4B21"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31-dic-93</w:t>
            </w:r>
          </w:p>
        </w:tc>
        <w:tc>
          <w:tcPr>
            <w:tcW w:w="601" w:type="pct"/>
            <w:tcBorders>
              <w:top w:val="nil"/>
              <w:left w:val="nil"/>
              <w:bottom w:val="single" w:sz="4" w:space="0" w:color="808000"/>
              <w:right w:val="single" w:sz="4" w:space="0" w:color="808000"/>
            </w:tcBorders>
            <w:shd w:val="clear" w:color="auto" w:fill="auto"/>
            <w:noWrap/>
            <w:vAlign w:val="center"/>
            <w:hideMark/>
          </w:tcPr>
          <w:p w14:paraId="0C5ADD93" w14:textId="77777777" w:rsidR="001929E3" w:rsidRDefault="001929E3">
            <w:pPr>
              <w:jc w:val="center"/>
              <w:rPr>
                <w:rFonts w:ascii="Calibri" w:hAnsi="Calibri"/>
                <w:i/>
                <w:iCs/>
                <w:color w:val="000000"/>
                <w:sz w:val="16"/>
                <w:szCs w:val="16"/>
              </w:rPr>
            </w:pPr>
            <w:r>
              <w:rPr>
                <w:rFonts w:ascii="Calibri" w:hAnsi="Calibri"/>
                <w:i/>
                <w:iCs/>
                <w:color w:val="000000"/>
                <w:sz w:val="16"/>
                <w:szCs w:val="16"/>
              </w:rPr>
              <w:t>92</w:t>
            </w:r>
          </w:p>
        </w:tc>
        <w:tc>
          <w:tcPr>
            <w:tcW w:w="643" w:type="pct"/>
            <w:tcBorders>
              <w:top w:val="nil"/>
              <w:left w:val="nil"/>
              <w:bottom w:val="single" w:sz="4" w:space="0" w:color="808000"/>
              <w:right w:val="single" w:sz="4" w:space="0" w:color="auto"/>
            </w:tcBorders>
            <w:shd w:val="clear" w:color="auto" w:fill="auto"/>
            <w:noWrap/>
            <w:vAlign w:val="center"/>
            <w:hideMark/>
          </w:tcPr>
          <w:p w14:paraId="14F306CE"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136.290,00 </w:t>
            </w:r>
          </w:p>
        </w:tc>
        <w:tc>
          <w:tcPr>
            <w:tcW w:w="75" w:type="pct"/>
            <w:tcBorders>
              <w:top w:val="nil"/>
              <w:left w:val="nil"/>
              <w:bottom w:val="nil"/>
              <w:right w:val="nil"/>
            </w:tcBorders>
            <w:shd w:val="clear" w:color="auto" w:fill="auto"/>
            <w:noWrap/>
            <w:vAlign w:val="bottom"/>
            <w:hideMark/>
          </w:tcPr>
          <w:p w14:paraId="4A58BB5E"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4918D745"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595.686,56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59074EE7"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086ACFC9"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17,40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04B1F9A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15.622 </w:t>
            </w:r>
          </w:p>
        </w:tc>
      </w:tr>
      <w:tr w:rsidR="001929E3" w14:paraId="7008859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78F545DC"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01-ene-94</w:t>
            </w:r>
          </w:p>
        </w:tc>
        <w:tc>
          <w:tcPr>
            <w:tcW w:w="433" w:type="pct"/>
            <w:tcBorders>
              <w:top w:val="nil"/>
              <w:left w:val="nil"/>
              <w:bottom w:val="single" w:sz="4" w:space="0" w:color="808000"/>
              <w:right w:val="single" w:sz="4" w:space="0" w:color="808000"/>
            </w:tcBorders>
            <w:shd w:val="clear" w:color="auto" w:fill="auto"/>
            <w:noWrap/>
            <w:vAlign w:val="center"/>
            <w:hideMark/>
          </w:tcPr>
          <w:p w14:paraId="74860F0A"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31-ene-94</w:t>
            </w:r>
          </w:p>
        </w:tc>
        <w:tc>
          <w:tcPr>
            <w:tcW w:w="601" w:type="pct"/>
            <w:tcBorders>
              <w:top w:val="nil"/>
              <w:left w:val="nil"/>
              <w:bottom w:val="single" w:sz="4" w:space="0" w:color="808000"/>
              <w:right w:val="single" w:sz="4" w:space="0" w:color="808000"/>
            </w:tcBorders>
            <w:shd w:val="clear" w:color="auto" w:fill="auto"/>
            <w:noWrap/>
            <w:vAlign w:val="center"/>
            <w:hideMark/>
          </w:tcPr>
          <w:p w14:paraId="55FBF83B" w14:textId="77777777" w:rsidR="001929E3" w:rsidRDefault="001929E3">
            <w:pPr>
              <w:jc w:val="center"/>
              <w:rPr>
                <w:rFonts w:ascii="Calibri" w:hAnsi="Calibri"/>
                <w:i/>
                <w:iCs/>
                <w:color w:val="000000"/>
                <w:sz w:val="16"/>
                <w:szCs w:val="16"/>
              </w:rPr>
            </w:pPr>
            <w:r>
              <w:rPr>
                <w:rFonts w:ascii="Calibri" w:hAnsi="Calibri"/>
                <w:i/>
                <w:iCs/>
                <w:color w:val="000000"/>
                <w:sz w:val="16"/>
                <w:szCs w:val="16"/>
              </w:rPr>
              <w:t>31</w:t>
            </w:r>
          </w:p>
        </w:tc>
        <w:tc>
          <w:tcPr>
            <w:tcW w:w="643" w:type="pct"/>
            <w:tcBorders>
              <w:top w:val="nil"/>
              <w:left w:val="nil"/>
              <w:bottom w:val="single" w:sz="4" w:space="0" w:color="808000"/>
              <w:right w:val="single" w:sz="4" w:space="0" w:color="auto"/>
            </w:tcBorders>
            <w:shd w:val="clear" w:color="auto" w:fill="auto"/>
            <w:noWrap/>
            <w:vAlign w:val="center"/>
            <w:hideMark/>
          </w:tcPr>
          <w:p w14:paraId="3E6EC42E"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136.290,00 </w:t>
            </w:r>
          </w:p>
        </w:tc>
        <w:tc>
          <w:tcPr>
            <w:tcW w:w="75" w:type="pct"/>
            <w:tcBorders>
              <w:top w:val="nil"/>
              <w:left w:val="nil"/>
              <w:bottom w:val="nil"/>
              <w:right w:val="nil"/>
            </w:tcBorders>
            <w:shd w:val="clear" w:color="auto" w:fill="auto"/>
            <w:noWrap/>
            <w:vAlign w:val="bottom"/>
            <w:hideMark/>
          </w:tcPr>
          <w:p w14:paraId="3A68DCE5"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63EF2245"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485.846,64 </w:t>
            </w:r>
          </w:p>
        </w:tc>
        <w:tc>
          <w:tcPr>
            <w:tcW w:w="488" w:type="pct"/>
            <w:tcBorders>
              <w:top w:val="nil"/>
              <w:left w:val="nil"/>
              <w:bottom w:val="nil"/>
              <w:right w:val="single" w:sz="4" w:space="0" w:color="000000"/>
            </w:tcBorders>
            <w:shd w:val="clear" w:color="auto" w:fill="auto"/>
            <w:noWrap/>
            <w:vAlign w:val="center"/>
            <w:hideMark/>
          </w:tcPr>
          <w:p w14:paraId="68028C2D"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44C895C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21,33 </w:t>
            </w:r>
          </w:p>
        </w:tc>
        <w:tc>
          <w:tcPr>
            <w:tcW w:w="861" w:type="pct"/>
            <w:tcBorders>
              <w:top w:val="nil"/>
              <w:left w:val="nil"/>
              <w:bottom w:val="nil"/>
              <w:right w:val="single" w:sz="4" w:space="0" w:color="auto"/>
            </w:tcBorders>
            <w:shd w:val="clear" w:color="auto" w:fill="auto"/>
            <w:noWrap/>
            <w:vAlign w:val="center"/>
            <w:hideMark/>
          </w:tcPr>
          <w:p w14:paraId="5E25ED2B"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4.293 </w:t>
            </w:r>
          </w:p>
        </w:tc>
      </w:tr>
      <w:tr w:rsidR="001929E3" w14:paraId="79747E26"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11F95B61"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01-feb-94</w:t>
            </w:r>
          </w:p>
        </w:tc>
        <w:tc>
          <w:tcPr>
            <w:tcW w:w="433" w:type="pct"/>
            <w:tcBorders>
              <w:top w:val="nil"/>
              <w:left w:val="nil"/>
              <w:bottom w:val="single" w:sz="4" w:space="0" w:color="808000"/>
              <w:right w:val="single" w:sz="4" w:space="0" w:color="808000"/>
            </w:tcBorders>
            <w:shd w:val="clear" w:color="auto" w:fill="auto"/>
            <w:noWrap/>
            <w:vAlign w:val="center"/>
            <w:hideMark/>
          </w:tcPr>
          <w:p w14:paraId="26335F33" w14:textId="77777777" w:rsidR="001929E3" w:rsidRDefault="001929E3">
            <w:pPr>
              <w:jc w:val="right"/>
              <w:rPr>
                <w:rFonts w:ascii="Calibri" w:hAnsi="Calibri"/>
                <w:i/>
                <w:iCs/>
                <w:color w:val="000000"/>
                <w:sz w:val="16"/>
                <w:szCs w:val="16"/>
              </w:rPr>
            </w:pPr>
            <w:r>
              <w:rPr>
                <w:rFonts w:ascii="Calibri" w:hAnsi="Calibri"/>
                <w:i/>
                <w:iCs/>
                <w:color w:val="000000"/>
                <w:sz w:val="16"/>
                <w:szCs w:val="16"/>
              </w:rPr>
              <w:t>31-may-94</w:t>
            </w:r>
          </w:p>
        </w:tc>
        <w:tc>
          <w:tcPr>
            <w:tcW w:w="601" w:type="pct"/>
            <w:tcBorders>
              <w:top w:val="nil"/>
              <w:left w:val="nil"/>
              <w:bottom w:val="single" w:sz="4" w:space="0" w:color="808000"/>
              <w:right w:val="single" w:sz="4" w:space="0" w:color="808000"/>
            </w:tcBorders>
            <w:shd w:val="clear" w:color="auto" w:fill="auto"/>
            <w:noWrap/>
            <w:vAlign w:val="center"/>
            <w:hideMark/>
          </w:tcPr>
          <w:p w14:paraId="1BD7DB88" w14:textId="77777777" w:rsidR="001929E3" w:rsidRDefault="001929E3">
            <w:pPr>
              <w:jc w:val="center"/>
              <w:rPr>
                <w:rFonts w:ascii="Calibri" w:hAnsi="Calibri"/>
                <w:i/>
                <w:iCs/>
                <w:color w:val="000000"/>
                <w:sz w:val="16"/>
                <w:szCs w:val="16"/>
              </w:rPr>
            </w:pPr>
            <w:r>
              <w:rPr>
                <w:rFonts w:ascii="Calibri" w:hAnsi="Calibri"/>
                <w:i/>
                <w:iCs/>
                <w:color w:val="000000"/>
                <w:sz w:val="16"/>
                <w:szCs w:val="16"/>
              </w:rPr>
              <w:t>120</w:t>
            </w:r>
          </w:p>
        </w:tc>
        <w:tc>
          <w:tcPr>
            <w:tcW w:w="643" w:type="pct"/>
            <w:tcBorders>
              <w:top w:val="nil"/>
              <w:left w:val="nil"/>
              <w:bottom w:val="single" w:sz="4" w:space="0" w:color="808000"/>
              <w:right w:val="single" w:sz="4" w:space="0" w:color="auto"/>
            </w:tcBorders>
            <w:shd w:val="clear" w:color="auto" w:fill="auto"/>
            <w:noWrap/>
            <w:vAlign w:val="center"/>
            <w:hideMark/>
          </w:tcPr>
          <w:p w14:paraId="430DA621"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205.975,00 </w:t>
            </w:r>
          </w:p>
        </w:tc>
        <w:tc>
          <w:tcPr>
            <w:tcW w:w="75" w:type="pct"/>
            <w:tcBorders>
              <w:top w:val="nil"/>
              <w:left w:val="nil"/>
              <w:bottom w:val="nil"/>
              <w:right w:val="nil"/>
            </w:tcBorders>
            <w:shd w:val="clear" w:color="auto" w:fill="auto"/>
            <w:noWrap/>
            <w:vAlign w:val="bottom"/>
            <w:hideMark/>
          </w:tcPr>
          <w:p w14:paraId="7DAB22E4"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29667C0A"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734.259,75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5BB1652C"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3F832526"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21,33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2534E651"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25.117 </w:t>
            </w:r>
          </w:p>
        </w:tc>
      </w:tr>
      <w:tr w:rsidR="001929E3" w14:paraId="354C1DBA"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05187803"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01-jun-94</w:t>
            </w:r>
          </w:p>
        </w:tc>
        <w:tc>
          <w:tcPr>
            <w:tcW w:w="433" w:type="pct"/>
            <w:tcBorders>
              <w:top w:val="nil"/>
              <w:left w:val="nil"/>
              <w:bottom w:val="single" w:sz="4" w:space="0" w:color="808000"/>
              <w:right w:val="single" w:sz="4" w:space="0" w:color="808000"/>
            </w:tcBorders>
            <w:shd w:val="clear" w:color="auto" w:fill="auto"/>
            <w:noWrap/>
            <w:vAlign w:val="center"/>
            <w:hideMark/>
          </w:tcPr>
          <w:p w14:paraId="16C0B67A"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31-dic-94</w:t>
            </w:r>
          </w:p>
        </w:tc>
        <w:tc>
          <w:tcPr>
            <w:tcW w:w="601" w:type="pct"/>
            <w:tcBorders>
              <w:top w:val="nil"/>
              <w:left w:val="nil"/>
              <w:bottom w:val="single" w:sz="4" w:space="0" w:color="808000"/>
              <w:right w:val="single" w:sz="4" w:space="0" w:color="808000"/>
            </w:tcBorders>
            <w:shd w:val="clear" w:color="auto" w:fill="auto"/>
            <w:noWrap/>
            <w:vAlign w:val="center"/>
            <w:hideMark/>
          </w:tcPr>
          <w:p w14:paraId="7A252050" w14:textId="77777777" w:rsidR="001929E3" w:rsidRDefault="001929E3">
            <w:pPr>
              <w:jc w:val="center"/>
              <w:rPr>
                <w:rFonts w:ascii="Calibri" w:hAnsi="Calibri"/>
                <w:i/>
                <w:iCs/>
                <w:color w:val="000000"/>
                <w:sz w:val="16"/>
                <w:szCs w:val="16"/>
              </w:rPr>
            </w:pPr>
            <w:r>
              <w:rPr>
                <w:rFonts w:ascii="Calibri" w:hAnsi="Calibri"/>
                <w:i/>
                <w:iCs/>
                <w:color w:val="000000"/>
                <w:sz w:val="16"/>
                <w:szCs w:val="16"/>
              </w:rPr>
              <w:t>214</w:t>
            </w:r>
          </w:p>
        </w:tc>
        <w:tc>
          <w:tcPr>
            <w:tcW w:w="643" w:type="pct"/>
            <w:tcBorders>
              <w:top w:val="nil"/>
              <w:left w:val="nil"/>
              <w:bottom w:val="single" w:sz="4" w:space="0" w:color="808000"/>
              <w:right w:val="single" w:sz="4" w:space="0" w:color="auto"/>
            </w:tcBorders>
            <w:shd w:val="clear" w:color="auto" w:fill="auto"/>
            <w:noWrap/>
            <w:vAlign w:val="center"/>
            <w:hideMark/>
          </w:tcPr>
          <w:p w14:paraId="7D558D87"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197.000,00 </w:t>
            </w:r>
          </w:p>
        </w:tc>
        <w:tc>
          <w:tcPr>
            <w:tcW w:w="75" w:type="pct"/>
            <w:tcBorders>
              <w:top w:val="nil"/>
              <w:left w:val="nil"/>
              <w:bottom w:val="nil"/>
              <w:right w:val="nil"/>
            </w:tcBorders>
            <w:shd w:val="clear" w:color="auto" w:fill="auto"/>
            <w:noWrap/>
            <w:vAlign w:val="bottom"/>
            <w:hideMark/>
          </w:tcPr>
          <w:p w14:paraId="5623669B"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27243E2C"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702.265,67 </w:t>
            </w:r>
          </w:p>
        </w:tc>
        <w:tc>
          <w:tcPr>
            <w:tcW w:w="488" w:type="pct"/>
            <w:tcBorders>
              <w:top w:val="nil"/>
              <w:left w:val="nil"/>
              <w:bottom w:val="nil"/>
              <w:right w:val="single" w:sz="4" w:space="0" w:color="000000"/>
            </w:tcBorders>
            <w:shd w:val="clear" w:color="auto" w:fill="auto"/>
            <w:noWrap/>
            <w:vAlign w:val="center"/>
            <w:hideMark/>
          </w:tcPr>
          <w:p w14:paraId="3471ED1C"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11A21DD2"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21,33 </w:t>
            </w:r>
          </w:p>
        </w:tc>
        <w:tc>
          <w:tcPr>
            <w:tcW w:w="861" w:type="pct"/>
            <w:tcBorders>
              <w:top w:val="nil"/>
              <w:left w:val="nil"/>
              <w:bottom w:val="nil"/>
              <w:right w:val="single" w:sz="4" w:space="0" w:color="auto"/>
            </w:tcBorders>
            <w:shd w:val="clear" w:color="auto" w:fill="auto"/>
            <w:noWrap/>
            <w:vAlign w:val="center"/>
            <w:hideMark/>
          </w:tcPr>
          <w:p w14:paraId="135EC22E"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42.841 </w:t>
            </w:r>
          </w:p>
        </w:tc>
      </w:tr>
      <w:tr w:rsidR="001929E3" w14:paraId="7C0AAF66"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441D3931"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01-ene-95</w:t>
            </w:r>
          </w:p>
        </w:tc>
        <w:tc>
          <w:tcPr>
            <w:tcW w:w="433" w:type="pct"/>
            <w:tcBorders>
              <w:top w:val="nil"/>
              <w:left w:val="nil"/>
              <w:bottom w:val="single" w:sz="4" w:space="0" w:color="808000"/>
              <w:right w:val="single" w:sz="4" w:space="0" w:color="808000"/>
            </w:tcBorders>
            <w:shd w:val="clear" w:color="auto" w:fill="auto"/>
            <w:noWrap/>
            <w:vAlign w:val="center"/>
            <w:hideMark/>
          </w:tcPr>
          <w:p w14:paraId="3027F7BA"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31-ene-95</w:t>
            </w:r>
          </w:p>
        </w:tc>
        <w:tc>
          <w:tcPr>
            <w:tcW w:w="601" w:type="pct"/>
            <w:tcBorders>
              <w:top w:val="nil"/>
              <w:left w:val="nil"/>
              <w:bottom w:val="single" w:sz="4" w:space="0" w:color="808000"/>
              <w:right w:val="single" w:sz="4" w:space="0" w:color="808000"/>
            </w:tcBorders>
            <w:shd w:val="clear" w:color="auto" w:fill="auto"/>
            <w:noWrap/>
            <w:vAlign w:val="center"/>
            <w:hideMark/>
          </w:tcPr>
          <w:p w14:paraId="085755C4"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198206B7"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237.385,00 </w:t>
            </w:r>
          </w:p>
        </w:tc>
        <w:tc>
          <w:tcPr>
            <w:tcW w:w="75" w:type="pct"/>
            <w:tcBorders>
              <w:top w:val="nil"/>
              <w:left w:val="nil"/>
              <w:bottom w:val="nil"/>
              <w:right w:val="nil"/>
            </w:tcBorders>
            <w:shd w:val="clear" w:color="auto" w:fill="auto"/>
            <w:noWrap/>
            <w:vAlign w:val="bottom"/>
            <w:hideMark/>
          </w:tcPr>
          <w:p w14:paraId="2C484B09"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C7366B8"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690.260,05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2238818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6CCCF1A0"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26,15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0D5E7712"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5.903 </w:t>
            </w:r>
          </w:p>
        </w:tc>
      </w:tr>
      <w:tr w:rsidR="001929E3" w14:paraId="0E48DB5D"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40F7CF4B"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01-feb-95</w:t>
            </w:r>
          </w:p>
        </w:tc>
        <w:tc>
          <w:tcPr>
            <w:tcW w:w="433" w:type="pct"/>
            <w:tcBorders>
              <w:top w:val="nil"/>
              <w:left w:val="nil"/>
              <w:bottom w:val="single" w:sz="4" w:space="0" w:color="808000"/>
              <w:right w:val="single" w:sz="4" w:space="0" w:color="808000"/>
            </w:tcBorders>
            <w:shd w:val="clear" w:color="auto" w:fill="auto"/>
            <w:noWrap/>
            <w:vAlign w:val="center"/>
            <w:hideMark/>
          </w:tcPr>
          <w:p w14:paraId="7DD8582B" w14:textId="77777777" w:rsidR="001929E3" w:rsidRDefault="001929E3">
            <w:pPr>
              <w:jc w:val="right"/>
              <w:rPr>
                <w:rFonts w:ascii="Calibri" w:hAnsi="Calibri"/>
                <w:i/>
                <w:iCs/>
                <w:color w:val="000000"/>
                <w:sz w:val="16"/>
                <w:szCs w:val="16"/>
              </w:rPr>
            </w:pPr>
            <w:r>
              <w:rPr>
                <w:rFonts w:ascii="Calibri" w:hAnsi="Calibri"/>
                <w:i/>
                <w:iCs/>
                <w:color w:val="000000"/>
                <w:sz w:val="16"/>
                <w:szCs w:val="16"/>
              </w:rPr>
              <w:t>31-oct-95</w:t>
            </w:r>
          </w:p>
        </w:tc>
        <w:tc>
          <w:tcPr>
            <w:tcW w:w="601" w:type="pct"/>
            <w:tcBorders>
              <w:top w:val="nil"/>
              <w:left w:val="nil"/>
              <w:bottom w:val="single" w:sz="4" w:space="0" w:color="808000"/>
              <w:right w:val="single" w:sz="4" w:space="0" w:color="808000"/>
            </w:tcBorders>
            <w:shd w:val="clear" w:color="auto" w:fill="auto"/>
            <w:noWrap/>
            <w:vAlign w:val="center"/>
            <w:hideMark/>
          </w:tcPr>
          <w:p w14:paraId="6FBB6759" w14:textId="77777777" w:rsidR="001929E3" w:rsidRDefault="001929E3">
            <w:pPr>
              <w:jc w:val="center"/>
              <w:rPr>
                <w:rFonts w:ascii="Calibri" w:hAnsi="Calibri"/>
                <w:i/>
                <w:iCs/>
                <w:color w:val="000000"/>
                <w:sz w:val="16"/>
                <w:szCs w:val="16"/>
              </w:rPr>
            </w:pPr>
            <w:r>
              <w:rPr>
                <w:rFonts w:ascii="Calibri" w:hAnsi="Calibri"/>
                <w:i/>
                <w:iCs/>
                <w:color w:val="000000"/>
                <w:sz w:val="16"/>
                <w:szCs w:val="16"/>
              </w:rPr>
              <w:t>270</w:t>
            </w:r>
          </w:p>
        </w:tc>
        <w:tc>
          <w:tcPr>
            <w:tcW w:w="643" w:type="pct"/>
            <w:tcBorders>
              <w:top w:val="nil"/>
              <w:left w:val="nil"/>
              <w:bottom w:val="single" w:sz="4" w:space="0" w:color="808000"/>
              <w:right w:val="single" w:sz="4" w:space="0" w:color="auto"/>
            </w:tcBorders>
            <w:shd w:val="clear" w:color="auto" w:fill="auto"/>
            <w:noWrap/>
            <w:vAlign w:val="center"/>
            <w:hideMark/>
          </w:tcPr>
          <w:p w14:paraId="0378B9BF"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237.400,00 </w:t>
            </w:r>
          </w:p>
        </w:tc>
        <w:tc>
          <w:tcPr>
            <w:tcW w:w="75" w:type="pct"/>
            <w:tcBorders>
              <w:top w:val="nil"/>
              <w:left w:val="nil"/>
              <w:bottom w:val="nil"/>
              <w:right w:val="nil"/>
            </w:tcBorders>
            <w:shd w:val="clear" w:color="auto" w:fill="auto"/>
            <w:noWrap/>
            <w:vAlign w:val="bottom"/>
            <w:hideMark/>
          </w:tcPr>
          <w:p w14:paraId="497A83F7"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7C2581AE"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690.303,66 </w:t>
            </w:r>
          </w:p>
        </w:tc>
        <w:tc>
          <w:tcPr>
            <w:tcW w:w="488" w:type="pct"/>
            <w:tcBorders>
              <w:top w:val="nil"/>
              <w:left w:val="nil"/>
              <w:bottom w:val="nil"/>
              <w:right w:val="single" w:sz="4" w:space="0" w:color="000000"/>
            </w:tcBorders>
            <w:shd w:val="clear" w:color="auto" w:fill="auto"/>
            <w:noWrap/>
            <w:vAlign w:val="center"/>
            <w:hideMark/>
          </w:tcPr>
          <w:p w14:paraId="45ECE014"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2B5D4073"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26,15 </w:t>
            </w:r>
          </w:p>
        </w:tc>
        <w:tc>
          <w:tcPr>
            <w:tcW w:w="861" w:type="pct"/>
            <w:tcBorders>
              <w:top w:val="nil"/>
              <w:left w:val="nil"/>
              <w:bottom w:val="nil"/>
              <w:right w:val="single" w:sz="4" w:space="0" w:color="auto"/>
            </w:tcBorders>
            <w:shd w:val="clear" w:color="auto" w:fill="auto"/>
            <w:noWrap/>
            <w:vAlign w:val="center"/>
            <w:hideMark/>
          </w:tcPr>
          <w:p w14:paraId="337E45CF"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53.131 </w:t>
            </w:r>
          </w:p>
        </w:tc>
      </w:tr>
      <w:tr w:rsidR="001929E3" w14:paraId="6A3CF5FB"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1C142500"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01-nov-95</w:t>
            </w:r>
          </w:p>
        </w:tc>
        <w:tc>
          <w:tcPr>
            <w:tcW w:w="433" w:type="pct"/>
            <w:tcBorders>
              <w:top w:val="nil"/>
              <w:left w:val="nil"/>
              <w:bottom w:val="single" w:sz="4" w:space="0" w:color="808000"/>
              <w:right w:val="single" w:sz="4" w:space="0" w:color="808000"/>
            </w:tcBorders>
            <w:shd w:val="clear" w:color="auto" w:fill="auto"/>
            <w:noWrap/>
            <w:vAlign w:val="center"/>
            <w:hideMark/>
          </w:tcPr>
          <w:p w14:paraId="4BDC3CE7"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31-dic-95</w:t>
            </w:r>
          </w:p>
        </w:tc>
        <w:tc>
          <w:tcPr>
            <w:tcW w:w="601" w:type="pct"/>
            <w:tcBorders>
              <w:top w:val="nil"/>
              <w:left w:val="nil"/>
              <w:bottom w:val="single" w:sz="4" w:space="0" w:color="808000"/>
              <w:right w:val="single" w:sz="4" w:space="0" w:color="808000"/>
            </w:tcBorders>
            <w:shd w:val="clear" w:color="auto" w:fill="auto"/>
            <w:noWrap/>
            <w:vAlign w:val="center"/>
            <w:hideMark/>
          </w:tcPr>
          <w:p w14:paraId="5B1943D5" w14:textId="77777777" w:rsidR="001929E3" w:rsidRDefault="001929E3">
            <w:pPr>
              <w:jc w:val="center"/>
              <w:rPr>
                <w:rFonts w:ascii="Calibri" w:hAnsi="Calibri"/>
                <w:i/>
                <w:iCs/>
                <w:color w:val="000000"/>
                <w:sz w:val="16"/>
                <w:szCs w:val="16"/>
              </w:rPr>
            </w:pPr>
            <w:r>
              <w:rPr>
                <w:rFonts w:ascii="Calibri" w:hAnsi="Calibri"/>
                <w:i/>
                <w:iCs/>
                <w:color w:val="000000"/>
                <w:sz w:val="16"/>
                <w:szCs w:val="16"/>
              </w:rPr>
              <w:t>60</w:t>
            </w:r>
          </w:p>
        </w:tc>
        <w:tc>
          <w:tcPr>
            <w:tcW w:w="643" w:type="pct"/>
            <w:tcBorders>
              <w:top w:val="nil"/>
              <w:left w:val="nil"/>
              <w:bottom w:val="single" w:sz="4" w:space="0" w:color="808000"/>
              <w:right w:val="single" w:sz="4" w:space="0" w:color="auto"/>
            </w:tcBorders>
            <w:shd w:val="clear" w:color="auto" w:fill="auto"/>
            <w:noWrap/>
            <w:vAlign w:val="center"/>
            <w:hideMark/>
          </w:tcPr>
          <w:p w14:paraId="734C1B0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300.000,00 </w:t>
            </w:r>
          </w:p>
        </w:tc>
        <w:tc>
          <w:tcPr>
            <w:tcW w:w="75" w:type="pct"/>
            <w:tcBorders>
              <w:top w:val="nil"/>
              <w:left w:val="nil"/>
              <w:bottom w:val="nil"/>
              <w:right w:val="nil"/>
            </w:tcBorders>
            <w:shd w:val="clear" w:color="auto" w:fill="auto"/>
            <w:noWrap/>
            <w:vAlign w:val="bottom"/>
            <w:hideMark/>
          </w:tcPr>
          <w:p w14:paraId="49B56416"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4ECD6EBE"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872.329,82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3A1E453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36513E4B"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26,15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65CFA6C0"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14.920 </w:t>
            </w:r>
          </w:p>
        </w:tc>
      </w:tr>
      <w:tr w:rsidR="001929E3" w14:paraId="7ED40265"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FB57D0B"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01-ene-96</w:t>
            </w:r>
          </w:p>
        </w:tc>
        <w:tc>
          <w:tcPr>
            <w:tcW w:w="433" w:type="pct"/>
            <w:tcBorders>
              <w:top w:val="nil"/>
              <w:left w:val="nil"/>
              <w:bottom w:val="single" w:sz="4" w:space="0" w:color="808000"/>
              <w:right w:val="single" w:sz="4" w:space="0" w:color="808000"/>
            </w:tcBorders>
            <w:shd w:val="clear" w:color="auto" w:fill="auto"/>
            <w:noWrap/>
            <w:vAlign w:val="center"/>
            <w:hideMark/>
          </w:tcPr>
          <w:p w14:paraId="308AE730"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31-dic-96</w:t>
            </w:r>
          </w:p>
        </w:tc>
        <w:tc>
          <w:tcPr>
            <w:tcW w:w="601" w:type="pct"/>
            <w:tcBorders>
              <w:top w:val="nil"/>
              <w:left w:val="nil"/>
              <w:bottom w:val="single" w:sz="4" w:space="0" w:color="808000"/>
              <w:right w:val="single" w:sz="4" w:space="0" w:color="808000"/>
            </w:tcBorders>
            <w:shd w:val="clear" w:color="auto" w:fill="auto"/>
            <w:noWrap/>
            <w:vAlign w:val="center"/>
            <w:hideMark/>
          </w:tcPr>
          <w:p w14:paraId="5BD3EE42" w14:textId="77777777" w:rsidR="001929E3" w:rsidRDefault="001929E3">
            <w:pPr>
              <w:jc w:val="center"/>
              <w:rPr>
                <w:rFonts w:ascii="Calibri" w:hAnsi="Calibri"/>
                <w:i/>
                <w:iCs/>
                <w:color w:val="000000"/>
                <w:sz w:val="16"/>
                <w:szCs w:val="16"/>
              </w:rPr>
            </w:pPr>
            <w:r>
              <w:rPr>
                <w:rFonts w:ascii="Calibri" w:hAnsi="Calibri"/>
                <w:i/>
                <w:iCs/>
                <w:color w:val="000000"/>
                <w:sz w:val="16"/>
                <w:szCs w:val="16"/>
              </w:rPr>
              <w:t>360</w:t>
            </w:r>
          </w:p>
        </w:tc>
        <w:tc>
          <w:tcPr>
            <w:tcW w:w="643" w:type="pct"/>
            <w:tcBorders>
              <w:top w:val="nil"/>
              <w:left w:val="nil"/>
              <w:bottom w:val="single" w:sz="4" w:space="0" w:color="808000"/>
              <w:right w:val="single" w:sz="4" w:space="0" w:color="auto"/>
            </w:tcBorders>
            <w:shd w:val="clear" w:color="auto" w:fill="auto"/>
            <w:noWrap/>
            <w:vAlign w:val="center"/>
            <w:hideMark/>
          </w:tcPr>
          <w:p w14:paraId="6C68414D"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360.000,00 </w:t>
            </w:r>
          </w:p>
        </w:tc>
        <w:tc>
          <w:tcPr>
            <w:tcW w:w="75" w:type="pct"/>
            <w:tcBorders>
              <w:top w:val="nil"/>
              <w:left w:val="nil"/>
              <w:bottom w:val="nil"/>
              <w:right w:val="nil"/>
            </w:tcBorders>
            <w:shd w:val="clear" w:color="auto" w:fill="auto"/>
            <w:noWrap/>
            <w:vAlign w:val="bottom"/>
            <w:hideMark/>
          </w:tcPr>
          <w:p w14:paraId="769E1351"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2957FD71"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876.217,50 </w:t>
            </w:r>
          </w:p>
        </w:tc>
        <w:tc>
          <w:tcPr>
            <w:tcW w:w="488" w:type="pct"/>
            <w:tcBorders>
              <w:top w:val="nil"/>
              <w:left w:val="nil"/>
              <w:bottom w:val="nil"/>
              <w:right w:val="single" w:sz="4" w:space="0" w:color="000000"/>
            </w:tcBorders>
            <w:shd w:val="clear" w:color="auto" w:fill="auto"/>
            <w:noWrap/>
            <w:vAlign w:val="center"/>
            <w:hideMark/>
          </w:tcPr>
          <w:p w14:paraId="2FA2AAFF"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0E86D567"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31,24 </w:t>
            </w:r>
          </w:p>
        </w:tc>
        <w:tc>
          <w:tcPr>
            <w:tcW w:w="861" w:type="pct"/>
            <w:tcBorders>
              <w:top w:val="nil"/>
              <w:left w:val="nil"/>
              <w:bottom w:val="nil"/>
              <w:right w:val="single" w:sz="4" w:space="0" w:color="auto"/>
            </w:tcBorders>
            <w:shd w:val="clear" w:color="auto" w:fill="auto"/>
            <w:noWrap/>
            <w:vAlign w:val="center"/>
            <w:hideMark/>
          </w:tcPr>
          <w:p w14:paraId="65B57EF2"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89.920 </w:t>
            </w:r>
          </w:p>
        </w:tc>
      </w:tr>
      <w:tr w:rsidR="001929E3" w14:paraId="6F733D7D"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266CDFE5"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01-ene-97</w:t>
            </w:r>
          </w:p>
        </w:tc>
        <w:tc>
          <w:tcPr>
            <w:tcW w:w="433" w:type="pct"/>
            <w:tcBorders>
              <w:top w:val="nil"/>
              <w:left w:val="nil"/>
              <w:bottom w:val="single" w:sz="4" w:space="0" w:color="808000"/>
              <w:right w:val="single" w:sz="4" w:space="0" w:color="808000"/>
            </w:tcBorders>
            <w:shd w:val="clear" w:color="auto" w:fill="auto"/>
            <w:noWrap/>
            <w:vAlign w:val="center"/>
            <w:hideMark/>
          </w:tcPr>
          <w:p w14:paraId="39D609C4" w14:textId="77777777" w:rsidR="001929E3" w:rsidRDefault="001929E3">
            <w:pPr>
              <w:jc w:val="right"/>
              <w:rPr>
                <w:rFonts w:ascii="Calibri" w:hAnsi="Calibri"/>
                <w:i/>
                <w:iCs/>
                <w:color w:val="000000"/>
                <w:sz w:val="16"/>
                <w:szCs w:val="16"/>
              </w:rPr>
            </w:pPr>
            <w:r>
              <w:rPr>
                <w:rFonts w:ascii="Calibri" w:hAnsi="Calibri"/>
                <w:i/>
                <w:iCs/>
                <w:color w:val="000000"/>
                <w:sz w:val="16"/>
                <w:szCs w:val="16"/>
              </w:rPr>
              <w:t>30-jun-97</w:t>
            </w:r>
          </w:p>
        </w:tc>
        <w:tc>
          <w:tcPr>
            <w:tcW w:w="601" w:type="pct"/>
            <w:tcBorders>
              <w:top w:val="nil"/>
              <w:left w:val="nil"/>
              <w:bottom w:val="single" w:sz="4" w:space="0" w:color="808000"/>
              <w:right w:val="single" w:sz="4" w:space="0" w:color="808000"/>
            </w:tcBorders>
            <w:shd w:val="clear" w:color="auto" w:fill="auto"/>
            <w:noWrap/>
            <w:vAlign w:val="center"/>
            <w:hideMark/>
          </w:tcPr>
          <w:p w14:paraId="6341792C" w14:textId="77777777" w:rsidR="001929E3" w:rsidRDefault="001929E3">
            <w:pPr>
              <w:jc w:val="center"/>
              <w:rPr>
                <w:rFonts w:ascii="Calibri" w:hAnsi="Calibri"/>
                <w:i/>
                <w:iCs/>
                <w:color w:val="000000"/>
                <w:sz w:val="16"/>
                <w:szCs w:val="16"/>
              </w:rPr>
            </w:pPr>
            <w:r>
              <w:rPr>
                <w:rFonts w:ascii="Calibri" w:hAnsi="Calibri"/>
                <w:i/>
                <w:iCs/>
                <w:color w:val="000000"/>
                <w:sz w:val="16"/>
                <w:szCs w:val="16"/>
              </w:rPr>
              <w:t>180</w:t>
            </w:r>
          </w:p>
        </w:tc>
        <w:tc>
          <w:tcPr>
            <w:tcW w:w="643" w:type="pct"/>
            <w:tcBorders>
              <w:top w:val="nil"/>
              <w:left w:val="nil"/>
              <w:bottom w:val="single" w:sz="4" w:space="0" w:color="808000"/>
              <w:right w:val="single" w:sz="4" w:space="0" w:color="auto"/>
            </w:tcBorders>
            <w:shd w:val="clear" w:color="auto" w:fill="auto"/>
            <w:noWrap/>
            <w:vAlign w:val="center"/>
            <w:hideMark/>
          </w:tcPr>
          <w:p w14:paraId="61D2661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360.000,00 </w:t>
            </w:r>
          </w:p>
        </w:tc>
        <w:tc>
          <w:tcPr>
            <w:tcW w:w="75" w:type="pct"/>
            <w:tcBorders>
              <w:top w:val="nil"/>
              <w:left w:val="nil"/>
              <w:bottom w:val="nil"/>
              <w:right w:val="nil"/>
            </w:tcBorders>
            <w:shd w:val="clear" w:color="auto" w:fill="auto"/>
            <w:noWrap/>
            <w:vAlign w:val="bottom"/>
            <w:hideMark/>
          </w:tcPr>
          <w:p w14:paraId="5FA2BF9E"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019DECA4"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720.342,13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228BF3B2"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6E10BC45"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38,00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131388C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36.962 </w:t>
            </w:r>
          </w:p>
        </w:tc>
      </w:tr>
      <w:tr w:rsidR="001929E3" w14:paraId="07058635"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30AE6A3"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01-jul-97</w:t>
            </w:r>
          </w:p>
        </w:tc>
        <w:tc>
          <w:tcPr>
            <w:tcW w:w="433" w:type="pct"/>
            <w:tcBorders>
              <w:top w:val="nil"/>
              <w:left w:val="nil"/>
              <w:bottom w:val="single" w:sz="4" w:space="0" w:color="808000"/>
              <w:right w:val="single" w:sz="4" w:space="0" w:color="808000"/>
            </w:tcBorders>
            <w:shd w:val="clear" w:color="auto" w:fill="auto"/>
            <w:noWrap/>
            <w:vAlign w:val="center"/>
            <w:hideMark/>
          </w:tcPr>
          <w:p w14:paraId="443EC95D" w14:textId="77777777" w:rsidR="001929E3" w:rsidRDefault="001929E3">
            <w:pPr>
              <w:jc w:val="right"/>
              <w:rPr>
                <w:rFonts w:ascii="Calibri" w:hAnsi="Calibri"/>
                <w:i/>
                <w:iCs/>
                <w:color w:val="000000"/>
                <w:sz w:val="16"/>
                <w:szCs w:val="16"/>
              </w:rPr>
            </w:pPr>
            <w:r>
              <w:rPr>
                <w:rFonts w:ascii="Calibri" w:hAnsi="Calibri"/>
                <w:i/>
                <w:iCs/>
                <w:color w:val="000000"/>
                <w:sz w:val="16"/>
                <w:szCs w:val="16"/>
              </w:rPr>
              <w:t>30-nov-97</w:t>
            </w:r>
          </w:p>
        </w:tc>
        <w:tc>
          <w:tcPr>
            <w:tcW w:w="601" w:type="pct"/>
            <w:tcBorders>
              <w:top w:val="nil"/>
              <w:left w:val="nil"/>
              <w:bottom w:val="single" w:sz="4" w:space="0" w:color="808000"/>
              <w:right w:val="single" w:sz="4" w:space="0" w:color="808000"/>
            </w:tcBorders>
            <w:shd w:val="clear" w:color="auto" w:fill="auto"/>
            <w:noWrap/>
            <w:vAlign w:val="center"/>
            <w:hideMark/>
          </w:tcPr>
          <w:p w14:paraId="37BFDFEF" w14:textId="77777777" w:rsidR="001929E3" w:rsidRDefault="001929E3">
            <w:pPr>
              <w:jc w:val="center"/>
              <w:rPr>
                <w:rFonts w:ascii="Calibri" w:hAnsi="Calibri"/>
                <w:i/>
                <w:iCs/>
                <w:color w:val="000000"/>
                <w:sz w:val="16"/>
                <w:szCs w:val="16"/>
              </w:rPr>
            </w:pPr>
            <w:r>
              <w:rPr>
                <w:rFonts w:ascii="Calibri" w:hAnsi="Calibri"/>
                <w:i/>
                <w:iCs/>
                <w:color w:val="000000"/>
                <w:sz w:val="16"/>
                <w:szCs w:val="16"/>
              </w:rPr>
              <w:t>150</w:t>
            </w:r>
          </w:p>
        </w:tc>
        <w:tc>
          <w:tcPr>
            <w:tcW w:w="643" w:type="pct"/>
            <w:tcBorders>
              <w:top w:val="nil"/>
              <w:left w:val="nil"/>
              <w:bottom w:val="single" w:sz="4" w:space="0" w:color="808000"/>
              <w:right w:val="single" w:sz="4" w:space="0" w:color="auto"/>
            </w:tcBorders>
            <w:shd w:val="clear" w:color="auto" w:fill="auto"/>
            <w:noWrap/>
            <w:vAlign w:val="center"/>
            <w:hideMark/>
          </w:tcPr>
          <w:p w14:paraId="56FEA3EC"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396.000,00 </w:t>
            </w:r>
          </w:p>
        </w:tc>
        <w:tc>
          <w:tcPr>
            <w:tcW w:w="75" w:type="pct"/>
            <w:tcBorders>
              <w:top w:val="nil"/>
              <w:left w:val="nil"/>
              <w:bottom w:val="nil"/>
              <w:right w:val="nil"/>
            </w:tcBorders>
            <w:shd w:val="clear" w:color="auto" w:fill="auto"/>
            <w:noWrap/>
            <w:vAlign w:val="bottom"/>
            <w:hideMark/>
          </w:tcPr>
          <w:p w14:paraId="01E3753F"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0E15A391"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792.376,35 </w:t>
            </w:r>
          </w:p>
        </w:tc>
        <w:tc>
          <w:tcPr>
            <w:tcW w:w="488" w:type="pct"/>
            <w:tcBorders>
              <w:top w:val="nil"/>
              <w:left w:val="nil"/>
              <w:bottom w:val="nil"/>
              <w:right w:val="single" w:sz="4" w:space="0" w:color="000000"/>
            </w:tcBorders>
            <w:shd w:val="clear" w:color="auto" w:fill="auto"/>
            <w:noWrap/>
            <w:vAlign w:val="center"/>
            <w:hideMark/>
          </w:tcPr>
          <w:p w14:paraId="6F30B590"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3AB23585"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38,00 </w:t>
            </w:r>
          </w:p>
        </w:tc>
        <w:tc>
          <w:tcPr>
            <w:tcW w:w="861" w:type="pct"/>
            <w:tcBorders>
              <w:top w:val="nil"/>
              <w:left w:val="nil"/>
              <w:bottom w:val="nil"/>
              <w:right w:val="single" w:sz="4" w:space="0" w:color="auto"/>
            </w:tcBorders>
            <w:shd w:val="clear" w:color="auto" w:fill="auto"/>
            <w:noWrap/>
            <w:vAlign w:val="center"/>
            <w:hideMark/>
          </w:tcPr>
          <w:p w14:paraId="61BC11D8"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33.882 </w:t>
            </w:r>
          </w:p>
        </w:tc>
      </w:tr>
      <w:tr w:rsidR="001929E3" w14:paraId="35F9770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79FA4098"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01-dic-97</w:t>
            </w:r>
          </w:p>
        </w:tc>
        <w:tc>
          <w:tcPr>
            <w:tcW w:w="433" w:type="pct"/>
            <w:tcBorders>
              <w:top w:val="nil"/>
              <w:left w:val="nil"/>
              <w:bottom w:val="single" w:sz="4" w:space="0" w:color="808000"/>
              <w:right w:val="single" w:sz="4" w:space="0" w:color="808000"/>
            </w:tcBorders>
            <w:shd w:val="clear" w:color="auto" w:fill="auto"/>
            <w:noWrap/>
            <w:vAlign w:val="center"/>
            <w:hideMark/>
          </w:tcPr>
          <w:p w14:paraId="108D00E8"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31-dic-97</w:t>
            </w:r>
          </w:p>
        </w:tc>
        <w:tc>
          <w:tcPr>
            <w:tcW w:w="601" w:type="pct"/>
            <w:tcBorders>
              <w:top w:val="nil"/>
              <w:left w:val="nil"/>
              <w:bottom w:val="single" w:sz="4" w:space="0" w:color="808000"/>
              <w:right w:val="single" w:sz="4" w:space="0" w:color="808000"/>
            </w:tcBorders>
            <w:shd w:val="clear" w:color="auto" w:fill="auto"/>
            <w:noWrap/>
            <w:vAlign w:val="center"/>
            <w:hideMark/>
          </w:tcPr>
          <w:p w14:paraId="0C687729"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1EB0202F"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396.000,00 </w:t>
            </w:r>
          </w:p>
        </w:tc>
        <w:tc>
          <w:tcPr>
            <w:tcW w:w="75" w:type="pct"/>
            <w:tcBorders>
              <w:top w:val="nil"/>
              <w:left w:val="nil"/>
              <w:bottom w:val="nil"/>
              <w:right w:val="nil"/>
            </w:tcBorders>
            <w:shd w:val="clear" w:color="auto" w:fill="auto"/>
            <w:noWrap/>
            <w:vAlign w:val="bottom"/>
            <w:hideMark/>
          </w:tcPr>
          <w:p w14:paraId="65CF7F11"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44AA0C4"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792.376,35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1E066722"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76AF345A"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38,00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3A7858F5"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6.776 </w:t>
            </w:r>
          </w:p>
        </w:tc>
      </w:tr>
      <w:tr w:rsidR="001929E3" w14:paraId="6FF187C0"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E5776EC"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01-ene-98</w:t>
            </w:r>
          </w:p>
        </w:tc>
        <w:tc>
          <w:tcPr>
            <w:tcW w:w="433" w:type="pct"/>
            <w:tcBorders>
              <w:top w:val="nil"/>
              <w:left w:val="nil"/>
              <w:bottom w:val="single" w:sz="4" w:space="0" w:color="808000"/>
              <w:right w:val="single" w:sz="4" w:space="0" w:color="808000"/>
            </w:tcBorders>
            <w:shd w:val="clear" w:color="auto" w:fill="auto"/>
            <w:noWrap/>
            <w:vAlign w:val="center"/>
            <w:hideMark/>
          </w:tcPr>
          <w:p w14:paraId="3C7A047E" w14:textId="77777777" w:rsidR="001929E3" w:rsidRDefault="001929E3">
            <w:pPr>
              <w:jc w:val="right"/>
              <w:rPr>
                <w:rFonts w:ascii="Calibri" w:hAnsi="Calibri"/>
                <w:i/>
                <w:iCs/>
                <w:color w:val="000000"/>
                <w:sz w:val="16"/>
                <w:szCs w:val="16"/>
              </w:rPr>
            </w:pPr>
            <w:r>
              <w:rPr>
                <w:rFonts w:ascii="Calibri" w:hAnsi="Calibri"/>
                <w:i/>
                <w:iCs/>
                <w:color w:val="000000"/>
                <w:sz w:val="16"/>
                <w:szCs w:val="16"/>
              </w:rPr>
              <w:t>31-mar-98</w:t>
            </w:r>
          </w:p>
        </w:tc>
        <w:tc>
          <w:tcPr>
            <w:tcW w:w="601" w:type="pct"/>
            <w:tcBorders>
              <w:top w:val="nil"/>
              <w:left w:val="nil"/>
              <w:bottom w:val="single" w:sz="4" w:space="0" w:color="808000"/>
              <w:right w:val="single" w:sz="4" w:space="0" w:color="808000"/>
            </w:tcBorders>
            <w:shd w:val="clear" w:color="auto" w:fill="auto"/>
            <w:noWrap/>
            <w:vAlign w:val="center"/>
            <w:hideMark/>
          </w:tcPr>
          <w:p w14:paraId="300B1790" w14:textId="77777777" w:rsidR="001929E3" w:rsidRDefault="001929E3">
            <w:pPr>
              <w:jc w:val="center"/>
              <w:rPr>
                <w:rFonts w:ascii="Calibri" w:hAnsi="Calibri"/>
                <w:i/>
                <w:iCs/>
                <w:color w:val="000000"/>
                <w:sz w:val="16"/>
                <w:szCs w:val="16"/>
              </w:rPr>
            </w:pPr>
            <w:r>
              <w:rPr>
                <w:rFonts w:ascii="Calibri" w:hAnsi="Calibri"/>
                <w:i/>
                <w:iCs/>
                <w:color w:val="000000"/>
                <w:sz w:val="16"/>
                <w:szCs w:val="16"/>
              </w:rPr>
              <w:t>90</w:t>
            </w:r>
          </w:p>
        </w:tc>
        <w:tc>
          <w:tcPr>
            <w:tcW w:w="643" w:type="pct"/>
            <w:tcBorders>
              <w:top w:val="nil"/>
              <w:left w:val="nil"/>
              <w:bottom w:val="single" w:sz="4" w:space="0" w:color="808000"/>
              <w:right w:val="single" w:sz="4" w:space="0" w:color="auto"/>
            </w:tcBorders>
            <w:shd w:val="clear" w:color="auto" w:fill="auto"/>
            <w:noWrap/>
            <w:vAlign w:val="center"/>
            <w:hideMark/>
          </w:tcPr>
          <w:p w14:paraId="3493B53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396.000,00 </w:t>
            </w:r>
          </w:p>
        </w:tc>
        <w:tc>
          <w:tcPr>
            <w:tcW w:w="75" w:type="pct"/>
            <w:tcBorders>
              <w:top w:val="nil"/>
              <w:left w:val="nil"/>
              <w:bottom w:val="nil"/>
              <w:right w:val="nil"/>
            </w:tcBorders>
            <w:shd w:val="clear" w:color="auto" w:fill="auto"/>
            <w:noWrap/>
            <w:vAlign w:val="bottom"/>
            <w:hideMark/>
          </w:tcPr>
          <w:p w14:paraId="219C113E"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7B4E4093"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673.307,30 </w:t>
            </w:r>
          </w:p>
        </w:tc>
        <w:tc>
          <w:tcPr>
            <w:tcW w:w="488" w:type="pct"/>
            <w:tcBorders>
              <w:top w:val="nil"/>
              <w:left w:val="nil"/>
              <w:bottom w:val="nil"/>
              <w:right w:val="single" w:sz="4" w:space="0" w:color="000000"/>
            </w:tcBorders>
            <w:shd w:val="clear" w:color="auto" w:fill="auto"/>
            <w:noWrap/>
            <w:vAlign w:val="center"/>
            <w:hideMark/>
          </w:tcPr>
          <w:p w14:paraId="04104B6E"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002A708A"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44,72 </w:t>
            </w:r>
          </w:p>
        </w:tc>
        <w:tc>
          <w:tcPr>
            <w:tcW w:w="861" w:type="pct"/>
            <w:tcBorders>
              <w:top w:val="nil"/>
              <w:left w:val="nil"/>
              <w:bottom w:val="nil"/>
              <w:right w:val="single" w:sz="4" w:space="0" w:color="auto"/>
            </w:tcBorders>
            <w:shd w:val="clear" w:color="auto" w:fill="auto"/>
            <w:noWrap/>
            <w:vAlign w:val="center"/>
            <w:hideMark/>
          </w:tcPr>
          <w:p w14:paraId="772C0CBC"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17.274 </w:t>
            </w:r>
          </w:p>
        </w:tc>
      </w:tr>
      <w:tr w:rsidR="001929E3" w14:paraId="74A3B8B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6A2DB13A"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01-oct-99</w:t>
            </w:r>
          </w:p>
        </w:tc>
        <w:tc>
          <w:tcPr>
            <w:tcW w:w="433" w:type="pct"/>
            <w:tcBorders>
              <w:top w:val="nil"/>
              <w:left w:val="nil"/>
              <w:bottom w:val="single" w:sz="4" w:space="0" w:color="808000"/>
              <w:right w:val="single" w:sz="4" w:space="0" w:color="808000"/>
            </w:tcBorders>
            <w:shd w:val="clear" w:color="auto" w:fill="auto"/>
            <w:noWrap/>
            <w:vAlign w:val="center"/>
            <w:hideMark/>
          </w:tcPr>
          <w:p w14:paraId="75F4F3DB" w14:textId="77777777" w:rsidR="001929E3" w:rsidRDefault="001929E3">
            <w:pPr>
              <w:jc w:val="right"/>
              <w:rPr>
                <w:rFonts w:ascii="Calibri" w:hAnsi="Calibri"/>
                <w:i/>
                <w:iCs/>
                <w:color w:val="000000"/>
                <w:sz w:val="16"/>
                <w:szCs w:val="16"/>
              </w:rPr>
            </w:pPr>
            <w:r>
              <w:rPr>
                <w:rFonts w:ascii="Calibri" w:hAnsi="Calibri"/>
                <w:i/>
                <w:iCs/>
                <w:color w:val="000000"/>
                <w:sz w:val="16"/>
                <w:szCs w:val="16"/>
              </w:rPr>
              <w:t>31-oct-99</w:t>
            </w:r>
          </w:p>
        </w:tc>
        <w:tc>
          <w:tcPr>
            <w:tcW w:w="601" w:type="pct"/>
            <w:tcBorders>
              <w:top w:val="nil"/>
              <w:left w:val="nil"/>
              <w:bottom w:val="single" w:sz="4" w:space="0" w:color="808000"/>
              <w:right w:val="single" w:sz="4" w:space="0" w:color="808000"/>
            </w:tcBorders>
            <w:shd w:val="clear" w:color="auto" w:fill="auto"/>
            <w:noWrap/>
            <w:vAlign w:val="center"/>
            <w:hideMark/>
          </w:tcPr>
          <w:p w14:paraId="513C0714"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06E8611C"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134.000,00 </w:t>
            </w:r>
          </w:p>
        </w:tc>
        <w:tc>
          <w:tcPr>
            <w:tcW w:w="75" w:type="pct"/>
            <w:tcBorders>
              <w:top w:val="nil"/>
              <w:left w:val="nil"/>
              <w:bottom w:val="nil"/>
              <w:right w:val="nil"/>
            </w:tcBorders>
            <w:shd w:val="clear" w:color="auto" w:fill="auto"/>
            <w:noWrap/>
            <w:vAlign w:val="bottom"/>
            <w:hideMark/>
          </w:tcPr>
          <w:p w14:paraId="1BE236A8"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50578972"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195.227,36 </w:t>
            </w:r>
          </w:p>
        </w:tc>
        <w:tc>
          <w:tcPr>
            <w:tcW w:w="488" w:type="pct"/>
            <w:tcBorders>
              <w:top w:val="nil"/>
              <w:left w:val="nil"/>
              <w:bottom w:val="nil"/>
              <w:right w:val="single" w:sz="4" w:space="0" w:color="000000"/>
            </w:tcBorders>
            <w:shd w:val="clear" w:color="auto" w:fill="auto"/>
            <w:noWrap/>
            <w:vAlign w:val="center"/>
            <w:hideMark/>
          </w:tcPr>
          <w:p w14:paraId="4940C004"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54133EFB"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52,18 </w:t>
            </w:r>
          </w:p>
        </w:tc>
        <w:tc>
          <w:tcPr>
            <w:tcW w:w="861" w:type="pct"/>
            <w:tcBorders>
              <w:top w:val="nil"/>
              <w:left w:val="nil"/>
              <w:bottom w:val="nil"/>
              <w:right w:val="single" w:sz="4" w:space="0" w:color="auto"/>
            </w:tcBorders>
            <w:shd w:val="clear" w:color="auto" w:fill="auto"/>
            <w:noWrap/>
            <w:vAlign w:val="center"/>
            <w:hideMark/>
          </w:tcPr>
          <w:p w14:paraId="016401BF"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1.670 </w:t>
            </w:r>
          </w:p>
        </w:tc>
      </w:tr>
      <w:tr w:rsidR="001929E3" w14:paraId="337A771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47F1B3B3"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01-nov-99</w:t>
            </w:r>
          </w:p>
        </w:tc>
        <w:tc>
          <w:tcPr>
            <w:tcW w:w="433" w:type="pct"/>
            <w:tcBorders>
              <w:top w:val="nil"/>
              <w:left w:val="nil"/>
              <w:bottom w:val="single" w:sz="4" w:space="0" w:color="808000"/>
              <w:right w:val="single" w:sz="4" w:space="0" w:color="808000"/>
            </w:tcBorders>
            <w:shd w:val="clear" w:color="auto" w:fill="auto"/>
            <w:noWrap/>
            <w:vAlign w:val="center"/>
            <w:hideMark/>
          </w:tcPr>
          <w:p w14:paraId="1E87A508" w14:textId="77777777" w:rsidR="001929E3" w:rsidRDefault="001929E3">
            <w:pPr>
              <w:jc w:val="right"/>
              <w:rPr>
                <w:rFonts w:ascii="Calibri" w:hAnsi="Calibri"/>
                <w:i/>
                <w:iCs/>
                <w:color w:val="000000"/>
                <w:sz w:val="16"/>
                <w:szCs w:val="16"/>
              </w:rPr>
            </w:pPr>
            <w:r>
              <w:rPr>
                <w:rFonts w:ascii="Calibri" w:hAnsi="Calibri"/>
                <w:i/>
                <w:iCs/>
                <w:color w:val="000000"/>
                <w:sz w:val="16"/>
                <w:szCs w:val="16"/>
              </w:rPr>
              <w:t>30-nov-99</w:t>
            </w:r>
          </w:p>
        </w:tc>
        <w:tc>
          <w:tcPr>
            <w:tcW w:w="601" w:type="pct"/>
            <w:tcBorders>
              <w:top w:val="nil"/>
              <w:left w:val="nil"/>
              <w:bottom w:val="single" w:sz="4" w:space="0" w:color="808000"/>
              <w:right w:val="single" w:sz="4" w:space="0" w:color="808000"/>
            </w:tcBorders>
            <w:shd w:val="clear" w:color="auto" w:fill="auto"/>
            <w:noWrap/>
            <w:vAlign w:val="center"/>
            <w:hideMark/>
          </w:tcPr>
          <w:p w14:paraId="54D2F6ED"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3C57C5D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243.000,00 </w:t>
            </w:r>
          </w:p>
        </w:tc>
        <w:tc>
          <w:tcPr>
            <w:tcW w:w="75" w:type="pct"/>
            <w:tcBorders>
              <w:top w:val="nil"/>
              <w:left w:val="nil"/>
              <w:bottom w:val="nil"/>
              <w:right w:val="nil"/>
            </w:tcBorders>
            <w:shd w:val="clear" w:color="auto" w:fill="auto"/>
            <w:noWrap/>
            <w:vAlign w:val="bottom"/>
            <w:hideMark/>
          </w:tcPr>
          <w:p w14:paraId="0E4D26CB"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40D5E5E1"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354.031,71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68E0C20D"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11815A59"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52,18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2A73B1D8"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3.028 </w:t>
            </w:r>
          </w:p>
        </w:tc>
      </w:tr>
      <w:tr w:rsidR="001929E3" w14:paraId="19499E76"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7C36D1F1"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01-dic-99</w:t>
            </w:r>
          </w:p>
        </w:tc>
        <w:tc>
          <w:tcPr>
            <w:tcW w:w="433" w:type="pct"/>
            <w:tcBorders>
              <w:top w:val="nil"/>
              <w:left w:val="nil"/>
              <w:bottom w:val="single" w:sz="4" w:space="0" w:color="808000"/>
              <w:right w:val="single" w:sz="4" w:space="0" w:color="808000"/>
            </w:tcBorders>
            <w:shd w:val="clear" w:color="auto" w:fill="auto"/>
            <w:noWrap/>
            <w:vAlign w:val="center"/>
            <w:hideMark/>
          </w:tcPr>
          <w:p w14:paraId="5E20F3AC"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31-dic-99</w:t>
            </w:r>
          </w:p>
        </w:tc>
        <w:tc>
          <w:tcPr>
            <w:tcW w:w="601" w:type="pct"/>
            <w:tcBorders>
              <w:top w:val="nil"/>
              <w:left w:val="nil"/>
              <w:bottom w:val="single" w:sz="4" w:space="0" w:color="808000"/>
              <w:right w:val="single" w:sz="4" w:space="0" w:color="808000"/>
            </w:tcBorders>
            <w:shd w:val="clear" w:color="auto" w:fill="auto"/>
            <w:noWrap/>
            <w:vAlign w:val="center"/>
            <w:hideMark/>
          </w:tcPr>
          <w:p w14:paraId="313107B2"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4100F4F5"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237.000,00 </w:t>
            </w:r>
          </w:p>
        </w:tc>
        <w:tc>
          <w:tcPr>
            <w:tcW w:w="75" w:type="pct"/>
            <w:tcBorders>
              <w:top w:val="nil"/>
              <w:left w:val="nil"/>
              <w:bottom w:val="nil"/>
              <w:right w:val="nil"/>
            </w:tcBorders>
            <w:shd w:val="clear" w:color="auto" w:fill="auto"/>
            <w:noWrap/>
            <w:vAlign w:val="bottom"/>
            <w:hideMark/>
          </w:tcPr>
          <w:p w14:paraId="5CC224CF"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1F0AEFD2"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345.290,18 </w:t>
            </w:r>
          </w:p>
        </w:tc>
        <w:tc>
          <w:tcPr>
            <w:tcW w:w="488" w:type="pct"/>
            <w:tcBorders>
              <w:top w:val="nil"/>
              <w:left w:val="nil"/>
              <w:bottom w:val="nil"/>
              <w:right w:val="single" w:sz="4" w:space="0" w:color="000000"/>
            </w:tcBorders>
            <w:shd w:val="clear" w:color="auto" w:fill="auto"/>
            <w:noWrap/>
            <w:vAlign w:val="center"/>
            <w:hideMark/>
          </w:tcPr>
          <w:p w14:paraId="019EFDDF"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4B7DF86D"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52,18 </w:t>
            </w:r>
          </w:p>
        </w:tc>
        <w:tc>
          <w:tcPr>
            <w:tcW w:w="861" w:type="pct"/>
            <w:tcBorders>
              <w:top w:val="nil"/>
              <w:left w:val="nil"/>
              <w:bottom w:val="nil"/>
              <w:right w:val="single" w:sz="4" w:space="0" w:color="auto"/>
            </w:tcBorders>
            <w:shd w:val="clear" w:color="auto" w:fill="auto"/>
            <w:noWrap/>
            <w:vAlign w:val="center"/>
            <w:hideMark/>
          </w:tcPr>
          <w:p w14:paraId="3AB0521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2.953 </w:t>
            </w:r>
          </w:p>
        </w:tc>
      </w:tr>
      <w:tr w:rsidR="001929E3" w14:paraId="48424388"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850DC80"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01-ene-00</w:t>
            </w:r>
          </w:p>
        </w:tc>
        <w:tc>
          <w:tcPr>
            <w:tcW w:w="433" w:type="pct"/>
            <w:tcBorders>
              <w:top w:val="nil"/>
              <w:left w:val="nil"/>
              <w:bottom w:val="single" w:sz="4" w:space="0" w:color="808000"/>
              <w:right w:val="single" w:sz="4" w:space="0" w:color="808000"/>
            </w:tcBorders>
            <w:shd w:val="clear" w:color="auto" w:fill="auto"/>
            <w:noWrap/>
            <w:vAlign w:val="center"/>
            <w:hideMark/>
          </w:tcPr>
          <w:p w14:paraId="1127E6DB"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31-ene-00</w:t>
            </w:r>
          </w:p>
        </w:tc>
        <w:tc>
          <w:tcPr>
            <w:tcW w:w="601" w:type="pct"/>
            <w:tcBorders>
              <w:top w:val="nil"/>
              <w:left w:val="nil"/>
              <w:bottom w:val="single" w:sz="4" w:space="0" w:color="808000"/>
              <w:right w:val="single" w:sz="4" w:space="0" w:color="808000"/>
            </w:tcBorders>
            <w:shd w:val="clear" w:color="auto" w:fill="auto"/>
            <w:noWrap/>
            <w:vAlign w:val="center"/>
            <w:hideMark/>
          </w:tcPr>
          <w:p w14:paraId="42D0168E"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43FE2BDD"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237.000,00 </w:t>
            </w:r>
          </w:p>
        </w:tc>
        <w:tc>
          <w:tcPr>
            <w:tcW w:w="75" w:type="pct"/>
            <w:tcBorders>
              <w:top w:val="nil"/>
              <w:left w:val="nil"/>
              <w:bottom w:val="nil"/>
              <w:right w:val="nil"/>
            </w:tcBorders>
            <w:shd w:val="clear" w:color="auto" w:fill="auto"/>
            <w:noWrap/>
            <w:vAlign w:val="bottom"/>
            <w:hideMark/>
          </w:tcPr>
          <w:p w14:paraId="08E594CE"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A8A5C4E"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316.108,04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59040263"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09DC78F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57,00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6A187B62"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2.703 </w:t>
            </w:r>
          </w:p>
        </w:tc>
      </w:tr>
      <w:tr w:rsidR="001929E3" w14:paraId="5C6BB7C6" w14:textId="77777777" w:rsidTr="00703D0D">
        <w:trPr>
          <w:trHeight w:val="300"/>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1258595"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01-feb-00</w:t>
            </w:r>
          </w:p>
        </w:tc>
        <w:tc>
          <w:tcPr>
            <w:tcW w:w="433" w:type="pct"/>
            <w:tcBorders>
              <w:top w:val="nil"/>
              <w:left w:val="nil"/>
              <w:bottom w:val="single" w:sz="4" w:space="0" w:color="808000"/>
              <w:right w:val="single" w:sz="4" w:space="0" w:color="808000"/>
            </w:tcBorders>
            <w:shd w:val="clear" w:color="auto" w:fill="auto"/>
            <w:noWrap/>
            <w:vAlign w:val="center"/>
            <w:hideMark/>
          </w:tcPr>
          <w:p w14:paraId="0782826B" w14:textId="77777777" w:rsidR="001929E3" w:rsidRDefault="001929E3">
            <w:pPr>
              <w:jc w:val="right"/>
              <w:rPr>
                <w:rFonts w:ascii="Calibri" w:hAnsi="Calibri"/>
                <w:i/>
                <w:iCs/>
                <w:color w:val="000000"/>
                <w:sz w:val="16"/>
                <w:szCs w:val="16"/>
              </w:rPr>
            </w:pPr>
            <w:r>
              <w:rPr>
                <w:rFonts w:ascii="Calibri" w:hAnsi="Calibri"/>
                <w:i/>
                <w:iCs/>
                <w:color w:val="000000"/>
                <w:sz w:val="16"/>
                <w:szCs w:val="16"/>
              </w:rPr>
              <w:t>29-feb-00</w:t>
            </w:r>
          </w:p>
        </w:tc>
        <w:tc>
          <w:tcPr>
            <w:tcW w:w="601" w:type="pct"/>
            <w:tcBorders>
              <w:top w:val="nil"/>
              <w:left w:val="nil"/>
              <w:bottom w:val="single" w:sz="4" w:space="0" w:color="808000"/>
              <w:right w:val="single" w:sz="4" w:space="0" w:color="808000"/>
            </w:tcBorders>
            <w:shd w:val="clear" w:color="auto" w:fill="auto"/>
            <w:noWrap/>
            <w:vAlign w:val="center"/>
            <w:hideMark/>
          </w:tcPr>
          <w:p w14:paraId="34D1FBD1"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76B65C8F"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266.000,00 </w:t>
            </w:r>
          </w:p>
        </w:tc>
        <w:tc>
          <w:tcPr>
            <w:tcW w:w="75" w:type="pct"/>
            <w:tcBorders>
              <w:top w:val="nil"/>
              <w:left w:val="nil"/>
              <w:bottom w:val="nil"/>
              <w:right w:val="nil"/>
            </w:tcBorders>
            <w:shd w:val="clear" w:color="auto" w:fill="auto"/>
            <w:noWrap/>
            <w:vAlign w:val="bottom"/>
            <w:hideMark/>
          </w:tcPr>
          <w:p w14:paraId="4D09DFC5"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0EDA724B"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354.787,93 </w:t>
            </w:r>
          </w:p>
        </w:tc>
        <w:tc>
          <w:tcPr>
            <w:tcW w:w="488" w:type="pct"/>
            <w:tcBorders>
              <w:top w:val="nil"/>
              <w:left w:val="nil"/>
              <w:bottom w:val="nil"/>
              <w:right w:val="single" w:sz="4" w:space="0" w:color="000000"/>
            </w:tcBorders>
            <w:shd w:val="clear" w:color="auto" w:fill="auto"/>
            <w:noWrap/>
            <w:vAlign w:val="center"/>
            <w:hideMark/>
          </w:tcPr>
          <w:p w14:paraId="6D5F6609"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7FDA4959"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57,00 </w:t>
            </w:r>
          </w:p>
        </w:tc>
        <w:tc>
          <w:tcPr>
            <w:tcW w:w="861" w:type="pct"/>
            <w:tcBorders>
              <w:top w:val="nil"/>
              <w:left w:val="nil"/>
              <w:bottom w:val="nil"/>
              <w:right w:val="single" w:sz="4" w:space="0" w:color="auto"/>
            </w:tcBorders>
            <w:shd w:val="clear" w:color="auto" w:fill="auto"/>
            <w:noWrap/>
            <w:vAlign w:val="center"/>
            <w:hideMark/>
          </w:tcPr>
          <w:p w14:paraId="743CD2B1"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3.034 </w:t>
            </w:r>
          </w:p>
        </w:tc>
      </w:tr>
      <w:tr w:rsidR="001929E3" w14:paraId="6CCAC025"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2B76214A"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01-mar-00</w:t>
            </w:r>
          </w:p>
        </w:tc>
        <w:tc>
          <w:tcPr>
            <w:tcW w:w="433" w:type="pct"/>
            <w:tcBorders>
              <w:top w:val="nil"/>
              <w:left w:val="nil"/>
              <w:bottom w:val="single" w:sz="4" w:space="0" w:color="808000"/>
              <w:right w:val="single" w:sz="4" w:space="0" w:color="808000"/>
            </w:tcBorders>
            <w:shd w:val="clear" w:color="auto" w:fill="auto"/>
            <w:noWrap/>
            <w:vAlign w:val="center"/>
            <w:hideMark/>
          </w:tcPr>
          <w:p w14:paraId="6DE7DF1C" w14:textId="77777777" w:rsidR="001929E3" w:rsidRDefault="001929E3">
            <w:pPr>
              <w:jc w:val="right"/>
              <w:rPr>
                <w:rFonts w:ascii="Calibri" w:hAnsi="Calibri"/>
                <w:i/>
                <w:iCs/>
                <w:color w:val="000000"/>
                <w:sz w:val="16"/>
                <w:szCs w:val="16"/>
              </w:rPr>
            </w:pPr>
            <w:r>
              <w:rPr>
                <w:rFonts w:ascii="Calibri" w:hAnsi="Calibri"/>
                <w:i/>
                <w:iCs/>
                <w:color w:val="000000"/>
                <w:sz w:val="16"/>
                <w:szCs w:val="16"/>
              </w:rPr>
              <w:t>31-may-00</w:t>
            </w:r>
          </w:p>
        </w:tc>
        <w:tc>
          <w:tcPr>
            <w:tcW w:w="601" w:type="pct"/>
            <w:tcBorders>
              <w:top w:val="nil"/>
              <w:left w:val="nil"/>
              <w:bottom w:val="single" w:sz="4" w:space="0" w:color="808000"/>
              <w:right w:val="single" w:sz="4" w:space="0" w:color="808000"/>
            </w:tcBorders>
            <w:shd w:val="clear" w:color="auto" w:fill="auto"/>
            <w:noWrap/>
            <w:vAlign w:val="center"/>
            <w:hideMark/>
          </w:tcPr>
          <w:p w14:paraId="73671D18" w14:textId="77777777" w:rsidR="001929E3" w:rsidRDefault="001929E3">
            <w:pPr>
              <w:jc w:val="center"/>
              <w:rPr>
                <w:rFonts w:ascii="Calibri" w:hAnsi="Calibri"/>
                <w:i/>
                <w:iCs/>
                <w:color w:val="000000"/>
                <w:sz w:val="16"/>
                <w:szCs w:val="16"/>
              </w:rPr>
            </w:pPr>
            <w:r>
              <w:rPr>
                <w:rFonts w:ascii="Calibri" w:hAnsi="Calibri"/>
                <w:i/>
                <w:iCs/>
                <w:color w:val="000000"/>
                <w:sz w:val="16"/>
                <w:szCs w:val="16"/>
              </w:rPr>
              <w:t>90</w:t>
            </w:r>
          </w:p>
        </w:tc>
        <w:tc>
          <w:tcPr>
            <w:tcW w:w="643" w:type="pct"/>
            <w:tcBorders>
              <w:top w:val="nil"/>
              <w:left w:val="nil"/>
              <w:bottom w:val="single" w:sz="4" w:space="0" w:color="808000"/>
              <w:right w:val="single" w:sz="4" w:space="0" w:color="auto"/>
            </w:tcBorders>
            <w:shd w:val="clear" w:color="auto" w:fill="auto"/>
            <w:noWrap/>
            <w:vAlign w:val="center"/>
            <w:hideMark/>
          </w:tcPr>
          <w:p w14:paraId="55D41F86"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260.000,00 </w:t>
            </w:r>
          </w:p>
        </w:tc>
        <w:tc>
          <w:tcPr>
            <w:tcW w:w="75" w:type="pct"/>
            <w:tcBorders>
              <w:top w:val="nil"/>
              <w:left w:val="nil"/>
              <w:bottom w:val="nil"/>
              <w:right w:val="nil"/>
            </w:tcBorders>
            <w:shd w:val="clear" w:color="auto" w:fill="auto"/>
            <w:noWrap/>
            <w:vAlign w:val="bottom"/>
            <w:hideMark/>
          </w:tcPr>
          <w:p w14:paraId="45CA309F"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78B80E89"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346.785,20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4812A89D"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0EDB58D8"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57,00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0FEC06BA"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8.897 </w:t>
            </w:r>
          </w:p>
        </w:tc>
      </w:tr>
      <w:tr w:rsidR="001929E3" w14:paraId="7E7C7C47"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93A3C95"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01-jun-00</w:t>
            </w:r>
          </w:p>
        </w:tc>
        <w:tc>
          <w:tcPr>
            <w:tcW w:w="433" w:type="pct"/>
            <w:tcBorders>
              <w:top w:val="nil"/>
              <w:left w:val="nil"/>
              <w:bottom w:val="single" w:sz="4" w:space="0" w:color="808000"/>
              <w:right w:val="single" w:sz="4" w:space="0" w:color="808000"/>
            </w:tcBorders>
            <w:shd w:val="clear" w:color="auto" w:fill="auto"/>
            <w:noWrap/>
            <w:vAlign w:val="center"/>
            <w:hideMark/>
          </w:tcPr>
          <w:p w14:paraId="0A3304C3" w14:textId="77777777" w:rsidR="001929E3" w:rsidRDefault="001929E3">
            <w:pPr>
              <w:jc w:val="right"/>
              <w:rPr>
                <w:rFonts w:ascii="Calibri" w:hAnsi="Calibri"/>
                <w:i/>
                <w:iCs/>
                <w:color w:val="000000"/>
                <w:sz w:val="16"/>
                <w:szCs w:val="16"/>
              </w:rPr>
            </w:pPr>
            <w:r>
              <w:rPr>
                <w:rFonts w:ascii="Calibri" w:hAnsi="Calibri"/>
                <w:i/>
                <w:iCs/>
                <w:color w:val="000000"/>
                <w:sz w:val="16"/>
                <w:szCs w:val="16"/>
              </w:rPr>
              <w:t>30-jun-00</w:t>
            </w:r>
          </w:p>
        </w:tc>
        <w:tc>
          <w:tcPr>
            <w:tcW w:w="601" w:type="pct"/>
            <w:tcBorders>
              <w:top w:val="nil"/>
              <w:left w:val="nil"/>
              <w:bottom w:val="single" w:sz="4" w:space="0" w:color="808000"/>
              <w:right w:val="single" w:sz="4" w:space="0" w:color="808000"/>
            </w:tcBorders>
            <w:shd w:val="clear" w:color="auto" w:fill="auto"/>
            <w:noWrap/>
            <w:vAlign w:val="center"/>
            <w:hideMark/>
          </w:tcPr>
          <w:p w14:paraId="624A5E24"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5A0A78D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264.000,00 </w:t>
            </w:r>
          </w:p>
        </w:tc>
        <w:tc>
          <w:tcPr>
            <w:tcW w:w="75" w:type="pct"/>
            <w:tcBorders>
              <w:top w:val="nil"/>
              <w:left w:val="nil"/>
              <w:bottom w:val="nil"/>
              <w:right w:val="nil"/>
            </w:tcBorders>
            <w:shd w:val="clear" w:color="auto" w:fill="auto"/>
            <w:noWrap/>
            <w:vAlign w:val="bottom"/>
            <w:hideMark/>
          </w:tcPr>
          <w:p w14:paraId="5ECAFAA4"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2BFE4F4E"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352.120,35 </w:t>
            </w:r>
          </w:p>
        </w:tc>
        <w:tc>
          <w:tcPr>
            <w:tcW w:w="488" w:type="pct"/>
            <w:tcBorders>
              <w:top w:val="nil"/>
              <w:left w:val="nil"/>
              <w:bottom w:val="nil"/>
              <w:right w:val="single" w:sz="4" w:space="0" w:color="000000"/>
            </w:tcBorders>
            <w:shd w:val="clear" w:color="auto" w:fill="auto"/>
            <w:noWrap/>
            <w:vAlign w:val="center"/>
            <w:hideMark/>
          </w:tcPr>
          <w:p w14:paraId="56352220"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4F6B07B5"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57,00 </w:t>
            </w:r>
          </w:p>
        </w:tc>
        <w:tc>
          <w:tcPr>
            <w:tcW w:w="861" w:type="pct"/>
            <w:tcBorders>
              <w:top w:val="nil"/>
              <w:left w:val="nil"/>
              <w:bottom w:val="nil"/>
              <w:right w:val="single" w:sz="4" w:space="0" w:color="auto"/>
            </w:tcBorders>
            <w:shd w:val="clear" w:color="auto" w:fill="auto"/>
            <w:noWrap/>
            <w:vAlign w:val="center"/>
            <w:hideMark/>
          </w:tcPr>
          <w:p w14:paraId="58137BAD"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3.011 </w:t>
            </w:r>
          </w:p>
        </w:tc>
      </w:tr>
      <w:tr w:rsidR="001929E3" w14:paraId="04B206D0"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08B8A73B"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01-ago-00</w:t>
            </w:r>
          </w:p>
        </w:tc>
        <w:tc>
          <w:tcPr>
            <w:tcW w:w="433" w:type="pct"/>
            <w:tcBorders>
              <w:top w:val="nil"/>
              <w:left w:val="nil"/>
              <w:bottom w:val="single" w:sz="4" w:space="0" w:color="808000"/>
              <w:right w:val="single" w:sz="4" w:space="0" w:color="808000"/>
            </w:tcBorders>
            <w:shd w:val="clear" w:color="auto" w:fill="auto"/>
            <w:noWrap/>
            <w:vAlign w:val="center"/>
            <w:hideMark/>
          </w:tcPr>
          <w:p w14:paraId="2EF44A97"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31-dic-00</w:t>
            </w:r>
          </w:p>
        </w:tc>
        <w:tc>
          <w:tcPr>
            <w:tcW w:w="601" w:type="pct"/>
            <w:tcBorders>
              <w:top w:val="nil"/>
              <w:left w:val="nil"/>
              <w:bottom w:val="single" w:sz="4" w:space="0" w:color="808000"/>
              <w:right w:val="single" w:sz="4" w:space="0" w:color="808000"/>
            </w:tcBorders>
            <w:shd w:val="clear" w:color="auto" w:fill="auto"/>
            <w:noWrap/>
            <w:vAlign w:val="center"/>
            <w:hideMark/>
          </w:tcPr>
          <w:p w14:paraId="6CDE599F" w14:textId="77777777" w:rsidR="001929E3" w:rsidRDefault="001929E3">
            <w:pPr>
              <w:jc w:val="center"/>
              <w:rPr>
                <w:rFonts w:ascii="Calibri" w:hAnsi="Calibri"/>
                <w:i/>
                <w:iCs/>
                <w:color w:val="000000"/>
                <w:sz w:val="16"/>
                <w:szCs w:val="16"/>
              </w:rPr>
            </w:pPr>
            <w:r>
              <w:rPr>
                <w:rFonts w:ascii="Calibri" w:hAnsi="Calibri"/>
                <w:i/>
                <w:iCs/>
                <w:color w:val="000000"/>
                <w:sz w:val="16"/>
                <w:szCs w:val="16"/>
              </w:rPr>
              <w:t>150</w:t>
            </w:r>
          </w:p>
        </w:tc>
        <w:tc>
          <w:tcPr>
            <w:tcW w:w="643" w:type="pct"/>
            <w:tcBorders>
              <w:top w:val="nil"/>
              <w:left w:val="nil"/>
              <w:bottom w:val="single" w:sz="4" w:space="0" w:color="808000"/>
              <w:right w:val="single" w:sz="4" w:space="0" w:color="auto"/>
            </w:tcBorders>
            <w:shd w:val="clear" w:color="auto" w:fill="auto"/>
            <w:noWrap/>
            <w:vAlign w:val="center"/>
            <w:hideMark/>
          </w:tcPr>
          <w:p w14:paraId="29210FA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260.000,00 </w:t>
            </w:r>
          </w:p>
        </w:tc>
        <w:tc>
          <w:tcPr>
            <w:tcW w:w="75" w:type="pct"/>
            <w:tcBorders>
              <w:top w:val="nil"/>
              <w:left w:val="nil"/>
              <w:bottom w:val="nil"/>
              <w:right w:val="nil"/>
            </w:tcBorders>
            <w:shd w:val="clear" w:color="auto" w:fill="auto"/>
            <w:noWrap/>
            <w:vAlign w:val="bottom"/>
            <w:hideMark/>
          </w:tcPr>
          <w:p w14:paraId="7461C930"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67022A2"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346.785,20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76ED85C7"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113216D6"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57,00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49A2C6D0"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14.828 </w:t>
            </w:r>
          </w:p>
        </w:tc>
      </w:tr>
      <w:tr w:rsidR="001929E3" w14:paraId="02C5F1AD"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CBC0698"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01-ene-01</w:t>
            </w:r>
          </w:p>
        </w:tc>
        <w:tc>
          <w:tcPr>
            <w:tcW w:w="433" w:type="pct"/>
            <w:tcBorders>
              <w:top w:val="nil"/>
              <w:left w:val="nil"/>
              <w:bottom w:val="single" w:sz="4" w:space="0" w:color="808000"/>
              <w:right w:val="single" w:sz="4" w:space="0" w:color="808000"/>
            </w:tcBorders>
            <w:shd w:val="clear" w:color="auto" w:fill="auto"/>
            <w:noWrap/>
            <w:vAlign w:val="center"/>
            <w:hideMark/>
          </w:tcPr>
          <w:p w14:paraId="1455D56E"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31-ene-01</w:t>
            </w:r>
          </w:p>
        </w:tc>
        <w:tc>
          <w:tcPr>
            <w:tcW w:w="601" w:type="pct"/>
            <w:tcBorders>
              <w:top w:val="nil"/>
              <w:left w:val="nil"/>
              <w:bottom w:val="single" w:sz="4" w:space="0" w:color="808000"/>
              <w:right w:val="single" w:sz="4" w:space="0" w:color="808000"/>
            </w:tcBorders>
            <w:shd w:val="clear" w:color="auto" w:fill="auto"/>
            <w:noWrap/>
            <w:vAlign w:val="center"/>
            <w:hideMark/>
          </w:tcPr>
          <w:p w14:paraId="3BE99921"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0BA45B5C"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264.000,00 </w:t>
            </w:r>
          </w:p>
        </w:tc>
        <w:tc>
          <w:tcPr>
            <w:tcW w:w="75" w:type="pct"/>
            <w:tcBorders>
              <w:top w:val="nil"/>
              <w:left w:val="nil"/>
              <w:bottom w:val="nil"/>
              <w:right w:val="nil"/>
            </w:tcBorders>
            <w:shd w:val="clear" w:color="auto" w:fill="auto"/>
            <w:noWrap/>
            <w:vAlign w:val="bottom"/>
            <w:hideMark/>
          </w:tcPr>
          <w:p w14:paraId="3B51A021"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4578E54F"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323.794,25 </w:t>
            </w:r>
          </w:p>
        </w:tc>
        <w:tc>
          <w:tcPr>
            <w:tcW w:w="488" w:type="pct"/>
            <w:tcBorders>
              <w:top w:val="nil"/>
              <w:left w:val="nil"/>
              <w:bottom w:val="nil"/>
              <w:right w:val="single" w:sz="4" w:space="0" w:color="000000"/>
            </w:tcBorders>
            <w:shd w:val="clear" w:color="auto" w:fill="auto"/>
            <w:noWrap/>
            <w:vAlign w:val="center"/>
            <w:hideMark/>
          </w:tcPr>
          <w:p w14:paraId="4A01E0F0"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451F3DD7"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61,99 </w:t>
            </w:r>
          </w:p>
        </w:tc>
        <w:tc>
          <w:tcPr>
            <w:tcW w:w="861" w:type="pct"/>
            <w:tcBorders>
              <w:top w:val="nil"/>
              <w:left w:val="nil"/>
              <w:bottom w:val="nil"/>
              <w:right w:val="single" w:sz="4" w:space="0" w:color="auto"/>
            </w:tcBorders>
            <w:shd w:val="clear" w:color="auto" w:fill="auto"/>
            <w:noWrap/>
            <w:vAlign w:val="center"/>
            <w:hideMark/>
          </w:tcPr>
          <w:p w14:paraId="5A94351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2.769 </w:t>
            </w:r>
          </w:p>
        </w:tc>
      </w:tr>
      <w:tr w:rsidR="001929E3" w14:paraId="3F35F3E6"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7ED53B68"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01-feb-01</w:t>
            </w:r>
          </w:p>
        </w:tc>
        <w:tc>
          <w:tcPr>
            <w:tcW w:w="433" w:type="pct"/>
            <w:tcBorders>
              <w:top w:val="nil"/>
              <w:left w:val="nil"/>
              <w:bottom w:val="single" w:sz="4" w:space="0" w:color="808000"/>
              <w:right w:val="single" w:sz="4" w:space="0" w:color="808000"/>
            </w:tcBorders>
            <w:shd w:val="clear" w:color="auto" w:fill="auto"/>
            <w:noWrap/>
            <w:vAlign w:val="center"/>
            <w:hideMark/>
          </w:tcPr>
          <w:p w14:paraId="55550283" w14:textId="77777777" w:rsidR="001929E3" w:rsidRDefault="001929E3">
            <w:pPr>
              <w:jc w:val="right"/>
              <w:rPr>
                <w:rFonts w:ascii="Calibri" w:hAnsi="Calibri"/>
                <w:i/>
                <w:iCs/>
                <w:color w:val="000000"/>
                <w:sz w:val="16"/>
                <w:szCs w:val="16"/>
              </w:rPr>
            </w:pPr>
            <w:r>
              <w:rPr>
                <w:rFonts w:ascii="Calibri" w:hAnsi="Calibri"/>
                <w:i/>
                <w:iCs/>
                <w:color w:val="000000"/>
                <w:sz w:val="16"/>
                <w:szCs w:val="16"/>
              </w:rPr>
              <w:t>30-sep-01</w:t>
            </w:r>
          </w:p>
        </w:tc>
        <w:tc>
          <w:tcPr>
            <w:tcW w:w="601" w:type="pct"/>
            <w:tcBorders>
              <w:top w:val="nil"/>
              <w:left w:val="nil"/>
              <w:bottom w:val="single" w:sz="4" w:space="0" w:color="808000"/>
              <w:right w:val="single" w:sz="4" w:space="0" w:color="808000"/>
            </w:tcBorders>
            <w:shd w:val="clear" w:color="auto" w:fill="auto"/>
            <w:noWrap/>
            <w:vAlign w:val="center"/>
            <w:hideMark/>
          </w:tcPr>
          <w:p w14:paraId="394E4491" w14:textId="77777777" w:rsidR="001929E3" w:rsidRDefault="001929E3">
            <w:pPr>
              <w:jc w:val="center"/>
              <w:rPr>
                <w:rFonts w:ascii="Calibri" w:hAnsi="Calibri"/>
                <w:i/>
                <w:iCs/>
                <w:color w:val="000000"/>
                <w:sz w:val="16"/>
                <w:szCs w:val="16"/>
              </w:rPr>
            </w:pPr>
            <w:r>
              <w:rPr>
                <w:rFonts w:ascii="Calibri" w:hAnsi="Calibri"/>
                <w:i/>
                <w:iCs/>
                <w:color w:val="000000"/>
                <w:sz w:val="16"/>
                <w:szCs w:val="16"/>
              </w:rPr>
              <w:t>240</w:t>
            </w:r>
          </w:p>
        </w:tc>
        <w:tc>
          <w:tcPr>
            <w:tcW w:w="643" w:type="pct"/>
            <w:tcBorders>
              <w:top w:val="nil"/>
              <w:left w:val="nil"/>
              <w:bottom w:val="single" w:sz="4" w:space="0" w:color="808000"/>
              <w:right w:val="single" w:sz="4" w:space="0" w:color="auto"/>
            </w:tcBorders>
            <w:shd w:val="clear" w:color="auto" w:fill="auto"/>
            <w:noWrap/>
            <w:vAlign w:val="center"/>
            <w:hideMark/>
          </w:tcPr>
          <w:p w14:paraId="0AA9348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286.000,00 </w:t>
            </w:r>
          </w:p>
        </w:tc>
        <w:tc>
          <w:tcPr>
            <w:tcW w:w="75" w:type="pct"/>
            <w:tcBorders>
              <w:top w:val="nil"/>
              <w:left w:val="nil"/>
              <w:bottom w:val="nil"/>
              <w:right w:val="nil"/>
            </w:tcBorders>
            <w:shd w:val="clear" w:color="auto" w:fill="auto"/>
            <w:noWrap/>
            <w:vAlign w:val="bottom"/>
            <w:hideMark/>
          </w:tcPr>
          <w:p w14:paraId="18504428"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5A537FB5"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350.777,10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5057200A"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3974FEF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61,99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58653F30"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23.998 </w:t>
            </w:r>
          </w:p>
        </w:tc>
      </w:tr>
      <w:tr w:rsidR="001929E3" w14:paraId="38C355CA"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13DA81C5"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01-oct-01</w:t>
            </w:r>
          </w:p>
        </w:tc>
        <w:tc>
          <w:tcPr>
            <w:tcW w:w="433" w:type="pct"/>
            <w:tcBorders>
              <w:top w:val="nil"/>
              <w:left w:val="nil"/>
              <w:bottom w:val="single" w:sz="4" w:space="0" w:color="808000"/>
              <w:right w:val="single" w:sz="4" w:space="0" w:color="808000"/>
            </w:tcBorders>
            <w:shd w:val="clear" w:color="auto" w:fill="auto"/>
            <w:noWrap/>
            <w:vAlign w:val="center"/>
            <w:hideMark/>
          </w:tcPr>
          <w:p w14:paraId="40B1136C" w14:textId="77777777" w:rsidR="001929E3" w:rsidRDefault="001929E3">
            <w:pPr>
              <w:jc w:val="right"/>
              <w:rPr>
                <w:rFonts w:ascii="Calibri" w:hAnsi="Calibri"/>
                <w:i/>
                <w:iCs/>
                <w:color w:val="000000"/>
                <w:sz w:val="16"/>
                <w:szCs w:val="16"/>
              </w:rPr>
            </w:pPr>
            <w:r>
              <w:rPr>
                <w:rFonts w:ascii="Calibri" w:hAnsi="Calibri"/>
                <w:i/>
                <w:iCs/>
                <w:color w:val="000000"/>
                <w:sz w:val="16"/>
                <w:szCs w:val="16"/>
              </w:rPr>
              <w:t>31-oct-01</w:t>
            </w:r>
          </w:p>
        </w:tc>
        <w:tc>
          <w:tcPr>
            <w:tcW w:w="601" w:type="pct"/>
            <w:tcBorders>
              <w:top w:val="nil"/>
              <w:left w:val="nil"/>
              <w:bottom w:val="single" w:sz="4" w:space="0" w:color="808000"/>
              <w:right w:val="single" w:sz="4" w:space="0" w:color="808000"/>
            </w:tcBorders>
            <w:shd w:val="clear" w:color="auto" w:fill="auto"/>
            <w:noWrap/>
            <w:vAlign w:val="center"/>
            <w:hideMark/>
          </w:tcPr>
          <w:p w14:paraId="6442DA31"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73B98056"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277.000,00 </w:t>
            </w:r>
          </w:p>
        </w:tc>
        <w:tc>
          <w:tcPr>
            <w:tcW w:w="75" w:type="pct"/>
            <w:tcBorders>
              <w:top w:val="nil"/>
              <w:left w:val="nil"/>
              <w:bottom w:val="nil"/>
              <w:right w:val="nil"/>
            </w:tcBorders>
            <w:shd w:val="clear" w:color="auto" w:fill="auto"/>
            <w:noWrap/>
            <w:vAlign w:val="bottom"/>
            <w:hideMark/>
          </w:tcPr>
          <w:p w14:paraId="2E7D4AB8"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17A848D7"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339.738,66 </w:t>
            </w:r>
          </w:p>
        </w:tc>
        <w:tc>
          <w:tcPr>
            <w:tcW w:w="488" w:type="pct"/>
            <w:tcBorders>
              <w:top w:val="nil"/>
              <w:left w:val="nil"/>
              <w:bottom w:val="nil"/>
              <w:right w:val="single" w:sz="4" w:space="0" w:color="000000"/>
            </w:tcBorders>
            <w:shd w:val="clear" w:color="auto" w:fill="auto"/>
            <w:noWrap/>
            <w:vAlign w:val="center"/>
            <w:hideMark/>
          </w:tcPr>
          <w:p w14:paraId="2DFF2B56"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312E43CE"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61,99 </w:t>
            </w:r>
          </w:p>
        </w:tc>
        <w:tc>
          <w:tcPr>
            <w:tcW w:w="861" w:type="pct"/>
            <w:tcBorders>
              <w:top w:val="nil"/>
              <w:left w:val="nil"/>
              <w:bottom w:val="nil"/>
              <w:right w:val="single" w:sz="4" w:space="0" w:color="auto"/>
            </w:tcBorders>
            <w:shd w:val="clear" w:color="auto" w:fill="auto"/>
            <w:noWrap/>
            <w:vAlign w:val="center"/>
            <w:hideMark/>
          </w:tcPr>
          <w:p w14:paraId="56EC0D34"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2.905 </w:t>
            </w:r>
          </w:p>
        </w:tc>
      </w:tr>
      <w:tr w:rsidR="001929E3" w14:paraId="2F8262E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8BEEE51"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01-nov-01</w:t>
            </w:r>
          </w:p>
        </w:tc>
        <w:tc>
          <w:tcPr>
            <w:tcW w:w="433" w:type="pct"/>
            <w:tcBorders>
              <w:top w:val="nil"/>
              <w:left w:val="nil"/>
              <w:bottom w:val="single" w:sz="4" w:space="0" w:color="808000"/>
              <w:right w:val="single" w:sz="4" w:space="0" w:color="808000"/>
            </w:tcBorders>
            <w:shd w:val="clear" w:color="auto" w:fill="auto"/>
            <w:noWrap/>
            <w:vAlign w:val="center"/>
            <w:hideMark/>
          </w:tcPr>
          <w:p w14:paraId="0FC95B4B"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31-dic-01</w:t>
            </w:r>
          </w:p>
        </w:tc>
        <w:tc>
          <w:tcPr>
            <w:tcW w:w="601" w:type="pct"/>
            <w:tcBorders>
              <w:top w:val="nil"/>
              <w:left w:val="nil"/>
              <w:bottom w:val="single" w:sz="4" w:space="0" w:color="808000"/>
              <w:right w:val="single" w:sz="4" w:space="0" w:color="808000"/>
            </w:tcBorders>
            <w:shd w:val="clear" w:color="auto" w:fill="auto"/>
            <w:noWrap/>
            <w:vAlign w:val="center"/>
            <w:hideMark/>
          </w:tcPr>
          <w:p w14:paraId="3ABFF2C3" w14:textId="77777777" w:rsidR="001929E3" w:rsidRDefault="001929E3">
            <w:pPr>
              <w:jc w:val="center"/>
              <w:rPr>
                <w:rFonts w:ascii="Calibri" w:hAnsi="Calibri"/>
                <w:i/>
                <w:iCs/>
                <w:color w:val="000000"/>
                <w:sz w:val="16"/>
                <w:szCs w:val="16"/>
              </w:rPr>
            </w:pPr>
            <w:r>
              <w:rPr>
                <w:rFonts w:ascii="Calibri" w:hAnsi="Calibri"/>
                <w:i/>
                <w:iCs/>
                <w:color w:val="000000"/>
                <w:sz w:val="16"/>
                <w:szCs w:val="16"/>
              </w:rPr>
              <w:t>60</w:t>
            </w:r>
          </w:p>
        </w:tc>
        <w:tc>
          <w:tcPr>
            <w:tcW w:w="643" w:type="pct"/>
            <w:tcBorders>
              <w:top w:val="nil"/>
              <w:left w:val="nil"/>
              <w:bottom w:val="single" w:sz="4" w:space="0" w:color="808000"/>
              <w:right w:val="single" w:sz="4" w:space="0" w:color="auto"/>
            </w:tcBorders>
            <w:shd w:val="clear" w:color="auto" w:fill="auto"/>
            <w:noWrap/>
            <w:vAlign w:val="center"/>
            <w:hideMark/>
          </w:tcPr>
          <w:p w14:paraId="70D0E440"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285.926,00 </w:t>
            </w:r>
          </w:p>
        </w:tc>
        <w:tc>
          <w:tcPr>
            <w:tcW w:w="75" w:type="pct"/>
            <w:tcBorders>
              <w:top w:val="nil"/>
              <w:left w:val="nil"/>
              <w:bottom w:val="nil"/>
              <w:right w:val="nil"/>
            </w:tcBorders>
            <w:shd w:val="clear" w:color="auto" w:fill="auto"/>
            <w:noWrap/>
            <w:vAlign w:val="bottom"/>
            <w:hideMark/>
          </w:tcPr>
          <w:p w14:paraId="18D15B0C"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329E8F23"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350.686,34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07E5F8E7"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1C8A5876"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61,99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02707698"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5.998 </w:t>
            </w:r>
          </w:p>
        </w:tc>
      </w:tr>
      <w:tr w:rsidR="001929E3" w14:paraId="73EFE880"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381864C0"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01-ene-02</w:t>
            </w:r>
          </w:p>
        </w:tc>
        <w:tc>
          <w:tcPr>
            <w:tcW w:w="433" w:type="pct"/>
            <w:tcBorders>
              <w:top w:val="nil"/>
              <w:left w:val="nil"/>
              <w:bottom w:val="single" w:sz="4" w:space="0" w:color="808000"/>
              <w:right w:val="single" w:sz="4" w:space="0" w:color="808000"/>
            </w:tcBorders>
            <w:shd w:val="clear" w:color="auto" w:fill="auto"/>
            <w:noWrap/>
            <w:vAlign w:val="center"/>
            <w:hideMark/>
          </w:tcPr>
          <w:p w14:paraId="1ADDF2C4"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31-ene-02</w:t>
            </w:r>
          </w:p>
        </w:tc>
        <w:tc>
          <w:tcPr>
            <w:tcW w:w="601" w:type="pct"/>
            <w:tcBorders>
              <w:top w:val="nil"/>
              <w:left w:val="nil"/>
              <w:bottom w:val="single" w:sz="4" w:space="0" w:color="808000"/>
              <w:right w:val="single" w:sz="4" w:space="0" w:color="808000"/>
            </w:tcBorders>
            <w:shd w:val="clear" w:color="auto" w:fill="auto"/>
            <w:noWrap/>
            <w:vAlign w:val="center"/>
            <w:hideMark/>
          </w:tcPr>
          <w:p w14:paraId="4FB71AF3"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808000"/>
              <w:right w:val="single" w:sz="4" w:space="0" w:color="auto"/>
            </w:tcBorders>
            <w:shd w:val="clear" w:color="auto" w:fill="auto"/>
            <w:noWrap/>
            <w:vAlign w:val="center"/>
            <w:hideMark/>
          </w:tcPr>
          <w:p w14:paraId="3E91BCA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285.926,00 </w:t>
            </w:r>
          </w:p>
        </w:tc>
        <w:tc>
          <w:tcPr>
            <w:tcW w:w="75" w:type="pct"/>
            <w:tcBorders>
              <w:top w:val="nil"/>
              <w:left w:val="nil"/>
              <w:bottom w:val="nil"/>
              <w:right w:val="nil"/>
            </w:tcBorders>
            <w:shd w:val="clear" w:color="auto" w:fill="auto"/>
            <w:noWrap/>
            <w:vAlign w:val="bottom"/>
            <w:hideMark/>
          </w:tcPr>
          <w:p w14:paraId="77FE8351" w14:textId="77777777" w:rsidR="001929E3" w:rsidRDefault="001929E3">
            <w:pPr>
              <w:rPr>
                <w:rFonts w:ascii="Calibri" w:hAnsi="Calibri"/>
                <w:i/>
                <w:iCs/>
                <w:color w:val="000000"/>
                <w:sz w:val="16"/>
                <w:szCs w:val="16"/>
              </w:rPr>
            </w:pPr>
          </w:p>
        </w:tc>
        <w:tc>
          <w:tcPr>
            <w:tcW w:w="809" w:type="pct"/>
            <w:tcBorders>
              <w:top w:val="nil"/>
              <w:left w:val="single" w:sz="4" w:space="0" w:color="auto"/>
              <w:bottom w:val="nil"/>
              <w:right w:val="single" w:sz="4" w:space="0" w:color="000000"/>
            </w:tcBorders>
            <w:shd w:val="clear" w:color="000000" w:fill="FFFF99"/>
            <w:noWrap/>
            <w:vAlign w:val="center"/>
            <w:hideMark/>
          </w:tcPr>
          <w:p w14:paraId="7A00ACEA"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325.776,33 </w:t>
            </w:r>
          </w:p>
        </w:tc>
        <w:tc>
          <w:tcPr>
            <w:tcW w:w="488" w:type="pct"/>
            <w:tcBorders>
              <w:top w:val="nil"/>
              <w:left w:val="nil"/>
              <w:bottom w:val="nil"/>
              <w:right w:val="single" w:sz="4" w:space="0" w:color="000000"/>
            </w:tcBorders>
            <w:shd w:val="clear" w:color="auto" w:fill="auto"/>
            <w:noWrap/>
            <w:vAlign w:val="center"/>
            <w:hideMark/>
          </w:tcPr>
          <w:p w14:paraId="06F67BD5"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nil"/>
              <w:right w:val="single" w:sz="4" w:space="0" w:color="000000"/>
            </w:tcBorders>
            <w:shd w:val="clear" w:color="auto" w:fill="auto"/>
            <w:noWrap/>
            <w:vAlign w:val="center"/>
            <w:hideMark/>
          </w:tcPr>
          <w:p w14:paraId="38F9405E"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66,73 </w:t>
            </w:r>
          </w:p>
        </w:tc>
        <w:tc>
          <w:tcPr>
            <w:tcW w:w="861" w:type="pct"/>
            <w:tcBorders>
              <w:top w:val="nil"/>
              <w:left w:val="nil"/>
              <w:bottom w:val="nil"/>
              <w:right w:val="single" w:sz="4" w:space="0" w:color="auto"/>
            </w:tcBorders>
            <w:shd w:val="clear" w:color="auto" w:fill="auto"/>
            <w:noWrap/>
            <w:vAlign w:val="center"/>
            <w:hideMark/>
          </w:tcPr>
          <w:p w14:paraId="4D273382"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2.786 </w:t>
            </w:r>
          </w:p>
        </w:tc>
      </w:tr>
      <w:tr w:rsidR="001929E3" w14:paraId="4A75E823" w14:textId="77777777" w:rsidTr="00703D0D">
        <w:trPr>
          <w:trHeight w:val="315"/>
        </w:trPr>
        <w:tc>
          <w:tcPr>
            <w:tcW w:w="424" w:type="pct"/>
            <w:tcBorders>
              <w:top w:val="nil"/>
              <w:left w:val="single" w:sz="4" w:space="0" w:color="auto"/>
              <w:bottom w:val="single" w:sz="4" w:space="0" w:color="808000"/>
              <w:right w:val="single" w:sz="4" w:space="0" w:color="808000"/>
            </w:tcBorders>
            <w:shd w:val="clear" w:color="auto" w:fill="auto"/>
            <w:noWrap/>
            <w:vAlign w:val="center"/>
            <w:hideMark/>
          </w:tcPr>
          <w:p w14:paraId="55B77461"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01-feb-02</w:t>
            </w:r>
          </w:p>
        </w:tc>
        <w:tc>
          <w:tcPr>
            <w:tcW w:w="433" w:type="pct"/>
            <w:tcBorders>
              <w:top w:val="nil"/>
              <w:left w:val="nil"/>
              <w:bottom w:val="single" w:sz="4" w:space="0" w:color="808000"/>
              <w:right w:val="single" w:sz="4" w:space="0" w:color="808000"/>
            </w:tcBorders>
            <w:shd w:val="clear" w:color="auto" w:fill="auto"/>
            <w:noWrap/>
            <w:vAlign w:val="center"/>
            <w:hideMark/>
          </w:tcPr>
          <w:p w14:paraId="79F88D11" w14:textId="77777777" w:rsidR="001929E3" w:rsidRDefault="001929E3">
            <w:pPr>
              <w:jc w:val="right"/>
              <w:rPr>
                <w:rFonts w:ascii="Calibri" w:hAnsi="Calibri"/>
                <w:i/>
                <w:iCs/>
                <w:color w:val="000000"/>
                <w:sz w:val="16"/>
                <w:szCs w:val="16"/>
              </w:rPr>
            </w:pPr>
            <w:r>
              <w:rPr>
                <w:rFonts w:ascii="Calibri" w:hAnsi="Calibri"/>
                <w:i/>
                <w:iCs/>
                <w:color w:val="000000"/>
                <w:sz w:val="16"/>
                <w:szCs w:val="16"/>
              </w:rPr>
              <w:t>31-dic-02</w:t>
            </w:r>
          </w:p>
        </w:tc>
        <w:tc>
          <w:tcPr>
            <w:tcW w:w="601" w:type="pct"/>
            <w:tcBorders>
              <w:top w:val="nil"/>
              <w:left w:val="nil"/>
              <w:bottom w:val="single" w:sz="4" w:space="0" w:color="808000"/>
              <w:right w:val="single" w:sz="4" w:space="0" w:color="808000"/>
            </w:tcBorders>
            <w:shd w:val="clear" w:color="auto" w:fill="auto"/>
            <w:noWrap/>
            <w:vAlign w:val="center"/>
            <w:hideMark/>
          </w:tcPr>
          <w:p w14:paraId="4F48D197" w14:textId="77777777" w:rsidR="001929E3" w:rsidRDefault="001929E3">
            <w:pPr>
              <w:jc w:val="center"/>
              <w:rPr>
                <w:rFonts w:ascii="Calibri" w:hAnsi="Calibri"/>
                <w:i/>
                <w:iCs/>
                <w:color w:val="000000"/>
                <w:sz w:val="16"/>
                <w:szCs w:val="16"/>
              </w:rPr>
            </w:pPr>
            <w:r>
              <w:rPr>
                <w:rFonts w:ascii="Calibri" w:hAnsi="Calibri"/>
                <w:i/>
                <w:iCs/>
                <w:color w:val="000000"/>
                <w:sz w:val="16"/>
                <w:szCs w:val="16"/>
              </w:rPr>
              <w:t>330</w:t>
            </w:r>
          </w:p>
        </w:tc>
        <w:tc>
          <w:tcPr>
            <w:tcW w:w="643" w:type="pct"/>
            <w:tcBorders>
              <w:top w:val="nil"/>
              <w:left w:val="nil"/>
              <w:bottom w:val="single" w:sz="4" w:space="0" w:color="808000"/>
              <w:right w:val="single" w:sz="4" w:space="0" w:color="auto"/>
            </w:tcBorders>
            <w:shd w:val="clear" w:color="auto" w:fill="auto"/>
            <w:noWrap/>
            <w:vAlign w:val="center"/>
            <w:hideMark/>
          </w:tcPr>
          <w:p w14:paraId="379D76FB"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308.889,00 </w:t>
            </w:r>
          </w:p>
        </w:tc>
        <w:tc>
          <w:tcPr>
            <w:tcW w:w="75" w:type="pct"/>
            <w:tcBorders>
              <w:top w:val="nil"/>
              <w:left w:val="nil"/>
              <w:bottom w:val="nil"/>
              <w:right w:val="nil"/>
            </w:tcBorders>
            <w:shd w:val="clear" w:color="auto" w:fill="auto"/>
            <w:noWrap/>
            <w:vAlign w:val="bottom"/>
            <w:hideMark/>
          </w:tcPr>
          <w:p w14:paraId="2EEA4EF4" w14:textId="77777777" w:rsidR="001929E3" w:rsidRDefault="001929E3">
            <w:pPr>
              <w:rPr>
                <w:rFonts w:ascii="Calibri" w:hAnsi="Calibri"/>
                <w:i/>
                <w:iCs/>
                <w:color w:val="000000"/>
                <w:sz w:val="16"/>
                <w:szCs w:val="16"/>
              </w:rPr>
            </w:pPr>
          </w:p>
        </w:tc>
        <w:tc>
          <w:tcPr>
            <w:tcW w:w="809"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DE3C353"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351.939,75 </w:t>
            </w:r>
          </w:p>
        </w:tc>
        <w:tc>
          <w:tcPr>
            <w:tcW w:w="488" w:type="pct"/>
            <w:tcBorders>
              <w:top w:val="single" w:sz="4" w:space="0" w:color="808000"/>
              <w:left w:val="nil"/>
              <w:bottom w:val="single" w:sz="4" w:space="0" w:color="808000"/>
              <w:right w:val="single" w:sz="4" w:space="0" w:color="808000"/>
            </w:tcBorders>
            <w:shd w:val="clear" w:color="auto" w:fill="auto"/>
            <w:noWrap/>
            <w:vAlign w:val="center"/>
            <w:hideMark/>
          </w:tcPr>
          <w:p w14:paraId="55C93B71"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single" w:sz="4" w:space="0" w:color="808000"/>
              <w:left w:val="nil"/>
              <w:bottom w:val="single" w:sz="4" w:space="0" w:color="808000"/>
              <w:right w:val="single" w:sz="4" w:space="0" w:color="808000"/>
            </w:tcBorders>
            <w:shd w:val="clear" w:color="auto" w:fill="auto"/>
            <w:noWrap/>
            <w:vAlign w:val="center"/>
            <w:hideMark/>
          </w:tcPr>
          <w:p w14:paraId="23FA344C"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66,73 </w:t>
            </w:r>
          </w:p>
        </w:tc>
        <w:tc>
          <w:tcPr>
            <w:tcW w:w="861" w:type="pct"/>
            <w:tcBorders>
              <w:top w:val="single" w:sz="4" w:space="0" w:color="808000"/>
              <w:left w:val="nil"/>
              <w:bottom w:val="single" w:sz="4" w:space="0" w:color="808000"/>
              <w:right w:val="single" w:sz="4" w:space="0" w:color="auto"/>
            </w:tcBorders>
            <w:shd w:val="clear" w:color="auto" w:fill="auto"/>
            <w:noWrap/>
            <w:vAlign w:val="center"/>
            <w:hideMark/>
          </w:tcPr>
          <w:p w14:paraId="50B4FDB5"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33.107 </w:t>
            </w:r>
          </w:p>
        </w:tc>
      </w:tr>
      <w:tr w:rsidR="001929E3" w14:paraId="542B3DA2" w14:textId="77777777" w:rsidTr="00703D0D">
        <w:trPr>
          <w:trHeight w:val="315"/>
        </w:trPr>
        <w:tc>
          <w:tcPr>
            <w:tcW w:w="424" w:type="pct"/>
            <w:tcBorders>
              <w:top w:val="nil"/>
              <w:left w:val="single" w:sz="4" w:space="0" w:color="auto"/>
              <w:bottom w:val="single" w:sz="4" w:space="0" w:color="auto"/>
              <w:right w:val="single" w:sz="4" w:space="0" w:color="808000"/>
            </w:tcBorders>
            <w:shd w:val="clear" w:color="auto" w:fill="auto"/>
            <w:noWrap/>
            <w:vAlign w:val="center"/>
            <w:hideMark/>
          </w:tcPr>
          <w:p w14:paraId="28576952" w14:textId="77777777" w:rsidR="001929E3" w:rsidRDefault="001929E3">
            <w:pPr>
              <w:jc w:val="center"/>
              <w:rPr>
                <w:rFonts w:ascii="Calibri" w:hAnsi="Calibri"/>
                <w:i/>
                <w:iCs/>
                <w:color w:val="000000"/>
                <w:sz w:val="16"/>
                <w:szCs w:val="16"/>
              </w:rPr>
            </w:pPr>
            <w:r>
              <w:rPr>
                <w:rFonts w:ascii="Calibri" w:hAnsi="Calibri"/>
                <w:i/>
                <w:iCs/>
                <w:color w:val="000000"/>
                <w:sz w:val="16"/>
                <w:szCs w:val="16"/>
              </w:rPr>
              <w:t>01-ene-03</w:t>
            </w:r>
          </w:p>
        </w:tc>
        <w:tc>
          <w:tcPr>
            <w:tcW w:w="433" w:type="pct"/>
            <w:tcBorders>
              <w:top w:val="nil"/>
              <w:left w:val="nil"/>
              <w:bottom w:val="single" w:sz="4" w:space="0" w:color="auto"/>
              <w:right w:val="single" w:sz="4" w:space="0" w:color="808000"/>
            </w:tcBorders>
            <w:shd w:val="clear" w:color="auto" w:fill="auto"/>
            <w:noWrap/>
            <w:vAlign w:val="center"/>
            <w:hideMark/>
          </w:tcPr>
          <w:p w14:paraId="3C704A21" w14:textId="77777777" w:rsidR="001929E3" w:rsidRDefault="001929E3">
            <w:pPr>
              <w:jc w:val="right"/>
              <w:rPr>
                <w:rFonts w:ascii="Calibri" w:hAnsi="Calibri"/>
                <w:i/>
                <w:iCs/>
                <w:color w:val="000000"/>
                <w:sz w:val="16"/>
                <w:szCs w:val="16"/>
              </w:rPr>
            </w:pPr>
            <w:r>
              <w:rPr>
                <w:rFonts w:ascii="Calibri" w:hAnsi="Calibri"/>
                <w:i/>
                <w:iCs/>
                <w:color w:val="000000"/>
                <w:sz w:val="16"/>
                <w:szCs w:val="16"/>
              </w:rPr>
              <w:t>31-ene-03</w:t>
            </w:r>
          </w:p>
        </w:tc>
        <w:tc>
          <w:tcPr>
            <w:tcW w:w="601" w:type="pct"/>
            <w:tcBorders>
              <w:top w:val="nil"/>
              <w:left w:val="nil"/>
              <w:bottom w:val="single" w:sz="4" w:space="0" w:color="auto"/>
              <w:right w:val="single" w:sz="4" w:space="0" w:color="808000"/>
            </w:tcBorders>
            <w:shd w:val="clear" w:color="auto" w:fill="auto"/>
            <w:noWrap/>
            <w:vAlign w:val="center"/>
            <w:hideMark/>
          </w:tcPr>
          <w:p w14:paraId="3AD89793" w14:textId="77777777" w:rsidR="001929E3" w:rsidRDefault="001929E3">
            <w:pPr>
              <w:jc w:val="center"/>
              <w:rPr>
                <w:rFonts w:ascii="Calibri" w:hAnsi="Calibri"/>
                <w:i/>
                <w:iCs/>
                <w:color w:val="000000"/>
                <w:sz w:val="16"/>
                <w:szCs w:val="16"/>
              </w:rPr>
            </w:pPr>
            <w:r>
              <w:rPr>
                <w:rFonts w:ascii="Calibri" w:hAnsi="Calibri"/>
                <w:i/>
                <w:iCs/>
                <w:color w:val="000000"/>
                <w:sz w:val="16"/>
                <w:szCs w:val="16"/>
              </w:rPr>
              <w:t>30</w:t>
            </w:r>
          </w:p>
        </w:tc>
        <w:tc>
          <w:tcPr>
            <w:tcW w:w="643" w:type="pct"/>
            <w:tcBorders>
              <w:top w:val="nil"/>
              <w:left w:val="nil"/>
              <w:bottom w:val="single" w:sz="4" w:space="0" w:color="auto"/>
              <w:right w:val="single" w:sz="4" w:space="0" w:color="auto"/>
            </w:tcBorders>
            <w:shd w:val="clear" w:color="auto" w:fill="auto"/>
            <w:noWrap/>
            <w:vAlign w:val="center"/>
            <w:hideMark/>
          </w:tcPr>
          <w:p w14:paraId="223BB619"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308.889,00 </w:t>
            </w:r>
          </w:p>
        </w:tc>
        <w:tc>
          <w:tcPr>
            <w:tcW w:w="75" w:type="pct"/>
            <w:tcBorders>
              <w:top w:val="nil"/>
              <w:left w:val="nil"/>
              <w:bottom w:val="nil"/>
              <w:right w:val="nil"/>
            </w:tcBorders>
            <w:shd w:val="clear" w:color="auto" w:fill="auto"/>
            <w:noWrap/>
            <w:vAlign w:val="bottom"/>
            <w:hideMark/>
          </w:tcPr>
          <w:p w14:paraId="67C5B2CC" w14:textId="77777777" w:rsidR="001929E3" w:rsidRDefault="001929E3">
            <w:pPr>
              <w:rPr>
                <w:rFonts w:ascii="Calibri" w:hAnsi="Calibri"/>
                <w:i/>
                <w:iCs/>
                <w:color w:val="000000"/>
                <w:sz w:val="16"/>
                <w:szCs w:val="16"/>
              </w:rPr>
            </w:pPr>
          </w:p>
        </w:tc>
        <w:tc>
          <w:tcPr>
            <w:tcW w:w="809" w:type="pct"/>
            <w:tcBorders>
              <w:top w:val="nil"/>
              <w:left w:val="single" w:sz="4" w:space="0" w:color="auto"/>
              <w:bottom w:val="single" w:sz="4" w:space="0" w:color="auto"/>
              <w:right w:val="single" w:sz="4" w:space="0" w:color="000000"/>
            </w:tcBorders>
            <w:shd w:val="clear" w:color="000000" w:fill="FFFF99"/>
            <w:noWrap/>
            <w:vAlign w:val="center"/>
            <w:hideMark/>
          </w:tcPr>
          <w:p w14:paraId="26693485" w14:textId="77777777" w:rsidR="001929E3" w:rsidRDefault="001929E3">
            <w:pPr>
              <w:rPr>
                <w:rFonts w:ascii="Calibri" w:hAnsi="Calibri"/>
                <w:b/>
                <w:bCs/>
                <w:i/>
                <w:iCs/>
                <w:color w:val="000000"/>
                <w:sz w:val="16"/>
                <w:szCs w:val="16"/>
              </w:rPr>
            </w:pPr>
            <w:r>
              <w:rPr>
                <w:rFonts w:ascii="Calibri" w:hAnsi="Calibri"/>
                <w:b/>
                <w:bCs/>
                <w:i/>
                <w:iCs/>
                <w:color w:val="000000"/>
                <w:sz w:val="16"/>
                <w:szCs w:val="16"/>
              </w:rPr>
              <w:t xml:space="preserve">             328.937,87 </w:t>
            </w:r>
          </w:p>
        </w:tc>
        <w:tc>
          <w:tcPr>
            <w:tcW w:w="488" w:type="pct"/>
            <w:tcBorders>
              <w:top w:val="nil"/>
              <w:left w:val="nil"/>
              <w:bottom w:val="single" w:sz="4" w:space="0" w:color="auto"/>
              <w:right w:val="single" w:sz="4" w:space="0" w:color="000000"/>
            </w:tcBorders>
            <w:shd w:val="clear" w:color="auto" w:fill="auto"/>
            <w:noWrap/>
            <w:vAlign w:val="center"/>
            <w:hideMark/>
          </w:tcPr>
          <w:p w14:paraId="2D10A830"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76,03 </w:t>
            </w:r>
          </w:p>
        </w:tc>
        <w:tc>
          <w:tcPr>
            <w:tcW w:w="667" w:type="pct"/>
            <w:tcBorders>
              <w:top w:val="nil"/>
              <w:left w:val="nil"/>
              <w:bottom w:val="single" w:sz="4" w:space="0" w:color="auto"/>
              <w:right w:val="single" w:sz="4" w:space="0" w:color="000000"/>
            </w:tcBorders>
            <w:shd w:val="clear" w:color="auto" w:fill="auto"/>
            <w:noWrap/>
            <w:vAlign w:val="center"/>
            <w:hideMark/>
          </w:tcPr>
          <w:p w14:paraId="7310F30E" w14:textId="77777777" w:rsidR="001929E3" w:rsidRDefault="001929E3">
            <w:pPr>
              <w:jc w:val="center"/>
              <w:rPr>
                <w:rFonts w:ascii="Calibri" w:hAnsi="Calibri"/>
                <w:i/>
                <w:iCs/>
                <w:color w:val="000000"/>
                <w:sz w:val="16"/>
                <w:szCs w:val="16"/>
              </w:rPr>
            </w:pPr>
            <w:r>
              <w:rPr>
                <w:rFonts w:ascii="Calibri" w:hAnsi="Calibri"/>
                <w:i/>
                <w:iCs/>
                <w:color w:val="000000"/>
                <w:sz w:val="16"/>
                <w:szCs w:val="16"/>
              </w:rPr>
              <w:t xml:space="preserve">                    71,40 </w:t>
            </w:r>
          </w:p>
        </w:tc>
        <w:tc>
          <w:tcPr>
            <w:tcW w:w="861" w:type="pct"/>
            <w:tcBorders>
              <w:top w:val="nil"/>
              <w:left w:val="nil"/>
              <w:bottom w:val="single" w:sz="4" w:space="0" w:color="auto"/>
              <w:right w:val="single" w:sz="4" w:space="0" w:color="auto"/>
            </w:tcBorders>
            <w:shd w:val="clear" w:color="auto" w:fill="auto"/>
            <w:noWrap/>
            <w:vAlign w:val="center"/>
            <w:hideMark/>
          </w:tcPr>
          <w:p w14:paraId="6C495413" w14:textId="77777777" w:rsidR="001929E3" w:rsidRDefault="001929E3">
            <w:pPr>
              <w:rPr>
                <w:rFonts w:ascii="Calibri" w:hAnsi="Calibri"/>
                <w:i/>
                <w:iCs/>
                <w:color w:val="000000"/>
                <w:sz w:val="16"/>
                <w:szCs w:val="16"/>
              </w:rPr>
            </w:pPr>
            <w:r>
              <w:rPr>
                <w:rFonts w:ascii="Calibri" w:hAnsi="Calibri"/>
                <w:i/>
                <w:iCs/>
                <w:color w:val="000000"/>
                <w:sz w:val="16"/>
                <w:szCs w:val="16"/>
              </w:rPr>
              <w:t xml:space="preserve">             2.813 </w:t>
            </w:r>
          </w:p>
        </w:tc>
      </w:tr>
      <w:tr w:rsidR="001929E3" w14:paraId="47151E15" w14:textId="77777777" w:rsidTr="00703D0D">
        <w:trPr>
          <w:trHeight w:val="315"/>
        </w:trPr>
        <w:tc>
          <w:tcPr>
            <w:tcW w:w="424" w:type="pct"/>
            <w:tcBorders>
              <w:top w:val="nil"/>
              <w:left w:val="nil"/>
              <w:bottom w:val="nil"/>
              <w:right w:val="nil"/>
            </w:tcBorders>
            <w:shd w:val="clear" w:color="auto" w:fill="auto"/>
            <w:noWrap/>
            <w:vAlign w:val="bottom"/>
            <w:hideMark/>
          </w:tcPr>
          <w:p w14:paraId="19E85CE0" w14:textId="77777777" w:rsidR="001929E3" w:rsidRDefault="001929E3">
            <w:pPr>
              <w:rPr>
                <w:rFonts w:ascii="Calibri" w:hAnsi="Calibri"/>
                <w:i/>
                <w:iCs/>
                <w:color w:val="000000"/>
                <w:sz w:val="16"/>
                <w:szCs w:val="16"/>
              </w:rPr>
            </w:pPr>
          </w:p>
        </w:tc>
        <w:tc>
          <w:tcPr>
            <w:tcW w:w="433" w:type="pct"/>
            <w:tcBorders>
              <w:top w:val="nil"/>
              <w:left w:val="nil"/>
              <w:bottom w:val="nil"/>
              <w:right w:val="nil"/>
            </w:tcBorders>
            <w:shd w:val="clear" w:color="auto" w:fill="auto"/>
            <w:noWrap/>
            <w:vAlign w:val="bottom"/>
            <w:hideMark/>
          </w:tcPr>
          <w:p w14:paraId="023FBBDF" w14:textId="77777777" w:rsidR="001929E3" w:rsidRDefault="001929E3">
            <w:pPr>
              <w:rPr>
                <w:sz w:val="20"/>
                <w:szCs w:val="20"/>
              </w:rPr>
            </w:pPr>
          </w:p>
        </w:tc>
        <w:tc>
          <w:tcPr>
            <w:tcW w:w="601" w:type="pct"/>
            <w:tcBorders>
              <w:top w:val="nil"/>
              <w:left w:val="nil"/>
              <w:bottom w:val="nil"/>
              <w:right w:val="nil"/>
            </w:tcBorders>
            <w:shd w:val="clear" w:color="auto" w:fill="auto"/>
            <w:noWrap/>
            <w:vAlign w:val="bottom"/>
            <w:hideMark/>
          </w:tcPr>
          <w:p w14:paraId="6216F9DB" w14:textId="77777777" w:rsidR="001929E3" w:rsidRDefault="001929E3">
            <w:pPr>
              <w:rPr>
                <w:sz w:val="20"/>
                <w:szCs w:val="20"/>
              </w:rPr>
            </w:pPr>
          </w:p>
        </w:tc>
        <w:tc>
          <w:tcPr>
            <w:tcW w:w="643" w:type="pct"/>
            <w:tcBorders>
              <w:top w:val="nil"/>
              <w:left w:val="nil"/>
              <w:bottom w:val="nil"/>
              <w:right w:val="nil"/>
            </w:tcBorders>
            <w:shd w:val="clear" w:color="auto" w:fill="auto"/>
            <w:noWrap/>
            <w:vAlign w:val="bottom"/>
            <w:hideMark/>
          </w:tcPr>
          <w:p w14:paraId="267C27F8" w14:textId="77777777" w:rsidR="001929E3" w:rsidRDefault="001929E3">
            <w:pPr>
              <w:rPr>
                <w:sz w:val="20"/>
                <w:szCs w:val="20"/>
              </w:rPr>
            </w:pPr>
          </w:p>
        </w:tc>
        <w:tc>
          <w:tcPr>
            <w:tcW w:w="75" w:type="pct"/>
            <w:tcBorders>
              <w:top w:val="nil"/>
              <w:left w:val="nil"/>
              <w:bottom w:val="nil"/>
              <w:right w:val="nil"/>
            </w:tcBorders>
            <w:shd w:val="clear" w:color="auto" w:fill="auto"/>
            <w:noWrap/>
            <w:vAlign w:val="bottom"/>
            <w:hideMark/>
          </w:tcPr>
          <w:p w14:paraId="041624AC" w14:textId="77777777" w:rsidR="001929E3" w:rsidRDefault="001929E3">
            <w:pPr>
              <w:rPr>
                <w:sz w:val="20"/>
                <w:szCs w:val="20"/>
              </w:rPr>
            </w:pPr>
          </w:p>
        </w:tc>
        <w:tc>
          <w:tcPr>
            <w:tcW w:w="809" w:type="pct"/>
            <w:tcBorders>
              <w:top w:val="nil"/>
              <w:left w:val="nil"/>
              <w:bottom w:val="nil"/>
              <w:right w:val="nil"/>
            </w:tcBorders>
            <w:shd w:val="clear" w:color="auto" w:fill="auto"/>
            <w:noWrap/>
            <w:vAlign w:val="bottom"/>
            <w:hideMark/>
          </w:tcPr>
          <w:p w14:paraId="60898A36" w14:textId="77777777" w:rsidR="001929E3" w:rsidRDefault="001929E3">
            <w:pPr>
              <w:rPr>
                <w:sz w:val="20"/>
                <w:szCs w:val="20"/>
              </w:rPr>
            </w:pPr>
          </w:p>
        </w:tc>
        <w:tc>
          <w:tcPr>
            <w:tcW w:w="488" w:type="pct"/>
            <w:tcBorders>
              <w:top w:val="nil"/>
              <w:left w:val="nil"/>
              <w:bottom w:val="nil"/>
              <w:right w:val="nil"/>
            </w:tcBorders>
            <w:shd w:val="clear" w:color="auto" w:fill="auto"/>
            <w:noWrap/>
            <w:vAlign w:val="bottom"/>
            <w:hideMark/>
          </w:tcPr>
          <w:p w14:paraId="17882E82" w14:textId="77777777" w:rsidR="001929E3" w:rsidRDefault="001929E3">
            <w:pPr>
              <w:rPr>
                <w:sz w:val="20"/>
                <w:szCs w:val="20"/>
              </w:rPr>
            </w:pPr>
          </w:p>
        </w:tc>
        <w:tc>
          <w:tcPr>
            <w:tcW w:w="667" w:type="pct"/>
            <w:tcBorders>
              <w:top w:val="nil"/>
              <w:left w:val="nil"/>
              <w:bottom w:val="nil"/>
              <w:right w:val="nil"/>
            </w:tcBorders>
            <w:shd w:val="clear" w:color="auto" w:fill="auto"/>
            <w:noWrap/>
            <w:vAlign w:val="bottom"/>
            <w:hideMark/>
          </w:tcPr>
          <w:p w14:paraId="5E6CF27D" w14:textId="77777777" w:rsidR="001929E3" w:rsidRDefault="001929E3">
            <w:pPr>
              <w:rPr>
                <w:sz w:val="20"/>
                <w:szCs w:val="20"/>
              </w:rPr>
            </w:pPr>
          </w:p>
        </w:tc>
        <w:tc>
          <w:tcPr>
            <w:tcW w:w="861" w:type="pct"/>
            <w:tcBorders>
              <w:top w:val="nil"/>
              <w:left w:val="nil"/>
              <w:bottom w:val="nil"/>
              <w:right w:val="nil"/>
            </w:tcBorders>
            <w:shd w:val="clear" w:color="auto" w:fill="auto"/>
            <w:noWrap/>
            <w:vAlign w:val="bottom"/>
            <w:hideMark/>
          </w:tcPr>
          <w:p w14:paraId="149F8745" w14:textId="77777777" w:rsidR="001929E3" w:rsidRDefault="001929E3">
            <w:pPr>
              <w:rPr>
                <w:sz w:val="20"/>
                <w:szCs w:val="20"/>
              </w:rPr>
            </w:pPr>
          </w:p>
        </w:tc>
      </w:tr>
      <w:tr w:rsidR="001929E3" w14:paraId="1B783E01" w14:textId="77777777" w:rsidTr="00703D0D">
        <w:trPr>
          <w:trHeight w:val="315"/>
        </w:trPr>
        <w:tc>
          <w:tcPr>
            <w:tcW w:w="857" w:type="pct"/>
            <w:gridSpan w:val="2"/>
            <w:tcBorders>
              <w:top w:val="single" w:sz="4" w:space="0" w:color="333300"/>
              <w:left w:val="nil"/>
              <w:bottom w:val="single" w:sz="4" w:space="0" w:color="333300"/>
              <w:right w:val="single" w:sz="4" w:space="0" w:color="333300"/>
            </w:tcBorders>
            <w:shd w:val="clear" w:color="auto" w:fill="auto"/>
            <w:noWrap/>
            <w:vAlign w:val="center"/>
            <w:hideMark/>
          </w:tcPr>
          <w:p w14:paraId="102FF86E"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TOTAL DIAS</w:t>
            </w:r>
          </w:p>
        </w:tc>
        <w:tc>
          <w:tcPr>
            <w:tcW w:w="601" w:type="pct"/>
            <w:tcBorders>
              <w:top w:val="single" w:sz="4" w:space="0" w:color="333300"/>
              <w:left w:val="nil"/>
              <w:bottom w:val="single" w:sz="4" w:space="0" w:color="333300"/>
              <w:right w:val="single" w:sz="4" w:space="0" w:color="333300"/>
            </w:tcBorders>
            <w:shd w:val="clear" w:color="000000" w:fill="FFFF99"/>
            <w:noWrap/>
            <w:vAlign w:val="center"/>
            <w:hideMark/>
          </w:tcPr>
          <w:p w14:paraId="1B5A3D8C"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3.508</w:t>
            </w:r>
          </w:p>
        </w:tc>
        <w:tc>
          <w:tcPr>
            <w:tcW w:w="643" w:type="pct"/>
            <w:tcBorders>
              <w:top w:val="nil"/>
              <w:left w:val="nil"/>
              <w:bottom w:val="nil"/>
              <w:right w:val="nil"/>
            </w:tcBorders>
            <w:shd w:val="clear" w:color="auto" w:fill="auto"/>
            <w:noWrap/>
            <w:vAlign w:val="bottom"/>
            <w:hideMark/>
          </w:tcPr>
          <w:p w14:paraId="6FF7F66E" w14:textId="77777777" w:rsidR="001929E3" w:rsidRDefault="001929E3">
            <w:pPr>
              <w:jc w:val="center"/>
              <w:rPr>
                <w:rFonts w:ascii="Calibri" w:hAnsi="Calibri"/>
                <w:b/>
                <w:bCs/>
                <w:i/>
                <w:iCs/>
                <w:color w:val="000000"/>
                <w:sz w:val="16"/>
                <w:szCs w:val="16"/>
              </w:rPr>
            </w:pPr>
          </w:p>
        </w:tc>
        <w:tc>
          <w:tcPr>
            <w:tcW w:w="75" w:type="pct"/>
            <w:tcBorders>
              <w:top w:val="nil"/>
              <w:left w:val="nil"/>
              <w:bottom w:val="nil"/>
              <w:right w:val="nil"/>
            </w:tcBorders>
            <w:shd w:val="clear" w:color="auto" w:fill="auto"/>
            <w:noWrap/>
            <w:vAlign w:val="bottom"/>
            <w:hideMark/>
          </w:tcPr>
          <w:p w14:paraId="16B5BA3F" w14:textId="77777777" w:rsidR="001929E3" w:rsidRDefault="001929E3">
            <w:pPr>
              <w:rPr>
                <w:sz w:val="20"/>
                <w:szCs w:val="20"/>
              </w:rPr>
            </w:pPr>
          </w:p>
        </w:tc>
        <w:tc>
          <w:tcPr>
            <w:tcW w:w="809" w:type="pct"/>
            <w:tcBorders>
              <w:top w:val="nil"/>
              <w:left w:val="nil"/>
              <w:bottom w:val="nil"/>
              <w:right w:val="nil"/>
            </w:tcBorders>
            <w:shd w:val="clear" w:color="auto" w:fill="auto"/>
            <w:noWrap/>
            <w:vAlign w:val="bottom"/>
            <w:hideMark/>
          </w:tcPr>
          <w:p w14:paraId="54B6C619" w14:textId="77777777" w:rsidR="001929E3" w:rsidRDefault="001929E3">
            <w:pPr>
              <w:rPr>
                <w:sz w:val="20"/>
                <w:szCs w:val="20"/>
              </w:rPr>
            </w:pPr>
          </w:p>
        </w:tc>
        <w:tc>
          <w:tcPr>
            <w:tcW w:w="1154"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2DA844D"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IBL</w:t>
            </w:r>
          </w:p>
        </w:tc>
        <w:tc>
          <w:tcPr>
            <w:tcW w:w="861" w:type="pct"/>
            <w:tcBorders>
              <w:top w:val="single" w:sz="4" w:space="0" w:color="333300"/>
              <w:left w:val="nil"/>
              <w:bottom w:val="single" w:sz="4" w:space="0" w:color="333300"/>
              <w:right w:val="nil"/>
            </w:tcBorders>
            <w:shd w:val="clear" w:color="000000" w:fill="FFFF99"/>
            <w:noWrap/>
            <w:vAlign w:val="center"/>
            <w:hideMark/>
          </w:tcPr>
          <w:p w14:paraId="141241F0" w14:textId="77777777" w:rsidR="001929E3" w:rsidRDefault="001929E3">
            <w:pPr>
              <w:jc w:val="center"/>
              <w:rPr>
                <w:rFonts w:ascii="Calibri" w:hAnsi="Calibri"/>
                <w:color w:val="000000"/>
                <w:sz w:val="20"/>
                <w:szCs w:val="20"/>
              </w:rPr>
            </w:pPr>
            <w:r>
              <w:rPr>
                <w:rFonts w:ascii="Calibri" w:hAnsi="Calibri"/>
                <w:color w:val="000000"/>
                <w:sz w:val="20"/>
                <w:szCs w:val="20"/>
              </w:rPr>
              <w:t xml:space="preserve">   539.308 </w:t>
            </w:r>
          </w:p>
        </w:tc>
      </w:tr>
      <w:tr w:rsidR="001929E3" w14:paraId="2E3019B5" w14:textId="77777777" w:rsidTr="00703D0D">
        <w:trPr>
          <w:trHeight w:val="315"/>
        </w:trPr>
        <w:tc>
          <w:tcPr>
            <w:tcW w:w="424" w:type="pct"/>
            <w:tcBorders>
              <w:top w:val="nil"/>
              <w:left w:val="nil"/>
              <w:bottom w:val="nil"/>
              <w:right w:val="nil"/>
            </w:tcBorders>
            <w:shd w:val="clear" w:color="auto" w:fill="auto"/>
            <w:noWrap/>
            <w:vAlign w:val="bottom"/>
            <w:hideMark/>
          </w:tcPr>
          <w:p w14:paraId="6EEF5E1D" w14:textId="77777777" w:rsidR="001929E3" w:rsidRDefault="001929E3">
            <w:pPr>
              <w:jc w:val="center"/>
              <w:rPr>
                <w:rFonts w:ascii="Calibri" w:hAnsi="Calibri"/>
                <w:color w:val="000000"/>
                <w:sz w:val="20"/>
                <w:szCs w:val="20"/>
              </w:rPr>
            </w:pPr>
          </w:p>
        </w:tc>
        <w:tc>
          <w:tcPr>
            <w:tcW w:w="433" w:type="pct"/>
            <w:tcBorders>
              <w:top w:val="nil"/>
              <w:left w:val="nil"/>
              <w:bottom w:val="nil"/>
              <w:right w:val="nil"/>
            </w:tcBorders>
            <w:shd w:val="clear" w:color="auto" w:fill="auto"/>
            <w:noWrap/>
            <w:vAlign w:val="bottom"/>
            <w:hideMark/>
          </w:tcPr>
          <w:p w14:paraId="6FFA6FC0" w14:textId="77777777" w:rsidR="001929E3" w:rsidRDefault="001929E3">
            <w:pPr>
              <w:rPr>
                <w:sz w:val="20"/>
                <w:szCs w:val="20"/>
              </w:rPr>
            </w:pPr>
          </w:p>
        </w:tc>
        <w:tc>
          <w:tcPr>
            <w:tcW w:w="601" w:type="pct"/>
            <w:tcBorders>
              <w:top w:val="nil"/>
              <w:left w:val="nil"/>
              <w:bottom w:val="nil"/>
              <w:right w:val="nil"/>
            </w:tcBorders>
            <w:shd w:val="clear" w:color="auto" w:fill="auto"/>
            <w:noWrap/>
            <w:vAlign w:val="bottom"/>
            <w:hideMark/>
          </w:tcPr>
          <w:p w14:paraId="759E0445" w14:textId="77777777" w:rsidR="001929E3" w:rsidRDefault="001929E3">
            <w:pPr>
              <w:rPr>
                <w:sz w:val="20"/>
                <w:szCs w:val="20"/>
              </w:rPr>
            </w:pPr>
          </w:p>
        </w:tc>
        <w:tc>
          <w:tcPr>
            <w:tcW w:w="643" w:type="pct"/>
            <w:tcBorders>
              <w:top w:val="nil"/>
              <w:left w:val="nil"/>
              <w:bottom w:val="nil"/>
              <w:right w:val="nil"/>
            </w:tcBorders>
            <w:shd w:val="clear" w:color="auto" w:fill="auto"/>
            <w:noWrap/>
            <w:vAlign w:val="bottom"/>
            <w:hideMark/>
          </w:tcPr>
          <w:p w14:paraId="4A16BE15" w14:textId="77777777" w:rsidR="001929E3" w:rsidRDefault="001929E3">
            <w:pPr>
              <w:rPr>
                <w:sz w:val="20"/>
                <w:szCs w:val="20"/>
              </w:rPr>
            </w:pPr>
          </w:p>
        </w:tc>
        <w:tc>
          <w:tcPr>
            <w:tcW w:w="75" w:type="pct"/>
            <w:tcBorders>
              <w:top w:val="nil"/>
              <w:left w:val="nil"/>
              <w:bottom w:val="nil"/>
              <w:right w:val="nil"/>
            </w:tcBorders>
            <w:shd w:val="clear" w:color="auto" w:fill="auto"/>
            <w:noWrap/>
            <w:vAlign w:val="bottom"/>
            <w:hideMark/>
          </w:tcPr>
          <w:p w14:paraId="6586FE93" w14:textId="77777777" w:rsidR="001929E3" w:rsidRDefault="001929E3">
            <w:pPr>
              <w:rPr>
                <w:sz w:val="20"/>
                <w:szCs w:val="20"/>
              </w:rPr>
            </w:pPr>
          </w:p>
        </w:tc>
        <w:tc>
          <w:tcPr>
            <w:tcW w:w="809" w:type="pct"/>
            <w:tcBorders>
              <w:top w:val="nil"/>
              <w:left w:val="nil"/>
              <w:bottom w:val="nil"/>
              <w:right w:val="nil"/>
            </w:tcBorders>
            <w:shd w:val="clear" w:color="auto" w:fill="auto"/>
            <w:noWrap/>
            <w:vAlign w:val="bottom"/>
            <w:hideMark/>
          </w:tcPr>
          <w:p w14:paraId="06E12A2B" w14:textId="77777777" w:rsidR="001929E3" w:rsidRDefault="001929E3">
            <w:pPr>
              <w:rPr>
                <w:sz w:val="20"/>
                <w:szCs w:val="20"/>
              </w:rPr>
            </w:pPr>
          </w:p>
        </w:tc>
        <w:tc>
          <w:tcPr>
            <w:tcW w:w="488" w:type="pct"/>
            <w:tcBorders>
              <w:top w:val="nil"/>
              <w:left w:val="nil"/>
              <w:bottom w:val="nil"/>
              <w:right w:val="nil"/>
            </w:tcBorders>
            <w:shd w:val="clear" w:color="auto" w:fill="auto"/>
            <w:noWrap/>
            <w:vAlign w:val="bottom"/>
            <w:hideMark/>
          </w:tcPr>
          <w:p w14:paraId="071B6228" w14:textId="77777777" w:rsidR="001929E3" w:rsidRDefault="001929E3">
            <w:pPr>
              <w:rPr>
                <w:sz w:val="20"/>
                <w:szCs w:val="20"/>
              </w:rPr>
            </w:pPr>
          </w:p>
        </w:tc>
        <w:tc>
          <w:tcPr>
            <w:tcW w:w="667" w:type="pct"/>
            <w:tcBorders>
              <w:top w:val="nil"/>
              <w:left w:val="nil"/>
              <w:bottom w:val="nil"/>
              <w:right w:val="nil"/>
            </w:tcBorders>
            <w:shd w:val="clear" w:color="auto" w:fill="auto"/>
            <w:noWrap/>
            <w:vAlign w:val="bottom"/>
            <w:hideMark/>
          </w:tcPr>
          <w:p w14:paraId="4091444A" w14:textId="77777777" w:rsidR="001929E3" w:rsidRDefault="001929E3">
            <w:pPr>
              <w:rPr>
                <w:sz w:val="20"/>
                <w:szCs w:val="20"/>
              </w:rPr>
            </w:pPr>
          </w:p>
        </w:tc>
        <w:tc>
          <w:tcPr>
            <w:tcW w:w="861" w:type="pct"/>
            <w:tcBorders>
              <w:top w:val="nil"/>
              <w:left w:val="nil"/>
              <w:bottom w:val="nil"/>
              <w:right w:val="nil"/>
            </w:tcBorders>
            <w:shd w:val="clear" w:color="auto" w:fill="auto"/>
            <w:noWrap/>
            <w:vAlign w:val="bottom"/>
            <w:hideMark/>
          </w:tcPr>
          <w:p w14:paraId="1FF5A7B9" w14:textId="77777777" w:rsidR="001929E3" w:rsidRDefault="001929E3">
            <w:pPr>
              <w:rPr>
                <w:sz w:val="20"/>
                <w:szCs w:val="20"/>
              </w:rPr>
            </w:pPr>
          </w:p>
        </w:tc>
      </w:tr>
      <w:tr w:rsidR="001929E3" w14:paraId="50A03DD5" w14:textId="77777777" w:rsidTr="00703D0D">
        <w:trPr>
          <w:trHeight w:val="315"/>
        </w:trPr>
        <w:tc>
          <w:tcPr>
            <w:tcW w:w="424" w:type="pct"/>
            <w:tcBorders>
              <w:top w:val="nil"/>
              <w:left w:val="nil"/>
              <w:bottom w:val="nil"/>
              <w:right w:val="nil"/>
            </w:tcBorders>
            <w:shd w:val="clear" w:color="auto" w:fill="auto"/>
            <w:noWrap/>
            <w:vAlign w:val="bottom"/>
            <w:hideMark/>
          </w:tcPr>
          <w:p w14:paraId="065702C2" w14:textId="77777777" w:rsidR="001929E3" w:rsidRDefault="001929E3">
            <w:pPr>
              <w:rPr>
                <w:sz w:val="20"/>
                <w:szCs w:val="20"/>
              </w:rPr>
            </w:pPr>
          </w:p>
        </w:tc>
        <w:tc>
          <w:tcPr>
            <w:tcW w:w="433" w:type="pct"/>
            <w:tcBorders>
              <w:top w:val="nil"/>
              <w:left w:val="nil"/>
              <w:bottom w:val="nil"/>
              <w:right w:val="nil"/>
            </w:tcBorders>
            <w:shd w:val="clear" w:color="auto" w:fill="auto"/>
            <w:noWrap/>
            <w:vAlign w:val="bottom"/>
            <w:hideMark/>
          </w:tcPr>
          <w:p w14:paraId="53118353" w14:textId="77777777" w:rsidR="001929E3" w:rsidRDefault="001929E3">
            <w:pPr>
              <w:rPr>
                <w:sz w:val="20"/>
                <w:szCs w:val="20"/>
              </w:rPr>
            </w:pPr>
          </w:p>
        </w:tc>
        <w:tc>
          <w:tcPr>
            <w:tcW w:w="601" w:type="pct"/>
            <w:tcBorders>
              <w:top w:val="nil"/>
              <w:left w:val="nil"/>
              <w:bottom w:val="nil"/>
              <w:right w:val="nil"/>
            </w:tcBorders>
            <w:shd w:val="clear" w:color="auto" w:fill="auto"/>
            <w:noWrap/>
            <w:vAlign w:val="bottom"/>
            <w:hideMark/>
          </w:tcPr>
          <w:p w14:paraId="61E7DF7E" w14:textId="77777777" w:rsidR="001929E3" w:rsidRDefault="001929E3">
            <w:pPr>
              <w:rPr>
                <w:sz w:val="20"/>
                <w:szCs w:val="20"/>
              </w:rPr>
            </w:pPr>
          </w:p>
        </w:tc>
        <w:tc>
          <w:tcPr>
            <w:tcW w:w="643" w:type="pct"/>
            <w:tcBorders>
              <w:top w:val="nil"/>
              <w:left w:val="nil"/>
              <w:bottom w:val="nil"/>
              <w:right w:val="nil"/>
            </w:tcBorders>
            <w:shd w:val="clear" w:color="auto" w:fill="auto"/>
            <w:noWrap/>
            <w:vAlign w:val="bottom"/>
            <w:hideMark/>
          </w:tcPr>
          <w:p w14:paraId="1775C489" w14:textId="77777777" w:rsidR="001929E3" w:rsidRDefault="001929E3">
            <w:pPr>
              <w:rPr>
                <w:sz w:val="20"/>
                <w:szCs w:val="20"/>
              </w:rPr>
            </w:pPr>
          </w:p>
        </w:tc>
        <w:tc>
          <w:tcPr>
            <w:tcW w:w="75" w:type="pct"/>
            <w:tcBorders>
              <w:top w:val="nil"/>
              <w:left w:val="nil"/>
              <w:bottom w:val="nil"/>
              <w:right w:val="nil"/>
            </w:tcBorders>
            <w:shd w:val="clear" w:color="auto" w:fill="auto"/>
            <w:noWrap/>
            <w:vAlign w:val="bottom"/>
            <w:hideMark/>
          </w:tcPr>
          <w:p w14:paraId="1C01747E" w14:textId="77777777" w:rsidR="001929E3" w:rsidRDefault="001929E3">
            <w:pPr>
              <w:rPr>
                <w:sz w:val="20"/>
                <w:szCs w:val="20"/>
              </w:rPr>
            </w:pPr>
          </w:p>
        </w:tc>
        <w:tc>
          <w:tcPr>
            <w:tcW w:w="809" w:type="pct"/>
            <w:tcBorders>
              <w:top w:val="nil"/>
              <w:left w:val="nil"/>
              <w:bottom w:val="nil"/>
              <w:right w:val="nil"/>
            </w:tcBorders>
            <w:shd w:val="clear" w:color="auto" w:fill="auto"/>
            <w:noWrap/>
            <w:vAlign w:val="bottom"/>
            <w:hideMark/>
          </w:tcPr>
          <w:p w14:paraId="7EDECC81" w14:textId="77777777" w:rsidR="001929E3" w:rsidRDefault="001929E3">
            <w:pPr>
              <w:rPr>
                <w:sz w:val="20"/>
                <w:szCs w:val="20"/>
              </w:rPr>
            </w:pPr>
          </w:p>
        </w:tc>
        <w:tc>
          <w:tcPr>
            <w:tcW w:w="1154"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4585CAF" w14:textId="77777777" w:rsidR="001929E3" w:rsidRDefault="001929E3">
            <w:pPr>
              <w:jc w:val="center"/>
              <w:rPr>
                <w:rFonts w:ascii="Calibri" w:hAnsi="Calibri"/>
                <w:b/>
                <w:bCs/>
                <w:i/>
                <w:iCs/>
                <w:color w:val="000000"/>
                <w:sz w:val="16"/>
                <w:szCs w:val="16"/>
              </w:rPr>
            </w:pPr>
            <w:r>
              <w:rPr>
                <w:rFonts w:ascii="Calibri" w:hAnsi="Calibri"/>
                <w:b/>
                <w:bCs/>
                <w:i/>
                <w:iCs/>
                <w:color w:val="000000"/>
                <w:sz w:val="16"/>
                <w:szCs w:val="16"/>
              </w:rPr>
              <w:t>Mesada</w:t>
            </w:r>
          </w:p>
        </w:tc>
        <w:tc>
          <w:tcPr>
            <w:tcW w:w="861" w:type="pct"/>
            <w:tcBorders>
              <w:top w:val="single" w:sz="4" w:space="0" w:color="333300"/>
              <w:left w:val="nil"/>
              <w:bottom w:val="single" w:sz="4" w:space="0" w:color="333300"/>
              <w:right w:val="single" w:sz="4" w:space="0" w:color="333300"/>
            </w:tcBorders>
            <w:shd w:val="clear" w:color="000000" w:fill="FFFF99"/>
            <w:noWrap/>
            <w:vAlign w:val="center"/>
            <w:hideMark/>
          </w:tcPr>
          <w:p w14:paraId="0CE88E1A" w14:textId="2059D4D4" w:rsidR="001929E3" w:rsidRDefault="001929E3">
            <w:pPr>
              <w:jc w:val="center"/>
              <w:rPr>
                <w:rFonts w:ascii="Calibri" w:hAnsi="Calibri"/>
                <w:b/>
                <w:bCs/>
                <w:i/>
                <w:iCs/>
                <w:color w:val="000000"/>
                <w:sz w:val="20"/>
                <w:szCs w:val="20"/>
              </w:rPr>
            </w:pPr>
            <w:r>
              <w:rPr>
                <w:rFonts w:ascii="Calibri" w:hAnsi="Calibri"/>
                <w:b/>
                <w:bCs/>
                <w:i/>
                <w:iCs/>
                <w:color w:val="000000"/>
                <w:sz w:val="20"/>
                <w:szCs w:val="20"/>
              </w:rPr>
              <w:t xml:space="preserve">  </w:t>
            </w:r>
            <w:r w:rsidR="00703D0D">
              <w:rPr>
                <w:rFonts w:ascii="Tahoma" w:hAnsi="Tahoma" w:cs="Tahoma"/>
              </w:rPr>
              <w:t>$489.268</w:t>
            </w:r>
          </w:p>
        </w:tc>
      </w:tr>
    </w:tbl>
    <w:p w14:paraId="16077CC2" w14:textId="77777777" w:rsidR="005501BA" w:rsidRDefault="005501BA" w:rsidP="00376339">
      <w:pPr>
        <w:rPr>
          <w:rFonts w:ascii="Tahoma" w:hAnsi="Tahoma" w:cs="Tahoma"/>
        </w:rPr>
      </w:pPr>
    </w:p>
    <w:sectPr w:rsidR="005501BA" w:rsidSect="001929E3">
      <w:headerReference w:type="even" r:id="rId8"/>
      <w:headerReference w:type="default" r:id="rId9"/>
      <w:footerReference w:type="default" r:id="rId10"/>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DBBF9" w14:textId="77777777" w:rsidR="00B71B57" w:rsidRDefault="00B71B57">
      <w:r>
        <w:separator/>
      </w:r>
    </w:p>
  </w:endnote>
  <w:endnote w:type="continuationSeparator" w:id="0">
    <w:p w14:paraId="78F89B09" w14:textId="77777777" w:rsidR="00B71B57" w:rsidRDefault="00B7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962548"/>
      <w:docPartObj>
        <w:docPartGallery w:val="Page Numbers (Bottom of Page)"/>
        <w:docPartUnique/>
      </w:docPartObj>
    </w:sdtPr>
    <w:sdtEndPr/>
    <w:sdtContent>
      <w:p w14:paraId="248C3A37" w14:textId="0CA4EE98" w:rsidR="001929E3" w:rsidRDefault="001929E3">
        <w:pPr>
          <w:pStyle w:val="Piedepgina"/>
          <w:jc w:val="right"/>
        </w:pPr>
        <w:r>
          <w:fldChar w:fldCharType="begin"/>
        </w:r>
        <w:r>
          <w:instrText>PAGE   \* MERGEFORMAT</w:instrText>
        </w:r>
        <w:r>
          <w:fldChar w:fldCharType="separate"/>
        </w:r>
        <w:r w:rsidR="000D659F">
          <w:rPr>
            <w:noProof/>
          </w:rPr>
          <w:t>6</w:t>
        </w:r>
        <w:r>
          <w:fldChar w:fldCharType="end"/>
        </w:r>
      </w:p>
    </w:sdtContent>
  </w:sdt>
  <w:p w14:paraId="34D69F48" w14:textId="77777777" w:rsidR="001929E3" w:rsidRDefault="00192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E104" w14:textId="77777777" w:rsidR="00B71B57" w:rsidRDefault="00B71B57">
      <w:r>
        <w:separator/>
      </w:r>
    </w:p>
  </w:footnote>
  <w:footnote w:type="continuationSeparator" w:id="0">
    <w:p w14:paraId="2077A249" w14:textId="77777777" w:rsidR="00B71B57" w:rsidRDefault="00B7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49C3" w14:textId="77777777" w:rsidR="001929E3" w:rsidRDefault="001929E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D3A71D" w14:textId="77777777" w:rsidR="001929E3" w:rsidRDefault="001929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15AA" w14:textId="425999AF" w:rsidR="001929E3" w:rsidRPr="0003464F" w:rsidRDefault="001929E3" w:rsidP="001929E3">
    <w:pPr>
      <w:pStyle w:val="Puesto"/>
      <w:tabs>
        <w:tab w:val="right" w:pos="4814"/>
      </w:tabs>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2</w:t>
    </w:r>
    <w:r w:rsidRPr="0003464F">
      <w:rPr>
        <w:rFonts w:ascii="Tahoma" w:hAnsi="Tahoma" w:cs="Tahoma"/>
        <w:b w:val="0"/>
        <w:sz w:val="14"/>
        <w:szCs w:val="14"/>
      </w:rPr>
      <w:t>-201</w:t>
    </w:r>
    <w:r>
      <w:rPr>
        <w:rFonts w:ascii="Tahoma" w:hAnsi="Tahoma" w:cs="Tahoma"/>
        <w:b w:val="0"/>
        <w:sz w:val="14"/>
        <w:szCs w:val="14"/>
      </w:rPr>
      <w:t>4-00029-01</w:t>
    </w:r>
    <w:r>
      <w:rPr>
        <w:rFonts w:ascii="Tahoma" w:hAnsi="Tahoma" w:cs="Tahoma"/>
        <w:b w:val="0"/>
        <w:sz w:val="14"/>
        <w:szCs w:val="14"/>
      </w:rPr>
      <w:tab/>
    </w:r>
  </w:p>
  <w:p w14:paraId="0F93C3F9" w14:textId="55704E93" w:rsidR="001929E3" w:rsidRPr="0003464F" w:rsidRDefault="001929E3"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Edilia Bedoya Montoya </w:t>
    </w:r>
  </w:p>
  <w:p w14:paraId="32D1D730" w14:textId="77777777" w:rsidR="001929E3" w:rsidRDefault="001929E3"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14:paraId="619E0704" w14:textId="77777777" w:rsidR="001929E3" w:rsidRPr="00B02E21" w:rsidRDefault="001929E3"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EE0"/>
    <w:multiLevelType w:val="multilevel"/>
    <w:tmpl w:val="C6FE7404"/>
    <w:lvl w:ilvl="0">
      <w:start w:val="4"/>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09983F1D"/>
    <w:multiLevelType w:val="hybridMultilevel"/>
    <w:tmpl w:val="64048DDA"/>
    <w:lvl w:ilvl="0" w:tplc="90B02D4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56B7C42"/>
    <w:multiLevelType w:val="multilevel"/>
    <w:tmpl w:val="86ACFBA2"/>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abstractNum w:abstractNumId="11">
    <w:nsid w:val="779C5F4B"/>
    <w:multiLevelType w:val="hybridMultilevel"/>
    <w:tmpl w:val="A83C92E6"/>
    <w:lvl w:ilvl="0" w:tplc="2E3AE13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4"/>
  </w:num>
  <w:num w:numId="3">
    <w:abstractNumId w:val="10"/>
  </w:num>
  <w:num w:numId="4">
    <w:abstractNumId w:val="1"/>
  </w:num>
  <w:num w:numId="5">
    <w:abstractNumId w:val="7"/>
  </w:num>
  <w:num w:numId="6">
    <w:abstractNumId w:val="9"/>
  </w:num>
  <w:num w:numId="7">
    <w:abstractNumId w:val="6"/>
  </w:num>
  <w:num w:numId="8">
    <w:abstractNumId w:val="5"/>
  </w:num>
  <w:num w:numId="9">
    <w:abstractNumId w:val="11"/>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2DB5"/>
    <w:rsid w:val="000153A7"/>
    <w:rsid w:val="00020603"/>
    <w:rsid w:val="00026F7F"/>
    <w:rsid w:val="0003464F"/>
    <w:rsid w:val="00035519"/>
    <w:rsid w:val="00035F70"/>
    <w:rsid w:val="00036C6C"/>
    <w:rsid w:val="00042881"/>
    <w:rsid w:val="0005654F"/>
    <w:rsid w:val="000571D6"/>
    <w:rsid w:val="00063238"/>
    <w:rsid w:val="00066A9C"/>
    <w:rsid w:val="00073D25"/>
    <w:rsid w:val="00074DB2"/>
    <w:rsid w:val="000809AA"/>
    <w:rsid w:val="00086572"/>
    <w:rsid w:val="0008794B"/>
    <w:rsid w:val="00092DE0"/>
    <w:rsid w:val="00095F3A"/>
    <w:rsid w:val="000973FA"/>
    <w:rsid w:val="000A01D2"/>
    <w:rsid w:val="000B0AAB"/>
    <w:rsid w:val="000B6A20"/>
    <w:rsid w:val="000B7E3E"/>
    <w:rsid w:val="000C5E89"/>
    <w:rsid w:val="000C72D6"/>
    <w:rsid w:val="000C782A"/>
    <w:rsid w:val="000D25C7"/>
    <w:rsid w:val="000D2D64"/>
    <w:rsid w:val="000D659F"/>
    <w:rsid w:val="000D6DC3"/>
    <w:rsid w:val="000D6E67"/>
    <w:rsid w:val="000D7F81"/>
    <w:rsid w:val="000E1A83"/>
    <w:rsid w:val="000E6166"/>
    <w:rsid w:val="000F0AEC"/>
    <w:rsid w:val="000F0BF3"/>
    <w:rsid w:val="000F4F7B"/>
    <w:rsid w:val="000F67F1"/>
    <w:rsid w:val="00100C29"/>
    <w:rsid w:val="00103CAF"/>
    <w:rsid w:val="0010412C"/>
    <w:rsid w:val="00105AB4"/>
    <w:rsid w:val="001073E8"/>
    <w:rsid w:val="0010792F"/>
    <w:rsid w:val="001124D2"/>
    <w:rsid w:val="00112949"/>
    <w:rsid w:val="00112FDA"/>
    <w:rsid w:val="00115B2C"/>
    <w:rsid w:val="00123B0F"/>
    <w:rsid w:val="00123C66"/>
    <w:rsid w:val="0013008E"/>
    <w:rsid w:val="00135300"/>
    <w:rsid w:val="00135BFA"/>
    <w:rsid w:val="001366A4"/>
    <w:rsid w:val="00137CFB"/>
    <w:rsid w:val="001406DC"/>
    <w:rsid w:val="0014590F"/>
    <w:rsid w:val="00145A7C"/>
    <w:rsid w:val="001460B1"/>
    <w:rsid w:val="00147837"/>
    <w:rsid w:val="00150525"/>
    <w:rsid w:val="0015291F"/>
    <w:rsid w:val="00153691"/>
    <w:rsid w:val="0015678E"/>
    <w:rsid w:val="0015714C"/>
    <w:rsid w:val="00163CAF"/>
    <w:rsid w:val="00163E5D"/>
    <w:rsid w:val="00171ECD"/>
    <w:rsid w:val="0017317A"/>
    <w:rsid w:val="0017333E"/>
    <w:rsid w:val="00175149"/>
    <w:rsid w:val="00177630"/>
    <w:rsid w:val="00185933"/>
    <w:rsid w:val="00187141"/>
    <w:rsid w:val="00191E34"/>
    <w:rsid w:val="001929E3"/>
    <w:rsid w:val="00193F63"/>
    <w:rsid w:val="001A029F"/>
    <w:rsid w:val="001B17E9"/>
    <w:rsid w:val="001B1969"/>
    <w:rsid w:val="001B71BE"/>
    <w:rsid w:val="001D3F42"/>
    <w:rsid w:val="001D77FA"/>
    <w:rsid w:val="001E2836"/>
    <w:rsid w:val="001E4A76"/>
    <w:rsid w:val="001E4F25"/>
    <w:rsid w:val="001E662C"/>
    <w:rsid w:val="001F10CC"/>
    <w:rsid w:val="001F2407"/>
    <w:rsid w:val="001F30B1"/>
    <w:rsid w:val="001F47A6"/>
    <w:rsid w:val="001F581F"/>
    <w:rsid w:val="002108C4"/>
    <w:rsid w:val="00212C99"/>
    <w:rsid w:val="002133DC"/>
    <w:rsid w:val="002150F3"/>
    <w:rsid w:val="0021548F"/>
    <w:rsid w:val="00216E05"/>
    <w:rsid w:val="00220A29"/>
    <w:rsid w:val="00227D10"/>
    <w:rsid w:val="00237416"/>
    <w:rsid w:val="00240606"/>
    <w:rsid w:val="002416AF"/>
    <w:rsid w:val="0024296A"/>
    <w:rsid w:val="00246D63"/>
    <w:rsid w:val="00255805"/>
    <w:rsid w:val="00260404"/>
    <w:rsid w:val="002640B0"/>
    <w:rsid w:val="00264B9C"/>
    <w:rsid w:val="00270580"/>
    <w:rsid w:val="00271256"/>
    <w:rsid w:val="00274936"/>
    <w:rsid w:val="002759FE"/>
    <w:rsid w:val="002768FD"/>
    <w:rsid w:val="00284E7D"/>
    <w:rsid w:val="00293216"/>
    <w:rsid w:val="002936D1"/>
    <w:rsid w:val="002A2D5B"/>
    <w:rsid w:val="002A60CF"/>
    <w:rsid w:val="002A7584"/>
    <w:rsid w:val="002B4ADF"/>
    <w:rsid w:val="002B7B53"/>
    <w:rsid w:val="002C2FEC"/>
    <w:rsid w:val="002C5F28"/>
    <w:rsid w:val="002C7790"/>
    <w:rsid w:val="002D3170"/>
    <w:rsid w:val="002D4DE5"/>
    <w:rsid w:val="002D7EE7"/>
    <w:rsid w:val="002E7568"/>
    <w:rsid w:val="002E7E3B"/>
    <w:rsid w:val="002F12F5"/>
    <w:rsid w:val="002F2301"/>
    <w:rsid w:val="002F33F4"/>
    <w:rsid w:val="002F5E29"/>
    <w:rsid w:val="002F700C"/>
    <w:rsid w:val="00303A94"/>
    <w:rsid w:val="00303C61"/>
    <w:rsid w:val="00304276"/>
    <w:rsid w:val="00304C37"/>
    <w:rsid w:val="00321053"/>
    <w:rsid w:val="00324D36"/>
    <w:rsid w:val="0032527C"/>
    <w:rsid w:val="003312CB"/>
    <w:rsid w:val="00332A0C"/>
    <w:rsid w:val="00334230"/>
    <w:rsid w:val="00344A67"/>
    <w:rsid w:val="00354339"/>
    <w:rsid w:val="003547A0"/>
    <w:rsid w:val="00355A36"/>
    <w:rsid w:val="0036013A"/>
    <w:rsid w:val="00363949"/>
    <w:rsid w:val="003646D3"/>
    <w:rsid w:val="00373B73"/>
    <w:rsid w:val="003741A0"/>
    <w:rsid w:val="00375007"/>
    <w:rsid w:val="00376339"/>
    <w:rsid w:val="00376CE9"/>
    <w:rsid w:val="003775DF"/>
    <w:rsid w:val="00384CB9"/>
    <w:rsid w:val="00385863"/>
    <w:rsid w:val="00385BB5"/>
    <w:rsid w:val="00387181"/>
    <w:rsid w:val="00393FCA"/>
    <w:rsid w:val="00394348"/>
    <w:rsid w:val="003A5517"/>
    <w:rsid w:val="003A55A8"/>
    <w:rsid w:val="003A727A"/>
    <w:rsid w:val="003A7AB2"/>
    <w:rsid w:val="003B2804"/>
    <w:rsid w:val="003C3C56"/>
    <w:rsid w:val="003C628A"/>
    <w:rsid w:val="003D1580"/>
    <w:rsid w:val="003D6A86"/>
    <w:rsid w:val="003D7969"/>
    <w:rsid w:val="003E0B20"/>
    <w:rsid w:val="003E1280"/>
    <w:rsid w:val="003F0B87"/>
    <w:rsid w:val="003F4632"/>
    <w:rsid w:val="00403413"/>
    <w:rsid w:val="004036A0"/>
    <w:rsid w:val="004037CE"/>
    <w:rsid w:val="00404698"/>
    <w:rsid w:val="004073DF"/>
    <w:rsid w:val="00410778"/>
    <w:rsid w:val="00410EB2"/>
    <w:rsid w:val="00422E74"/>
    <w:rsid w:val="004230D6"/>
    <w:rsid w:val="0042440F"/>
    <w:rsid w:val="00425A9F"/>
    <w:rsid w:val="004269C9"/>
    <w:rsid w:val="00426A89"/>
    <w:rsid w:val="00427FFD"/>
    <w:rsid w:val="00431010"/>
    <w:rsid w:val="00434695"/>
    <w:rsid w:val="0043557F"/>
    <w:rsid w:val="00437AF7"/>
    <w:rsid w:val="00440836"/>
    <w:rsid w:val="00440972"/>
    <w:rsid w:val="00440A70"/>
    <w:rsid w:val="00441417"/>
    <w:rsid w:val="00443DEE"/>
    <w:rsid w:val="00444DBD"/>
    <w:rsid w:val="004470B8"/>
    <w:rsid w:val="0044717D"/>
    <w:rsid w:val="00451426"/>
    <w:rsid w:val="00453839"/>
    <w:rsid w:val="00465A32"/>
    <w:rsid w:val="00471C5D"/>
    <w:rsid w:val="00472C3E"/>
    <w:rsid w:val="00474334"/>
    <w:rsid w:val="00483B41"/>
    <w:rsid w:val="004904A5"/>
    <w:rsid w:val="00493CA8"/>
    <w:rsid w:val="004945EE"/>
    <w:rsid w:val="00494A43"/>
    <w:rsid w:val="004978BF"/>
    <w:rsid w:val="004A0AAF"/>
    <w:rsid w:val="004A43E7"/>
    <w:rsid w:val="004A4728"/>
    <w:rsid w:val="004A788C"/>
    <w:rsid w:val="004B2639"/>
    <w:rsid w:val="004C1635"/>
    <w:rsid w:val="004D1F25"/>
    <w:rsid w:val="004D23FB"/>
    <w:rsid w:val="004D7BAC"/>
    <w:rsid w:val="004D7E26"/>
    <w:rsid w:val="004D7FBE"/>
    <w:rsid w:val="004F0B32"/>
    <w:rsid w:val="004F1A32"/>
    <w:rsid w:val="004F3B41"/>
    <w:rsid w:val="004F7067"/>
    <w:rsid w:val="005139F2"/>
    <w:rsid w:val="0052015E"/>
    <w:rsid w:val="00520F2F"/>
    <w:rsid w:val="00531779"/>
    <w:rsid w:val="00532249"/>
    <w:rsid w:val="0053245F"/>
    <w:rsid w:val="0054274D"/>
    <w:rsid w:val="00545C85"/>
    <w:rsid w:val="005501BA"/>
    <w:rsid w:val="00554F1C"/>
    <w:rsid w:val="005620B2"/>
    <w:rsid w:val="0057601B"/>
    <w:rsid w:val="005810F9"/>
    <w:rsid w:val="00582ABD"/>
    <w:rsid w:val="00583FD6"/>
    <w:rsid w:val="00587857"/>
    <w:rsid w:val="00587FDA"/>
    <w:rsid w:val="00597B20"/>
    <w:rsid w:val="005A1C22"/>
    <w:rsid w:val="005A45B1"/>
    <w:rsid w:val="005B0581"/>
    <w:rsid w:val="005C288D"/>
    <w:rsid w:val="005C363A"/>
    <w:rsid w:val="005C6AFD"/>
    <w:rsid w:val="005C6CC7"/>
    <w:rsid w:val="005C75F8"/>
    <w:rsid w:val="005C7BE4"/>
    <w:rsid w:val="005D471D"/>
    <w:rsid w:val="005E0731"/>
    <w:rsid w:val="005E147D"/>
    <w:rsid w:val="005E14FF"/>
    <w:rsid w:val="005E2583"/>
    <w:rsid w:val="005E31B0"/>
    <w:rsid w:val="005E354F"/>
    <w:rsid w:val="005E3AFC"/>
    <w:rsid w:val="005E6111"/>
    <w:rsid w:val="005F1883"/>
    <w:rsid w:val="005F4320"/>
    <w:rsid w:val="005F4AEF"/>
    <w:rsid w:val="005F636B"/>
    <w:rsid w:val="005F6EE0"/>
    <w:rsid w:val="00601E52"/>
    <w:rsid w:val="00602742"/>
    <w:rsid w:val="00604B14"/>
    <w:rsid w:val="0060601C"/>
    <w:rsid w:val="00606483"/>
    <w:rsid w:val="00607149"/>
    <w:rsid w:val="0061581E"/>
    <w:rsid w:val="00616F3F"/>
    <w:rsid w:val="00617150"/>
    <w:rsid w:val="0062158A"/>
    <w:rsid w:val="00622F22"/>
    <w:rsid w:val="00626628"/>
    <w:rsid w:val="006305E4"/>
    <w:rsid w:val="00632E6F"/>
    <w:rsid w:val="00633D46"/>
    <w:rsid w:val="00644CAA"/>
    <w:rsid w:val="00652A50"/>
    <w:rsid w:val="00663AFF"/>
    <w:rsid w:val="00665F8F"/>
    <w:rsid w:val="00667917"/>
    <w:rsid w:val="0067096B"/>
    <w:rsid w:val="00670E29"/>
    <w:rsid w:val="00672383"/>
    <w:rsid w:val="00674579"/>
    <w:rsid w:val="00674FA9"/>
    <w:rsid w:val="00676B61"/>
    <w:rsid w:val="00677340"/>
    <w:rsid w:val="00687E13"/>
    <w:rsid w:val="006A0488"/>
    <w:rsid w:val="006A141E"/>
    <w:rsid w:val="006A2B76"/>
    <w:rsid w:val="006A64EA"/>
    <w:rsid w:val="006B0498"/>
    <w:rsid w:val="006B3E8D"/>
    <w:rsid w:val="006C73A4"/>
    <w:rsid w:val="006D0910"/>
    <w:rsid w:val="006D0CD9"/>
    <w:rsid w:val="006D12A7"/>
    <w:rsid w:val="006D15FC"/>
    <w:rsid w:val="006D1C85"/>
    <w:rsid w:val="006D4B20"/>
    <w:rsid w:val="006D790F"/>
    <w:rsid w:val="006E172F"/>
    <w:rsid w:val="006E2486"/>
    <w:rsid w:val="006E2DDE"/>
    <w:rsid w:val="006E374D"/>
    <w:rsid w:val="006E78E8"/>
    <w:rsid w:val="006E7C2D"/>
    <w:rsid w:val="006F29C8"/>
    <w:rsid w:val="00702240"/>
    <w:rsid w:val="007028F1"/>
    <w:rsid w:val="00703D0D"/>
    <w:rsid w:val="00705A6C"/>
    <w:rsid w:val="007064B0"/>
    <w:rsid w:val="00713FA1"/>
    <w:rsid w:val="007142EA"/>
    <w:rsid w:val="00722E2F"/>
    <w:rsid w:val="00723025"/>
    <w:rsid w:val="00723054"/>
    <w:rsid w:val="007233C6"/>
    <w:rsid w:val="00726DCF"/>
    <w:rsid w:val="007305F3"/>
    <w:rsid w:val="00730E76"/>
    <w:rsid w:val="007318E8"/>
    <w:rsid w:val="00731BDE"/>
    <w:rsid w:val="00732834"/>
    <w:rsid w:val="00736E0C"/>
    <w:rsid w:val="00740218"/>
    <w:rsid w:val="00741DFF"/>
    <w:rsid w:val="00742DC6"/>
    <w:rsid w:val="00747BE3"/>
    <w:rsid w:val="00753464"/>
    <w:rsid w:val="00755A0C"/>
    <w:rsid w:val="00755ADE"/>
    <w:rsid w:val="00765BEE"/>
    <w:rsid w:val="00775D84"/>
    <w:rsid w:val="0077733A"/>
    <w:rsid w:val="00781178"/>
    <w:rsid w:val="00783996"/>
    <w:rsid w:val="00794993"/>
    <w:rsid w:val="00794A08"/>
    <w:rsid w:val="00794A40"/>
    <w:rsid w:val="00794F03"/>
    <w:rsid w:val="007960D1"/>
    <w:rsid w:val="0079712E"/>
    <w:rsid w:val="007A0603"/>
    <w:rsid w:val="007A0D6B"/>
    <w:rsid w:val="007A19F9"/>
    <w:rsid w:val="007A479B"/>
    <w:rsid w:val="007A5829"/>
    <w:rsid w:val="007B002F"/>
    <w:rsid w:val="007B0B02"/>
    <w:rsid w:val="007B33FF"/>
    <w:rsid w:val="007B3991"/>
    <w:rsid w:val="007B5F6C"/>
    <w:rsid w:val="007B712E"/>
    <w:rsid w:val="007C0948"/>
    <w:rsid w:val="007C2585"/>
    <w:rsid w:val="007C4253"/>
    <w:rsid w:val="007D0E2C"/>
    <w:rsid w:val="007E40F9"/>
    <w:rsid w:val="007E769F"/>
    <w:rsid w:val="007E7DCB"/>
    <w:rsid w:val="007F09E8"/>
    <w:rsid w:val="007F3C57"/>
    <w:rsid w:val="007F5254"/>
    <w:rsid w:val="007F7A0D"/>
    <w:rsid w:val="0080025B"/>
    <w:rsid w:val="008010A1"/>
    <w:rsid w:val="008079AE"/>
    <w:rsid w:val="0081336D"/>
    <w:rsid w:val="00814CCB"/>
    <w:rsid w:val="0082096F"/>
    <w:rsid w:val="00821189"/>
    <w:rsid w:val="00821719"/>
    <w:rsid w:val="00822D5F"/>
    <w:rsid w:val="00823530"/>
    <w:rsid w:val="00824FCB"/>
    <w:rsid w:val="00831631"/>
    <w:rsid w:val="0084104B"/>
    <w:rsid w:val="008422C1"/>
    <w:rsid w:val="00842538"/>
    <w:rsid w:val="0084767D"/>
    <w:rsid w:val="00850ACF"/>
    <w:rsid w:val="00861E9E"/>
    <w:rsid w:val="00866D3F"/>
    <w:rsid w:val="00871E94"/>
    <w:rsid w:val="00876491"/>
    <w:rsid w:val="00880083"/>
    <w:rsid w:val="00880098"/>
    <w:rsid w:val="008802D1"/>
    <w:rsid w:val="00882D6A"/>
    <w:rsid w:val="00885462"/>
    <w:rsid w:val="0089084D"/>
    <w:rsid w:val="00893C70"/>
    <w:rsid w:val="008943D7"/>
    <w:rsid w:val="008943FE"/>
    <w:rsid w:val="008B1DA1"/>
    <w:rsid w:val="008B2922"/>
    <w:rsid w:val="008C75A9"/>
    <w:rsid w:val="008D0272"/>
    <w:rsid w:val="008D24CC"/>
    <w:rsid w:val="008E0267"/>
    <w:rsid w:val="008E095A"/>
    <w:rsid w:val="008E0F46"/>
    <w:rsid w:val="008E17BD"/>
    <w:rsid w:val="008E58B7"/>
    <w:rsid w:val="008F4DEC"/>
    <w:rsid w:val="008F6797"/>
    <w:rsid w:val="00903C1D"/>
    <w:rsid w:val="00904761"/>
    <w:rsid w:val="009061EA"/>
    <w:rsid w:val="00907272"/>
    <w:rsid w:val="00910F1A"/>
    <w:rsid w:val="0091175F"/>
    <w:rsid w:val="0091375E"/>
    <w:rsid w:val="00913C3C"/>
    <w:rsid w:val="0091448D"/>
    <w:rsid w:val="00915F89"/>
    <w:rsid w:val="00915FDE"/>
    <w:rsid w:val="00920F05"/>
    <w:rsid w:val="009217E5"/>
    <w:rsid w:val="00931AF2"/>
    <w:rsid w:val="00937C8A"/>
    <w:rsid w:val="00941D3B"/>
    <w:rsid w:val="009457B7"/>
    <w:rsid w:val="00950969"/>
    <w:rsid w:val="00950C09"/>
    <w:rsid w:val="0095257C"/>
    <w:rsid w:val="00956C46"/>
    <w:rsid w:val="00957E5E"/>
    <w:rsid w:val="00960114"/>
    <w:rsid w:val="0096113F"/>
    <w:rsid w:val="009638A9"/>
    <w:rsid w:val="00966F51"/>
    <w:rsid w:val="009676A3"/>
    <w:rsid w:val="00970ABC"/>
    <w:rsid w:val="00970BB6"/>
    <w:rsid w:val="00972BBF"/>
    <w:rsid w:val="009750A9"/>
    <w:rsid w:val="009768DE"/>
    <w:rsid w:val="00980CDA"/>
    <w:rsid w:val="00985F49"/>
    <w:rsid w:val="00997B7B"/>
    <w:rsid w:val="009A33C7"/>
    <w:rsid w:val="009A3EDB"/>
    <w:rsid w:val="009A4059"/>
    <w:rsid w:val="009A6FC0"/>
    <w:rsid w:val="009B0213"/>
    <w:rsid w:val="009B1C64"/>
    <w:rsid w:val="009C29D3"/>
    <w:rsid w:val="009C30B5"/>
    <w:rsid w:val="009C3992"/>
    <w:rsid w:val="009C7CEA"/>
    <w:rsid w:val="009D4C09"/>
    <w:rsid w:val="009D7452"/>
    <w:rsid w:val="009D7B4A"/>
    <w:rsid w:val="009E2CE9"/>
    <w:rsid w:val="009E7143"/>
    <w:rsid w:val="009F2AE3"/>
    <w:rsid w:val="00A07765"/>
    <w:rsid w:val="00A111FA"/>
    <w:rsid w:val="00A113B0"/>
    <w:rsid w:val="00A1731C"/>
    <w:rsid w:val="00A2022C"/>
    <w:rsid w:val="00A2190B"/>
    <w:rsid w:val="00A22DB1"/>
    <w:rsid w:val="00A26F16"/>
    <w:rsid w:val="00A27099"/>
    <w:rsid w:val="00A355DC"/>
    <w:rsid w:val="00A40333"/>
    <w:rsid w:val="00A40E3C"/>
    <w:rsid w:val="00A4593F"/>
    <w:rsid w:val="00A46EBD"/>
    <w:rsid w:val="00A52B4D"/>
    <w:rsid w:val="00A53B13"/>
    <w:rsid w:val="00A53DA2"/>
    <w:rsid w:val="00A561C3"/>
    <w:rsid w:val="00A57848"/>
    <w:rsid w:val="00A6237C"/>
    <w:rsid w:val="00A6619E"/>
    <w:rsid w:val="00A74A08"/>
    <w:rsid w:val="00A75635"/>
    <w:rsid w:val="00A912DF"/>
    <w:rsid w:val="00A93DEC"/>
    <w:rsid w:val="00AA05DF"/>
    <w:rsid w:val="00AA26BB"/>
    <w:rsid w:val="00AA407F"/>
    <w:rsid w:val="00AB34E3"/>
    <w:rsid w:val="00AB7A2F"/>
    <w:rsid w:val="00AC3805"/>
    <w:rsid w:val="00AC4184"/>
    <w:rsid w:val="00AD2158"/>
    <w:rsid w:val="00AD58A6"/>
    <w:rsid w:val="00AE103C"/>
    <w:rsid w:val="00B003F1"/>
    <w:rsid w:val="00B02064"/>
    <w:rsid w:val="00B02E21"/>
    <w:rsid w:val="00B04CE1"/>
    <w:rsid w:val="00B12EB7"/>
    <w:rsid w:val="00B15DC8"/>
    <w:rsid w:val="00B1619D"/>
    <w:rsid w:val="00B16FEA"/>
    <w:rsid w:val="00B22B3B"/>
    <w:rsid w:val="00B23567"/>
    <w:rsid w:val="00B23BA7"/>
    <w:rsid w:val="00B246D4"/>
    <w:rsid w:val="00B3066E"/>
    <w:rsid w:val="00B30E20"/>
    <w:rsid w:val="00B37F4F"/>
    <w:rsid w:val="00B4239D"/>
    <w:rsid w:val="00B44497"/>
    <w:rsid w:val="00B454FF"/>
    <w:rsid w:val="00B47552"/>
    <w:rsid w:val="00B47E25"/>
    <w:rsid w:val="00B503FA"/>
    <w:rsid w:val="00B5526D"/>
    <w:rsid w:val="00B647EE"/>
    <w:rsid w:val="00B660AE"/>
    <w:rsid w:val="00B6678A"/>
    <w:rsid w:val="00B66A97"/>
    <w:rsid w:val="00B67A12"/>
    <w:rsid w:val="00B70BC1"/>
    <w:rsid w:val="00B711CA"/>
    <w:rsid w:val="00B71B57"/>
    <w:rsid w:val="00B72282"/>
    <w:rsid w:val="00B80804"/>
    <w:rsid w:val="00B86F89"/>
    <w:rsid w:val="00B870FC"/>
    <w:rsid w:val="00B915E1"/>
    <w:rsid w:val="00B926F5"/>
    <w:rsid w:val="00BA1C09"/>
    <w:rsid w:val="00BA3DE3"/>
    <w:rsid w:val="00BB3A8B"/>
    <w:rsid w:val="00BC0060"/>
    <w:rsid w:val="00BC3710"/>
    <w:rsid w:val="00BC5024"/>
    <w:rsid w:val="00BC62EF"/>
    <w:rsid w:val="00BD15AE"/>
    <w:rsid w:val="00BD42A2"/>
    <w:rsid w:val="00BD6904"/>
    <w:rsid w:val="00BF0FC3"/>
    <w:rsid w:val="00BF274C"/>
    <w:rsid w:val="00BF3B8F"/>
    <w:rsid w:val="00BF70E8"/>
    <w:rsid w:val="00C141B3"/>
    <w:rsid w:val="00C16548"/>
    <w:rsid w:val="00C176B3"/>
    <w:rsid w:val="00C20097"/>
    <w:rsid w:val="00C21AEF"/>
    <w:rsid w:val="00C22677"/>
    <w:rsid w:val="00C24558"/>
    <w:rsid w:val="00C247D4"/>
    <w:rsid w:val="00C2605A"/>
    <w:rsid w:val="00C30D72"/>
    <w:rsid w:val="00C32647"/>
    <w:rsid w:val="00C3314B"/>
    <w:rsid w:val="00C360BB"/>
    <w:rsid w:val="00C40D90"/>
    <w:rsid w:val="00C47C71"/>
    <w:rsid w:val="00C52AB3"/>
    <w:rsid w:val="00C56292"/>
    <w:rsid w:val="00C61A77"/>
    <w:rsid w:val="00C64F60"/>
    <w:rsid w:val="00C65305"/>
    <w:rsid w:val="00C6736C"/>
    <w:rsid w:val="00C700A5"/>
    <w:rsid w:val="00C75AA9"/>
    <w:rsid w:val="00C81A02"/>
    <w:rsid w:val="00C8527A"/>
    <w:rsid w:val="00C90795"/>
    <w:rsid w:val="00C93C87"/>
    <w:rsid w:val="00CA310A"/>
    <w:rsid w:val="00CA50CF"/>
    <w:rsid w:val="00CA5FE4"/>
    <w:rsid w:val="00CC7ADF"/>
    <w:rsid w:val="00CD05C1"/>
    <w:rsid w:val="00CD4B55"/>
    <w:rsid w:val="00CD7C37"/>
    <w:rsid w:val="00CE02F8"/>
    <w:rsid w:val="00CE0D35"/>
    <w:rsid w:val="00CE0F94"/>
    <w:rsid w:val="00CE4A89"/>
    <w:rsid w:val="00CE6A89"/>
    <w:rsid w:val="00CE719F"/>
    <w:rsid w:val="00CE773D"/>
    <w:rsid w:val="00CF00BA"/>
    <w:rsid w:val="00CF0A2C"/>
    <w:rsid w:val="00CF1189"/>
    <w:rsid w:val="00CF6476"/>
    <w:rsid w:val="00D02404"/>
    <w:rsid w:val="00D03EDB"/>
    <w:rsid w:val="00D23957"/>
    <w:rsid w:val="00D26E61"/>
    <w:rsid w:val="00D347C4"/>
    <w:rsid w:val="00D34818"/>
    <w:rsid w:val="00D35B73"/>
    <w:rsid w:val="00D36A75"/>
    <w:rsid w:val="00D40A51"/>
    <w:rsid w:val="00D436A6"/>
    <w:rsid w:val="00D46D37"/>
    <w:rsid w:val="00D4717E"/>
    <w:rsid w:val="00D50BC7"/>
    <w:rsid w:val="00D52475"/>
    <w:rsid w:val="00D524E2"/>
    <w:rsid w:val="00D56F34"/>
    <w:rsid w:val="00D60597"/>
    <w:rsid w:val="00D609CF"/>
    <w:rsid w:val="00D73A8A"/>
    <w:rsid w:val="00D749EF"/>
    <w:rsid w:val="00D75703"/>
    <w:rsid w:val="00D7714B"/>
    <w:rsid w:val="00D77B1A"/>
    <w:rsid w:val="00D8346D"/>
    <w:rsid w:val="00D83F33"/>
    <w:rsid w:val="00D85EEC"/>
    <w:rsid w:val="00D8628F"/>
    <w:rsid w:val="00D871A5"/>
    <w:rsid w:val="00D90180"/>
    <w:rsid w:val="00D9299C"/>
    <w:rsid w:val="00D943F7"/>
    <w:rsid w:val="00D97653"/>
    <w:rsid w:val="00D97C0D"/>
    <w:rsid w:val="00DA0D50"/>
    <w:rsid w:val="00DA18EA"/>
    <w:rsid w:val="00DA3BE3"/>
    <w:rsid w:val="00DA5B4B"/>
    <w:rsid w:val="00DA6630"/>
    <w:rsid w:val="00DA6BA4"/>
    <w:rsid w:val="00DB2B94"/>
    <w:rsid w:val="00DB6A92"/>
    <w:rsid w:val="00DC3D38"/>
    <w:rsid w:val="00DC66EF"/>
    <w:rsid w:val="00DD19DB"/>
    <w:rsid w:val="00DD2B8C"/>
    <w:rsid w:val="00DD7013"/>
    <w:rsid w:val="00DF4C31"/>
    <w:rsid w:val="00DF4FF0"/>
    <w:rsid w:val="00DF64E3"/>
    <w:rsid w:val="00E00595"/>
    <w:rsid w:val="00E00D95"/>
    <w:rsid w:val="00E0212E"/>
    <w:rsid w:val="00E073A2"/>
    <w:rsid w:val="00E1276E"/>
    <w:rsid w:val="00E1749E"/>
    <w:rsid w:val="00E21AB6"/>
    <w:rsid w:val="00E2535D"/>
    <w:rsid w:val="00E35029"/>
    <w:rsid w:val="00E35E46"/>
    <w:rsid w:val="00E42849"/>
    <w:rsid w:val="00E4447C"/>
    <w:rsid w:val="00E44903"/>
    <w:rsid w:val="00E46003"/>
    <w:rsid w:val="00E46457"/>
    <w:rsid w:val="00E47C89"/>
    <w:rsid w:val="00E5032B"/>
    <w:rsid w:val="00E526FB"/>
    <w:rsid w:val="00E52C11"/>
    <w:rsid w:val="00E62A49"/>
    <w:rsid w:val="00E62F5D"/>
    <w:rsid w:val="00E65DDC"/>
    <w:rsid w:val="00E70D00"/>
    <w:rsid w:val="00E80289"/>
    <w:rsid w:val="00E8354D"/>
    <w:rsid w:val="00E85619"/>
    <w:rsid w:val="00E90014"/>
    <w:rsid w:val="00E90515"/>
    <w:rsid w:val="00EA12F2"/>
    <w:rsid w:val="00EA2CC4"/>
    <w:rsid w:val="00EA3B25"/>
    <w:rsid w:val="00EA56D6"/>
    <w:rsid w:val="00EA77EE"/>
    <w:rsid w:val="00EA7AD9"/>
    <w:rsid w:val="00EB0716"/>
    <w:rsid w:val="00EB474A"/>
    <w:rsid w:val="00EC059E"/>
    <w:rsid w:val="00EC59F0"/>
    <w:rsid w:val="00EC7E81"/>
    <w:rsid w:val="00ED17B2"/>
    <w:rsid w:val="00ED49B8"/>
    <w:rsid w:val="00ED6E5F"/>
    <w:rsid w:val="00EE09BF"/>
    <w:rsid w:val="00EF49BC"/>
    <w:rsid w:val="00EF522E"/>
    <w:rsid w:val="00F00B6F"/>
    <w:rsid w:val="00F013B8"/>
    <w:rsid w:val="00F01623"/>
    <w:rsid w:val="00F030A7"/>
    <w:rsid w:val="00F07E02"/>
    <w:rsid w:val="00F2087F"/>
    <w:rsid w:val="00F22BD0"/>
    <w:rsid w:val="00F310ED"/>
    <w:rsid w:val="00F361FF"/>
    <w:rsid w:val="00F41A6B"/>
    <w:rsid w:val="00F42839"/>
    <w:rsid w:val="00F43B9B"/>
    <w:rsid w:val="00F51547"/>
    <w:rsid w:val="00F559DA"/>
    <w:rsid w:val="00F628C2"/>
    <w:rsid w:val="00F649A6"/>
    <w:rsid w:val="00F70563"/>
    <w:rsid w:val="00F727EE"/>
    <w:rsid w:val="00F73B81"/>
    <w:rsid w:val="00F7690A"/>
    <w:rsid w:val="00F77CD6"/>
    <w:rsid w:val="00F80278"/>
    <w:rsid w:val="00F81435"/>
    <w:rsid w:val="00F90755"/>
    <w:rsid w:val="00F91EB1"/>
    <w:rsid w:val="00FA5074"/>
    <w:rsid w:val="00FA6AA2"/>
    <w:rsid w:val="00FB093A"/>
    <w:rsid w:val="00FB1066"/>
    <w:rsid w:val="00FB2380"/>
    <w:rsid w:val="00FB2BDC"/>
    <w:rsid w:val="00FB5EDE"/>
    <w:rsid w:val="00FC0A99"/>
    <w:rsid w:val="00FC3EBD"/>
    <w:rsid w:val="00FC6763"/>
    <w:rsid w:val="00FC7EC4"/>
    <w:rsid w:val="00FD0423"/>
    <w:rsid w:val="00FD18DD"/>
    <w:rsid w:val="00FD294B"/>
    <w:rsid w:val="00FD3065"/>
    <w:rsid w:val="00FD313A"/>
    <w:rsid w:val="00FD4E47"/>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4245E"/>
  <w15:docId w15:val="{6BF146CB-5ABC-47BD-9390-55383DBC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32834"/>
    <w:rPr>
      <w:sz w:val="24"/>
      <w:szCs w:val="24"/>
    </w:rPr>
  </w:style>
  <w:style w:type="character" w:styleId="Textoennegrita">
    <w:name w:val="Strong"/>
    <w:basedOn w:val="Fuentedeprrafopredeter"/>
    <w:qFormat/>
    <w:rsid w:val="00966F51"/>
    <w:rPr>
      <w:b/>
      <w:bCs/>
    </w:rPr>
  </w:style>
  <w:style w:type="character" w:styleId="nfasissutil">
    <w:name w:val="Subtle Emphasis"/>
    <w:basedOn w:val="Fuentedeprrafopredeter"/>
    <w:uiPriority w:val="19"/>
    <w:qFormat/>
    <w:rsid w:val="002416AF"/>
    <w:rPr>
      <w:i/>
      <w:iCs/>
      <w:color w:val="404040" w:themeColor="text1" w:themeTint="BF"/>
    </w:rPr>
  </w:style>
  <w:style w:type="paragraph" w:customStyle="1" w:styleId="Textoindependiente21">
    <w:name w:val="Texto independiente 21"/>
    <w:basedOn w:val="Normal"/>
    <w:link w:val="BodyText2Car1"/>
    <w:uiPriority w:val="99"/>
    <w:rsid w:val="00EC059E"/>
    <w:pPr>
      <w:overflowPunct w:val="0"/>
      <w:autoSpaceDE w:val="0"/>
      <w:autoSpaceDN w:val="0"/>
      <w:adjustRightInd w:val="0"/>
      <w:spacing w:line="360" w:lineRule="auto"/>
      <w:ind w:firstLine="709"/>
      <w:jc w:val="both"/>
      <w:textAlignment w:val="baseline"/>
    </w:pPr>
    <w:rPr>
      <w:rFonts w:ascii="Arial Narrow" w:hAnsi="Arial Narrow"/>
      <w:sz w:val="30"/>
      <w:szCs w:val="30"/>
      <w:lang w:val="es-CO" w:eastAsia="x-none"/>
    </w:rPr>
  </w:style>
  <w:style w:type="character" w:customStyle="1" w:styleId="BodyText2Car1">
    <w:name w:val="Body Text 2 Car1"/>
    <w:link w:val="Textoindependiente21"/>
    <w:uiPriority w:val="99"/>
    <w:locked/>
    <w:rsid w:val="00EC059E"/>
    <w:rPr>
      <w:rFonts w:ascii="Arial Narrow" w:hAnsi="Arial Narrow"/>
      <w:sz w:val="30"/>
      <w:szCs w:val="30"/>
      <w:lang w:val="es-CO" w:eastAsia="x-none"/>
    </w:rPr>
  </w:style>
  <w:style w:type="character" w:styleId="Hipervnculo">
    <w:name w:val="Hyperlink"/>
    <w:basedOn w:val="Fuentedeprrafopredeter"/>
    <w:uiPriority w:val="99"/>
    <w:semiHidden/>
    <w:unhideWhenUsed/>
    <w:rsid w:val="00EC059E"/>
    <w:rPr>
      <w:color w:val="0000FF"/>
      <w:u w:val="single"/>
    </w:rPr>
  </w:style>
  <w:style w:type="character" w:customStyle="1" w:styleId="PiedepginaCar">
    <w:name w:val="Pie de página Car"/>
    <w:basedOn w:val="Fuentedeprrafopredeter"/>
    <w:link w:val="Piedepgina"/>
    <w:uiPriority w:val="99"/>
    <w:rsid w:val="00192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13675326">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1890531080">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3156-D494-4F2B-9517-5ECD5584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2835</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7</cp:revision>
  <cp:lastPrinted>2016-08-22T15:53:00Z</cp:lastPrinted>
  <dcterms:created xsi:type="dcterms:W3CDTF">2016-08-19T19:15:00Z</dcterms:created>
  <dcterms:modified xsi:type="dcterms:W3CDTF">2016-09-05T13:56:00Z</dcterms:modified>
</cp:coreProperties>
</file>