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A8" w:rsidRDefault="00CD49A8" w:rsidP="002B6DC3">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14:anchorId="2ECA2D81" wp14:editId="1D40751F">
            <wp:simplePos x="0" y="0"/>
            <wp:positionH relativeFrom="column">
              <wp:posOffset>2177415</wp:posOffset>
            </wp:positionH>
            <wp:positionV relativeFrom="paragraph">
              <wp:posOffset>-55245</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CD49A8" w:rsidRDefault="00CD49A8" w:rsidP="002B6DC3">
      <w:pPr>
        <w:spacing w:line="276" w:lineRule="auto"/>
        <w:contextualSpacing/>
        <w:rPr>
          <w:rFonts w:ascii="Edwardian Script ITC" w:hAnsi="Edwardian Script ITC" w:cs="Arial"/>
          <w:b/>
          <w:sz w:val="44"/>
          <w:szCs w:val="44"/>
        </w:rPr>
      </w:pPr>
    </w:p>
    <w:p w:rsidR="00CD49A8" w:rsidRPr="003325C4" w:rsidRDefault="00CD49A8" w:rsidP="006E7609">
      <w:pPr>
        <w:spacing w:line="276" w:lineRule="auto"/>
        <w:contextualSpacing/>
        <w:rPr>
          <w:rFonts w:cs="Arial"/>
          <w:b/>
          <w:sz w:val="32"/>
          <w:szCs w:val="32"/>
        </w:rPr>
      </w:pPr>
    </w:p>
    <w:p w:rsidR="00CD49A8" w:rsidRPr="003325C4" w:rsidRDefault="00CD49A8" w:rsidP="002B6DC3">
      <w:pPr>
        <w:spacing w:line="276" w:lineRule="auto"/>
        <w:contextualSpacing/>
        <w:jc w:val="center"/>
        <w:rPr>
          <w:rFonts w:cs="Arial"/>
          <w:b/>
          <w:sz w:val="32"/>
          <w:szCs w:val="32"/>
        </w:rPr>
      </w:pPr>
      <w:r w:rsidRPr="003325C4">
        <w:rPr>
          <w:rFonts w:cs="Arial"/>
          <w:b/>
          <w:sz w:val="32"/>
          <w:szCs w:val="32"/>
        </w:rPr>
        <w:t>Rama Judicial del Poder Público</w:t>
      </w:r>
    </w:p>
    <w:p w:rsidR="00CD49A8" w:rsidRPr="003325C4" w:rsidRDefault="00CD49A8" w:rsidP="002B6DC3">
      <w:pPr>
        <w:spacing w:line="276" w:lineRule="auto"/>
        <w:contextualSpacing/>
        <w:jc w:val="center"/>
        <w:rPr>
          <w:rFonts w:cs="Arial"/>
          <w:b/>
          <w:sz w:val="32"/>
          <w:szCs w:val="32"/>
        </w:rPr>
      </w:pPr>
      <w:r w:rsidRPr="003325C4">
        <w:rPr>
          <w:rFonts w:cs="Arial"/>
          <w:b/>
          <w:sz w:val="32"/>
          <w:szCs w:val="32"/>
        </w:rPr>
        <w:t xml:space="preserve">Tribunal Superior del Distrito Judicial de </w:t>
      </w:r>
      <w:r w:rsidR="003325C4" w:rsidRPr="003325C4">
        <w:rPr>
          <w:rFonts w:cs="Arial"/>
          <w:b/>
          <w:sz w:val="32"/>
          <w:szCs w:val="32"/>
        </w:rPr>
        <w:t xml:space="preserve"> Pereira</w:t>
      </w:r>
    </w:p>
    <w:p w:rsidR="003325C4" w:rsidRPr="003325C4" w:rsidRDefault="003325C4" w:rsidP="002B6DC3">
      <w:pPr>
        <w:spacing w:line="276" w:lineRule="auto"/>
        <w:contextualSpacing/>
        <w:jc w:val="center"/>
        <w:rPr>
          <w:rFonts w:cs="Arial"/>
          <w:b/>
          <w:sz w:val="32"/>
          <w:szCs w:val="32"/>
        </w:rPr>
      </w:pPr>
      <w:r w:rsidRPr="003325C4">
        <w:rPr>
          <w:rFonts w:cs="Arial"/>
          <w:b/>
          <w:sz w:val="32"/>
          <w:szCs w:val="32"/>
        </w:rPr>
        <w:t>Sala</w:t>
      </w:r>
      <w:r w:rsidR="006E7609">
        <w:rPr>
          <w:rFonts w:cs="Arial"/>
          <w:b/>
          <w:sz w:val="32"/>
          <w:szCs w:val="32"/>
        </w:rPr>
        <w:t xml:space="preserve"> Unitaria Laboral </w:t>
      </w:r>
    </w:p>
    <w:p w:rsidR="00CD49A8" w:rsidRPr="001A2C68" w:rsidRDefault="00CD49A8" w:rsidP="002B6DC3">
      <w:pPr>
        <w:spacing w:line="276" w:lineRule="auto"/>
        <w:contextualSpacing/>
        <w:jc w:val="center"/>
        <w:rPr>
          <w:rFonts w:ascii="Edwardian Script ITC" w:hAnsi="Edwardian Script ITC" w:cs="Arial"/>
          <w:b/>
          <w:sz w:val="44"/>
          <w:szCs w:val="44"/>
        </w:rPr>
      </w:pPr>
      <w:r>
        <w:rPr>
          <w:rFonts w:ascii="Edwardian Script ITC" w:hAnsi="Edwardian Script ITC" w:cs="Arial"/>
          <w:b/>
          <w:sz w:val="44"/>
          <w:szCs w:val="44"/>
          <w:lang w:val="es-CO"/>
        </w:rPr>
        <w:t xml:space="preserve"> </w:t>
      </w:r>
    </w:p>
    <w:p w:rsidR="00CD49A8" w:rsidRPr="000971E5" w:rsidRDefault="00CD49A8" w:rsidP="002B6DC3">
      <w:pPr>
        <w:pStyle w:val="NormalWeb"/>
        <w:spacing w:before="0" w:after="0" w:line="276" w:lineRule="auto"/>
        <w:contextualSpacing/>
        <w:jc w:val="center"/>
        <w:rPr>
          <w:rFonts w:ascii="Arial" w:hAnsi="Arial" w:cs="Arial"/>
          <w:color w:val="000000"/>
        </w:rPr>
      </w:pPr>
      <w:r w:rsidRPr="000971E5">
        <w:rPr>
          <w:rFonts w:ascii="Arial" w:hAnsi="Arial" w:cs="Arial"/>
          <w:color w:val="000000"/>
        </w:rPr>
        <w:t xml:space="preserve">Magistrada </w:t>
      </w:r>
      <w:r>
        <w:rPr>
          <w:rFonts w:ascii="Arial" w:hAnsi="Arial" w:cs="Arial"/>
          <w:color w:val="000000"/>
        </w:rPr>
        <w:t>Sustanciadora</w:t>
      </w:r>
    </w:p>
    <w:p w:rsidR="00CD49A8" w:rsidRPr="000971E5" w:rsidRDefault="00CD49A8" w:rsidP="002B6DC3">
      <w:pPr>
        <w:spacing w:line="276" w:lineRule="auto"/>
        <w:contextualSpacing/>
        <w:jc w:val="center"/>
        <w:rPr>
          <w:rFonts w:cs="Arial"/>
          <w:b/>
          <w:bCs/>
          <w:color w:val="000000"/>
          <w:sz w:val="24"/>
          <w:lang w:val="es-CO"/>
        </w:rPr>
      </w:pPr>
      <w:r w:rsidRPr="000971E5">
        <w:rPr>
          <w:rFonts w:cs="Arial"/>
          <w:b/>
          <w:bCs/>
          <w:color w:val="000000"/>
          <w:sz w:val="24"/>
          <w:lang w:val="es-CO"/>
        </w:rPr>
        <w:t>OLGA LUCÍA HOYOS SEPÚLVEDA</w:t>
      </w:r>
    </w:p>
    <w:p w:rsidR="00CD49A8" w:rsidRPr="000971E5" w:rsidRDefault="00CD49A8" w:rsidP="002B6DC3">
      <w:pPr>
        <w:spacing w:line="276" w:lineRule="auto"/>
        <w:ind w:firstLine="851"/>
        <w:contextualSpacing/>
        <w:jc w:val="center"/>
        <w:rPr>
          <w:rFonts w:cs="Arial"/>
          <w:color w:val="000000"/>
          <w:sz w:val="24"/>
          <w:lang w:val="es-CO"/>
        </w:rPr>
      </w:pPr>
    </w:p>
    <w:p w:rsidR="00CD49A8" w:rsidRPr="000971E5" w:rsidRDefault="00CD49A8" w:rsidP="002B6DC3">
      <w:pPr>
        <w:spacing w:line="276" w:lineRule="auto"/>
        <w:contextualSpacing/>
        <w:jc w:val="center"/>
        <w:rPr>
          <w:rFonts w:cs="Arial"/>
          <w:b/>
          <w:sz w:val="24"/>
        </w:rPr>
      </w:pPr>
    </w:p>
    <w:p w:rsidR="00DC10F5" w:rsidRDefault="00CD49A8" w:rsidP="002B6DC3">
      <w:pPr>
        <w:spacing w:line="276" w:lineRule="auto"/>
        <w:ind w:left="708" w:firstLine="708"/>
        <w:contextualSpacing/>
        <w:jc w:val="both"/>
        <w:rPr>
          <w:rFonts w:eastAsia="Calibri" w:cs="Arial"/>
          <w:sz w:val="24"/>
          <w:lang w:eastAsia="en-US"/>
        </w:rPr>
      </w:pPr>
      <w:r w:rsidRPr="000971E5">
        <w:rPr>
          <w:rFonts w:eastAsia="Calibri" w:cs="Arial"/>
          <w:b/>
          <w:sz w:val="24"/>
          <w:lang w:eastAsia="en-US"/>
        </w:rPr>
        <w:t>Asunto.</w:t>
      </w:r>
      <w:r w:rsidRPr="000971E5">
        <w:rPr>
          <w:rFonts w:eastAsia="Calibri" w:cs="Arial"/>
          <w:b/>
          <w:sz w:val="24"/>
          <w:lang w:eastAsia="en-US"/>
        </w:rPr>
        <w:tab/>
      </w:r>
      <w:r>
        <w:rPr>
          <w:rFonts w:eastAsia="Calibri" w:cs="Arial"/>
          <w:b/>
          <w:sz w:val="24"/>
          <w:lang w:eastAsia="en-US"/>
        </w:rPr>
        <w:t xml:space="preserve"> </w:t>
      </w:r>
      <w:r w:rsidR="00DC10F5">
        <w:rPr>
          <w:rFonts w:eastAsia="Calibri" w:cs="Arial"/>
          <w:b/>
          <w:sz w:val="24"/>
          <w:lang w:eastAsia="en-US"/>
        </w:rPr>
        <w:tab/>
      </w:r>
      <w:r w:rsidR="003325C4">
        <w:rPr>
          <w:rFonts w:eastAsia="Calibri" w:cs="Arial"/>
          <w:b/>
          <w:sz w:val="24"/>
          <w:lang w:eastAsia="en-US"/>
        </w:rPr>
        <w:t xml:space="preserve">         </w:t>
      </w:r>
      <w:r w:rsidR="00473F0D">
        <w:rPr>
          <w:rFonts w:eastAsia="Calibri" w:cs="Arial"/>
          <w:b/>
          <w:sz w:val="24"/>
          <w:lang w:eastAsia="en-US"/>
        </w:rPr>
        <w:t xml:space="preserve"> </w:t>
      </w:r>
      <w:r w:rsidR="003325C4">
        <w:rPr>
          <w:rFonts w:eastAsia="Calibri" w:cs="Arial"/>
          <w:b/>
          <w:sz w:val="24"/>
          <w:lang w:eastAsia="en-US"/>
        </w:rPr>
        <w:t xml:space="preserve"> </w:t>
      </w:r>
      <w:r w:rsidR="000D591D">
        <w:rPr>
          <w:rFonts w:eastAsia="Calibri" w:cs="Arial"/>
          <w:sz w:val="24"/>
          <w:lang w:eastAsia="en-US"/>
        </w:rPr>
        <w:t>Rechaza de plano recurso</w:t>
      </w:r>
    </w:p>
    <w:p w:rsidR="00CD49A8" w:rsidRPr="000971E5" w:rsidRDefault="002B6DC3" w:rsidP="002B6DC3">
      <w:pPr>
        <w:spacing w:line="276" w:lineRule="auto"/>
        <w:ind w:left="708" w:firstLine="708"/>
        <w:contextualSpacing/>
        <w:jc w:val="both"/>
        <w:rPr>
          <w:rFonts w:eastAsia="Calibri" w:cs="Arial"/>
          <w:sz w:val="24"/>
          <w:lang w:eastAsia="en-US"/>
        </w:rPr>
      </w:pPr>
      <w:r>
        <w:rPr>
          <w:rFonts w:eastAsia="Calibri" w:cs="Arial"/>
          <w:b/>
          <w:sz w:val="24"/>
          <w:lang w:eastAsia="en-US"/>
        </w:rPr>
        <w:t xml:space="preserve">Recurrente: </w:t>
      </w:r>
      <w:r>
        <w:rPr>
          <w:rFonts w:eastAsia="Calibri" w:cs="Arial"/>
          <w:b/>
          <w:sz w:val="24"/>
          <w:lang w:eastAsia="en-US"/>
        </w:rPr>
        <w:tab/>
      </w:r>
      <w:r>
        <w:rPr>
          <w:rFonts w:eastAsia="Calibri" w:cs="Arial"/>
          <w:b/>
          <w:sz w:val="24"/>
          <w:lang w:eastAsia="en-US"/>
        </w:rPr>
        <w:tab/>
      </w:r>
      <w:r w:rsidR="00DC10F5">
        <w:rPr>
          <w:rFonts w:eastAsia="Calibri" w:cs="Arial"/>
          <w:b/>
          <w:sz w:val="24"/>
          <w:lang w:eastAsia="en-US"/>
        </w:rPr>
        <w:tab/>
      </w:r>
      <w:r w:rsidR="00473F0D">
        <w:rPr>
          <w:rFonts w:eastAsia="Calibri" w:cs="Arial"/>
          <w:sz w:val="24"/>
          <w:lang w:eastAsia="en-US"/>
        </w:rPr>
        <w:t>Luis Fernando Moreno Bustamante</w:t>
      </w:r>
    </w:p>
    <w:p w:rsidR="00DC10F5" w:rsidRDefault="00CD49A8" w:rsidP="002B6DC3">
      <w:pPr>
        <w:spacing w:line="276" w:lineRule="auto"/>
        <w:ind w:left="1416"/>
        <w:contextualSpacing/>
        <w:jc w:val="both"/>
        <w:rPr>
          <w:rFonts w:eastAsia="Calibri" w:cs="Arial"/>
          <w:sz w:val="24"/>
          <w:lang w:eastAsia="en-US"/>
        </w:rPr>
      </w:pPr>
      <w:r w:rsidRPr="000971E5">
        <w:rPr>
          <w:rFonts w:eastAsia="Calibri" w:cs="Arial"/>
          <w:b/>
          <w:sz w:val="24"/>
          <w:lang w:eastAsia="en-US"/>
        </w:rPr>
        <w:t>Radicación.</w:t>
      </w:r>
      <w:r w:rsidR="00DC10F5">
        <w:rPr>
          <w:rFonts w:eastAsia="Calibri" w:cs="Arial"/>
          <w:b/>
          <w:sz w:val="24"/>
          <w:lang w:eastAsia="en-US"/>
        </w:rPr>
        <w:tab/>
      </w:r>
      <w:r w:rsidRPr="000971E5">
        <w:rPr>
          <w:rFonts w:eastAsia="Calibri" w:cs="Arial"/>
          <w:sz w:val="24"/>
          <w:lang w:eastAsia="en-US"/>
        </w:rPr>
        <w:tab/>
      </w:r>
      <w:r w:rsidR="002B6DC3">
        <w:rPr>
          <w:rFonts w:eastAsia="Calibri" w:cs="Arial"/>
          <w:sz w:val="24"/>
          <w:lang w:eastAsia="en-US"/>
        </w:rPr>
        <w:tab/>
        <w:t>66001-23-31-000-2016-0000</w:t>
      </w:r>
      <w:r w:rsidR="00653041">
        <w:rPr>
          <w:rFonts w:eastAsia="Calibri" w:cs="Arial"/>
          <w:sz w:val="24"/>
          <w:lang w:eastAsia="en-US"/>
        </w:rPr>
        <w:t>3</w:t>
      </w:r>
      <w:r w:rsidR="003325C4">
        <w:rPr>
          <w:rFonts w:eastAsia="Calibri" w:cs="Arial"/>
          <w:sz w:val="24"/>
          <w:lang w:eastAsia="en-US"/>
        </w:rPr>
        <w:t>-00</w:t>
      </w:r>
    </w:p>
    <w:p w:rsidR="00CD49A8" w:rsidRPr="000971E5" w:rsidRDefault="00CD49A8" w:rsidP="002B6DC3">
      <w:pPr>
        <w:spacing w:line="276" w:lineRule="auto"/>
        <w:ind w:left="4248" w:hanging="2832"/>
        <w:contextualSpacing/>
        <w:jc w:val="both"/>
        <w:rPr>
          <w:rFonts w:cs="Arial"/>
          <w:sz w:val="24"/>
        </w:rPr>
      </w:pPr>
      <w:r w:rsidRPr="000971E5">
        <w:rPr>
          <w:rFonts w:eastAsia="Calibri" w:cs="Arial"/>
          <w:b/>
          <w:sz w:val="24"/>
          <w:lang w:eastAsia="en-US"/>
        </w:rPr>
        <w:t>Tema.</w:t>
      </w:r>
      <w:r w:rsidRPr="000971E5">
        <w:rPr>
          <w:rFonts w:eastAsia="Calibri" w:cs="Arial"/>
          <w:b/>
          <w:sz w:val="24"/>
          <w:lang w:eastAsia="en-US"/>
        </w:rPr>
        <w:tab/>
      </w:r>
      <w:r w:rsidR="00653041" w:rsidRPr="00653041">
        <w:rPr>
          <w:rFonts w:eastAsia="Calibri" w:cs="Arial"/>
          <w:sz w:val="24"/>
          <w:lang w:eastAsia="en-US"/>
        </w:rPr>
        <w:t>Imp</w:t>
      </w:r>
      <w:r w:rsidR="002B6DC3" w:rsidRPr="00653041">
        <w:rPr>
          <w:rFonts w:eastAsia="Calibri" w:cs="Arial"/>
          <w:sz w:val="24"/>
          <w:lang w:eastAsia="en-US"/>
        </w:rPr>
        <w:t>r</w:t>
      </w:r>
      <w:r w:rsidR="002B6DC3">
        <w:rPr>
          <w:rFonts w:eastAsia="Calibri" w:cs="Arial"/>
          <w:sz w:val="24"/>
          <w:lang w:eastAsia="en-US"/>
        </w:rPr>
        <w:t>ocedencia del recurso de queja</w:t>
      </w:r>
      <w:r w:rsidR="00DC7769">
        <w:rPr>
          <w:rFonts w:eastAsia="Calibri" w:cs="Arial"/>
          <w:sz w:val="24"/>
          <w:lang w:eastAsia="en-US"/>
        </w:rPr>
        <w:t xml:space="preserve"> </w:t>
      </w:r>
    </w:p>
    <w:p w:rsidR="00CD49A8" w:rsidRDefault="00CD49A8" w:rsidP="002B6DC3">
      <w:pPr>
        <w:spacing w:line="276" w:lineRule="auto"/>
        <w:contextualSpacing/>
        <w:jc w:val="center"/>
        <w:rPr>
          <w:rFonts w:cs="Arial"/>
          <w:sz w:val="24"/>
        </w:rPr>
      </w:pPr>
    </w:p>
    <w:p w:rsidR="00CD49A8" w:rsidRDefault="00CD49A8" w:rsidP="002B6DC3">
      <w:pPr>
        <w:spacing w:line="276" w:lineRule="auto"/>
        <w:contextualSpacing/>
        <w:jc w:val="center"/>
        <w:rPr>
          <w:rFonts w:cs="Arial"/>
          <w:sz w:val="24"/>
        </w:rPr>
      </w:pPr>
    </w:p>
    <w:p w:rsidR="00CD49A8" w:rsidRPr="0032468F" w:rsidRDefault="005E2C14" w:rsidP="002B6DC3">
      <w:pPr>
        <w:spacing w:line="276" w:lineRule="auto"/>
        <w:contextualSpacing/>
        <w:jc w:val="center"/>
        <w:rPr>
          <w:rFonts w:cs="Arial"/>
          <w:sz w:val="24"/>
        </w:rPr>
      </w:pPr>
      <w:r>
        <w:rPr>
          <w:rFonts w:cs="Arial"/>
          <w:sz w:val="24"/>
        </w:rPr>
        <w:t>Pereira,</w:t>
      </w:r>
      <w:r w:rsidR="00CD49A8">
        <w:rPr>
          <w:rFonts w:cs="Arial"/>
          <w:sz w:val="24"/>
        </w:rPr>
        <w:t xml:space="preserve"> </w:t>
      </w:r>
      <w:r w:rsidR="00AB0DB8">
        <w:rPr>
          <w:rFonts w:cs="Arial"/>
          <w:sz w:val="24"/>
        </w:rPr>
        <w:t>cinco</w:t>
      </w:r>
      <w:r w:rsidR="002B6DC3">
        <w:rPr>
          <w:rFonts w:cs="Arial"/>
          <w:sz w:val="24"/>
        </w:rPr>
        <w:t xml:space="preserve"> </w:t>
      </w:r>
      <w:r w:rsidR="00CD49A8" w:rsidRPr="0032468F">
        <w:rPr>
          <w:rFonts w:cs="Arial"/>
          <w:sz w:val="24"/>
        </w:rPr>
        <w:t>(</w:t>
      </w:r>
      <w:r w:rsidR="002B6DC3">
        <w:rPr>
          <w:rFonts w:cs="Arial"/>
          <w:sz w:val="24"/>
        </w:rPr>
        <w:t>0</w:t>
      </w:r>
      <w:r w:rsidR="00AB0DB8">
        <w:rPr>
          <w:rFonts w:cs="Arial"/>
          <w:sz w:val="24"/>
        </w:rPr>
        <w:t>5</w:t>
      </w:r>
      <w:r w:rsidR="00CD49A8">
        <w:rPr>
          <w:rFonts w:cs="Arial"/>
          <w:sz w:val="24"/>
        </w:rPr>
        <w:t xml:space="preserve">) de </w:t>
      </w:r>
      <w:r>
        <w:rPr>
          <w:rFonts w:cs="Arial"/>
          <w:sz w:val="24"/>
        </w:rPr>
        <w:t>ju</w:t>
      </w:r>
      <w:r w:rsidR="00AB0DB8">
        <w:rPr>
          <w:rFonts w:cs="Arial"/>
          <w:sz w:val="24"/>
        </w:rPr>
        <w:t>l</w:t>
      </w:r>
      <w:bookmarkStart w:id="0" w:name="_GoBack"/>
      <w:bookmarkEnd w:id="0"/>
      <w:r>
        <w:rPr>
          <w:rFonts w:cs="Arial"/>
          <w:sz w:val="24"/>
        </w:rPr>
        <w:t>io de</w:t>
      </w:r>
      <w:r w:rsidR="00CD49A8">
        <w:rPr>
          <w:rFonts w:cs="Arial"/>
          <w:sz w:val="24"/>
        </w:rPr>
        <w:t xml:space="preserve"> dos mil</w:t>
      </w:r>
      <w:r w:rsidR="00F35B0E">
        <w:rPr>
          <w:rFonts w:cs="Arial"/>
          <w:sz w:val="24"/>
        </w:rPr>
        <w:t xml:space="preserve"> dieciséis</w:t>
      </w:r>
      <w:r w:rsidR="00CD49A8">
        <w:rPr>
          <w:rFonts w:cs="Arial"/>
          <w:sz w:val="24"/>
        </w:rPr>
        <w:t xml:space="preserve"> (201</w:t>
      </w:r>
      <w:r w:rsidR="00F35B0E">
        <w:rPr>
          <w:rFonts w:cs="Arial"/>
          <w:sz w:val="24"/>
        </w:rPr>
        <w:t>6</w:t>
      </w:r>
      <w:r w:rsidR="00CD49A8" w:rsidRPr="0032468F">
        <w:rPr>
          <w:rFonts w:cs="Arial"/>
          <w:sz w:val="24"/>
        </w:rPr>
        <w:t>)</w:t>
      </w:r>
    </w:p>
    <w:p w:rsidR="00CD49A8" w:rsidRPr="00EE6DFB" w:rsidRDefault="00CD49A8" w:rsidP="002B6DC3">
      <w:pPr>
        <w:spacing w:line="276" w:lineRule="auto"/>
        <w:ind w:firstLine="851"/>
        <w:contextualSpacing/>
        <w:jc w:val="center"/>
        <w:rPr>
          <w:rFonts w:cs="Arial"/>
          <w:color w:val="000000"/>
          <w:sz w:val="24"/>
        </w:rPr>
      </w:pPr>
    </w:p>
    <w:p w:rsidR="00CD49A8" w:rsidRPr="00EE6DFB" w:rsidRDefault="00CD49A8" w:rsidP="002B6DC3">
      <w:pPr>
        <w:keepNext/>
        <w:spacing w:line="276" w:lineRule="auto"/>
        <w:contextualSpacing/>
        <w:jc w:val="both"/>
        <w:rPr>
          <w:rFonts w:cs="Arial"/>
          <w:bCs/>
          <w:sz w:val="24"/>
          <w:lang w:val="es-CO"/>
        </w:rPr>
      </w:pPr>
    </w:p>
    <w:p w:rsidR="00181196" w:rsidRDefault="00CD49A8" w:rsidP="00317D0B">
      <w:pPr>
        <w:spacing w:line="360" w:lineRule="auto"/>
        <w:contextualSpacing/>
        <w:jc w:val="both"/>
        <w:rPr>
          <w:rFonts w:cs="Arial"/>
          <w:sz w:val="24"/>
        </w:rPr>
      </w:pPr>
      <w:r w:rsidRPr="00EE6DFB">
        <w:rPr>
          <w:rFonts w:cs="Arial"/>
          <w:sz w:val="24"/>
        </w:rPr>
        <w:t xml:space="preserve">Se </w:t>
      </w:r>
      <w:r w:rsidR="00B14450">
        <w:rPr>
          <w:rFonts w:cs="Arial"/>
          <w:sz w:val="24"/>
        </w:rPr>
        <w:t xml:space="preserve">procede a decidir sobre la </w:t>
      </w:r>
      <w:r w:rsidR="002B6DC3">
        <w:rPr>
          <w:rFonts w:cs="Arial"/>
          <w:sz w:val="24"/>
        </w:rPr>
        <w:t>admisi</w:t>
      </w:r>
      <w:r w:rsidR="00B14450">
        <w:rPr>
          <w:rFonts w:cs="Arial"/>
          <w:sz w:val="24"/>
        </w:rPr>
        <w:t xml:space="preserve">ón del trámite </w:t>
      </w:r>
      <w:r w:rsidR="002B6DC3">
        <w:rPr>
          <w:rFonts w:cs="Arial"/>
          <w:sz w:val="24"/>
        </w:rPr>
        <w:t xml:space="preserve">del recurso de queja </w:t>
      </w:r>
      <w:r w:rsidR="00181196">
        <w:rPr>
          <w:rFonts w:cs="Arial"/>
          <w:sz w:val="24"/>
        </w:rPr>
        <w:t xml:space="preserve">interpuesto en trámite administrativo surtido en el Juzgado Segundo </w:t>
      </w:r>
      <w:r w:rsidR="00181196" w:rsidRPr="00EE6DFB">
        <w:rPr>
          <w:rFonts w:cs="Arial"/>
          <w:sz w:val="24"/>
        </w:rPr>
        <w:t>de Ejecución de Penas y Medidas de Seguridad</w:t>
      </w:r>
      <w:r w:rsidR="00181196">
        <w:rPr>
          <w:rFonts w:cs="Arial"/>
          <w:sz w:val="24"/>
        </w:rPr>
        <w:t xml:space="preserve"> de esta ciudad. </w:t>
      </w:r>
    </w:p>
    <w:p w:rsidR="00181196" w:rsidRDefault="00181196" w:rsidP="00317D0B">
      <w:pPr>
        <w:spacing w:line="360" w:lineRule="auto"/>
        <w:contextualSpacing/>
        <w:jc w:val="both"/>
        <w:rPr>
          <w:rFonts w:cs="Arial"/>
          <w:b/>
          <w:sz w:val="24"/>
        </w:rPr>
      </w:pPr>
    </w:p>
    <w:p w:rsidR="00124040" w:rsidRPr="00181196" w:rsidRDefault="00124040" w:rsidP="00317D0B">
      <w:pPr>
        <w:spacing w:line="360" w:lineRule="auto"/>
        <w:contextualSpacing/>
        <w:jc w:val="both"/>
        <w:rPr>
          <w:rFonts w:cs="Arial"/>
          <w:b/>
          <w:sz w:val="24"/>
        </w:rPr>
      </w:pPr>
    </w:p>
    <w:p w:rsidR="00181196" w:rsidRPr="00181196" w:rsidRDefault="00181196" w:rsidP="00181196">
      <w:pPr>
        <w:spacing w:line="360" w:lineRule="auto"/>
        <w:contextualSpacing/>
        <w:jc w:val="center"/>
        <w:rPr>
          <w:rFonts w:cs="Arial"/>
          <w:b/>
          <w:sz w:val="24"/>
        </w:rPr>
      </w:pPr>
      <w:r w:rsidRPr="00181196">
        <w:rPr>
          <w:rFonts w:cs="Arial"/>
          <w:b/>
          <w:sz w:val="24"/>
        </w:rPr>
        <w:t>ANTECEDENTES</w:t>
      </w:r>
    </w:p>
    <w:p w:rsidR="00181196" w:rsidRDefault="00181196" w:rsidP="00317D0B">
      <w:pPr>
        <w:spacing w:line="360" w:lineRule="auto"/>
        <w:contextualSpacing/>
        <w:jc w:val="both"/>
        <w:rPr>
          <w:rFonts w:cs="Arial"/>
          <w:sz w:val="24"/>
        </w:rPr>
      </w:pPr>
    </w:p>
    <w:p w:rsidR="00CD49A8" w:rsidRPr="00EE6DFB" w:rsidRDefault="00181196" w:rsidP="00317D0B">
      <w:pPr>
        <w:spacing w:line="360" w:lineRule="auto"/>
        <w:contextualSpacing/>
        <w:jc w:val="both"/>
        <w:rPr>
          <w:rFonts w:cs="Arial"/>
          <w:sz w:val="24"/>
        </w:rPr>
      </w:pPr>
      <w:r>
        <w:rPr>
          <w:rFonts w:cs="Arial"/>
          <w:sz w:val="24"/>
        </w:rPr>
        <w:t xml:space="preserve">1. Mediante escrito presentado por el </w:t>
      </w:r>
      <w:r w:rsidR="00653041">
        <w:rPr>
          <w:rFonts w:cs="Arial"/>
          <w:sz w:val="24"/>
        </w:rPr>
        <w:t>Luis Fernando Moreno Bustamante</w:t>
      </w:r>
      <w:r>
        <w:rPr>
          <w:rFonts w:cs="Arial"/>
          <w:sz w:val="24"/>
        </w:rPr>
        <w:t>, se interpone recurso de queja</w:t>
      </w:r>
      <w:r w:rsidR="002B6DC3">
        <w:rPr>
          <w:rFonts w:cs="Arial"/>
          <w:sz w:val="24"/>
        </w:rPr>
        <w:t xml:space="preserve"> en contra de la Resolución N° </w:t>
      </w:r>
      <w:r w:rsidR="000E369C">
        <w:rPr>
          <w:rFonts w:cs="Arial"/>
          <w:sz w:val="24"/>
        </w:rPr>
        <w:t>01</w:t>
      </w:r>
      <w:r w:rsidR="002B6DC3">
        <w:rPr>
          <w:rFonts w:cs="Arial"/>
          <w:sz w:val="24"/>
        </w:rPr>
        <w:t>2 de</w:t>
      </w:r>
      <w:r w:rsidR="000E369C">
        <w:rPr>
          <w:rFonts w:cs="Arial"/>
          <w:sz w:val="24"/>
        </w:rPr>
        <w:t>l</w:t>
      </w:r>
      <w:r w:rsidR="002B6DC3">
        <w:rPr>
          <w:rFonts w:cs="Arial"/>
          <w:sz w:val="24"/>
        </w:rPr>
        <w:t xml:space="preserve"> </w:t>
      </w:r>
      <w:r w:rsidR="000E369C">
        <w:rPr>
          <w:rFonts w:cs="Arial"/>
          <w:sz w:val="24"/>
        </w:rPr>
        <w:t>6</w:t>
      </w:r>
      <w:r w:rsidR="002B6DC3">
        <w:rPr>
          <w:rFonts w:cs="Arial"/>
          <w:sz w:val="24"/>
        </w:rPr>
        <w:t xml:space="preserve"> de </w:t>
      </w:r>
      <w:r w:rsidR="000E369C">
        <w:rPr>
          <w:rFonts w:cs="Arial"/>
          <w:sz w:val="24"/>
        </w:rPr>
        <w:t>mayo</w:t>
      </w:r>
      <w:r w:rsidR="002B6DC3">
        <w:rPr>
          <w:rFonts w:cs="Arial"/>
          <w:sz w:val="24"/>
        </w:rPr>
        <w:t xml:space="preserve"> de 2016, proferida por el </w:t>
      </w:r>
      <w:r w:rsidR="00CD49A8" w:rsidRPr="00EE6DFB">
        <w:rPr>
          <w:rFonts w:cs="Arial"/>
          <w:sz w:val="24"/>
        </w:rPr>
        <w:t xml:space="preserve">Juez </w:t>
      </w:r>
      <w:r w:rsidR="00CF5511">
        <w:rPr>
          <w:rFonts w:cs="Arial"/>
          <w:sz w:val="24"/>
        </w:rPr>
        <w:t>Segundo</w:t>
      </w:r>
      <w:r w:rsidR="002B6DC3">
        <w:rPr>
          <w:rFonts w:cs="Arial"/>
          <w:sz w:val="24"/>
        </w:rPr>
        <w:t xml:space="preserve"> </w:t>
      </w:r>
      <w:r w:rsidR="00396021" w:rsidRPr="00EE6DFB">
        <w:rPr>
          <w:rFonts w:cs="Arial"/>
          <w:sz w:val="24"/>
        </w:rPr>
        <w:t>de Ejecución de Penas y Medidas de Seguridad</w:t>
      </w:r>
      <w:r w:rsidR="002B6DC3">
        <w:rPr>
          <w:rFonts w:cs="Arial"/>
          <w:sz w:val="24"/>
        </w:rPr>
        <w:t xml:space="preserve"> de esta ciudad</w:t>
      </w:r>
      <w:r w:rsidR="00CD49A8" w:rsidRPr="00EE6DFB">
        <w:rPr>
          <w:rFonts w:cs="Arial"/>
          <w:sz w:val="24"/>
        </w:rPr>
        <w:t xml:space="preserve">, </w:t>
      </w:r>
      <w:r w:rsidR="002B6DC3">
        <w:rPr>
          <w:rFonts w:cs="Arial"/>
          <w:sz w:val="24"/>
        </w:rPr>
        <w:t xml:space="preserve">mediante el cual decidió </w:t>
      </w:r>
      <w:r w:rsidR="00CF5511">
        <w:rPr>
          <w:rFonts w:cs="Arial"/>
          <w:sz w:val="24"/>
        </w:rPr>
        <w:t xml:space="preserve">dejar sin efectos la Resolución 003 del 1-02-2016 mediante la cual se </w:t>
      </w:r>
      <w:r w:rsidR="00424881">
        <w:rPr>
          <w:rFonts w:cs="Arial"/>
          <w:sz w:val="24"/>
        </w:rPr>
        <w:t>l</w:t>
      </w:r>
      <w:r w:rsidR="00CF5511">
        <w:rPr>
          <w:rFonts w:cs="Arial"/>
          <w:sz w:val="24"/>
        </w:rPr>
        <w:t>e reintegró al cargo de asistente jurídico en propiedad de eses despacho y negó el recurso de apelación interpuesto en forma subsidiaria</w:t>
      </w:r>
      <w:r w:rsidR="00C27509">
        <w:rPr>
          <w:rFonts w:cs="Arial"/>
          <w:sz w:val="24"/>
        </w:rPr>
        <w:t>, para solicitar se revoque el acto administrativo en lo que respecta a la negativa del recurso de apelación por falta de superior jerárquico administrativo y en su lugar se conceda</w:t>
      </w:r>
      <w:r w:rsidR="00CF5511">
        <w:rPr>
          <w:rFonts w:cs="Arial"/>
          <w:sz w:val="24"/>
        </w:rPr>
        <w:t>.</w:t>
      </w:r>
    </w:p>
    <w:p w:rsidR="00CD49A8" w:rsidRDefault="00CD49A8" w:rsidP="00317D0B">
      <w:pPr>
        <w:spacing w:line="360" w:lineRule="auto"/>
        <w:contextualSpacing/>
        <w:jc w:val="both"/>
        <w:rPr>
          <w:rFonts w:cs="Arial"/>
          <w:sz w:val="24"/>
        </w:rPr>
      </w:pPr>
    </w:p>
    <w:p w:rsidR="00CD49A8" w:rsidRDefault="00181196" w:rsidP="00652759">
      <w:pPr>
        <w:spacing w:line="360" w:lineRule="auto"/>
        <w:contextualSpacing/>
        <w:jc w:val="both"/>
        <w:rPr>
          <w:rFonts w:cs="Arial"/>
          <w:sz w:val="24"/>
        </w:rPr>
      </w:pPr>
      <w:r>
        <w:rPr>
          <w:rFonts w:cs="Arial"/>
          <w:sz w:val="24"/>
        </w:rPr>
        <w:lastRenderedPageBreak/>
        <w:t>Para sustentar el mismo transcribe a partes de una sentencia</w:t>
      </w:r>
      <w:r w:rsidR="00652759">
        <w:rPr>
          <w:rFonts w:cs="Arial"/>
          <w:sz w:val="24"/>
        </w:rPr>
        <w:t>, al parecer de la Corte Constitucional</w:t>
      </w:r>
      <w:r w:rsidR="00C27509">
        <w:rPr>
          <w:rFonts w:cs="Arial"/>
          <w:sz w:val="24"/>
        </w:rPr>
        <w:t xml:space="preserve"> donde el actuó como accionante,</w:t>
      </w:r>
      <w:r w:rsidR="006D51D2">
        <w:rPr>
          <w:rFonts w:cs="Arial"/>
          <w:sz w:val="24"/>
        </w:rPr>
        <w:t xml:space="preserve"> sin</w:t>
      </w:r>
      <w:r w:rsidR="00652759">
        <w:rPr>
          <w:rFonts w:cs="Arial"/>
          <w:sz w:val="24"/>
        </w:rPr>
        <w:t xml:space="preserve"> identificarla</w:t>
      </w:r>
      <w:r w:rsidR="006D51D2">
        <w:rPr>
          <w:rFonts w:cs="Arial"/>
          <w:sz w:val="24"/>
        </w:rPr>
        <w:t>, pero que</w:t>
      </w:r>
      <w:r w:rsidR="008B032C">
        <w:rPr>
          <w:rFonts w:cs="Arial"/>
          <w:sz w:val="24"/>
        </w:rPr>
        <w:t xml:space="preserve">; </w:t>
      </w:r>
      <w:r w:rsidR="00652759">
        <w:rPr>
          <w:rFonts w:cs="Arial"/>
          <w:sz w:val="24"/>
        </w:rPr>
        <w:t xml:space="preserve">en su contenido </w:t>
      </w:r>
      <w:r w:rsidR="008B032C">
        <w:rPr>
          <w:rFonts w:cs="Arial"/>
          <w:sz w:val="24"/>
        </w:rPr>
        <w:t>hace referencia a un conflicto de competencia en materia de acciones de tutela</w:t>
      </w:r>
      <w:r w:rsidR="002565DD">
        <w:rPr>
          <w:rFonts w:cs="Arial"/>
          <w:sz w:val="24"/>
        </w:rPr>
        <w:t>.</w:t>
      </w:r>
      <w:r w:rsidR="008B032C">
        <w:rPr>
          <w:rFonts w:cs="Arial"/>
          <w:sz w:val="24"/>
        </w:rPr>
        <w:t xml:space="preserve"> </w:t>
      </w:r>
    </w:p>
    <w:p w:rsidR="003C4324" w:rsidRPr="003C4324" w:rsidRDefault="003C4324" w:rsidP="00317D0B">
      <w:pPr>
        <w:spacing w:line="360" w:lineRule="auto"/>
        <w:rPr>
          <w:sz w:val="24"/>
        </w:rPr>
      </w:pPr>
    </w:p>
    <w:p w:rsidR="002A6434" w:rsidRDefault="004406A1" w:rsidP="00317D0B">
      <w:pPr>
        <w:spacing w:line="360" w:lineRule="auto"/>
        <w:jc w:val="both"/>
        <w:rPr>
          <w:sz w:val="24"/>
        </w:rPr>
      </w:pPr>
      <w:r>
        <w:rPr>
          <w:sz w:val="24"/>
        </w:rPr>
        <w:t xml:space="preserve"> </w:t>
      </w:r>
    </w:p>
    <w:p w:rsidR="004406A1" w:rsidRDefault="004406A1" w:rsidP="004406A1">
      <w:pPr>
        <w:spacing w:line="360" w:lineRule="auto"/>
        <w:jc w:val="both"/>
        <w:rPr>
          <w:sz w:val="24"/>
        </w:rPr>
      </w:pPr>
      <w:r>
        <w:rPr>
          <w:sz w:val="24"/>
        </w:rPr>
        <w:t xml:space="preserve">Como anexos dijo allegar copia de la resolución No.012 de mayo de 2016, entre otros documentos, sin embargo, no aparece dentro de los anexos entregados a la Secretaría de esta Corporación. </w:t>
      </w:r>
    </w:p>
    <w:p w:rsidR="004406A1" w:rsidRDefault="004406A1" w:rsidP="004406A1">
      <w:pPr>
        <w:spacing w:line="360" w:lineRule="auto"/>
        <w:jc w:val="both"/>
        <w:rPr>
          <w:sz w:val="24"/>
        </w:rPr>
      </w:pPr>
    </w:p>
    <w:p w:rsidR="004406A1" w:rsidRDefault="004406A1" w:rsidP="004406A1">
      <w:pPr>
        <w:spacing w:line="360" w:lineRule="auto"/>
        <w:jc w:val="both"/>
        <w:rPr>
          <w:sz w:val="24"/>
        </w:rPr>
      </w:pPr>
    </w:p>
    <w:p w:rsidR="00671BB2" w:rsidRDefault="00B14450" w:rsidP="00317D0B">
      <w:pPr>
        <w:spacing w:line="360" w:lineRule="auto"/>
        <w:jc w:val="center"/>
        <w:rPr>
          <w:b/>
          <w:sz w:val="24"/>
        </w:rPr>
      </w:pPr>
      <w:r>
        <w:rPr>
          <w:b/>
          <w:sz w:val="24"/>
        </w:rPr>
        <w:t xml:space="preserve">CONSIDERACIONES </w:t>
      </w:r>
    </w:p>
    <w:p w:rsidR="00B14450" w:rsidRPr="00B14450" w:rsidRDefault="00B14450" w:rsidP="00317D0B">
      <w:pPr>
        <w:spacing w:line="360" w:lineRule="auto"/>
        <w:jc w:val="center"/>
        <w:rPr>
          <w:b/>
          <w:sz w:val="24"/>
        </w:rPr>
      </w:pPr>
    </w:p>
    <w:p w:rsidR="00C50530" w:rsidRPr="0039469E" w:rsidRDefault="00671BB2" w:rsidP="00C50530">
      <w:pPr>
        <w:pStyle w:val="Textoindependiente"/>
        <w:tabs>
          <w:tab w:val="clear" w:pos="708"/>
        </w:tabs>
        <w:spacing w:line="360" w:lineRule="auto"/>
        <w:rPr>
          <w:rFonts w:ascii="Arial" w:hAnsi="Arial" w:cs="Arial"/>
          <w:lang w:val="es-CO"/>
        </w:rPr>
      </w:pPr>
      <w:r>
        <w:rPr>
          <w:b/>
        </w:rPr>
        <w:t>1.</w:t>
      </w:r>
      <w:r w:rsidR="00C50530" w:rsidRPr="00C50530">
        <w:rPr>
          <w:rFonts w:cs="Arial"/>
          <w:lang w:val="es-CO"/>
        </w:rPr>
        <w:t xml:space="preserve"> </w:t>
      </w:r>
      <w:r w:rsidR="00C50530" w:rsidRPr="0039469E">
        <w:rPr>
          <w:rFonts w:ascii="Arial" w:hAnsi="Arial" w:cs="Arial"/>
          <w:lang w:val="es-CO"/>
        </w:rPr>
        <w:t>La competencia</w:t>
      </w:r>
      <w:r w:rsidR="00C50530">
        <w:rPr>
          <w:rFonts w:ascii="Arial" w:hAnsi="Arial" w:cs="Arial"/>
          <w:lang w:val="es-CO"/>
        </w:rPr>
        <w:t xml:space="preserve"> funcional</w:t>
      </w:r>
    </w:p>
    <w:p w:rsidR="00C50530" w:rsidRPr="0039469E" w:rsidRDefault="00C50530" w:rsidP="00C50530">
      <w:pPr>
        <w:pStyle w:val="Textoindependiente"/>
        <w:spacing w:line="360" w:lineRule="auto"/>
        <w:rPr>
          <w:rFonts w:ascii="Arial" w:hAnsi="Arial" w:cs="Arial"/>
          <w:lang w:val="es-CO"/>
        </w:rPr>
      </w:pPr>
    </w:p>
    <w:p w:rsidR="00C50530" w:rsidRDefault="00C50530" w:rsidP="00C50530">
      <w:pPr>
        <w:spacing w:line="360" w:lineRule="auto"/>
        <w:jc w:val="both"/>
        <w:rPr>
          <w:rFonts w:cs="Arial"/>
          <w:sz w:val="24"/>
          <w:lang w:val="es-MX"/>
        </w:rPr>
      </w:pPr>
      <w:r>
        <w:rPr>
          <w:rFonts w:cs="Arial"/>
          <w:sz w:val="24"/>
          <w:lang w:val="es-MX"/>
        </w:rPr>
        <w:t>La tiene esta Corporación, para decidir el recurso de queja, en su condición de superior administrativo del servidor judicial que emitió el acto administrativo, al tenor del artículo 74 del CPACA y la jurisprudencia que como precedente, ha sentado el Consejo de Estado</w:t>
      </w:r>
      <w:r>
        <w:rPr>
          <w:rStyle w:val="Refdenotaalpie"/>
          <w:lang w:val="es-MX"/>
        </w:rPr>
        <w:footnoteReference w:id="1"/>
      </w:r>
      <w:r>
        <w:rPr>
          <w:rFonts w:cs="Arial"/>
          <w:sz w:val="24"/>
          <w:lang w:val="es-MX"/>
        </w:rPr>
        <w:t xml:space="preserve"> en su Sala de Consulta y Servicio Civil. </w:t>
      </w:r>
    </w:p>
    <w:p w:rsidR="00C50530" w:rsidRDefault="00C50530" w:rsidP="00317D0B">
      <w:pPr>
        <w:spacing w:line="360" w:lineRule="auto"/>
        <w:jc w:val="both"/>
        <w:rPr>
          <w:b/>
          <w:sz w:val="24"/>
        </w:rPr>
      </w:pPr>
    </w:p>
    <w:p w:rsidR="00C50530" w:rsidRDefault="00C50530" w:rsidP="00317D0B">
      <w:pPr>
        <w:spacing w:line="360" w:lineRule="auto"/>
        <w:jc w:val="both"/>
        <w:rPr>
          <w:b/>
          <w:sz w:val="24"/>
        </w:rPr>
      </w:pPr>
    </w:p>
    <w:p w:rsidR="00671BB2" w:rsidRDefault="00C50530" w:rsidP="00317D0B">
      <w:pPr>
        <w:spacing w:line="360" w:lineRule="auto"/>
        <w:jc w:val="both"/>
        <w:rPr>
          <w:b/>
          <w:sz w:val="24"/>
        </w:rPr>
      </w:pPr>
      <w:r>
        <w:rPr>
          <w:b/>
          <w:sz w:val="24"/>
        </w:rPr>
        <w:t>2.</w:t>
      </w:r>
      <w:r w:rsidR="00671BB2">
        <w:rPr>
          <w:b/>
          <w:sz w:val="24"/>
        </w:rPr>
        <w:t xml:space="preserve"> Problema Jurídico: </w:t>
      </w:r>
    </w:p>
    <w:p w:rsidR="00B14450" w:rsidRDefault="00B14450" w:rsidP="00317D0B">
      <w:pPr>
        <w:spacing w:line="360" w:lineRule="auto"/>
        <w:jc w:val="both"/>
        <w:rPr>
          <w:b/>
          <w:sz w:val="24"/>
        </w:rPr>
      </w:pPr>
    </w:p>
    <w:p w:rsidR="00671BB2" w:rsidRPr="00671BB2" w:rsidRDefault="00671BB2" w:rsidP="00317D0B">
      <w:pPr>
        <w:spacing w:line="360" w:lineRule="auto"/>
        <w:jc w:val="both"/>
        <w:rPr>
          <w:sz w:val="24"/>
        </w:rPr>
      </w:pPr>
      <w:r>
        <w:rPr>
          <w:sz w:val="24"/>
        </w:rPr>
        <w:t>Como problema jurídico, se formula el siguiente:</w:t>
      </w:r>
    </w:p>
    <w:p w:rsidR="00671BB2" w:rsidRDefault="00671BB2" w:rsidP="00317D0B">
      <w:pPr>
        <w:spacing w:line="360" w:lineRule="auto"/>
        <w:jc w:val="both"/>
        <w:rPr>
          <w:b/>
          <w:sz w:val="24"/>
        </w:rPr>
      </w:pPr>
    </w:p>
    <w:p w:rsidR="00671BB2" w:rsidRPr="00671BB2" w:rsidRDefault="00671BB2" w:rsidP="00317D0B">
      <w:pPr>
        <w:spacing w:line="360" w:lineRule="auto"/>
        <w:jc w:val="both"/>
        <w:rPr>
          <w:sz w:val="24"/>
        </w:rPr>
      </w:pPr>
      <w:r w:rsidRPr="00671BB2">
        <w:rPr>
          <w:sz w:val="24"/>
        </w:rPr>
        <w:t>¿</w:t>
      </w:r>
      <w:r w:rsidR="005E2C6D">
        <w:rPr>
          <w:sz w:val="24"/>
        </w:rPr>
        <w:t>Se cumplieron en el escrito presentado por el señor Moreno Bustamante los requisitos para dar trámite al recurso de queja</w:t>
      </w:r>
      <w:r w:rsidRPr="00671BB2">
        <w:rPr>
          <w:sz w:val="24"/>
        </w:rPr>
        <w:t>?</w:t>
      </w:r>
    </w:p>
    <w:p w:rsidR="00671BB2" w:rsidRDefault="00671BB2" w:rsidP="00317D0B">
      <w:pPr>
        <w:spacing w:line="360" w:lineRule="auto"/>
        <w:jc w:val="both"/>
        <w:rPr>
          <w:b/>
          <w:sz w:val="24"/>
        </w:rPr>
      </w:pPr>
    </w:p>
    <w:p w:rsidR="00AB0DB8" w:rsidRDefault="00AB0DB8" w:rsidP="00317D0B">
      <w:pPr>
        <w:spacing w:line="360" w:lineRule="auto"/>
        <w:jc w:val="both"/>
        <w:rPr>
          <w:b/>
          <w:sz w:val="24"/>
        </w:rPr>
      </w:pPr>
    </w:p>
    <w:p w:rsidR="00671BB2" w:rsidRDefault="00671BB2" w:rsidP="00317D0B">
      <w:pPr>
        <w:spacing w:line="360" w:lineRule="auto"/>
        <w:jc w:val="both"/>
        <w:rPr>
          <w:b/>
          <w:sz w:val="24"/>
        </w:rPr>
      </w:pPr>
      <w:r>
        <w:rPr>
          <w:b/>
          <w:sz w:val="24"/>
        </w:rPr>
        <w:t>2. Solución al problema jurídico:</w:t>
      </w:r>
    </w:p>
    <w:p w:rsidR="00671BB2" w:rsidRDefault="00671BB2" w:rsidP="00317D0B">
      <w:pPr>
        <w:spacing w:line="360" w:lineRule="auto"/>
        <w:jc w:val="both"/>
        <w:rPr>
          <w:b/>
          <w:sz w:val="24"/>
        </w:rPr>
      </w:pPr>
    </w:p>
    <w:p w:rsidR="00671BB2" w:rsidRDefault="00671BB2" w:rsidP="00317D0B">
      <w:pPr>
        <w:spacing w:line="360" w:lineRule="auto"/>
        <w:jc w:val="both"/>
        <w:rPr>
          <w:sz w:val="24"/>
        </w:rPr>
      </w:pPr>
      <w:r>
        <w:rPr>
          <w:sz w:val="24"/>
        </w:rPr>
        <w:t>Con el objeto de resolver el interrogante planteado se hace necesario precisar los siguientes aspectos:</w:t>
      </w:r>
    </w:p>
    <w:p w:rsidR="00671BB2" w:rsidRPr="00671BB2" w:rsidRDefault="00671BB2" w:rsidP="00317D0B">
      <w:pPr>
        <w:spacing w:line="360" w:lineRule="auto"/>
        <w:jc w:val="both"/>
        <w:rPr>
          <w:b/>
          <w:sz w:val="24"/>
        </w:rPr>
      </w:pPr>
      <w:r w:rsidRPr="00671BB2">
        <w:rPr>
          <w:b/>
          <w:sz w:val="24"/>
        </w:rPr>
        <w:t>2.1. Procedencia del recurso de Queja:</w:t>
      </w:r>
    </w:p>
    <w:p w:rsidR="00671BB2" w:rsidRPr="00671BB2" w:rsidRDefault="00671BB2" w:rsidP="00317D0B">
      <w:pPr>
        <w:spacing w:line="360" w:lineRule="auto"/>
        <w:jc w:val="both"/>
        <w:rPr>
          <w:b/>
          <w:sz w:val="24"/>
        </w:rPr>
      </w:pPr>
    </w:p>
    <w:p w:rsidR="002B6DC3" w:rsidRPr="002B6DC3" w:rsidRDefault="00671BB2" w:rsidP="00317D0B">
      <w:pPr>
        <w:spacing w:line="360" w:lineRule="auto"/>
        <w:rPr>
          <w:b/>
          <w:sz w:val="24"/>
        </w:rPr>
      </w:pPr>
      <w:r>
        <w:rPr>
          <w:b/>
          <w:sz w:val="24"/>
        </w:rPr>
        <w:t>2.1.</w:t>
      </w:r>
      <w:r w:rsidR="002B6DC3" w:rsidRPr="002B6DC3">
        <w:rPr>
          <w:b/>
          <w:sz w:val="24"/>
        </w:rPr>
        <w:t xml:space="preserve">1. Fundamento jurídico: </w:t>
      </w:r>
    </w:p>
    <w:p w:rsidR="002B6DC3" w:rsidRDefault="002B6DC3" w:rsidP="00317D0B">
      <w:pPr>
        <w:spacing w:line="360" w:lineRule="auto"/>
      </w:pPr>
    </w:p>
    <w:p w:rsidR="002B6DC3" w:rsidRPr="00390EDA" w:rsidRDefault="002B6DC3" w:rsidP="00317D0B">
      <w:pPr>
        <w:spacing w:line="360" w:lineRule="auto"/>
        <w:jc w:val="both"/>
        <w:rPr>
          <w:sz w:val="24"/>
        </w:rPr>
      </w:pPr>
      <w:r w:rsidRPr="00390EDA">
        <w:rPr>
          <w:sz w:val="24"/>
        </w:rPr>
        <w:t xml:space="preserve">En cuanto a la procedencia del recurso de queja, dispone el </w:t>
      </w:r>
      <w:r w:rsidR="003C4324">
        <w:rPr>
          <w:sz w:val="24"/>
        </w:rPr>
        <w:t xml:space="preserve">numeral 3° del </w:t>
      </w:r>
      <w:r w:rsidRPr="00390EDA">
        <w:rPr>
          <w:sz w:val="24"/>
        </w:rPr>
        <w:t>artículo</w:t>
      </w:r>
      <w:r w:rsidR="003C4324">
        <w:rPr>
          <w:sz w:val="24"/>
        </w:rPr>
        <w:t xml:space="preserve"> 74</w:t>
      </w:r>
      <w:r w:rsidRPr="00390EDA">
        <w:rPr>
          <w:sz w:val="24"/>
        </w:rPr>
        <w:t xml:space="preserve"> del Código de Procedimiento Administrativo y de lo Contencioso Administrativo que </w:t>
      </w:r>
      <w:r w:rsidR="004C5803">
        <w:rPr>
          <w:sz w:val="24"/>
        </w:rPr>
        <w:t xml:space="preserve">este </w:t>
      </w:r>
      <w:r w:rsidR="003C4324">
        <w:rPr>
          <w:sz w:val="24"/>
        </w:rPr>
        <w:t xml:space="preserve">procede cuando se rechace el recurso de apelación. </w:t>
      </w:r>
    </w:p>
    <w:p w:rsidR="00CD49A8" w:rsidRDefault="00CD49A8" w:rsidP="00317D0B">
      <w:pPr>
        <w:spacing w:line="360" w:lineRule="auto"/>
        <w:contextualSpacing/>
        <w:jc w:val="both"/>
        <w:rPr>
          <w:rFonts w:cs="Arial"/>
          <w:sz w:val="24"/>
        </w:rPr>
      </w:pPr>
    </w:p>
    <w:p w:rsidR="009D5E20" w:rsidRDefault="009D5E20" w:rsidP="00317D0B">
      <w:pPr>
        <w:spacing w:line="360" w:lineRule="auto"/>
        <w:contextualSpacing/>
        <w:jc w:val="both"/>
        <w:rPr>
          <w:rFonts w:cs="Arial"/>
          <w:sz w:val="24"/>
        </w:rPr>
      </w:pPr>
      <w:r>
        <w:rPr>
          <w:rFonts w:cs="Arial"/>
          <w:sz w:val="24"/>
        </w:rPr>
        <w:t>Igualmente, se exige</w:t>
      </w:r>
      <w:r w:rsidR="007C2AC5">
        <w:rPr>
          <w:rFonts w:cs="Arial"/>
          <w:sz w:val="24"/>
        </w:rPr>
        <w:t>, como cargas procesales,</w:t>
      </w:r>
      <w:r>
        <w:rPr>
          <w:rFonts w:cs="Arial"/>
          <w:sz w:val="24"/>
        </w:rPr>
        <w:t xml:space="preserve"> que con el escrito se allegue copia del acto administrativo y se sustente el recurso de queja, </w:t>
      </w:r>
      <w:r w:rsidR="007C2AC5">
        <w:rPr>
          <w:rFonts w:cs="Arial"/>
          <w:sz w:val="24"/>
        </w:rPr>
        <w:t xml:space="preserve">esto último </w:t>
      </w:r>
      <w:r>
        <w:rPr>
          <w:rFonts w:cs="Arial"/>
          <w:sz w:val="24"/>
        </w:rPr>
        <w:t xml:space="preserve">que se traduce en destacar las razones para que se conceda el recurso de apelación y los yerros del funcionario judicial al no </w:t>
      </w:r>
      <w:r w:rsidR="006E7609">
        <w:rPr>
          <w:rFonts w:cs="Arial"/>
          <w:sz w:val="24"/>
        </w:rPr>
        <w:t>hacerlo</w:t>
      </w:r>
      <w:r>
        <w:rPr>
          <w:rFonts w:cs="Arial"/>
          <w:sz w:val="24"/>
        </w:rPr>
        <w:t>, esto a vo</w:t>
      </w:r>
      <w:r w:rsidRPr="00213439">
        <w:rPr>
          <w:rFonts w:cs="Arial"/>
          <w:sz w:val="24"/>
        </w:rPr>
        <w:t>ces de</w:t>
      </w:r>
      <w:r w:rsidR="0027692C" w:rsidRPr="00213439">
        <w:rPr>
          <w:rFonts w:cs="Arial"/>
          <w:sz w:val="24"/>
        </w:rPr>
        <w:t xml:space="preserve"> </w:t>
      </w:r>
      <w:r w:rsidRPr="00213439">
        <w:rPr>
          <w:rFonts w:cs="Arial"/>
          <w:sz w:val="24"/>
        </w:rPr>
        <w:t>l</w:t>
      </w:r>
      <w:r w:rsidR="0027692C" w:rsidRPr="00213439">
        <w:rPr>
          <w:rFonts w:cs="Arial"/>
          <w:sz w:val="24"/>
        </w:rPr>
        <w:t>os</w:t>
      </w:r>
      <w:r w:rsidRPr="00213439">
        <w:rPr>
          <w:rFonts w:cs="Arial"/>
          <w:sz w:val="24"/>
        </w:rPr>
        <w:t xml:space="preserve"> art</w:t>
      </w:r>
      <w:r w:rsidR="0027692C" w:rsidRPr="00213439">
        <w:rPr>
          <w:rFonts w:cs="Arial"/>
          <w:sz w:val="24"/>
        </w:rPr>
        <w:t>ículos 74 numeral 3 y 7</w:t>
      </w:r>
      <w:r w:rsidR="00E07178" w:rsidRPr="00213439">
        <w:rPr>
          <w:rFonts w:cs="Arial"/>
          <w:sz w:val="24"/>
        </w:rPr>
        <w:t>7 numeral 1</w:t>
      </w:r>
      <w:r w:rsidR="0027692C" w:rsidRPr="00213439">
        <w:rPr>
          <w:rFonts w:cs="Arial"/>
          <w:sz w:val="24"/>
        </w:rPr>
        <w:t xml:space="preserve"> </w:t>
      </w:r>
      <w:r w:rsidRPr="00213439">
        <w:rPr>
          <w:rFonts w:cs="Arial"/>
          <w:sz w:val="24"/>
        </w:rPr>
        <w:t>ib.</w:t>
      </w:r>
    </w:p>
    <w:p w:rsidR="009D5E20" w:rsidRDefault="009D5E20" w:rsidP="00317D0B">
      <w:pPr>
        <w:spacing w:line="360" w:lineRule="auto"/>
        <w:contextualSpacing/>
        <w:jc w:val="both"/>
        <w:rPr>
          <w:rFonts w:cs="Arial"/>
          <w:sz w:val="24"/>
        </w:rPr>
      </w:pPr>
    </w:p>
    <w:p w:rsidR="009D5E20" w:rsidRDefault="009D5E20" w:rsidP="00317D0B">
      <w:pPr>
        <w:spacing w:line="360" w:lineRule="auto"/>
        <w:contextualSpacing/>
        <w:jc w:val="both"/>
        <w:rPr>
          <w:rFonts w:cs="Arial"/>
          <w:sz w:val="24"/>
        </w:rPr>
      </w:pPr>
      <w:r>
        <w:rPr>
          <w:rFonts w:cs="Arial"/>
          <w:sz w:val="24"/>
        </w:rPr>
        <w:t>Sobre el tópico de la sustentación del recurso de queja se ha dicho por esta Corporación en Sala Unitaria</w:t>
      </w:r>
      <w:r>
        <w:rPr>
          <w:rStyle w:val="Refdenotaalpie"/>
          <w:rFonts w:cs="Arial"/>
          <w:sz w:val="24"/>
        </w:rPr>
        <w:footnoteReference w:id="2"/>
      </w:r>
      <w:r>
        <w:rPr>
          <w:rFonts w:cs="Arial"/>
          <w:sz w:val="24"/>
        </w:rPr>
        <w:t>:</w:t>
      </w:r>
    </w:p>
    <w:p w:rsidR="009D5E20" w:rsidRDefault="009D5E20" w:rsidP="00317D0B">
      <w:pPr>
        <w:spacing w:line="360" w:lineRule="auto"/>
        <w:contextualSpacing/>
        <w:jc w:val="both"/>
        <w:rPr>
          <w:rFonts w:cs="Arial"/>
          <w:sz w:val="24"/>
        </w:rPr>
      </w:pPr>
    </w:p>
    <w:p w:rsidR="009D5E20" w:rsidRPr="009D5E20" w:rsidRDefault="009D5E20" w:rsidP="009D5E20">
      <w:pPr>
        <w:pStyle w:val="Textoindependiente"/>
        <w:spacing w:line="240" w:lineRule="auto"/>
        <w:ind w:left="708"/>
        <w:rPr>
          <w:rFonts w:ascii="Arial" w:hAnsi="Arial" w:cs="Arial"/>
          <w:i/>
          <w:szCs w:val="22"/>
          <w:lang w:val="es-CO"/>
        </w:rPr>
      </w:pPr>
      <w:r w:rsidRPr="009D5E20">
        <w:rPr>
          <w:rFonts w:ascii="Arial" w:hAnsi="Arial" w:cs="Arial"/>
          <w:i/>
          <w:szCs w:val="22"/>
          <w:lang w:val="es-CO"/>
        </w:rPr>
        <w:t xml:space="preserve">Indispensable para delimitar la cuestión, es precisar que en tratándose del recurso de queja, el análisis cardinal, en esta instancia, se contrae a determinar la </w:t>
      </w:r>
      <w:proofErr w:type="spellStart"/>
      <w:r w:rsidRPr="009D5E20">
        <w:rPr>
          <w:rFonts w:ascii="Arial" w:hAnsi="Arial" w:cs="Arial"/>
          <w:i/>
          <w:szCs w:val="22"/>
          <w:lang w:val="es-CO"/>
        </w:rPr>
        <w:t>apelabilidad</w:t>
      </w:r>
      <w:proofErr w:type="spellEnd"/>
      <w:r w:rsidRPr="009D5E20">
        <w:rPr>
          <w:rFonts w:ascii="Arial" w:hAnsi="Arial" w:cs="Arial"/>
          <w:i/>
          <w:szCs w:val="22"/>
          <w:lang w:val="es-CO"/>
        </w:rPr>
        <w:t xml:space="preserve"> de la decisión, que para el caso corresponde al acto administrativo </w:t>
      </w:r>
      <w:proofErr w:type="spellStart"/>
      <w:r w:rsidRPr="009D5E20">
        <w:rPr>
          <w:rFonts w:ascii="Arial" w:hAnsi="Arial" w:cs="Arial"/>
          <w:i/>
          <w:szCs w:val="22"/>
          <w:lang w:val="es-CO"/>
        </w:rPr>
        <w:t>calificatorio</w:t>
      </w:r>
      <w:proofErr w:type="spellEnd"/>
      <w:r w:rsidRPr="009D5E20">
        <w:rPr>
          <w:rFonts w:ascii="Arial" w:hAnsi="Arial" w:cs="Arial"/>
          <w:i/>
          <w:szCs w:val="22"/>
          <w:lang w:val="es-CO"/>
        </w:rPr>
        <w:t xml:space="preserve"> de servicios, proferido el 12-03-2015, lo que se traduce en que su condigna sustentación, ha de centrarse principalmente, en </w:t>
      </w:r>
      <w:r w:rsidRPr="009D5E20">
        <w:rPr>
          <w:rFonts w:ascii="Arial" w:hAnsi="Arial" w:cs="Arial"/>
          <w:i/>
          <w:szCs w:val="22"/>
          <w:u w:val="single"/>
          <w:lang w:val="es-CO"/>
        </w:rPr>
        <w:t>relievar las razones jurídicas de procedencia del recurso de alzada</w:t>
      </w:r>
      <w:r w:rsidRPr="009D5E20">
        <w:rPr>
          <w:rFonts w:ascii="Arial" w:hAnsi="Arial" w:cs="Arial"/>
          <w:i/>
          <w:szCs w:val="22"/>
          <w:lang w:val="es-CO"/>
        </w:rPr>
        <w:t>, amén de demostrar la concurrencia de las demás exigencias propias del trámite administrativo, que para el sub lite se enlistan en los artículos 74 a 82, CPACA.</w:t>
      </w:r>
    </w:p>
    <w:p w:rsidR="009D5E20" w:rsidRPr="009D5E20" w:rsidRDefault="009D5E20" w:rsidP="009D5E20">
      <w:pPr>
        <w:pStyle w:val="Textoindependiente"/>
        <w:spacing w:line="240" w:lineRule="auto"/>
        <w:ind w:left="708"/>
        <w:rPr>
          <w:rFonts w:ascii="Arial" w:hAnsi="Arial" w:cs="Arial"/>
          <w:i/>
          <w:szCs w:val="22"/>
          <w:lang w:val="es-CO"/>
        </w:rPr>
      </w:pPr>
    </w:p>
    <w:p w:rsidR="009D5E20" w:rsidRPr="009D5E20" w:rsidRDefault="009D5E20" w:rsidP="009D5E20">
      <w:pPr>
        <w:pStyle w:val="Textoindependiente"/>
        <w:spacing w:line="240" w:lineRule="auto"/>
        <w:ind w:left="708"/>
        <w:rPr>
          <w:rFonts w:ascii="Arial" w:hAnsi="Arial" w:cs="Arial"/>
          <w:i/>
          <w:szCs w:val="22"/>
          <w:lang w:val="es-CO"/>
        </w:rPr>
      </w:pPr>
      <w:r w:rsidRPr="009D5E20">
        <w:rPr>
          <w:rFonts w:ascii="Arial" w:hAnsi="Arial" w:cs="Arial"/>
          <w:i/>
          <w:szCs w:val="22"/>
          <w:lang w:val="es-CO"/>
        </w:rPr>
        <w:t>Es decir, el tema de la sustentación en esta sede habrá de versar sobre porqué ha debido ser concedido el recurso en primer grado.  Enseña la literatura especializada</w:t>
      </w:r>
      <w:r w:rsidRPr="009D5E20">
        <w:rPr>
          <w:rStyle w:val="Refdenotaalpie"/>
          <w:rFonts w:ascii="Arial" w:hAnsi="Arial"/>
          <w:i/>
          <w:szCs w:val="22"/>
          <w:lang w:val="es-CO"/>
        </w:rPr>
        <w:footnoteReference w:id="3"/>
      </w:r>
      <w:r w:rsidRPr="009D5E20">
        <w:rPr>
          <w:rFonts w:ascii="Arial" w:hAnsi="Arial" w:cs="Arial"/>
          <w:i/>
          <w:szCs w:val="22"/>
          <w:lang w:val="es-CO"/>
        </w:rPr>
        <w:t>: “</w:t>
      </w:r>
      <w:r w:rsidRPr="009D5E20">
        <w:rPr>
          <w:rFonts w:ascii="Arial" w:hAnsi="Arial" w:cs="Arial"/>
          <w:i/>
          <w:sz w:val="22"/>
          <w:szCs w:val="22"/>
          <w:lang w:val="es-CO"/>
        </w:rPr>
        <w:t>(…) la finalidad del recurso de queja es la de obtener el de apelación que fue indebidamente negado por la autoridad correspondiente; se trata de un recurso que se interpone para que se conceda otro recurso (…)</w:t>
      </w:r>
      <w:r w:rsidRPr="009D5E20">
        <w:rPr>
          <w:rFonts w:ascii="Arial" w:hAnsi="Arial" w:cs="Arial"/>
          <w:i/>
          <w:szCs w:val="22"/>
          <w:lang w:val="es-CO"/>
        </w:rPr>
        <w:t xml:space="preserve">”.  </w:t>
      </w:r>
    </w:p>
    <w:p w:rsidR="009D5E20" w:rsidRPr="009D5E20" w:rsidRDefault="009D5E20" w:rsidP="009D5E20">
      <w:pPr>
        <w:pStyle w:val="Textoindependiente"/>
        <w:spacing w:line="240" w:lineRule="auto"/>
        <w:ind w:left="708"/>
        <w:rPr>
          <w:rFonts w:ascii="Arial" w:hAnsi="Arial" w:cs="Arial"/>
          <w:i/>
          <w:szCs w:val="22"/>
          <w:lang w:val="es-CO"/>
        </w:rPr>
      </w:pPr>
    </w:p>
    <w:p w:rsidR="009D5E20" w:rsidRDefault="009D5E20" w:rsidP="009D5E20">
      <w:pPr>
        <w:pStyle w:val="Textoindependiente"/>
        <w:spacing w:line="240" w:lineRule="auto"/>
        <w:ind w:left="708"/>
        <w:rPr>
          <w:rFonts w:ascii="Arial" w:eastAsia="Batang" w:hAnsi="Arial" w:cs="Arial"/>
          <w:i/>
          <w:szCs w:val="22"/>
          <w:lang w:val="es-CO"/>
        </w:rPr>
      </w:pPr>
      <w:r w:rsidRPr="009D5E20">
        <w:rPr>
          <w:rFonts w:ascii="Arial" w:hAnsi="Arial" w:cs="Arial"/>
          <w:i/>
          <w:szCs w:val="22"/>
          <w:lang w:val="es-CO"/>
        </w:rPr>
        <w:t>Y para iterar la consistencia de la materia, cabe traer a colación lo dicho por esta misma Corporación, en Sala Unitaria</w:t>
      </w:r>
      <w:r w:rsidRPr="009D5E20">
        <w:rPr>
          <w:rStyle w:val="Refdenotaalpie"/>
          <w:rFonts w:ascii="Arial" w:hAnsi="Arial"/>
          <w:i/>
          <w:szCs w:val="22"/>
          <w:lang w:val="es-CO"/>
        </w:rPr>
        <w:footnoteReference w:id="4"/>
      </w:r>
      <w:r w:rsidRPr="009D5E20">
        <w:rPr>
          <w:rFonts w:ascii="Arial" w:hAnsi="Arial" w:cs="Arial"/>
          <w:i/>
          <w:szCs w:val="22"/>
          <w:lang w:val="es-CO"/>
        </w:rPr>
        <w:t>: “</w:t>
      </w:r>
      <w:r w:rsidRPr="009D5E20">
        <w:rPr>
          <w:rFonts w:ascii="Arial" w:eastAsia="Batang" w:hAnsi="Arial" w:cs="Arial"/>
          <w:i/>
          <w:sz w:val="22"/>
          <w:szCs w:val="22"/>
          <w:lang w:val="es-CO"/>
        </w:rPr>
        <w:t xml:space="preserve">Téngase presente que es regla que campea hoy por hoy en el derecho procesal que todos los recursos, y el de queja no es la excepción, deben ser motivados para que el mismo funcionario, si se trata de una reposición, o el superior en los demás casos, cuente con un referente que le permita orientar su resolución.”, </w:t>
      </w:r>
      <w:r w:rsidRPr="009D5E20">
        <w:rPr>
          <w:rFonts w:ascii="Arial" w:eastAsia="Batang" w:hAnsi="Arial" w:cs="Arial"/>
          <w:i/>
          <w:szCs w:val="22"/>
          <w:lang w:val="es-CO"/>
        </w:rPr>
        <w:t>luego prosigue la providencia: “</w:t>
      </w:r>
      <w:r w:rsidRPr="009D5E20">
        <w:rPr>
          <w:rFonts w:ascii="Arial" w:eastAsia="Batang" w:hAnsi="Arial" w:cs="Arial"/>
          <w:i/>
          <w:sz w:val="22"/>
          <w:szCs w:val="22"/>
          <w:u w:val="single"/>
          <w:lang w:val="es-CO"/>
        </w:rPr>
        <w:t>Y no se trata de cualquier tipo de sustentación; por el contrario, si el sentido del  recurso de queja es que se conceda la alzada que ha sido denegada</w:t>
      </w:r>
      <w:r w:rsidRPr="009D5E20">
        <w:rPr>
          <w:rFonts w:ascii="Arial" w:eastAsia="Batang" w:hAnsi="Arial" w:cs="Arial"/>
          <w:i/>
          <w:sz w:val="22"/>
          <w:szCs w:val="22"/>
          <w:lang w:val="es-CO"/>
        </w:rPr>
        <w:t xml:space="preserve"> -en nuestro caso-, </w:t>
      </w:r>
      <w:r w:rsidRPr="009D5E20">
        <w:rPr>
          <w:rFonts w:ascii="Arial" w:eastAsia="Batang" w:hAnsi="Arial" w:cs="Arial"/>
          <w:i/>
          <w:sz w:val="22"/>
          <w:szCs w:val="22"/>
          <w:u w:val="single"/>
          <w:lang w:val="es-CO"/>
        </w:rPr>
        <w:t>la cimentación del mismo tiene que darse en torno a esa específica circunstancia</w:t>
      </w:r>
      <w:r w:rsidRPr="009D5E20">
        <w:rPr>
          <w:rFonts w:ascii="Arial" w:eastAsia="Batang" w:hAnsi="Arial" w:cs="Arial"/>
          <w:i/>
          <w:sz w:val="22"/>
          <w:szCs w:val="22"/>
          <w:lang w:val="es-CO"/>
        </w:rPr>
        <w:t xml:space="preserve">, sin que sirvan como fundamento hechos sustanciales que constituyan la esencia misma del  litigio (…)”.  </w:t>
      </w:r>
      <w:r w:rsidRPr="009D5E20">
        <w:rPr>
          <w:rFonts w:ascii="Arial" w:eastAsia="Batang" w:hAnsi="Arial" w:cs="Arial"/>
          <w:i/>
          <w:szCs w:val="22"/>
          <w:lang w:val="es-CO"/>
        </w:rPr>
        <w:t>Resaltado ajeno al original.</w:t>
      </w:r>
    </w:p>
    <w:p w:rsidR="007C2AC5" w:rsidRDefault="007C2AC5" w:rsidP="009D5E20">
      <w:pPr>
        <w:pStyle w:val="Textoindependiente"/>
        <w:spacing w:line="240" w:lineRule="auto"/>
        <w:ind w:left="708"/>
        <w:rPr>
          <w:rFonts w:ascii="Arial" w:eastAsia="Batang" w:hAnsi="Arial" w:cs="Arial"/>
          <w:b/>
          <w:i/>
          <w:color w:val="0000FF"/>
          <w:sz w:val="22"/>
          <w:szCs w:val="22"/>
        </w:rPr>
      </w:pPr>
    </w:p>
    <w:p w:rsidR="00124040" w:rsidRDefault="00124040" w:rsidP="009D5E20">
      <w:pPr>
        <w:pStyle w:val="Textoindependiente"/>
        <w:spacing w:line="240" w:lineRule="auto"/>
        <w:ind w:left="708"/>
        <w:rPr>
          <w:rFonts w:ascii="Arial" w:eastAsia="Batang" w:hAnsi="Arial" w:cs="Arial"/>
          <w:b/>
          <w:i/>
          <w:color w:val="0000FF"/>
          <w:sz w:val="22"/>
          <w:szCs w:val="22"/>
        </w:rPr>
      </w:pPr>
    </w:p>
    <w:p w:rsidR="007C2AC5" w:rsidRPr="009D5E20" w:rsidRDefault="007C2AC5" w:rsidP="009D5E20">
      <w:pPr>
        <w:pStyle w:val="Textoindependiente"/>
        <w:spacing w:line="240" w:lineRule="auto"/>
        <w:ind w:left="708"/>
        <w:rPr>
          <w:rFonts w:ascii="Arial" w:eastAsia="Batang" w:hAnsi="Arial" w:cs="Arial"/>
          <w:b/>
          <w:i/>
          <w:color w:val="0000FF"/>
          <w:sz w:val="22"/>
          <w:szCs w:val="22"/>
        </w:rPr>
      </w:pPr>
    </w:p>
    <w:p w:rsidR="003C4324" w:rsidRPr="003C4324" w:rsidRDefault="004C5803" w:rsidP="00317D0B">
      <w:pPr>
        <w:spacing w:line="360" w:lineRule="auto"/>
        <w:contextualSpacing/>
        <w:jc w:val="both"/>
        <w:rPr>
          <w:rFonts w:cs="Arial"/>
          <w:b/>
          <w:sz w:val="24"/>
        </w:rPr>
      </w:pPr>
      <w:r>
        <w:rPr>
          <w:rFonts w:cs="Arial"/>
          <w:b/>
          <w:sz w:val="24"/>
        </w:rPr>
        <w:t xml:space="preserve">2.1.2. </w:t>
      </w:r>
      <w:r w:rsidR="003C4324" w:rsidRPr="003C4324">
        <w:rPr>
          <w:rFonts w:cs="Arial"/>
          <w:b/>
          <w:sz w:val="24"/>
        </w:rPr>
        <w:t>Fundamento fáctico:</w:t>
      </w:r>
    </w:p>
    <w:p w:rsidR="00CD49A8" w:rsidRDefault="00CD49A8" w:rsidP="00317D0B">
      <w:pPr>
        <w:spacing w:line="360" w:lineRule="auto"/>
        <w:contextualSpacing/>
        <w:jc w:val="both"/>
        <w:rPr>
          <w:rFonts w:cs="Arial"/>
          <w:sz w:val="24"/>
        </w:rPr>
      </w:pPr>
    </w:p>
    <w:p w:rsidR="004C5803" w:rsidRDefault="004C5803" w:rsidP="00317D0B">
      <w:pPr>
        <w:spacing w:line="360" w:lineRule="auto"/>
        <w:contextualSpacing/>
        <w:jc w:val="both"/>
        <w:rPr>
          <w:rFonts w:cs="Arial"/>
          <w:sz w:val="24"/>
        </w:rPr>
      </w:pPr>
      <w:r>
        <w:rPr>
          <w:rFonts w:cs="Arial"/>
          <w:sz w:val="24"/>
        </w:rPr>
        <w:t>De conformidad con las pruebas allegadas al infolio, se advierte</w:t>
      </w:r>
      <w:r w:rsidR="006E7609">
        <w:rPr>
          <w:rFonts w:cs="Arial"/>
          <w:sz w:val="24"/>
        </w:rPr>
        <w:t xml:space="preserve">, como ya se dijo, que se dejó de acercar el acto administrativo en donde se negó el recurso de apelación; </w:t>
      </w:r>
      <w:r w:rsidR="00470F10">
        <w:rPr>
          <w:rFonts w:cs="Arial"/>
          <w:sz w:val="24"/>
        </w:rPr>
        <w:t>de otro lado, en el escrito de queja solo se hace una petición</w:t>
      </w:r>
      <w:r w:rsidR="0027692C">
        <w:rPr>
          <w:rFonts w:cs="Arial"/>
          <w:sz w:val="24"/>
        </w:rPr>
        <w:t xml:space="preserve"> y </w:t>
      </w:r>
      <w:r w:rsidR="00F77E89">
        <w:rPr>
          <w:rFonts w:cs="Arial"/>
          <w:sz w:val="24"/>
        </w:rPr>
        <w:t>transcripción de apartes de una sentencia de tutela</w:t>
      </w:r>
      <w:r w:rsidR="000608C3">
        <w:rPr>
          <w:rFonts w:cs="Arial"/>
          <w:sz w:val="24"/>
        </w:rPr>
        <w:t xml:space="preserve"> sin explicitar las motivaciones aplicables al presente asunto; por si fuera poco</w:t>
      </w:r>
      <w:r w:rsidR="00D1508C">
        <w:rPr>
          <w:rFonts w:cs="Arial"/>
          <w:sz w:val="24"/>
        </w:rPr>
        <w:t>,</w:t>
      </w:r>
      <w:r w:rsidR="000608C3">
        <w:rPr>
          <w:rFonts w:cs="Arial"/>
          <w:sz w:val="24"/>
        </w:rPr>
        <w:t xml:space="preserve"> </w:t>
      </w:r>
      <w:r w:rsidR="00D1508C">
        <w:rPr>
          <w:rFonts w:cs="Arial"/>
          <w:sz w:val="24"/>
        </w:rPr>
        <w:t xml:space="preserve">se </w:t>
      </w:r>
      <w:r w:rsidR="000608C3">
        <w:rPr>
          <w:rFonts w:cs="Arial"/>
          <w:sz w:val="24"/>
        </w:rPr>
        <w:t xml:space="preserve">omitió exponer </w:t>
      </w:r>
      <w:r w:rsidR="00CD2AE3">
        <w:rPr>
          <w:rFonts w:cs="Arial"/>
          <w:sz w:val="24"/>
        </w:rPr>
        <w:t xml:space="preserve">fundamentos fácticos </w:t>
      </w:r>
      <w:r w:rsidR="000608C3">
        <w:rPr>
          <w:rFonts w:cs="Arial"/>
          <w:sz w:val="24"/>
        </w:rPr>
        <w:t>y</w:t>
      </w:r>
      <w:r w:rsidR="00CD2AE3">
        <w:rPr>
          <w:rFonts w:cs="Arial"/>
          <w:sz w:val="24"/>
        </w:rPr>
        <w:t xml:space="preserve"> jurídicos </w:t>
      </w:r>
      <w:r w:rsidR="006D01D3">
        <w:rPr>
          <w:rFonts w:cs="Arial"/>
          <w:sz w:val="24"/>
        </w:rPr>
        <w:t>sobre la procedencia de</w:t>
      </w:r>
      <w:r w:rsidR="00470F10">
        <w:rPr>
          <w:rFonts w:cs="Arial"/>
          <w:sz w:val="24"/>
        </w:rPr>
        <w:t>l recurso de apelación</w:t>
      </w:r>
      <w:r w:rsidR="00EF0459">
        <w:rPr>
          <w:rFonts w:cs="Arial"/>
          <w:sz w:val="24"/>
        </w:rPr>
        <w:t xml:space="preserve"> frente a la resolución que dejó sin efectos la resolución 003 del 1-02-2016 </w:t>
      </w:r>
      <w:r w:rsidR="000608C3">
        <w:rPr>
          <w:rFonts w:cs="Arial"/>
          <w:sz w:val="24"/>
        </w:rPr>
        <w:t>, como los y</w:t>
      </w:r>
      <w:r w:rsidR="00F77E89">
        <w:rPr>
          <w:rFonts w:cs="Arial"/>
          <w:sz w:val="24"/>
        </w:rPr>
        <w:t>erro</w:t>
      </w:r>
      <w:r w:rsidR="000608C3">
        <w:rPr>
          <w:rFonts w:cs="Arial"/>
          <w:sz w:val="24"/>
        </w:rPr>
        <w:t>s</w:t>
      </w:r>
      <w:r w:rsidR="00F77E89">
        <w:rPr>
          <w:rFonts w:cs="Arial"/>
          <w:sz w:val="24"/>
        </w:rPr>
        <w:t xml:space="preserve"> del funcionario al negarlo </w:t>
      </w:r>
      <w:r w:rsidR="00470F10">
        <w:rPr>
          <w:rFonts w:cs="Arial"/>
          <w:sz w:val="24"/>
        </w:rPr>
        <w:t xml:space="preserve">.  </w:t>
      </w:r>
      <w:r w:rsidR="006E7609">
        <w:rPr>
          <w:rFonts w:cs="Arial"/>
          <w:sz w:val="24"/>
        </w:rPr>
        <w:t xml:space="preserve"> </w:t>
      </w:r>
    </w:p>
    <w:p w:rsidR="004C5803" w:rsidRDefault="004C5803" w:rsidP="00317D0B">
      <w:pPr>
        <w:spacing w:line="360" w:lineRule="auto"/>
        <w:contextualSpacing/>
        <w:jc w:val="both"/>
        <w:rPr>
          <w:rFonts w:cs="Arial"/>
          <w:sz w:val="24"/>
        </w:rPr>
      </w:pPr>
    </w:p>
    <w:p w:rsidR="004C5803" w:rsidRDefault="004C5803" w:rsidP="00317D0B">
      <w:pPr>
        <w:spacing w:line="360" w:lineRule="auto"/>
        <w:contextualSpacing/>
        <w:jc w:val="both"/>
        <w:rPr>
          <w:rFonts w:cs="Arial"/>
          <w:sz w:val="24"/>
        </w:rPr>
      </w:pPr>
    </w:p>
    <w:p w:rsidR="00B14450" w:rsidRDefault="00D1508C" w:rsidP="00317D0B">
      <w:pPr>
        <w:spacing w:line="360" w:lineRule="auto"/>
        <w:contextualSpacing/>
        <w:jc w:val="both"/>
        <w:rPr>
          <w:rFonts w:cs="Arial"/>
          <w:sz w:val="24"/>
        </w:rPr>
      </w:pPr>
      <w:r>
        <w:rPr>
          <w:rFonts w:cs="Arial"/>
          <w:sz w:val="24"/>
        </w:rPr>
        <w:t xml:space="preserve">Finalmente, cabe resaltar que deben concurrir todos los presupuestos de viabilidad del recurso instaurado para que sea procedente su trámite, </w:t>
      </w:r>
      <w:r w:rsidR="00ED2891">
        <w:rPr>
          <w:rFonts w:cs="Arial"/>
          <w:sz w:val="24"/>
        </w:rPr>
        <w:t>y si la sustentación es uno de ellos en tratándose de</w:t>
      </w:r>
      <w:r w:rsidR="003D3246">
        <w:rPr>
          <w:rFonts w:cs="Arial"/>
          <w:sz w:val="24"/>
        </w:rPr>
        <w:t xml:space="preserve"> </w:t>
      </w:r>
      <w:r w:rsidR="00ED2891">
        <w:rPr>
          <w:rFonts w:cs="Arial"/>
          <w:sz w:val="24"/>
        </w:rPr>
        <w:t>l</w:t>
      </w:r>
      <w:r w:rsidR="003D3246">
        <w:rPr>
          <w:rFonts w:cs="Arial"/>
          <w:sz w:val="24"/>
        </w:rPr>
        <w:t xml:space="preserve">a </w:t>
      </w:r>
      <w:r w:rsidR="00ED2891">
        <w:rPr>
          <w:rFonts w:cs="Arial"/>
          <w:sz w:val="24"/>
        </w:rPr>
        <w:t>queja, debe rechazarse</w:t>
      </w:r>
      <w:r w:rsidR="00213439">
        <w:rPr>
          <w:rFonts w:cs="Arial"/>
          <w:sz w:val="24"/>
        </w:rPr>
        <w:t xml:space="preserve"> </w:t>
      </w:r>
      <w:r w:rsidR="003D3246">
        <w:rPr>
          <w:rFonts w:cs="Arial"/>
          <w:sz w:val="24"/>
        </w:rPr>
        <w:t>de</w:t>
      </w:r>
      <w:r w:rsidR="007C2AC5">
        <w:rPr>
          <w:rFonts w:cs="Arial"/>
          <w:sz w:val="24"/>
        </w:rPr>
        <w:t xml:space="preserve"> plano de</w:t>
      </w:r>
      <w:r w:rsidR="003D3246">
        <w:rPr>
          <w:rFonts w:cs="Arial"/>
          <w:sz w:val="24"/>
        </w:rPr>
        <w:t xml:space="preserve"> no cumplirse</w:t>
      </w:r>
      <w:r w:rsidR="00213439">
        <w:rPr>
          <w:rFonts w:cs="Arial"/>
          <w:sz w:val="24"/>
        </w:rPr>
        <w:t xml:space="preserve"> (art. 78 </w:t>
      </w:r>
      <w:proofErr w:type="spellStart"/>
      <w:r w:rsidR="00213439">
        <w:rPr>
          <w:rFonts w:cs="Arial"/>
          <w:sz w:val="24"/>
        </w:rPr>
        <w:t>ib</w:t>
      </w:r>
      <w:proofErr w:type="spellEnd"/>
      <w:r w:rsidR="00213439">
        <w:rPr>
          <w:rFonts w:cs="Arial"/>
          <w:sz w:val="24"/>
        </w:rPr>
        <w:t>)</w:t>
      </w:r>
      <w:r w:rsidR="00ED2891">
        <w:rPr>
          <w:rFonts w:cs="Arial"/>
          <w:sz w:val="24"/>
        </w:rPr>
        <w:t xml:space="preserve">. </w:t>
      </w:r>
    </w:p>
    <w:p w:rsidR="00D1508C" w:rsidRDefault="00D1508C" w:rsidP="00317D0B">
      <w:pPr>
        <w:spacing w:line="360" w:lineRule="auto"/>
        <w:contextualSpacing/>
        <w:jc w:val="both"/>
        <w:rPr>
          <w:rFonts w:cs="Arial"/>
          <w:sz w:val="24"/>
        </w:rPr>
      </w:pPr>
    </w:p>
    <w:p w:rsidR="00B14450" w:rsidRDefault="00D46102" w:rsidP="00317D0B">
      <w:pPr>
        <w:spacing w:line="360" w:lineRule="auto"/>
        <w:contextualSpacing/>
        <w:jc w:val="both"/>
        <w:rPr>
          <w:rFonts w:cs="Arial"/>
          <w:sz w:val="24"/>
        </w:rPr>
      </w:pPr>
      <w:r>
        <w:rPr>
          <w:rFonts w:cs="Arial"/>
          <w:sz w:val="24"/>
        </w:rPr>
        <w:t xml:space="preserve"> </w:t>
      </w:r>
    </w:p>
    <w:p w:rsidR="006B20AB" w:rsidRPr="00EE6DFB" w:rsidRDefault="006B20AB" w:rsidP="00317D0B">
      <w:pPr>
        <w:spacing w:line="360" w:lineRule="auto"/>
        <w:contextualSpacing/>
        <w:jc w:val="both"/>
        <w:rPr>
          <w:rFonts w:cs="Arial"/>
          <w:sz w:val="24"/>
        </w:rPr>
      </w:pPr>
    </w:p>
    <w:p w:rsidR="0016582E" w:rsidRPr="00EE6DFB" w:rsidRDefault="001803C7" w:rsidP="00317D0B">
      <w:pPr>
        <w:pStyle w:val="Profesin"/>
        <w:spacing w:line="360" w:lineRule="auto"/>
        <w:contextualSpacing/>
        <w:rPr>
          <w:rFonts w:cs="Arial"/>
          <w:sz w:val="24"/>
          <w:szCs w:val="24"/>
        </w:rPr>
      </w:pPr>
      <w:r w:rsidRPr="00EE6DFB">
        <w:rPr>
          <w:rFonts w:cs="Arial"/>
          <w:sz w:val="24"/>
          <w:szCs w:val="24"/>
        </w:rPr>
        <w:t>CONCLUSIÓN</w:t>
      </w:r>
    </w:p>
    <w:p w:rsidR="001803C7" w:rsidRPr="00EE6DFB" w:rsidRDefault="001803C7" w:rsidP="00317D0B">
      <w:pPr>
        <w:pStyle w:val="Profesin"/>
        <w:spacing w:line="360" w:lineRule="auto"/>
        <w:contextualSpacing/>
        <w:rPr>
          <w:rFonts w:cs="Arial"/>
          <w:sz w:val="24"/>
          <w:szCs w:val="24"/>
        </w:rPr>
      </w:pPr>
    </w:p>
    <w:p w:rsidR="00CD49A8" w:rsidRPr="00EE6DFB" w:rsidRDefault="005B5F90" w:rsidP="00317D0B">
      <w:pPr>
        <w:pStyle w:val="Profesin"/>
        <w:spacing w:line="360" w:lineRule="auto"/>
        <w:contextualSpacing/>
        <w:jc w:val="both"/>
        <w:rPr>
          <w:rFonts w:cs="Arial"/>
          <w:sz w:val="24"/>
          <w:szCs w:val="24"/>
        </w:rPr>
      </w:pPr>
      <w:r w:rsidRPr="00EE6DFB">
        <w:rPr>
          <w:rFonts w:cs="Arial"/>
          <w:b w:val="0"/>
          <w:sz w:val="24"/>
          <w:szCs w:val="24"/>
        </w:rPr>
        <w:t xml:space="preserve">En armonía con lo expuesto, se </w:t>
      </w:r>
      <w:r w:rsidR="00D92D71">
        <w:rPr>
          <w:rFonts w:cs="Arial"/>
          <w:b w:val="0"/>
          <w:sz w:val="24"/>
          <w:szCs w:val="24"/>
        </w:rPr>
        <w:t xml:space="preserve">rechazará de plano </w:t>
      </w:r>
      <w:r w:rsidRPr="00EE6DFB">
        <w:rPr>
          <w:rFonts w:cs="Arial"/>
          <w:b w:val="0"/>
          <w:sz w:val="24"/>
          <w:szCs w:val="24"/>
        </w:rPr>
        <w:t xml:space="preserve">el </w:t>
      </w:r>
      <w:r w:rsidR="00D92D71">
        <w:rPr>
          <w:rFonts w:cs="Arial"/>
          <w:b w:val="0"/>
          <w:sz w:val="24"/>
          <w:szCs w:val="24"/>
        </w:rPr>
        <w:t xml:space="preserve">recurso de queja interpuesto por </w:t>
      </w:r>
      <w:r w:rsidR="00D46102">
        <w:rPr>
          <w:rFonts w:cs="Arial"/>
          <w:b w:val="0"/>
          <w:sz w:val="24"/>
          <w:szCs w:val="24"/>
        </w:rPr>
        <w:t>el señor Fernando Moreno Bustamante</w:t>
      </w:r>
      <w:r w:rsidR="00D92D71">
        <w:rPr>
          <w:rFonts w:cs="Arial"/>
          <w:b w:val="0"/>
          <w:sz w:val="24"/>
          <w:szCs w:val="24"/>
        </w:rPr>
        <w:t xml:space="preserve"> y</w:t>
      </w:r>
      <w:r w:rsidR="006A61B7" w:rsidRPr="00EE6DFB">
        <w:rPr>
          <w:rFonts w:cs="Arial"/>
          <w:b w:val="0"/>
          <w:sz w:val="24"/>
          <w:szCs w:val="24"/>
        </w:rPr>
        <w:t xml:space="preserve">, en consecuencia se </w:t>
      </w:r>
      <w:r w:rsidR="003720BA">
        <w:rPr>
          <w:rFonts w:cs="Arial"/>
          <w:b w:val="0"/>
          <w:sz w:val="24"/>
          <w:szCs w:val="24"/>
        </w:rPr>
        <w:t xml:space="preserve">dispondrá el archivo de </w:t>
      </w:r>
      <w:r w:rsidR="0016582E" w:rsidRPr="00EE6DFB">
        <w:rPr>
          <w:rFonts w:cs="Arial"/>
          <w:b w:val="0"/>
          <w:sz w:val="24"/>
          <w:szCs w:val="24"/>
        </w:rPr>
        <w:t>la actuación</w:t>
      </w:r>
      <w:r w:rsidR="00117067">
        <w:rPr>
          <w:rFonts w:cs="Arial"/>
          <w:b w:val="0"/>
          <w:sz w:val="24"/>
          <w:szCs w:val="24"/>
        </w:rPr>
        <w:t xml:space="preserve">. </w:t>
      </w:r>
      <w:r w:rsidR="0016582E" w:rsidRPr="00EE6DFB">
        <w:rPr>
          <w:rFonts w:cs="Arial"/>
          <w:b w:val="0"/>
          <w:sz w:val="24"/>
          <w:szCs w:val="24"/>
        </w:rPr>
        <w:t xml:space="preserve"> </w:t>
      </w:r>
    </w:p>
    <w:p w:rsidR="00CD49A8" w:rsidRDefault="00CD49A8" w:rsidP="00317D0B">
      <w:pPr>
        <w:spacing w:line="360" w:lineRule="auto"/>
        <w:contextualSpacing/>
        <w:jc w:val="both"/>
        <w:rPr>
          <w:rFonts w:cs="Arial"/>
          <w:b/>
          <w:sz w:val="24"/>
          <w:lang w:val="es-CO"/>
        </w:rPr>
      </w:pPr>
    </w:p>
    <w:p w:rsidR="00124040" w:rsidRPr="00EE6DFB" w:rsidRDefault="00124040" w:rsidP="00317D0B">
      <w:pPr>
        <w:spacing w:line="360" w:lineRule="auto"/>
        <w:contextualSpacing/>
        <w:jc w:val="both"/>
        <w:rPr>
          <w:rFonts w:cs="Arial"/>
          <w:b/>
          <w:sz w:val="24"/>
          <w:lang w:val="es-CO"/>
        </w:rPr>
      </w:pPr>
    </w:p>
    <w:p w:rsidR="001803C7" w:rsidRPr="00EE6DFB" w:rsidRDefault="001803C7" w:rsidP="00317D0B">
      <w:pPr>
        <w:spacing w:line="360" w:lineRule="auto"/>
        <w:contextualSpacing/>
        <w:jc w:val="center"/>
        <w:rPr>
          <w:rFonts w:cs="Arial"/>
          <w:b/>
          <w:sz w:val="24"/>
        </w:rPr>
      </w:pPr>
      <w:r w:rsidRPr="00EE6DFB">
        <w:rPr>
          <w:rFonts w:cs="Arial"/>
          <w:b/>
          <w:sz w:val="24"/>
        </w:rPr>
        <w:t>DECISIÓN</w:t>
      </w:r>
    </w:p>
    <w:p w:rsidR="001803C7" w:rsidRDefault="001803C7" w:rsidP="00317D0B">
      <w:pPr>
        <w:spacing w:line="360" w:lineRule="auto"/>
        <w:contextualSpacing/>
        <w:jc w:val="both"/>
        <w:rPr>
          <w:rFonts w:cs="Arial"/>
          <w:sz w:val="24"/>
        </w:rPr>
      </w:pPr>
    </w:p>
    <w:p w:rsidR="00124040" w:rsidRPr="00EE6DFB" w:rsidRDefault="00124040" w:rsidP="00317D0B">
      <w:pPr>
        <w:spacing w:line="360" w:lineRule="auto"/>
        <w:contextualSpacing/>
        <w:jc w:val="both"/>
        <w:rPr>
          <w:rFonts w:cs="Arial"/>
          <w:sz w:val="24"/>
        </w:rPr>
      </w:pPr>
    </w:p>
    <w:p w:rsidR="00CD49A8" w:rsidRPr="00EE6DFB" w:rsidRDefault="00CD49A8" w:rsidP="00317D0B">
      <w:pPr>
        <w:spacing w:line="360" w:lineRule="auto"/>
        <w:contextualSpacing/>
        <w:jc w:val="both"/>
        <w:rPr>
          <w:rFonts w:cs="Arial"/>
          <w:sz w:val="24"/>
        </w:rPr>
      </w:pPr>
      <w:r w:rsidRPr="00EE6DFB">
        <w:rPr>
          <w:rFonts w:cs="Arial"/>
          <w:sz w:val="24"/>
        </w:rPr>
        <w:t xml:space="preserve">En mérito de lo expuesto, </w:t>
      </w:r>
      <w:r w:rsidR="00C647B1" w:rsidRPr="00EE6DFB">
        <w:rPr>
          <w:rFonts w:cs="Arial"/>
          <w:sz w:val="24"/>
        </w:rPr>
        <w:t xml:space="preserve">la Sala </w:t>
      </w:r>
      <w:r w:rsidR="002A6434">
        <w:rPr>
          <w:rFonts w:cs="Arial"/>
          <w:sz w:val="24"/>
        </w:rPr>
        <w:t xml:space="preserve">Unitaria </w:t>
      </w:r>
      <w:r w:rsidR="00C647B1" w:rsidRPr="00EE6DFB">
        <w:rPr>
          <w:rFonts w:cs="Arial"/>
          <w:sz w:val="24"/>
        </w:rPr>
        <w:t>d</w:t>
      </w:r>
      <w:r w:rsidRPr="00EE6DFB">
        <w:rPr>
          <w:rFonts w:cs="Arial"/>
          <w:sz w:val="24"/>
        </w:rPr>
        <w:t xml:space="preserve">el Tribunal Superior del Distrito Judicial de </w:t>
      </w:r>
      <w:r w:rsidR="00FA25F0">
        <w:rPr>
          <w:rFonts w:cs="Arial"/>
          <w:sz w:val="24"/>
        </w:rPr>
        <w:t>Pereira</w:t>
      </w:r>
      <w:r w:rsidR="00C647B1" w:rsidRPr="00EE6DFB">
        <w:rPr>
          <w:rFonts w:cs="Arial"/>
          <w:sz w:val="24"/>
        </w:rPr>
        <w:t>,</w:t>
      </w:r>
    </w:p>
    <w:p w:rsidR="006B20AB" w:rsidRDefault="006B20AB" w:rsidP="00317D0B">
      <w:pPr>
        <w:spacing w:line="360" w:lineRule="auto"/>
        <w:ind w:firstLine="709"/>
        <w:contextualSpacing/>
        <w:jc w:val="center"/>
        <w:rPr>
          <w:rFonts w:cs="Arial"/>
          <w:sz w:val="24"/>
        </w:rPr>
      </w:pPr>
    </w:p>
    <w:p w:rsidR="00CD49A8" w:rsidRPr="00EE6DFB" w:rsidRDefault="00CD49A8" w:rsidP="00317D0B">
      <w:pPr>
        <w:spacing w:line="360" w:lineRule="auto"/>
        <w:ind w:firstLine="709"/>
        <w:contextualSpacing/>
        <w:jc w:val="center"/>
        <w:rPr>
          <w:rFonts w:cs="Arial"/>
          <w:b/>
          <w:bCs/>
          <w:spacing w:val="-3"/>
          <w:sz w:val="24"/>
          <w:lang w:val="es-ES_tradnl"/>
        </w:rPr>
      </w:pPr>
      <w:r w:rsidRPr="00EE6DFB">
        <w:rPr>
          <w:rFonts w:cs="Arial"/>
          <w:b/>
          <w:bCs/>
          <w:spacing w:val="-3"/>
          <w:sz w:val="24"/>
          <w:lang w:val="es-ES_tradnl"/>
        </w:rPr>
        <w:t>RESUELVE</w:t>
      </w:r>
    </w:p>
    <w:p w:rsidR="00CD49A8" w:rsidRDefault="00CD49A8" w:rsidP="00317D0B">
      <w:pPr>
        <w:spacing w:line="360" w:lineRule="auto"/>
        <w:ind w:firstLine="709"/>
        <w:contextualSpacing/>
        <w:jc w:val="both"/>
        <w:rPr>
          <w:rFonts w:cs="Arial"/>
          <w:b/>
          <w:sz w:val="24"/>
        </w:rPr>
      </w:pPr>
    </w:p>
    <w:p w:rsidR="00124040" w:rsidRPr="00EE6DFB" w:rsidRDefault="00124040" w:rsidP="00317D0B">
      <w:pPr>
        <w:spacing w:line="360" w:lineRule="auto"/>
        <w:ind w:firstLine="709"/>
        <w:contextualSpacing/>
        <w:jc w:val="both"/>
        <w:rPr>
          <w:rFonts w:cs="Arial"/>
          <w:b/>
          <w:sz w:val="24"/>
        </w:rPr>
      </w:pPr>
    </w:p>
    <w:p w:rsidR="00CD49A8" w:rsidRPr="00EE6DFB" w:rsidRDefault="00CD49A8" w:rsidP="00317D0B">
      <w:pPr>
        <w:spacing w:line="360" w:lineRule="auto"/>
        <w:contextualSpacing/>
        <w:jc w:val="both"/>
        <w:rPr>
          <w:rFonts w:cs="Arial"/>
          <w:sz w:val="24"/>
        </w:rPr>
      </w:pPr>
      <w:r w:rsidRPr="00EE6DFB">
        <w:rPr>
          <w:rFonts w:cs="Arial"/>
          <w:b/>
          <w:sz w:val="24"/>
        </w:rPr>
        <w:t>PRIMERO</w:t>
      </w:r>
      <w:r w:rsidR="00CE6413" w:rsidRPr="00EE6DFB">
        <w:rPr>
          <w:rFonts w:cs="Arial"/>
          <w:b/>
          <w:sz w:val="24"/>
        </w:rPr>
        <w:t xml:space="preserve">. </w:t>
      </w:r>
      <w:r w:rsidR="00D92D71">
        <w:rPr>
          <w:rFonts w:cs="Arial"/>
          <w:b/>
          <w:sz w:val="24"/>
        </w:rPr>
        <w:t xml:space="preserve">RECHAZAR DE PLANO </w:t>
      </w:r>
      <w:r w:rsidRPr="00EE6DFB">
        <w:rPr>
          <w:rFonts w:cs="Arial"/>
          <w:sz w:val="24"/>
        </w:rPr>
        <w:t xml:space="preserve">el </w:t>
      </w:r>
      <w:r w:rsidR="00D92D71">
        <w:rPr>
          <w:rFonts w:cs="Arial"/>
          <w:sz w:val="24"/>
        </w:rPr>
        <w:t>recurso de queja interpuesto por</w:t>
      </w:r>
      <w:r w:rsidR="00D46102" w:rsidRPr="00D46102">
        <w:rPr>
          <w:rFonts w:cs="Arial"/>
          <w:b/>
          <w:sz w:val="24"/>
        </w:rPr>
        <w:t xml:space="preserve"> </w:t>
      </w:r>
      <w:r w:rsidR="00D46102" w:rsidRPr="00D46102">
        <w:rPr>
          <w:rFonts w:cs="Arial"/>
          <w:sz w:val="24"/>
        </w:rPr>
        <w:t>señor Fernando Moreno Bustamante</w:t>
      </w:r>
      <w:r w:rsidR="00CD3867" w:rsidRPr="00EE6DFB">
        <w:rPr>
          <w:rFonts w:cs="Arial"/>
          <w:sz w:val="24"/>
        </w:rPr>
        <w:t xml:space="preserve">, </w:t>
      </w:r>
      <w:r w:rsidRPr="00EE6DFB">
        <w:rPr>
          <w:rFonts w:cs="Arial"/>
          <w:sz w:val="24"/>
        </w:rPr>
        <w:t>de conformidad con las razones expuestas en la parte motiva del presente proveído.</w:t>
      </w:r>
    </w:p>
    <w:p w:rsidR="00CD49A8" w:rsidRDefault="00CD49A8" w:rsidP="00317D0B">
      <w:pPr>
        <w:spacing w:line="360" w:lineRule="auto"/>
        <w:contextualSpacing/>
        <w:jc w:val="both"/>
        <w:rPr>
          <w:rFonts w:cs="Arial"/>
          <w:iCs/>
          <w:sz w:val="24"/>
        </w:rPr>
      </w:pPr>
      <w:r w:rsidRPr="00EE6DFB">
        <w:rPr>
          <w:rFonts w:cs="Arial"/>
          <w:iCs/>
          <w:sz w:val="24"/>
        </w:rPr>
        <w:t xml:space="preserve"> </w:t>
      </w:r>
    </w:p>
    <w:p w:rsidR="00124040" w:rsidRPr="00EE6DFB" w:rsidRDefault="00124040" w:rsidP="00317D0B">
      <w:pPr>
        <w:spacing w:line="360" w:lineRule="auto"/>
        <w:contextualSpacing/>
        <w:jc w:val="both"/>
        <w:rPr>
          <w:rFonts w:cs="Arial"/>
          <w:iCs/>
          <w:sz w:val="24"/>
        </w:rPr>
      </w:pPr>
    </w:p>
    <w:p w:rsidR="00CD49A8" w:rsidRPr="00EE6DFB" w:rsidRDefault="00CD49A8" w:rsidP="00317D0B">
      <w:pPr>
        <w:tabs>
          <w:tab w:val="left" w:pos="-720"/>
        </w:tabs>
        <w:suppressAutoHyphens/>
        <w:spacing w:line="360" w:lineRule="auto"/>
        <w:ind w:right="51"/>
        <w:contextualSpacing/>
        <w:jc w:val="both"/>
        <w:rPr>
          <w:rFonts w:cs="Arial"/>
          <w:sz w:val="24"/>
        </w:rPr>
      </w:pPr>
      <w:r w:rsidRPr="00EE6DFB">
        <w:rPr>
          <w:rFonts w:cs="Arial"/>
          <w:b/>
          <w:sz w:val="24"/>
        </w:rPr>
        <w:t>SEGUNDO</w:t>
      </w:r>
      <w:r w:rsidR="00CE6413" w:rsidRPr="00EE6DFB">
        <w:rPr>
          <w:rFonts w:cs="Arial"/>
          <w:b/>
          <w:sz w:val="24"/>
        </w:rPr>
        <w:t xml:space="preserve">. </w:t>
      </w:r>
      <w:r w:rsidR="003720BA">
        <w:rPr>
          <w:rFonts w:cs="Arial"/>
          <w:b/>
          <w:sz w:val="24"/>
        </w:rPr>
        <w:t xml:space="preserve">ORDENAR </w:t>
      </w:r>
      <w:r w:rsidR="003720BA" w:rsidRPr="003720BA">
        <w:rPr>
          <w:rFonts w:cs="Arial"/>
          <w:sz w:val="24"/>
        </w:rPr>
        <w:t>el</w:t>
      </w:r>
      <w:r w:rsidR="003720BA">
        <w:rPr>
          <w:rFonts w:cs="Arial"/>
          <w:b/>
          <w:sz w:val="24"/>
        </w:rPr>
        <w:t xml:space="preserve"> </w:t>
      </w:r>
      <w:r w:rsidR="003720BA" w:rsidRPr="003720BA">
        <w:rPr>
          <w:rFonts w:cs="Arial"/>
          <w:sz w:val="24"/>
        </w:rPr>
        <w:t>archivo de las presentes</w:t>
      </w:r>
      <w:r w:rsidR="003720BA">
        <w:rPr>
          <w:rFonts w:cs="Arial"/>
          <w:b/>
          <w:sz w:val="24"/>
        </w:rPr>
        <w:t xml:space="preserve"> </w:t>
      </w:r>
      <w:r w:rsidR="007923D4" w:rsidRPr="00EE6DFB">
        <w:rPr>
          <w:rFonts w:cs="Arial"/>
          <w:sz w:val="24"/>
        </w:rPr>
        <w:t xml:space="preserve">diligencias. </w:t>
      </w:r>
    </w:p>
    <w:p w:rsidR="00CD49A8" w:rsidRDefault="00CD49A8" w:rsidP="00317D0B">
      <w:pPr>
        <w:tabs>
          <w:tab w:val="left" w:pos="-720"/>
        </w:tabs>
        <w:suppressAutoHyphens/>
        <w:spacing w:line="360" w:lineRule="auto"/>
        <w:ind w:right="51"/>
        <w:contextualSpacing/>
        <w:jc w:val="both"/>
        <w:rPr>
          <w:rFonts w:cs="Arial"/>
          <w:sz w:val="24"/>
        </w:rPr>
      </w:pPr>
    </w:p>
    <w:p w:rsidR="00124040" w:rsidRPr="00EE6DFB" w:rsidRDefault="00124040" w:rsidP="00317D0B">
      <w:pPr>
        <w:tabs>
          <w:tab w:val="left" w:pos="-720"/>
        </w:tabs>
        <w:suppressAutoHyphens/>
        <w:spacing w:line="360" w:lineRule="auto"/>
        <w:ind w:right="51"/>
        <w:contextualSpacing/>
        <w:jc w:val="both"/>
        <w:rPr>
          <w:rFonts w:cs="Arial"/>
          <w:sz w:val="24"/>
        </w:rPr>
      </w:pPr>
    </w:p>
    <w:p w:rsidR="006424B6" w:rsidRDefault="00CD49A8" w:rsidP="00317D0B">
      <w:pPr>
        <w:spacing w:line="360" w:lineRule="auto"/>
        <w:contextualSpacing/>
        <w:jc w:val="both"/>
        <w:rPr>
          <w:rFonts w:cs="Arial"/>
          <w:sz w:val="24"/>
        </w:rPr>
      </w:pPr>
      <w:r w:rsidRPr="00EE6DFB">
        <w:rPr>
          <w:rFonts w:cs="Arial"/>
          <w:b/>
          <w:sz w:val="24"/>
        </w:rPr>
        <w:t xml:space="preserve">TERCERO: </w:t>
      </w:r>
      <w:r w:rsidR="006424B6" w:rsidRPr="00EE6DFB">
        <w:rPr>
          <w:rFonts w:cs="Arial"/>
          <w:b/>
          <w:sz w:val="24"/>
        </w:rPr>
        <w:t xml:space="preserve">ADVERTIR </w:t>
      </w:r>
      <w:r w:rsidR="006424B6" w:rsidRPr="00EE6DFB">
        <w:rPr>
          <w:rFonts w:cs="Arial"/>
          <w:sz w:val="24"/>
        </w:rPr>
        <w:t>que contra esta providencia no procede recurso alguno.</w:t>
      </w:r>
    </w:p>
    <w:p w:rsidR="006B20AB" w:rsidRDefault="006B20AB" w:rsidP="00317D0B">
      <w:pPr>
        <w:spacing w:line="360" w:lineRule="auto"/>
        <w:contextualSpacing/>
        <w:jc w:val="both"/>
        <w:rPr>
          <w:rFonts w:cs="Arial"/>
          <w:sz w:val="24"/>
        </w:rPr>
      </w:pPr>
    </w:p>
    <w:p w:rsidR="00124040" w:rsidRPr="00EE6DFB" w:rsidRDefault="00124040" w:rsidP="00317D0B">
      <w:pPr>
        <w:spacing w:line="360" w:lineRule="auto"/>
        <w:contextualSpacing/>
        <w:jc w:val="both"/>
        <w:rPr>
          <w:rFonts w:cs="Arial"/>
          <w:sz w:val="24"/>
        </w:rPr>
      </w:pPr>
    </w:p>
    <w:p w:rsidR="00CD49A8" w:rsidRPr="00EE6DFB" w:rsidRDefault="006424B6" w:rsidP="00317D0B">
      <w:pPr>
        <w:spacing w:line="360" w:lineRule="auto"/>
        <w:contextualSpacing/>
        <w:rPr>
          <w:rFonts w:cs="Arial"/>
          <w:b/>
          <w:sz w:val="24"/>
        </w:rPr>
      </w:pPr>
      <w:r w:rsidRPr="00EE6DFB">
        <w:rPr>
          <w:rFonts w:cs="Arial"/>
          <w:b/>
          <w:sz w:val="24"/>
        </w:rPr>
        <w:t>NOTIFÍQUESE Y CÚMPLASE,</w:t>
      </w:r>
    </w:p>
    <w:p w:rsidR="00BF2C39" w:rsidRDefault="00BF2C39" w:rsidP="002B6DC3">
      <w:pPr>
        <w:spacing w:line="276" w:lineRule="auto"/>
        <w:contextualSpacing/>
        <w:jc w:val="both"/>
        <w:rPr>
          <w:rFonts w:cs="Arial"/>
          <w:sz w:val="24"/>
        </w:rPr>
      </w:pPr>
    </w:p>
    <w:p w:rsidR="00EE6DFB" w:rsidRPr="00EE6DFB" w:rsidRDefault="00EE6DFB" w:rsidP="002B6DC3">
      <w:pPr>
        <w:spacing w:line="276" w:lineRule="auto"/>
        <w:contextualSpacing/>
        <w:jc w:val="both"/>
        <w:rPr>
          <w:rFonts w:cs="Arial"/>
          <w:sz w:val="24"/>
        </w:rPr>
      </w:pPr>
    </w:p>
    <w:p w:rsidR="00CD49A8" w:rsidRDefault="006424B6" w:rsidP="002B6DC3">
      <w:pPr>
        <w:spacing w:line="276" w:lineRule="auto"/>
        <w:contextualSpacing/>
        <w:jc w:val="both"/>
        <w:rPr>
          <w:rFonts w:cs="Arial"/>
          <w:b/>
          <w:sz w:val="24"/>
        </w:rPr>
      </w:pPr>
      <w:r w:rsidRPr="00EE6DFB">
        <w:rPr>
          <w:rFonts w:cs="Arial"/>
          <w:b/>
          <w:sz w:val="24"/>
        </w:rPr>
        <w:t xml:space="preserve"> </w:t>
      </w:r>
    </w:p>
    <w:p w:rsidR="00EE6DFB" w:rsidRDefault="00EE6DFB" w:rsidP="002B6DC3">
      <w:pPr>
        <w:spacing w:line="276" w:lineRule="auto"/>
        <w:contextualSpacing/>
        <w:jc w:val="both"/>
        <w:rPr>
          <w:rFonts w:cs="Arial"/>
          <w:b/>
          <w:spacing w:val="-6"/>
          <w:kern w:val="2"/>
          <w:sz w:val="22"/>
          <w:szCs w:val="22"/>
        </w:rPr>
      </w:pPr>
    </w:p>
    <w:p w:rsidR="00246647" w:rsidRDefault="00246647" w:rsidP="002B6DC3">
      <w:pPr>
        <w:spacing w:line="276" w:lineRule="auto"/>
        <w:contextualSpacing/>
        <w:jc w:val="both"/>
        <w:rPr>
          <w:rFonts w:cs="Arial"/>
          <w:b/>
          <w:spacing w:val="-6"/>
          <w:kern w:val="2"/>
          <w:sz w:val="22"/>
          <w:szCs w:val="22"/>
        </w:rPr>
      </w:pPr>
    </w:p>
    <w:p w:rsidR="00246647" w:rsidRPr="00EE6DFB" w:rsidRDefault="00246647" w:rsidP="002B6DC3">
      <w:pPr>
        <w:spacing w:line="276" w:lineRule="auto"/>
        <w:contextualSpacing/>
        <w:jc w:val="both"/>
        <w:rPr>
          <w:rFonts w:cs="Arial"/>
          <w:b/>
          <w:spacing w:val="-6"/>
          <w:kern w:val="2"/>
          <w:sz w:val="22"/>
          <w:szCs w:val="22"/>
        </w:rPr>
      </w:pPr>
    </w:p>
    <w:p w:rsidR="00EE6DFB" w:rsidRPr="00EE6DFB" w:rsidRDefault="00EE6DFB" w:rsidP="002B6DC3">
      <w:pPr>
        <w:spacing w:line="276" w:lineRule="auto"/>
        <w:contextualSpacing/>
        <w:jc w:val="both"/>
        <w:rPr>
          <w:rFonts w:cs="Arial"/>
          <w:b/>
          <w:spacing w:val="-6"/>
          <w:kern w:val="2"/>
          <w:sz w:val="22"/>
          <w:szCs w:val="22"/>
        </w:rPr>
      </w:pPr>
    </w:p>
    <w:p w:rsidR="00CD49A8" w:rsidRPr="00246647" w:rsidRDefault="00CD49A8" w:rsidP="002B6DC3">
      <w:pPr>
        <w:spacing w:line="276" w:lineRule="auto"/>
        <w:contextualSpacing/>
        <w:jc w:val="center"/>
        <w:rPr>
          <w:rFonts w:cs="Arial"/>
          <w:b/>
          <w:spacing w:val="-6"/>
          <w:kern w:val="2"/>
          <w:sz w:val="24"/>
        </w:rPr>
      </w:pPr>
      <w:r w:rsidRPr="00246647">
        <w:rPr>
          <w:rFonts w:cs="Arial"/>
          <w:b/>
          <w:spacing w:val="-6"/>
          <w:kern w:val="2"/>
          <w:sz w:val="24"/>
        </w:rPr>
        <w:t>OLGA LUCÍA HOYOS SEPÚLVEDA</w:t>
      </w:r>
    </w:p>
    <w:p w:rsidR="00CD49A8" w:rsidRPr="00246647" w:rsidRDefault="006424B6" w:rsidP="002B6DC3">
      <w:pPr>
        <w:spacing w:line="276" w:lineRule="auto"/>
        <w:contextualSpacing/>
        <w:jc w:val="center"/>
        <w:rPr>
          <w:rFonts w:cs="Arial"/>
          <w:b/>
          <w:spacing w:val="-6"/>
          <w:kern w:val="2"/>
          <w:sz w:val="24"/>
        </w:rPr>
      </w:pPr>
      <w:r w:rsidRPr="00246647">
        <w:rPr>
          <w:rFonts w:cs="Arial"/>
          <w:b/>
          <w:spacing w:val="-6"/>
          <w:kern w:val="2"/>
          <w:sz w:val="24"/>
        </w:rPr>
        <w:t>Magistrada sustanciadora</w:t>
      </w:r>
      <w:r w:rsidR="006A1460" w:rsidRPr="00246647">
        <w:rPr>
          <w:rFonts w:cs="Arial"/>
          <w:b/>
          <w:spacing w:val="-6"/>
          <w:kern w:val="2"/>
          <w:sz w:val="24"/>
        </w:rPr>
        <w:t xml:space="preserve"> </w:t>
      </w:r>
    </w:p>
    <w:p w:rsidR="006424B6" w:rsidRPr="00EE6DFB" w:rsidRDefault="006424B6" w:rsidP="002B6DC3">
      <w:pPr>
        <w:widowControl w:val="0"/>
        <w:autoSpaceDE w:val="0"/>
        <w:autoSpaceDN w:val="0"/>
        <w:adjustRightInd w:val="0"/>
        <w:spacing w:line="276" w:lineRule="auto"/>
        <w:contextualSpacing/>
        <w:jc w:val="center"/>
        <w:rPr>
          <w:rFonts w:cs="Arial"/>
          <w:b/>
          <w:sz w:val="22"/>
          <w:szCs w:val="22"/>
        </w:rPr>
      </w:pPr>
    </w:p>
    <w:p w:rsidR="00EE6DFB" w:rsidRDefault="00EE6DFB" w:rsidP="002B6DC3">
      <w:pPr>
        <w:widowControl w:val="0"/>
        <w:autoSpaceDE w:val="0"/>
        <w:autoSpaceDN w:val="0"/>
        <w:adjustRightInd w:val="0"/>
        <w:spacing w:line="276" w:lineRule="auto"/>
        <w:contextualSpacing/>
        <w:jc w:val="center"/>
        <w:rPr>
          <w:rFonts w:cs="Arial"/>
          <w:b/>
          <w:sz w:val="22"/>
          <w:szCs w:val="22"/>
        </w:rPr>
      </w:pPr>
    </w:p>
    <w:p w:rsidR="00C92712" w:rsidRPr="00EE6DFB" w:rsidRDefault="00C92712" w:rsidP="002B6DC3">
      <w:pPr>
        <w:widowControl w:val="0"/>
        <w:autoSpaceDE w:val="0"/>
        <w:autoSpaceDN w:val="0"/>
        <w:adjustRightInd w:val="0"/>
        <w:spacing w:line="276" w:lineRule="auto"/>
        <w:contextualSpacing/>
        <w:jc w:val="center"/>
        <w:rPr>
          <w:rFonts w:cs="Arial"/>
          <w:b/>
          <w:sz w:val="22"/>
          <w:szCs w:val="22"/>
        </w:rPr>
      </w:pPr>
    </w:p>
    <w:p w:rsidR="00EE6DFB" w:rsidRDefault="00EE6DFB" w:rsidP="002B6DC3">
      <w:pPr>
        <w:widowControl w:val="0"/>
        <w:autoSpaceDE w:val="0"/>
        <w:autoSpaceDN w:val="0"/>
        <w:adjustRightInd w:val="0"/>
        <w:spacing w:line="276" w:lineRule="auto"/>
        <w:contextualSpacing/>
        <w:jc w:val="center"/>
        <w:rPr>
          <w:rFonts w:cs="Arial"/>
          <w:b/>
          <w:sz w:val="22"/>
          <w:szCs w:val="22"/>
        </w:rPr>
      </w:pPr>
    </w:p>
    <w:p w:rsidR="00C92712" w:rsidRPr="00EE6DFB" w:rsidRDefault="00C92712" w:rsidP="002B6DC3">
      <w:pPr>
        <w:widowControl w:val="0"/>
        <w:autoSpaceDE w:val="0"/>
        <w:autoSpaceDN w:val="0"/>
        <w:adjustRightInd w:val="0"/>
        <w:spacing w:line="276" w:lineRule="auto"/>
        <w:contextualSpacing/>
        <w:jc w:val="center"/>
        <w:rPr>
          <w:rFonts w:cs="Arial"/>
          <w:b/>
          <w:sz w:val="22"/>
          <w:szCs w:val="22"/>
        </w:rPr>
      </w:pPr>
    </w:p>
    <w:sectPr w:rsidR="00C92712" w:rsidRPr="00EE6DFB" w:rsidSect="00EE6DFB">
      <w:headerReference w:type="default" r:id="rId9"/>
      <w:footerReference w:type="default" r:id="rId10"/>
      <w:pgSz w:w="12242" w:h="18722"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4E" w:rsidRDefault="0025294E" w:rsidP="00CD49A8">
      <w:r>
        <w:separator/>
      </w:r>
    </w:p>
  </w:endnote>
  <w:endnote w:type="continuationSeparator" w:id="0">
    <w:p w:rsidR="0025294E" w:rsidRDefault="0025294E"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10627"/>
      <w:docPartObj>
        <w:docPartGallery w:val="Page Numbers (Bottom of Page)"/>
        <w:docPartUnique/>
      </w:docPartObj>
    </w:sdtPr>
    <w:sdtEndPr/>
    <w:sdtContent>
      <w:p w:rsidR="0069342B" w:rsidRDefault="0072653C" w:rsidP="0069342B">
        <w:pPr>
          <w:pStyle w:val="Piedepgina"/>
          <w:tabs>
            <w:tab w:val="left" w:pos="816"/>
            <w:tab w:val="center" w:pos="4675"/>
          </w:tabs>
        </w:pPr>
        <w:r>
          <w:tab/>
        </w:r>
        <w:r>
          <w:tab/>
        </w:r>
        <w:r>
          <w:tab/>
        </w:r>
        <w:r>
          <w:fldChar w:fldCharType="begin"/>
        </w:r>
        <w:r>
          <w:instrText>PAGE   \* MERGEFORMAT</w:instrText>
        </w:r>
        <w:r>
          <w:fldChar w:fldCharType="separate"/>
        </w:r>
        <w:r w:rsidR="00AB0DB8">
          <w:rPr>
            <w:noProof/>
          </w:rPr>
          <w:t>5</w:t>
        </w:r>
        <w:r>
          <w:rPr>
            <w:noProof/>
          </w:rPr>
          <w:fldChar w:fldCharType="end"/>
        </w:r>
      </w:p>
    </w:sdtContent>
  </w:sdt>
  <w:p w:rsidR="0069342B" w:rsidRDefault="00AB0D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4E" w:rsidRDefault="0025294E" w:rsidP="00CD49A8">
      <w:r>
        <w:separator/>
      </w:r>
    </w:p>
  </w:footnote>
  <w:footnote w:type="continuationSeparator" w:id="0">
    <w:p w:rsidR="0025294E" w:rsidRDefault="0025294E" w:rsidP="00CD49A8">
      <w:r>
        <w:continuationSeparator/>
      </w:r>
    </w:p>
  </w:footnote>
  <w:footnote w:id="1">
    <w:p w:rsidR="00C50530" w:rsidRPr="00955F04" w:rsidRDefault="00C50530" w:rsidP="00C50530">
      <w:pPr>
        <w:pStyle w:val="Textonotapie"/>
        <w:jc w:val="both"/>
        <w:rPr>
          <w:rFonts w:asciiTheme="minorHAnsi" w:hAnsiTheme="minorHAnsi"/>
          <w:lang w:val="es-CO"/>
        </w:rPr>
      </w:pPr>
      <w:r w:rsidRPr="00955F04">
        <w:rPr>
          <w:rStyle w:val="Refdenotaalpie"/>
          <w:rFonts w:asciiTheme="minorHAnsi" w:hAnsiTheme="minorHAnsi"/>
          <w:lang w:val="es-CO"/>
        </w:rPr>
        <w:footnoteRef/>
      </w:r>
      <w:r w:rsidRPr="00955F04">
        <w:rPr>
          <w:rFonts w:asciiTheme="minorHAnsi" w:hAnsiTheme="minorHAnsi"/>
          <w:lang w:val="es-CO"/>
        </w:rPr>
        <w:t xml:space="preserve"> CONSEJO DE ESTADO, Sala de Consulta y Servicio Civil.  Providencia del 13-08-2013, CP: William Zambrano Cetina (E), radicado No.11001-03-06-000-2013-000207-00.  Reiterada en el (i) 25-08-2014, CP: Augusto Hernández Becerra y (ii) 02-10-2014, CP: William Zambrano Cetina (E), radicado No.11001-03-06-000-2014-00121-00.</w:t>
      </w:r>
    </w:p>
  </w:footnote>
  <w:footnote w:id="2">
    <w:p w:rsidR="006E7609" w:rsidRPr="00955F04" w:rsidRDefault="009D5E20" w:rsidP="006E7609">
      <w:pPr>
        <w:pStyle w:val="Textonotapie"/>
        <w:jc w:val="both"/>
        <w:rPr>
          <w:rFonts w:asciiTheme="minorHAnsi" w:hAnsiTheme="minorHAnsi"/>
          <w:lang w:val="es-CO"/>
        </w:rPr>
      </w:pPr>
      <w:r>
        <w:rPr>
          <w:rStyle w:val="Refdenotaalpie"/>
        </w:rPr>
        <w:footnoteRef/>
      </w:r>
      <w:r>
        <w:t xml:space="preserve"> </w:t>
      </w:r>
      <w:r w:rsidR="006E7609" w:rsidRPr="00955F04">
        <w:rPr>
          <w:rFonts w:asciiTheme="minorHAnsi" w:hAnsiTheme="minorHAnsi" w:cs="Calibri"/>
          <w:lang w:val="es-CO"/>
        </w:rPr>
        <w:t xml:space="preserve">TRIBUNAL SUPERIOR DE PEREIRA, Sala Civil-Familia.  Auto del </w:t>
      </w:r>
      <w:r w:rsidR="006E7609">
        <w:rPr>
          <w:rFonts w:asciiTheme="minorHAnsi" w:hAnsiTheme="minorHAnsi" w:cs="Calibri"/>
          <w:lang w:val="es-CO"/>
        </w:rPr>
        <w:t>12</w:t>
      </w:r>
      <w:r w:rsidR="006E7609" w:rsidRPr="00955F04">
        <w:rPr>
          <w:rFonts w:asciiTheme="minorHAnsi" w:hAnsiTheme="minorHAnsi" w:cs="Calibri"/>
          <w:lang w:val="es-CO"/>
        </w:rPr>
        <w:t>-0</w:t>
      </w:r>
      <w:r w:rsidR="006E7609">
        <w:rPr>
          <w:rFonts w:asciiTheme="minorHAnsi" w:hAnsiTheme="minorHAnsi" w:cs="Calibri"/>
          <w:lang w:val="es-CO"/>
        </w:rPr>
        <w:t>6</w:t>
      </w:r>
      <w:r w:rsidR="006E7609" w:rsidRPr="00955F04">
        <w:rPr>
          <w:rFonts w:asciiTheme="minorHAnsi" w:hAnsiTheme="minorHAnsi" w:cs="Calibri"/>
          <w:lang w:val="es-CO"/>
        </w:rPr>
        <w:t>-201</w:t>
      </w:r>
      <w:r w:rsidR="006E7609">
        <w:rPr>
          <w:rFonts w:asciiTheme="minorHAnsi" w:hAnsiTheme="minorHAnsi" w:cs="Calibri"/>
          <w:lang w:val="es-CO"/>
        </w:rPr>
        <w:t>5</w:t>
      </w:r>
      <w:r w:rsidR="006E7609" w:rsidRPr="00955F04">
        <w:rPr>
          <w:rFonts w:asciiTheme="minorHAnsi" w:hAnsiTheme="minorHAnsi" w:cs="Calibri"/>
          <w:lang w:val="es-CO"/>
        </w:rPr>
        <w:t xml:space="preserve">; MP: </w:t>
      </w:r>
      <w:proofErr w:type="spellStart"/>
      <w:r w:rsidR="006E7609">
        <w:rPr>
          <w:rFonts w:asciiTheme="minorHAnsi" w:hAnsiTheme="minorHAnsi" w:cs="Calibri"/>
          <w:lang w:val="es-CO"/>
        </w:rPr>
        <w:t>Duberney</w:t>
      </w:r>
      <w:proofErr w:type="spellEnd"/>
      <w:r w:rsidR="006E7609">
        <w:rPr>
          <w:rFonts w:asciiTheme="minorHAnsi" w:hAnsiTheme="minorHAnsi" w:cs="Calibri"/>
          <w:lang w:val="es-CO"/>
        </w:rPr>
        <w:t xml:space="preserve"> Grisales Herrera</w:t>
      </w:r>
      <w:r w:rsidR="006E7609" w:rsidRPr="00955F04">
        <w:rPr>
          <w:rFonts w:asciiTheme="minorHAnsi" w:hAnsiTheme="minorHAnsi" w:cs="Calibri"/>
          <w:lang w:val="es-CO"/>
        </w:rPr>
        <w:t>, radicado No.</w:t>
      </w:r>
      <w:r w:rsidR="006E7609" w:rsidRPr="00955F04">
        <w:rPr>
          <w:rFonts w:asciiTheme="minorHAnsi" w:hAnsiTheme="minorHAnsi"/>
        </w:rPr>
        <w:t xml:space="preserve"> 66001-31-10-004-2012-00792-01</w:t>
      </w:r>
      <w:r w:rsidR="006E7609">
        <w:rPr>
          <w:rFonts w:asciiTheme="minorHAnsi" w:hAnsiTheme="minorHAnsi"/>
        </w:rPr>
        <w:t>.</w:t>
      </w:r>
    </w:p>
    <w:p w:rsidR="009D5E20" w:rsidRPr="009D5E20" w:rsidRDefault="009D5E20">
      <w:pPr>
        <w:pStyle w:val="Textonotapie"/>
        <w:rPr>
          <w:lang w:val="es-CO"/>
        </w:rPr>
      </w:pPr>
    </w:p>
  </w:footnote>
  <w:footnote w:id="3">
    <w:p w:rsidR="009D5E20" w:rsidRPr="00955F04" w:rsidRDefault="009D5E20" w:rsidP="009D5E20">
      <w:pPr>
        <w:pStyle w:val="Textonotapie"/>
        <w:jc w:val="both"/>
        <w:rPr>
          <w:rFonts w:asciiTheme="minorHAnsi" w:hAnsiTheme="minorHAnsi"/>
          <w:lang w:val="es-CO"/>
        </w:rPr>
      </w:pPr>
      <w:r w:rsidRPr="00955F04">
        <w:rPr>
          <w:rStyle w:val="Refdenotaalpie"/>
          <w:rFonts w:asciiTheme="minorHAnsi" w:hAnsiTheme="minorHAnsi"/>
          <w:lang w:val="es-CO"/>
        </w:rPr>
        <w:footnoteRef/>
      </w:r>
      <w:r w:rsidRPr="00955F04">
        <w:rPr>
          <w:rFonts w:asciiTheme="minorHAnsi" w:hAnsiTheme="minorHAnsi"/>
          <w:lang w:val="es-CO"/>
        </w:rPr>
        <w:t xml:space="preserve"> ARBOLEDA PERDOMO, Enrique José.  Comentarios al nuevo Código de Procedimiento Administrativo y de lo Contencioso Administrativo, reimpresión de la </w:t>
      </w:r>
      <w:r w:rsidRPr="00955F04">
        <w:rPr>
          <w:rFonts w:asciiTheme="minorHAnsi" w:hAnsiTheme="minorHAnsi" w:cs="Calibri"/>
          <w:lang w:val="es-CO"/>
        </w:rPr>
        <w:t xml:space="preserve">segunda edición, </w:t>
      </w:r>
      <w:proofErr w:type="spellStart"/>
      <w:r w:rsidRPr="00955F04">
        <w:rPr>
          <w:rFonts w:asciiTheme="minorHAnsi" w:hAnsiTheme="minorHAnsi" w:cs="Calibri"/>
          <w:lang w:val="es-CO"/>
        </w:rPr>
        <w:t>Legis</w:t>
      </w:r>
      <w:proofErr w:type="spellEnd"/>
      <w:r w:rsidRPr="00955F04">
        <w:rPr>
          <w:rFonts w:asciiTheme="minorHAnsi" w:hAnsiTheme="minorHAnsi" w:cs="Calibri"/>
          <w:lang w:val="es-CO"/>
        </w:rPr>
        <w:t>, Bogotá DC, 2012, p.126.</w:t>
      </w:r>
    </w:p>
  </w:footnote>
  <w:footnote w:id="4">
    <w:p w:rsidR="009D5E20" w:rsidRPr="00955F04" w:rsidRDefault="009D5E20" w:rsidP="009D5E20">
      <w:pPr>
        <w:pStyle w:val="Textonotapie"/>
        <w:jc w:val="both"/>
        <w:rPr>
          <w:rFonts w:asciiTheme="minorHAnsi" w:hAnsiTheme="minorHAnsi"/>
          <w:lang w:val="es-CO"/>
        </w:rPr>
      </w:pPr>
      <w:r w:rsidRPr="00955F04">
        <w:rPr>
          <w:rStyle w:val="Refdenotaalpie"/>
          <w:rFonts w:asciiTheme="minorHAnsi" w:hAnsiTheme="minorHAnsi"/>
        </w:rPr>
        <w:footnoteRef/>
      </w:r>
      <w:r w:rsidRPr="00955F04">
        <w:rPr>
          <w:rFonts w:asciiTheme="minorHAnsi" w:hAnsiTheme="minorHAnsi"/>
        </w:rPr>
        <w:t xml:space="preserve"> </w:t>
      </w:r>
      <w:r w:rsidRPr="00955F04">
        <w:rPr>
          <w:rFonts w:asciiTheme="minorHAnsi" w:hAnsiTheme="minorHAnsi" w:cs="Calibri"/>
          <w:lang w:val="es-CO"/>
        </w:rPr>
        <w:t>TRIBUNAL SUPERIOR DE PEREIRA, Sala Civil-Familia.  Auto del 25-04-2013; MP: Jaime Alberto Saraza Naranjo, radicado No.</w:t>
      </w:r>
      <w:r w:rsidRPr="00955F04">
        <w:rPr>
          <w:rFonts w:asciiTheme="minorHAnsi" w:hAnsiTheme="minorHAnsi"/>
        </w:rPr>
        <w:t xml:space="preserve"> 66001-31-10-004-2012-00792-01</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F5" w:rsidRPr="00A56EF5" w:rsidRDefault="00A56EF5" w:rsidP="00A56EF5">
    <w:pPr>
      <w:pStyle w:val="Encabezado"/>
      <w:jc w:val="center"/>
      <w:rPr>
        <w:sz w:val="18"/>
        <w:szCs w:val="18"/>
      </w:rPr>
    </w:pPr>
    <w:r w:rsidRPr="00A56EF5">
      <w:rPr>
        <w:sz w:val="18"/>
        <w:szCs w:val="18"/>
      </w:rPr>
      <w:t>Recurso de queja</w:t>
    </w:r>
  </w:p>
  <w:p w:rsidR="00A56EF5" w:rsidRPr="00A56EF5" w:rsidRDefault="00A56EF5" w:rsidP="00A56EF5">
    <w:pPr>
      <w:pStyle w:val="Encabezado"/>
      <w:jc w:val="center"/>
      <w:rPr>
        <w:sz w:val="18"/>
        <w:szCs w:val="18"/>
      </w:rPr>
    </w:pPr>
    <w:r w:rsidRPr="00A56EF5">
      <w:rPr>
        <w:sz w:val="18"/>
        <w:szCs w:val="18"/>
      </w:rPr>
      <w:t>66001-23-31-000-2016-0000</w:t>
    </w:r>
    <w:r w:rsidR="002565DD">
      <w:rPr>
        <w:sz w:val="18"/>
        <w:szCs w:val="18"/>
      </w:rPr>
      <w:t>3-</w:t>
    </w:r>
    <w:r w:rsidRPr="00A56EF5">
      <w:rPr>
        <w:sz w:val="18"/>
        <w:szCs w:val="18"/>
      </w:rPr>
      <w:t>00</w:t>
    </w:r>
  </w:p>
  <w:p w:rsidR="00A56EF5" w:rsidRPr="00A56EF5" w:rsidRDefault="002565DD" w:rsidP="00A56EF5">
    <w:pPr>
      <w:pStyle w:val="Encabezado"/>
      <w:jc w:val="center"/>
      <w:rPr>
        <w:sz w:val="18"/>
        <w:szCs w:val="18"/>
      </w:rPr>
    </w:pPr>
    <w:r>
      <w:rPr>
        <w:sz w:val="18"/>
        <w:szCs w:val="18"/>
      </w:rPr>
      <w:t>Luis Fernando Moreno Bustamante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5970"/>
    <w:rsid w:val="00015FB4"/>
    <w:rsid w:val="00022041"/>
    <w:rsid w:val="00023FC2"/>
    <w:rsid w:val="000608C3"/>
    <w:rsid w:val="00061AEB"/>
    <w:rsid w:val="00061EFF"/>
    <w:rsid w:val="00063D06"/>
    <w:rsid w:val="000C6A38"/>
    <w:rsid w:val="000D591D"/>
    <w:rsid w:val="000D7A2D"/>
    <w:rsid w:val="000E369C"/>
    <w:rsid w:val="000E48B5"/>
    <w:rsid w:val="0010271B"/>
    <w:rsid w:val="0010606F"/>
    <w:rsid w:val="00117067"/>
    <w:rsid w:val="00124040"/>
    <w:rsid w:val="00143828"/>
    <w:rsid w:val="0016582E"/>
    <w:rsid w:val="00174FE1"/>
    <w:rsid w:val="001803C7"/>
    <w:rsid w:val="00181196"/>
    <w:rsid w:val="001B0058"/>
    <w:rsid w:val="001B357F"/>
    <w:rsid w:val="001B5727"/>
    <w:rsid w:val="001D46F9"/>
    <w:rsid w:val="00205C27"/>
    <w:rsid w:val="00213439"/>
    <w:rsid w:val="00214382"/>
    <w:rsid w:val="002306C2"/>
    <w:rsid w:val="00246647"/>
    <w:rsid w:val="0025294E"/>
    <w:rsid w:val="00254DBC"/>
    <w:rsid w:val="00254E83"/>
    <w:rsid w:val="002565DD"/>
    <w:rsid w:val="0027477A"/>
    <w:rsid w:val="0027692C"/>
    <w:rsid w:val="00281374"/>
    <w:rsid w:val="002847B4"/>
    <w:rsid w:val="002A6434"/>
    <w:rsid w:val="002B6DC3"/>
    <w:rsid w:val="002C0044"/>
    <w:rsid w:val="002C2F56"/>
    <w:rsid w:val="002D37BC"/>
    <w:rsid w:val="002E59D6"/>
    <w:rsid w:val="00317D0B"/>
    <w:rsid w:val="003325C4"/>
    <w:rsid w:val="00347B79"/>
    <w:rsid w:val="003720BA"/>
    <w:rsid w:val="0038035D"/>
    <w:rsid w:val="00390EDA"/>
    <w:rsid w:val="003944DE"/>
    <w:rsid w:val="00396021"/>
    <w:rsid w:val="003C4324"/>
    <w:rsid w:val="003D2C50"/>
    <w:rsid w:val="003D3246"/>
    <w:rsid w:val="003F5577"/>
    <w:rsid w:val="00412422"/>
    <w:rsid w:val="00424881"/>
    <w:rsid w:val="00436A65"/>
    <w:rsid w:val="00437EC4"/>
    <w:rsid w:val="004406A1"/>
    <w:rsid w:val="00454581"/>
    <w:rsid w:val="00466AA5"/>
    <w:rsid w:val="00470F10"/>
    <w:rsid w:val="00473F0D"/>
    <w:rsid w:val="00484C57"/>
    <w:rsid w:val="00491F1F"/>
    <w:rsid w:val="0049203B"/>
    <w:rsid w:val="004A41A5"/>
    <w:rsid w:val="004C5803"/>
    <w:rsid w:val="004D2A25"/>
    <w:rsid w:val="004D2BEA"/>
    <w:rsid w:val="004D6715"/>
    <w:rsid w:val="004E35E9"/>
    <w:rsid w:val="004F43F4"/>
    <w:rsid w:val="00500B74"/>
    <w:rsid w:val="00503276"/>
    <w:rsid w:val="005226B0"/>
    <w:rsid w:val="00580C3F"/>
    <w:rsid w:val="0058255E"/>
    <w:rsid w:val="00597F02"/>
    <w:rsid w:val="005B16D3"/>
    <w:rsid w:val="005B5F90"/>
    <w:rsid w:val="005C17DC"/>
    <w:rsid w:val="005C642E"/>
    <w:rsid w:val="005D20B4"/>
    <w:rsid w:val="005E2C14"/>
    <w:rsid w:val="005E2C6D"/>
    <w:rsid w:val="006055D3"/>
    <w:rsid w:val="00623D49"/>
    <w:rsid w:val="00630613"/>
    <w:rsid w:val="006424B6"/>
    <w:rsid w:val="00652759"/>
    <w:rsid w:val="00653041"/>
    <w:rsid w:val="00657C43"/>
    <w:rsid w:val="00671BB2"/>
    <w:rsid w:val="00690C66"/>
    <w:rsid w:val="0069515B"/>
    <w:rsid w:val="006A1460"/>
    <w:rsid w:val="006A1621"/>
    <w:rsid w:val="006A3879"/>
    <w:rsid w:val="006A4B02"/>
    <w:rsid w:val="006A61B7"/>
    <w:rsid w:val="006B20AB"/>
    <w:rsid w:val="006D01D3"/>
    <w:rsid w:val="006D51D2"/>
    <w:rsid w:val="006E2543"/>
    <w:rsid w:val="006E7609"/>
    <w:rsid w:val="006F5F42"/>
    <w:rsid w:val="007256C7"/>
    <w:rsid w:val="0072653C"/>
    <w:rsid w:val="00733FC7"/>
    <w:rsid w:val="007758B0"/>
    <w:rsid w:val="007772C2"/>
    <w:rsid w:val="007923D4"/>
    <w:rsid w:val="00794E3B"/>
    <w:rsid w:val="007C2AC5"/>
    <w:rsid w:val="007F787B"/>
    <w:rsid w:val="00804BA0"/>
    <w:rsid w:val="00804C87"/>
    <w:rsid w:val="00816D1E"/>
    <w:rsid w:val="008301EE"/>
    <w:rsid w:val="008362CF"/>
    <w:rsid w:val="00852AAC"/>
    <w:rsid w:val="00871CA8"/>
    <w:rsid w:val="00873546"/>
    <w:rsid w:val="008A64FA"/>
    <w:rsid w:val="008B032C"/>
    <w:rsid w:val="008D18A5"/>
    <w:rsid w:val="008F51E9"/>
    <w:rsid w:val="008F7CC5"/>
    <w:rsid w:val="00935270"/>
    <w:rsid w:val="0095095C"/>
    <w:rsid w:val="0096385D"/>
    <w:rsid w:val="00967D7C"/>
    <w:rsid w:val="00972E3C"/>
    <w:rsid w:val="009909C4"/>
    <w:rsid w:val="009966CE"/>
    <w:rsid w:val="009D5E20"/>
    <w:rsid w:val="009E0CCD"/>
    <w:rsid w:val="009F2A1C"/>
    <w:rsid w:val="00A22CC7"/>
    <w:rsid w:val="00A25A70"/>
    <w:rsid w:val="00A27E32"/>
    <w:rsid w:val="00A32132"/>
    <w:rsid w:val="00A43911"/>
    <w:rsid w:val="00A51C36"/>
    <w:rsid w:val="00A56EF5"/>
    <w:rsid w:val="00A60B3B"/>
    <w:rsid w:val="00A648F7"/>
    <w:rsid w:val="00A72041"/>
    <w:rsid w:val="00A77445"/>
    <w:rsid w:val="00A80ACD"/>
    <w:rsid w:val="00A84E70"/>
    <w:rsid w:val="00A86091"/>
    <w:rsid w:val="00A91EB9"/>
    <w:rsid w:val="00AB0DB8"/>
    <w:rsid w:val="00AE211B"/>
    <w:rsid w:val="00AF6D03"/>
    <w:rsid w:val="00B0163F"/>
    <w:rsid w:val="00B10622"/>
    <w:rsid w:val="00B14450"/>
    <w:rsid w:val="00B35857"/>
    <w:rsid w:val="00B462E9"/>
    <w:rsid w:val="00BC1AEF"/>
    <w:rsid w:val="00BC7FEE"/>
    <w:rsid w:val="00BD309C"/>
    <w:rsid w:val="00BD58C9"/>
    <w:rsid w:val="00BD6B7A"/>
    <w:rsid w:val="00BF2C39"/>
    <w:rsid w:val="00C122BC"/>
    <w:rsid w:val="00C27509"/>
    <w:rsid w:val="00C50530"/>
    <w:rsid w:val="00C60DF9"/>
    <w:rsid w:val="00C647B1"/>
    <w:rsid w:val="00C82662"/>
    <w:rsid w:val="00C8412F"/>
    <w:rsid w:val="00C92712"/>
    <w:rsid w:val="00CC3888"/>
    <w:rsid w:val="00CD2AE3"/>
    <w:rsid w:val="00CD3867"/>
    <w:rsid w:val="00CD49A8"/>
    <w:rsid w:val="00CD64A7"/>
    <w:rsid w:val="00CD6811"/>
    <w:rsid w:val="00CE1680"/>
    <w:rsid w:val="00CE6413"/>
    <w:rsid w:val="00CF5511"/>
    <w:rsid w:val="00D035DC"/>
    <w:rsid w:val="00D1508C"/>
    <w:rsid w:val="00D44070"/>
    <w:rsid w:val="00D46102"/>
    <w:rsid w:val="00D535E5"/>
    <w:rsid w:val="00D62AC7"/>
    <w:rsid w:val="00D73F9E"/>
    <w:rsid w:val="00D91EBB"/>
    <w:rsid w:val="00D92D71"/>
    <w:rsid w:val="00DC10F5"/>
    <w:rsid w:val="00DC3A2A"/>
    <w:rsid w:val="00DC7769"/>
    <w:rsid w:val="00DE6E66"/>
    <w:rsid w:val="00E07178"/>
    <w:rsid w:val="00E11063"/>
    <w:rsid w:val="00E125A9"/>
    <w:rsid w:val="00E5534D"/>
    <w:rsid w:val="00E670E8"/>
    <w:rsid w:val="00E76D38"/>
    <w:rsid w:val="00E8278A"/>
    <w:rsid w:val="00EA183D"/>
    <w:rsid w:val="00EC783A"/>
    <w:rsid w:val="00ED2891"/>
    <w:rsid w:val="00EE3CFC"/>
    <w:rsid w:val="00EE6DFB"/>
    <w:rsid w:val="00EF0459"/>
    <w:rsid w:val="00F07851"/>
    <w:rsid w:val="00F35B0E"/>
    <w:rsid w:val="00F44F2F"/>
    <w:rsid w:val="00F53FFF"/>
    <w:rsid w:val="00F7101C"/>
    <w:rsid w:val="00F74D40"/>
    <w:rsid w:val="00F77E89"/>
    <w:rsid w:val="00FA25F0"/>
    <w:rsid w:val="00FB05B9"/>
    <w:rsid w:val="00FC76EA"/>
    <w:rsid w:val="00FD4E85"/>
    <w:rsid w:val="00FD5D62"/>
    <w:rsid w:val="00FF2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52BD2-B093-4860-A791-0420A8F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9081-9766-4767-BD4A-225D3E48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Olga Lucía Hoyos Sepulveda</cp:lastModifiedBy>
  <cp:revision>2</cp:revision>
  <cp:lastPrinted>2016-07-05T12:49:00Z</cp:lastPrinted>
  <dcterms:created xsi:type="dcterms:W3CDTF">2016-07-05T12:51:00Z</dcterms:created>
  <dcterms:modified xsi:type="dcterms:W3CDTF">2016-07-05T12:51:00Z</dcterms:modified>
</cp:coreProperties>
</file>