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69" w:rsidRPr="00760671" w:rsidRDefault="00814A69" w:rsidP="00814A6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w:t>
      </w:r>
      <w:bookmarkStart w:id="0" w:name="_GoBack"/>
      <w:bookmarkEnd w:id="0"/>
      <w:r>
        <w:rPr>
          <w:rFonts w:ascii="Arial Narrow" w:hAnsi="Arial Narrow" w:cs="Tahoma"/>
          <w:color w:val="FF0000"/>
          <w:sz w:val="16"/>
          <w:szCs w:val="18"/>
        </w:rPr>
        <w:t xml:space="preserve">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14A69" w:rsidRDefault="00814A69" w:rsidP="00814A69">
      <w:pPr>
        <w:pStyle w:val="Sinespaciado"/>
        <w:jc w:val="both"/>
        <w:rPr>
          <w:sz w:val="18"/>
          <w:szCs w:val="18"/>
        </w:rPr>
      </w:pPr>
    </w:p>
    <w:p w:rsidR="00226D5F" w:rsidRPr="007C5A02" w:rsidRDefault="00226D5F" w:rsidP="00FC46DC">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807D2">
        <w:rPr>
          <w:rFonts w:ascii="Arial" w:hAnsi="Arial" w:cs="Arial"/>
          <w:bCs/>
          <w:sz w:val="18"/>
          <w:szCs w:val="18"/>
        </w:rPr>
        <w:t>5</w:t>
      </w:r>
      <w:r w:rsidR="00290C0B">
        <w:rPr>
          <w:rFonts w:ascii="Arial" w:hAnsi="Arial" w:cs="Arial"/>
          <w:bCs/>
          <w:sz w:val="18"/>
          <w:szCs w:val="18"/>
        </w:rPr>
        <w:t>-201</w:t>
      </w:r>
      <w:r w:rsidR="002807D2">
        <w:rPr>
          <w:rFonts w:ascii="Arial" w:hAnsi="Arial" w:cs="Arial"/>
          <w:bCs/>
          <w:sz w:val="18"/>
          <w:szCs w:val="18"/>
        </w:rPr>
        <w:t>5</w:t>
      </w:r>
      <w:r w:rsidRPr="007C5A02">
        <w:rPr>
          <w:rFonts w:ascii="Arial" w:hAnsi="Arial" w:cs="Arial"/>
          <w:bCs/>
          <w:sz w:val="18"/>
          <w:szCs w:val="18"/>
        </w:rPr>
        <w:t>-00</w:t>
      </w:r>
      <w:r w:rsidR="002807D2">
        <w:rPr>
          <w:rFonts w:ascii="Arial" w:hAnsi="Arial" w:cs="Arial"/>
          <w:bCs/>
          <w:sz w:val="18"/>
          <w:szCs w:val="18"/>
        </w:rPr>
        <w:t>021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807D2">
        <w:rPr>
          <w:rFonts w:ascii="Arial" w:hAnsi="Arial" w:cs="Arial"/>
          <w:iCs/>
          <w:sz w:val="18"/>
          <w:szCs w:val="18"/>
        </w:rPr>
        <w:t xml:space="preserve">Luis Eduardo Largo Gallón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2807D2">
        <w:rPr>
          <w:rFonts w:ascii="Arial" w:hAnsi="Arial" w:cs="Arial"/>
          <w:sz w:val="18"/>
          <w:szCs w:val="18"/>
        </w:rPr>
        <w:t xml:space="preserve">Quinto </w:t>
      </w:r>
      <w:r w:rsidRPr="007C5A02">
        <w:rPr>
          <w:rFonts w:ascii="Arial" w:hAnsi="Arial" w:cs="Arial"/>
          <w:sz w:val="18"/>
          <w:szCs w:val="18"/>
        </w:rPr>
        <w:t>Laboral del Circuito de Pereira.</w:t>
      </w:r>
    </w:p>
    <w:p w:rsidR="001502AE" w:rsidRPr="001502AE" w:rsidRDefault="001502AE" w:rsidP="001502AE">
      <w:pPr>
        <w:pStyle w:val="Textoindependiente"/>
        <w:ind w:left="2127" w:right="51"/>
        <w:contextualSpacing/>
        <w:rPr>
          <w:b/>
          <w:sz w:val="18"/>
          <w:szCs w:val="18"/>
          <w:lang w:val="es-CO"/>
        </w:rPr>
      </w:pPr>
      <w:r w:rsidRPr="001502AE">
        <w:rPr>
          <w:b/>
          <w:sz w:val="18"/>
          <w:szCs w:val="18"/>
          <w:lang w:val="es-CO"/>
        </w:rPr>
        <w:t>PROCEDENCIA DE LA MUTACIÓN DE LA PENSIÓN ESPECIAL DE VEJEZ POR HIJO INVÁLIDO A PENSIÓN ORDINARIA DE VEJEZ</w:t>
      </w:r>
    </w:p>
    <w:p w:rsidR="001502AE" w:rsidRPr="001502AE" w:rsidRDefault="001502AE" w:rsidP="001502AE">
      <w:pPr>
        <w:pStyle w:val="Textoindependiente"/>
        <w:ind w:left="2127" w:right="51"/>
        <w:contextualSpacing/>
        <w:rPr>
          <w:color w:val="000000"/>
          <w:sz w:val="18"/>
          <w:szCs w:val="18"/>
          <w:shd w:val="clear" w:color="auto" w:fill="FFFFFF"/>
        </w:rPr>
      </w:pPr>
      <w:r w:rsidRPr="001502AE">
        <w:rPr>
          <w:sz w:val="18"/>
          <w:szCs w:val="18"/>
          <w:lang w:val="es-CO"/>
        </w:rPr>
        <w:t>Dispone el inciso 2º del parágrafo 4º del artículo 33 de la Ley 100 de 1993, modificado por el artículo 9º de la Ley 797 de 2003 que l</w:t>
      </w:r>
      <w:r w:rsidRPr="001502AE">
        <w:rPr>
          <w:color w:val="000000"/>
          <w:sz w:val="18"/>
          <w:szCs w:val="18"/>
          <w:shd w:val="clear" w:color="auto" w:fill="FFFFFF"/>
        </w:rPr>
        <w:t>a madre o padre  trabajadores cuyo hijo</w:t>
      </w:r>
      <w:r w:rsidRPr="001502AE">
        <w:rPr>
          <w:rStyle w:val="apple-converted-space"/>
          <w:color w:val="000000"/>
          <w:sz w:val="18"/>
          <w:szCs w:val="18"/>
          <w:shd w:val="clear" w:color="auto" w:fill="FFFFFF"/>
        </w:rPr>
        <w:t> </w:t>
      </w:r>
      <w:r w:rsidRPr="001502AE">
        <w:rPr>
          <w:color w:val="000000"/>
          <w:sz w:val="18"/>
          <w:szCs w:val="18"/>
          <w:shd w:val="clear" w:color="auto" w:fill="FFFFFF"/>
        </w:rPr>
        <w:t>padezca</w:t>
      </w:r>
      <w:r w:rsidRPr="001502AE">
        <w:rPr>
          <w:rStyle w:val="apple-converted-space"/>
          <w:color w:val="000000"/>
          <w:sz w:val="18"/>
          <w:szCs w:val="18"/>
          <w:shd w:val="clear" w:color="auto" w:fill="FFFFFF"/>
        </w:rPr>
        <w:t> </w:t>
      </w:r>
      <w:r w:rsidRPr="001502AE">
        <w:rPr>
          <w:rStyle w:val="Textoennegrita"/>
          <w:b w:val="0"/>
          <w:color w:val="000000"/>
          <w:sz w:val="18"/>
          <w:szCs w:val="18"/>
          <w:shd w:val="clear" w:color="auto" w:fill="FFFFFF"/>
        </w:rPr>
        <w:t>invalidez</w:t>
      </w:r>
      <w:r w:rsidRPr="001502AE">
        <w:rPr>
          <w:color w:val="000000"/>
          <w:sz w:val="18"/>
          <w:szCs w:val="18"/>
          <w:shd w:val="clear" w:color="auto" w:fill="FFFFFF"/>
        </w:rPr>
        <w:t xml:space="preserve"> debidamente calificada y hasta tanto permanezca en este estado y continúe como dependiente, tendrá derecho a recibir la pensión especial de vejez a cualquier edad, siempre que haya cotizado al Sistema General de Pensiones cuando menos el mínimo de semanas exigido en el régimen de prima media para acceder a la pensión de vejez.</w:t>
      </w:r>
    </w:p>
    <w:p w:rsidR="001502AE" w:rsidRPr="001502AE" w:rsidRDefault="001502AE" w:rsidP="001502AE">
      <w:pPr>
        <w:pStyle w:val="Textoindependiente"/>
        <w:ind w:left="2127" w:right="51"/>
        <w:contextualSpacing/>
        <w:rPr>
          <w:sz w:val="18"/>
          <w:szCs w:val="18"/>
          <w:lang w:val="es-CO"/>
        </w:rPr>
      </w:pPr>
      <w:r w:rsidRPr="001502AE">
        <w:rPr>
          <w:color w:val="000000"/>
          <w:sz w:val="18"/>
          <w:szCs w:val="18"/>
          <w:shd w:val="clear" w:color="auto" w:fill="FFFFFF"/>
        </w:rPr>
        <w:t xml:space="preserve">Como esa prestación no existía en el régimen anterior, en principio podría ser considerada como una nueva prestación, sin embargo, debe precisarse que se trata de </w:t>
      </w:r>
      <w:r w:rsidRPr="001502AE">
        <w:rPr>
          <w:sz w:val="18"/>
          <w:szCs w:val="18"/>
          <w:lang w:val="es-CO"/>
        </w:rPr>
        <w:t xml:space="preserve">la misma, solo que tienen finalidades diferentes, toda vez que mientras la pensión especial tiene razón de ser en el amparo del “hijo inválido” como persona de especial protección constitucional, lo que implica el despliegue de acciones afirmativas por parte del Estado, con el objeto de coadyuvar a los padres con </w:t>
      </w:r>
      <w:r w:rsidRPr="001502AE">
        <w:rPr>
          <w:iCs/>
          <w:sz w:val="18"/>
          <w:szCs w:val="18"/>
          <w:bdr w:val="none" w:sz="0" w:space="0" w:color="auto" w:frame="1"/>
        </w:rPr>
        <w:t xml:space="preserve">su cuidado, efectivo desarrollo, integración social y adecuada rehabilitación </w:t>
      </w:r>
      <w:r w:rsidRPr="001502AE">
        <w:rPr>
          <w:sz w:val="18"/>
          <w:szCs w:val="18"/>
          <w:lang w:val="es-CO"/>
        </w:rPr>
        <w:t>de los mismos; la pensión ordinaria o definitiva está encaminada a cubrir las necesidades propias de la ancianidad de las personas que lograron acreditar una densidad de cotizaciones suficientes para lograr ese estatus.</w:t>
      </w:r>
    </w:p>
    <w:p w:rsidR="001502AE" w:rsidRPr="001502AE" w:rsidRDefault="001502AE" w:rsidP="001502AE">
      <w:pPr>
        <w:pStyle w:val="Textoindependiente"/>
        <w:ind w:left="2127" w:right="51"/>
        <w:contextualSpacing/>
        <w:rPr>
          <w:sz w:val="18"/>
          <w:szCs w:val="18"/>
          <w:lang w:val="es-CO"/>
        </w:rPr>
      </w:pPr>
      <w:r w:rsidRPr="001502AE">
        <w:rPr>
          <w:sz w:val="18"/>
          <w:szCs w:val="18"/>
          <w:lang w:val="es-CO"/>
        </w:rPr>
        <w:t>Ahora corresponde precisar que de los requisitos para acceder a las referidas prestaciones, coincide el relacionado con el número de semanas de cotización, pero se morigera el de la edad por la situación particular del hijo.</w:t>
      </w:r>
    </w:p>
    <w:p w:rsidR="001502AE" w:rsidRPr="001502AE" w:rsidRDefault="001502AE" w:rsidP="001502AE">
      <w:pPr>
        <w:pStyle w:val="Textoindependiente"/>
        <w:ind w:left="2127" w:right="51"/>
        <w:contextualSpacing/>
        <w:rPr>
          <w:sz w:val="18"/>
          <w:szCs w:val="18"/>
          <w:lang w:val="es-CO"/>
        </w:rPr>
      </w:pPr>
      <w:r w:rsidRPr="001502AE">
        <w:rPr>
          <w:sz w:val="18"/>
          <w:szCs w:val="18"/>
          <w:lang w:val="es-CO"/>
        </w:rPr>
        <w:t xml:space="preserve">En este orden de ideas, la norma exige como cotizaciones </w:t>
      </w:r>
      <w:r w:rsidRPr="001502AE">
        <w:rPr>
          <w:color w:val="000000"/>
          <w:sz w:val="18"/>
          <w:szCs w:val="18"/>
          <w:shd w:val="clear" w:color="auto" w:fill="FFFFFF"/>
        </w:rPr>
        <w:t>al Sistema General de Pensiones</w:t>
      </w:r>
      <w:r w:rsidRPr="001502AE">
        <w:rPr>
          <w:sz w:val="18"/>
          <w:szCs w:val="18"/>
          <w:lang w:val="es-CO"/>
        </w:rPr>
        <w:t>, el mínimo exigido por el régimen de prima media con prestación definida, al cual, conforme al artículo 31 de la Ley 100 de 1993, se le aplican las normas vigentes para los seguros de IVM a cargo del ISS con las adiciones, modificaciones y excepciones.</w:t>
      </w:r>
    </w:p>
    <w:p w:rsidR="001502AE" w:rsidRPr="001502AE" w:rsidRDefault="001502AE" w:rsidP="001502AE">
      <w:pPr>
        <w:pStyle w:val="Textoindependiente"/>
        <w:ind w:left="2127" w:right="51"/>
        <w:contextualSpacing/>
        <w:rPr>
          <w:sz w:val="18"/>
          <w:szCs w:val="18"/>
          <w:lang w:val="es-CO"/>
        </w:rPr>
      </w:pPr>
      <w:r w:rsidRPr="001502AE">
        <w:rPr>
          <w:sz w:val="18"/>
          <w:szCs w:val="18"/>
          <w:lang w:val="es-CO"/>
        </w:rPr>
        <w:t>Del anterior enunciado puede concluirse: (i) que la pensión especial de vejez es aplicable al RPM como al RAIS, pues ambos regímenes integran el Sistema General de Pensiones; (ii) que para acreditar la densidad de semanas exigidas, puede observarse como regla general la Ley 100 de 1993 con las modificaciones de que ha sido objeto, así como por excepción los regímenes anteriores, en virtud del artículo 36 de la Ley 100 de 1993, según cada caso en particular.</w:t>
      </w:r>
    </w:p>
    <w:p w:rsidR="001502AE" w:rsidRPr="001502AE" w:rsidRDefault="001502AE" w:rsidP="001502AE">
      <w:pPr>
        <w:pStyle w:val="Textoindependiente"/>
        <w:ind w:left="2127" w:right="51"/>
        <w:contextualSpacing/>
        <w:rPr>
          <w:sz w:val="18"/>
          <w:szCs w:val="18"/>
          <w:lang w:val="es-CO"/>
        </w:rPr>
      </w:pPr>
      <w:r w:rsidRPr="001502AE">
        <w:rPr>
          <w:sz w:val="18"/>
          <w:szCs w:val="18"/>
          <w:lang w:val="es-CO"/>
        </w:rPr>
        <w:t>Así las cosas, una vez verificada la calidad de beneficiario del régimen de transición del interesado, el número de semanas que debe acreditar dependerá del régimen anterior que pueda aplicársele, Acuerdo 049/90, Ley 71/88 o Ley 33/85 o algún otro.</w:t>
      </w:r>
    </w:p>
    <w:p w:rsidR="001502AE" w:rsidRPr="001502AE" w:rsidRDefault="001502AE" w:rsidP="001502AE">
      <w:pPr>
        <w:pStyle w:val="Textoindependiente"/>
        <w:ind w:left="2127" w:right="51"/>
        <w:contextualSpacing/>
        <w:rPr>
          <w:sz w:val="18"/>
          <w:szCs w:val="18"/>
          <w:lang w:val="es-CO"/>
        </w:rPr>
      </w:pPr>
      <w:r w:rsidRPr="001502AE">
        <w:rPr>
          <w:sz w:val="18"/>
          <w:szCs w:val="18"/>
          <w:lang w:val="es-CO"/>
        </w:rPr>
        <w:t>Conforme lo expuesto, el objeto del presente asunto, esto es, mutación de la pensión especial de vejez a la ordinaria o definitiva con base en el Acuerdo 04/90, no vulnera el principio de inescindibilidad previsto en el artículo 288 de la Ley 100 de 1993, porque se itera, se trata de una misma prestación, respecto de la cual el régimen de transición permite obtenerla bajo las exigencias de la anterior legislación, como es el caso del Acuerdo citado.</w:t>
      </w:r>
    </w:p>
    <w:p w:rsidR="00562BC6" w:rsidRDefault="00562BC6" w:rsidP="00926155">
      <w:pPr>
        <w:shd w:val="clear" w:color="auto" w:fill="FFFFFF"/>
        <w:tabs>
          <w:tab w:val="left" w:pos="5197"/>
        </w:tabs>
        <w:spacing w:line="276" w:lineRule="auto"/>
        <w:ind w:left="2127"/>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ED6759">
        <w:rPr>
          <w:rFonts w:ascii="Arial" w:hAnsi="Arial" w:cs="Arial"/>
          <w:i/>
          <w:color w:val="000000"/>
          <w:sz w:val="18"/>
          <w:szCs w:val="18"/>
          <w:lang w:eastAsia="es-CO"/>
        </w:rPr>
        <w:t xml:space="preserve">ibídem </w:t>
      </w:r>
      <w:r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562BC6" w:rsidRDefault="00562BC6" w:rsidP="00926155">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562BC6" w:rsidRDefault="00562BC6" w:rsidP="00926155">
      <w:pPr>
        <w:shd w:val="clear" w:color="auto" w:fill="FFFFFF"/>
        <w:tabs>
          <w:tab w:val="left" w:pos="5197"/>
        </w:tabs>
        <w:spacing w:line="276" w:lineRule="auto"/>
        <w:ind w:left="2127"/>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w:t>
      </w:r>
      <w:r>
        <w:rPr>
          <w:rFonts w:ascii="Arial" w:hAnsi="Arial" w:cs="Arial"/>
          <w:color w:val="000000"/>
          <w:sz w:val="18"/>
          <w:szCs w:val="18"/>
          <w:lang w:eastAsia="es-CO"/>
        </w:rPr>
        <w:t>as mujeres</w:t>
      </w:r>
      <w:r w:rsidRPr="00972117">
        <w:rPr>
          <w:rFonts w:ascii="Arial" w:hAnsi="Arial" w:cs="Arial"/>
          <w:color w:val="000000"/>
          <w:sz w:val="18"/>
          <w:szCs w:val="18"/>
          <w:lang w:eastAsia="es-CO"/>
        </w:rPr>
        <w:t xml:space="preserve">, para obtener el derecho a la pensión </w:t>
      </w:r>
      <w:r>
        <w:rPr>
          <w:rFonts w:ascii="Arial" w:hAnsi="Arial" w:cs="Arial"/>
          <w:color w:val="000000"/>
          <w:sz w:val="18"/>
          <w:szCs w:val="18"/>
          <w:lang w:eastAsia="es-CO"/>
        </w:rPr>
        <w:t>de vejez se requiere acreditar 55</w:t>
      </w:r>
      <w:r w:rsidRPr="00972117">
        <w:rPr>
          <w:rFonts w:ascii="Arial" w:hAnsi="Arial" w:cs="Arial"/>
          <w:color w:val="000000"/>
          <w:sz w:val="18"/>
          <w:szCs w:val="18"/>
          <w:lang w:eastAsia="es-CO"/>
        </w:rPr>
        <w:t xml:space="preserve"> años de edad y haber cotizado 1000 semanas en cualquier tiempo o 500 dentro de los 20 años anteriores al cumplimiento de esa edad</w:t>
      </w:r>
      <w:r>
        <w:rPr>
          <w:rFonts w:ascii="Arial" w:hAnsi="Arial" w:cs="Arial"/>
          <w:color w:val="000000"/>
          <w:sz w:val="18"/>
          <w:szCs w:val="18"/>
          <w:lang w:eastAsia="es-CO"/>
        </w:rPr>
        <w:t>.</w:t>
      </w:r>
    </w:p>
    <w:p w:rsidR="0079609A" w:rsidRDefault="0079609A" w:rsidP="001F6EA3">
      <w:pPr>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lastRenderedPageBreak/>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w:t>
      </w:r>
      <w:r w:rsidR="001502AE">
        <w:rPr>
          <w:rFonts w:ascii="Arial" w:eastAsia="Calibri" w:hAnsi="Arial" w:cs="Arial"/>
          <w:szCs w:val="24"/>
          <w:lang w:val="es-CO" w:eastAsia="en-US"/>
        </w:rPr>
        <w:t xml:space="preserve">primero </w:t>
      </w:r>
      <w:r w:rsidRPr="00AC486E">
        <w:rPr>
          <w:rFonts w:ascii="Arial" w:eastAsia="Calibri" w:hAnsi="Arial" w:cs="Arial"/>
          <w:szCs w:val="24"/>
          <w:lang w:val="es-CO" w:eastAsia="en-US"/>
        </w:rPr>
        <w:t>(</w:t>
      </w:r>
      <w:r w:rsidR="001502AE">
        <w:rPr>
          <w:rFonts w:ascii="Arial" w:eastAsia="Calibri" w:hAnsi="Arial" w:cs="Arial"/>
          <w:szCs w:val="24"/>
          <w:lang w:val="es-CO" w:eastAsia="en-US"/>
        </w:rPr>
        <w:t>1°</w:t>
      </w:r>
      <w:r w:rsidRPr="00AC486E">
        <w:rPr>
          <w:rFonts w:ascii="Arial" w:eastAsia="Calibri" w:hAnsi="Arial" w:cs="Arial"/>
          <w:szCs w:val="24"/>
          <w:lang w:val="es-CO" w:eastAsia="en-US"/>
        </w:rPr>
        <w:t xml:space="preserve">) de </w:t>
      </w:r>
      <w:r w:rsidR="001502AE">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1502AE">
        <w:rPr>
          <w:rFonts w:ascii="Arial" w:eastAsia="Calibri" w:hAnsi="Arial" w:cs="Arial"/>
          <w:szCs w:val="24"/>
          <w:lang w:val="es-CO" w:eastAsia="en-US"/>
        </w:rPr>
        <w:t xml:space="preserve">once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1502AE">
        <w:rPr>
          <w:rFonts w:ascii="Arial" w:eastAsia="Calibri" w:hAnsi="Arial" w:cs="Arial"/>
          <w:szCs w:val="24"/>
          <w:lang w:val="es-CO" w:eastAsia="en-US"/>
        </w:rPr>
        <w:t>11</w:t>
      </w:r>
      <w:r w:rsidR="007B76B5">
        <w:rPr>
          <w:rFonts w:ascii="Arial" w:eastAsia="Calibri" w:hAnsi="Arial" w:cs="Arial"/>
          <w:szCs w:val="24"/>
          <w:lang w:val="es-CO" w:eastAsia="en-US"/>
        </w:rPr>
        <w:t>:</w:t>
      </w:r>
      <w:r w:rsidR="002807D2">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807D2">
        <w:rPr>
          <w:rFonts w:ascii="Arial" w:hAnsi="Arial" w:cs="Arial"/>
          <w:szCs w:val="24"/>
        </w:rPr>
        <w:t xml:space="preserve">09 </w:t>
      </w:r>
      <w:r w:rsidRPr="00AC486E">
        <w:rPr>
          <w:rFonts w:ascii="Arial" w:hAnsi="Arial" w:cs="Arial"/>
          <w:szCs w:val="24"/>
        </w:rPr>
        <w:t xml:space="preserve">de </w:t>
      </w:r>
      <w:r w:rsidR="002807D2">
        <w:rPr>
          <w:rFonts w:ascii="Arial" w:hAnsi="Arial" w:cs="Arial"/>
          <w:szCs w:val="24"/>
        </w:rPr>
        <w:t xml:space="preserve">diciembre </w:t>
      </w:r>
      <w:r w:rsidRPr="00AC486E">
        <w:rPr>
          <w:rFonts w:ascii="Arial" w:hAnsi="Arial" w:cs="Arial"/>
          <w:szCs w:val="24"/>
        </w:rPr>
        <w:t>de 201</w:t>
      </w:r>
      <w:r w:rsidR="002807D2">
        <w:rPr>
          <w:rFonts w:ascii="Arial" w:hAnsi="Arial" w:cs="Arial"/>
          <w:szCs w:val="24"/>
        </w:rPr>
        <w:t>5</w:t>
      </w:r>
      <w:r w:rsidRPr="00AC486E">
        <w:rPr>
          <w:rFonts w:ascii="Arial" w:hAnsi="Arial" w:cs="Arial"/>
          <w:szCs w:val="24"/>
        </w:rPr>
        <w:t xml:space="preserve"> por el Juzgado </w:t>
      </w:r>
      <w:r w:rsidR="002807D2">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807D2">
        <w:rPr>
          <w:rFonts w:ascii="Arial" w:hAnsi="Arial" w:cs="Arial"/>
          <w:szCs w:val="24"/>
        </w:rPr>
        <w:t xml:space="preserve">el </w:t>
      </w:r>
      <w:r w:rsidR="003440CA">
        <w:rPr>
          <w:rFonts w:ascii="Arial" w:hAnsi="Arial" w:cs="Arial"/>
          <w:szCs w:val="24"/>
        </w:rPr>
        <w:t xml:space="preserve">señor </w:t>
      </w:r>
      <w:r w:rsidR="002807D2">
        <w:rPr>
          <w:rFonts w:ascii="Arial" w:hAnsi="Arial" w:cs="Arial"/>
          <w:b/>
          <w:szCs w:val="24"/>
        </w:rPr>
        <w:t xml:space="preserve">Luis Eduardo Largo Gallón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2807D2">
        <w:rPr>
          <w:rFonts w:ascii="Arial" w:hAnsi="Arial" w:cs="Arial"/>
          <w:bCs/>
          <w:szCs w:val="24"/>
        </w:rPr>
        <w:t>5</w:t>
      </w:r>
      <w:r w:rsidR="00094E79">
        <w:rPr>
          <w:rFonts w:ascii="Arial" w:hAnsi="Arial" w:cs="Arial"/>
          <w:bCs/>
          <w:szCs w:val="24"/>
        </w:rPr>
        <w:t>-201</w:t>
      </w:r>
      <w:r w:rsidR="002807D2">
        <w:rPr>
          <w:rFonts w:ascii="Arial" w:hAnsi="Arial" w:cs="Arial"/>
          <w:bCs/>
          <w:szCs w:val="24"/>
        </w:rPr>
        <w:t>5</w:t>
      </w:r>
      <w:r w:rsidR="00650C9B">
        <w:rPr>
          <w:rFonts w:ascii="Arial" w:hAnsi="Arial" w:cs="Arial"/>
          <w:bCs/>
          <w:szCs w:val="24"/>
        </w:rPr>
        <w:t>-00</w:t>
      </w:r>
      <w:r w:rsidR="002807D2">
        <w:rPr>
          <w:rFonts w:ascii="Arial" w:hAnsi="Arial" w:cs="Arial"/>
          <w:bCs/>
          <w:szCs w:val="24"/>
        </w:rPr>
        <w:t>021</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1502AE" w:rsidRDefault="001502AE" w:rsidP="00350788">
      <w:pPr>
        <w:spacing w:line="276" w:lineRule="auto"/>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990B2C" w:rsidRDefault="002807D2"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Pr>
          <w:rFonts w:ascii="Arial" w:hAnsi="Arial" w:cs="Arial"/>
          <w:szCs w:val="24"/>
        </w:rPr>
        <w:t>Luis Eduardo Largo Gallón</w:t>
      </w:r>
      <w:r w:rsidR="007B76B5">
        <w:rPr>
          <w:rFonts w:ascii="Arial" w:hAnsi="Arial" w:cs="Arial"/>
          <w:szCs w:val="24"/>
        </w:rPr>
        <w:t xml:space="preserve"> </w:t>
      </w:r>
      <w:r w:rsidR="00350788" w:rsidRPr="008E0CBF">
        <w:rPr>
          <w:rFonts w:ascii="Arial" w:hAnsi="Arial" w:cs="Arial"/>
          <w:szCs w:val="24"/>
        </w:rPr>
        <w:t xml:space="preserve">solicita que se declare que </w:t>
      </w:r>
      <w:r w:rsidR="00094E79">
        <w:rPr>
          <w:rFonts w:ascii="Arial" w:hAnsi="Arial" w:cs="Arial"/>
          <w:szCs w:val="24"/>
        </w:rPr>
        <w:t>es beneficiari</w:t>
      </w:r>
      <w:r>
        <w:rPr>
          <w:rFonts w:ascii="Arial" w:hAnsi="Arial" w:cs="Arial"/>
          <w:szCs w:val="24"/>
        </w:rPr>
        <w:t>o</w:t>
      </w:r>
      <w:r w:rsidR="00094E79">
        <w:rPr>
          <w:rFonts w:ascii="Arial" w:hAnsi="Arial" w:cs="Arial"/>
          <w:szCs w:val="24"/>
        </w:rPr>
        <w:t xml:space="preserve"> del régimen de transición contemplado en el artículo 36 de la Ley</w:t>
      </w:r>
      <w:r w:rsidR="00F3117F">
        <w:rPr>
          <w:rFonts w:ascii="Arial" w:hAnsi="Arial" w:cs="Arial"/>
          <w:szCs w:val="24"/>
        </w:rPr>
        <w:t xml:space="preserve"> 100 de 1993 y;</w:t>
      </w:r>
      <w:r w:rsidR="007B76B5">
        <w:rPr>
          <w:rFonts w:ascii="Arial" w:hAnsi="Arial" w:cs="Arial"/>
          <w:szCs w:val="24"/>
        </w:rPr>
        <w:t xml:space="preserve"> en consecuencia,</w:t>
      </w:r>
      <w:r>
        <w:rPr>
          <w:rFonts w:ascii="Arial" w:hAnsi="Arial" w:cs="Arial"/>
          <w:szCs w:val="24"/>
        </w:rPr>
        <w:t xml:space="preserve"> le es aplicable el Acuerdo 049 de 1990</w:t>
      </w:r>
      <w:r w:rsidR="00B03E32">
        <w:rPr>
          <w:rFonts w:ascii="Arial" w:hAnsi="Arial" w:cs="Arial"/>
          <w:szCs w:val="24"/>
        </w:rPr>
        <w:t>; igualmente solicita que se declare que le asiste derecho a que la pensión especial de vejez por hijo inválido se convierta en pensión de vejez, que se le modifique el IBL recibido con base en el artículo 21 de la Ley 100 de 1993, al que se le debe aplicar una tasa de reemplazo del 90%</w:t>
      </w:r>
      <w:r w:rsidR="00990B2C">
        <w:rPr>
          <w:rFonts w:ascii="Arial" w:hAnsi="Arial" w:cs="Arial"/>
          <w:szCs w:val="24"/>
        </w:rPr>
        <w:t>; así mismo, le sean reconocidos los intereses moratorios.</w:t>
      </w:r>
    </w:p>
    <w:p w:rsidR="00990B2C" w:rsidRDefault="00990B2C" w:rsidP="00154D84">
      <w:pPr>
        <w:spacing w:line="276" w:lineRule="auto"/>
        <w:jc w:val="both"/>
        <w:rPr>
          <w:rFonts w:ascii="Arial" w:hAnsi="Arial" w:cs="Arial"/>
          <w:szCs w:val="24"/>
        </w:rPr>
      </w:pPr>
    </w:p>
    <w:p w:rsidR="00350788" w:rsidRDefault="007B76B5" w:rsidP="00154D84">
      <w:pPr>
        <w:spacing w:line="276" w:lineRule="auto"/>
        <w:jc w:val="both"/>
        <w:rPr>
          <w:rFonts w:ascii="Arial" w:hAnsi="Arial" w:cs="Arial"/>
          <w:szCs w:val="24"/>
        </w:rPr>
      </w:pPr>
      <w:r>
        <w:rPr>
          <w:rFonts w:ascii="Arial" w:hAnsi="Arial" w:cs="Arial"/>
          <w:szCs w:val="24"/>
        </w:rPr>
        <w:t>Por último, pretende que se ordene a la demandada el pago de la diferencia pensional que se cause</w:t>
      </w:r>
      <w:r w:rsidR="00203ABA">
        <w:rPr>
          <w:rFonts w:ascii="Arial" w:hAnsi="Arial" w:cs="Arial"/>
          <w:szCs w:val="24"/>
        </w:rPr>
        <w:t xml:space="preserve"> </w:t>
      </w:r>
      <w:r w:rsidR="00356D79">
        <w:rPr>
          <w:rFonts w:ascii="Arial" w:hAnsi="Arial" w:cs="Arial"/>
          <w:szCs w:val="24"/>
        </w:rPr>
        <w:t xml:space="preserve">por el aumento de la tasa de reemplazo </w:t>
      </w:r>
      <w:r w:rsidR="00203ABA">
        <w:rPr>
          <w:rFonts w:ascii="Arial" w:hAnsi="Arial" w:cs="Arial"/>
          <w:szCs w:val="24"/>
        </w:rPr>
        <w:t xml:space="preserve">entre el 30 de abril de 2011 </w:t>
      </w:r>
      <w:r w:rsidR="00176B04">
        <w:rPr>
          <w:rFonts w:ascii="Arial" w:hAnsi="Arial" w:cs="Arial"/>
          <w:szCs w:val="24"/>
        </w:rPr>
        <w:t xml:space="preserve">(sic) </w:t>
      </w:r>
      <w:r w:rsidR="00203ABA">
        <w:rPr>
          <w:rFonts w:ascii="Arial" w:hAnsi="Arial" w:cs="Arial"/>
          <w:szCs w:val="24"/>
        </w:rPr>
        <w:t>–</w:t>
      </w:r>
      <w:r w:rsidR="00203ABA" w:rsidRPr="00203ABA">
        <w:rPr>
          <w:rFonts w:ascii="Arial" w:hAnsi="Arial" w:cs="Arial"/>
          <w:i/>
          <w:szCs w:val="24"/>
        </w:rPr>
        <w:t>fecha del retiro</w:t>
      </w:r>
      <w:r w:rsidR="00176B04">
        <w:rPr>
          <w:rFonts w:ascii="Arial" w:hAnsi="Arial" w:cs="Arial"/>
          <w:i/>
          <w:szCs w:val="24"/>
        </w:rPr>
        <w:t xml:space="preserve"> del sistema</w:t>
      </w:r>
      <w:r w:rsidR="00203ABA" w:rsidRPr="00203ABA">
        <w:rPr>
          <w:rFonts w:ascii="Arial" w:hAnsi="Arial" w:cs="Arial"/>
          <w:i/>
          <w:szCs w:val="24"/>
        </w:rPr>
        <w:t>-</w:t>
      </w:r>
      <w:r w:rsidR="00203ABA">
        <w:rPr>
          <w:rFonts w:ascii="Arial" w:hAnsi="Arial" w:cs="Arial"/>
          <w:szCs w:val="24"/>
        </w:rPr>
        <w:t xml:space="preserve"> y el 1 de noviembre de 2012 </w:t>
      </w:r>
      <w:r w:rsidR="00203ABA" w:rsidRPr="00203ABA">
        <w:rPr>
          <w:rFonts w:ascii="Arial" w:hAnsi="Arial" w:cs="Arial"/>
          <w:i/>
          <w:szCs w:val="24"/>
        </w:rPr>
        <w:t>–fecha del pago-</w:t>
      </w:r>
      <w:r w:rsidR="00356D79">
        <w:rPr>
          <w:rFonts w:ascii="Arial" w:hAnsi="Arial" w:cs="Arial"/>
          <w:szCs w:val="24"/>
        </w:rPr>
        <w:t xml:space="preserve"> y se reconozca el retroactivo pensional generado a partir de esta última fecha, </w:t>
      </w:r>
      <w:r>
        <w:rPr>
          <w:rFonts w:ascii="Arial" w:hAnsi="Arial" w:cs="Arial"/>
          <w:szCs w:val="24"/>
        </w:rPr>
        <w:t xml:space="preserve">lo </w:t>
      </w:r>
      <w:r w:rsidR="001F5F7D">
        <w:rPr>
          <w:rFonts w:ascii="Arial" w:hAnsi="Arial" w:cs="Arial"/>
          <w:szCs w:val="24"/>
        </w:rPr>
        <w:t>ultra y extra petita que resulte probado y las costas procesales.</w:t>
      </w:r>
    </w:p>
    <w:p w:rsidR="004E5E8E" w:rsidRDefault="004E5E8E" w:rsidP="00154D84">
      <w:pPr>
        <w:spacing w:line="276" w:lineRule="auto"/>
        <w:jc w:val="both"/>
        <w:rPr>
          <w:rFonts w:ascii="Arial" w:hAnsi="Arial" w:cs="Arial"/>
          <w:szCs w:val="24"/>
        </w:rPr>
      </w:pPr>
    </w:p>
    <w:p w:rsidR="0074746E"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F3117F">
        <w:rPr>
          <w:rFonts w:ascii="Arial" w:hAnsi="Arial" w:cs="Arial"/>
          <w:szCs w:val="24"/>
        </w:rPr>
        <w:t xml:space="preserve">1° de agosto de 1952, por lo que al 1° de abril de 1994 contaba con más de 40 años, </w:t>
      </w:r>
      <w:r w:rsidR="00273FEB">
        <w:rPr>
          <w:rFonts w:ascii="Arial" w:hAnsi="Arial" w:cs="Arial"/>
          <w:szCs w:val="24"/>
        </w:rPr>
        <w:t xml:space="preserve">siendo </w:t>
      </w:r>
      <w:r w:rsidR="00F3117F">
        <w:rPr>
          <w:rFonts w:ascii="Arial" w:hAnsi="Arial" w:cs="Arial"/>
          <w:szCs w:val="24"/>
        </w:rPr>
        <w:t>beneficiario del régimen de transición</w:t>
      </w:r>
      <w:r w:rsidR="0088258E">
        <w:rPr>
          <w:rFonts w:ascii="Arial" w:hAnsi="Arial" w:cs="Arial"/>
          <w:szCs w:val="24"/>
        </w:rPr>
        <w:t>; (ii)</w:t>
      </w:r>
      <w:r w:rsidR="001F5F7D">
        <w:rPr>
          <w:rFonts w:ascii="Arial" w:hAnsi="Arial" w:cs="Arial"/>
          <w:szCs w:val="24"/>
        </w:rPr>
        <w:t xml:space="preserve"> </w:t>
      </w:r>
      <w:r w:rsidR="0074746E">
        <w:rPr>
          <w:rFonts w:ascii="Arial" w:hAnsi="Arial" w:cs="Arial"/>
          <w:szCs w:val="24"/>
        </w:rPr>
        <w:t>al quedar v</w:t>
      </w:r>
      <w:r w:rsidR="00273FEB">
        <w:rPr>
          <w:rFonts w:ascii="Arial" w:hAnsi="Arial" w:cs="Arial"/>
          <w:szCs w:val="24"/>
        </w:rPr>
        <w:t>iudo y ten</w:t>
      </w:r>
      <w:r w:rsidR="0074746E">
        <w:rPr>
          <w:rFonts w:ascii="Arial" w:hAnsi="Arial" w:cs="Arial"/>
          <w:szCs w:val="24"/>
        </w:rPr>
        <w:t>er</w:t>
      </w:r>
      <w:r w:rsidR="00273FEB">
        <w:rPr>
          <w:rFonts w:ascii="Arial" w:hAnsi="Arial" w:cs="Arial"/>
          <w:szCs w:val="24"/>
        </w:rPr>
        <w:t xml:space="preserve"> una hija discapacitada, el 25 de febrero de 2011 solicitó ante el ISS el reconocimiento de la pensión especial de vejez, a sabiendas que solo le faltaban 16 meses para cumplir la edad para adquirir la pensión de vejez</w:t>
      </w:r>
      <w:r w:rsidR="00355709">
        <w:rPr>
          <w:rFonts w:ascii="Arial" w:hAnsi="Arial" w:cs="Arial"/>
          <w:szCs w:val="24"/>
        </w:rPr>
        <w:t>; (iii)</w:t>
      </w:r>
      <w:r w:rsidR="00882CA8">
        <w:rPr>
          <w:rFonts w:ascii="Arial" w:hAnsi="Arial" w:cs="Arial"/>
          <w:szCs w:val="24"/>
        </w:rPr>
        <w:t xml:space="preserve"> </w:t>
      </w:r>
      <w:r w:rsidR="00273FEB">
        <w:rPr>
          <w:rFonts w:ascii="Arial" w:hAnsi="Arial" w:cs="Arial"/>
          <w:szCs w:val="24"/>
        </w:rPr>
        <w:t xml:space="preserve">el ISS mediante Resolución N° 1737 del 28 de marzo de </w:t>
      </w:r>
      <w:r w:rsidR="00273FEB">
        <w:rPr>
          <w:rFonts w:ascii="Arial" w:hAnsi="Arial" w:cs="Arial"/>
          <w:szCs w:val="24"/>
        </w:rPr>
        <w:lastRenderedPageBreak/>
        <w:t>2012, le reconoció la prestación a partir del 1° de mayo de 2012, pero la dejó en suspenso hasta que acreditara el retiro del sistema, desconociendo que ya lo había hecho desde el 30 de abril de 2011</w:t>
      </w:r>
      <w:r w:rsidR="00882768">
        <w:rPr>
          <w:rFonts w:ascii="Arial" w:hAnsi="Arial" w:cs="Arial"/>
          <w:szCs w:val="24"/>
        </w:rPr>
        <w:t xml:space="preserve"> –sic-</w:t>
      </w:r>
      <w:r w:rsidR="00273FEB">
        <w:rPr>
          <w:rFonts w:ascii="Arial" w:hAnsi="Arial" w:cs="Arial"/>
          <w:szCs w:val="24"/>
        </w:rPr>
        <w:t>, por lo que decidió allegarle la prueba de ese hecho</w:t>
      </w:r>
      <w:r w:rsidR="00A3173B">
        <w:rPr>
          <w:rFonts w:ascii="Arial" w:hAnsi="Arial" w:cs="Arial"/>
          <w:szCs w:val="24"/>
        </w:rPr>
        <w:t xml:space="preserve">; (iv) </w:t>
      </w:r>
      <w:r w:rsidR="00273FEB">
        <w:rPr>
          <w:rFonts w:ascii="Arial" w:hAnsi="Arial" w:cs="Arial"/>
          <w:szCs w:val="24"/>
        </w:rPr>
        <w:t>la aludida entidad, a través de la Resolución  N° 4287 de 2012, aplica el artículo 33 de la Ley 100 de 1993, modificado por la Ley 797 de 2003 y reconoce la pensión especial por hijo invalido, por tener 60 años de edad y 1288 semanas, de lo cual se colige que ya contaba con los requisitos para reconocer la pensión de vejez</w:t>
      </w:r>
      <w:r w:rsidR="00A3173B">
        <w:rPr>
          <w:rFonts w:ascii="Arial" w:hAnsi="Arial" w:cs="Arial"/>
          <w:szCs w:val="24"/>
        </w:rPr>
        <w:t xml:space="preserve">; (v) </w:t>
      </w:r>
      <w:r w:rsidR="0074746E">
        <w:rPr>
          <w:rFonts w:ascii="Arial" w:hAnsi="Arial" w:cs="Arial"/>
          <w:szCs w:val="24"/>
        </w:rPr>
        <w:t xml:space="preserve">en el momento en que el ISS reconoció la pensión especial, omitió pagarla a partir del 30 de abril de 2011, cuando se produjo el retiro del sistema, por lo que le adeuda ese retroactivo hasta el </w:t>
      </w:r>
      <w:r w:rsidR="00882768">
        <w:rPr>
          <w:rFonts w:ascii="Arial" w:hAnsi="Arial" w:cs="Arial"/>
          <w:szCs w:val="24"/>
        </w:rPr>
        <w:t xml:space="preserve">mes de </w:t>
      </w:r>
      <w:r w:rsidR="0074746E">
        <w:rPr>
          <w:rFonts w:ascii="Arial" w:hAnsi="Arial" w:cs="Arial"/>
          <w:szCs w:val="24"/>
        </w:rPr>
        <w:t>mayo de 2012.</w:t>
      </w:r>
    </w:p>
    <w:p w:rsidR="0074746E" w:rsidRDefault="0074746E" w:rsidP="00E55394">
      <w:pPr>
        <w:spacing w:line="276" w:lineRule="auto"/>
        <w:jc w:val="both"/>
        <w:rPr>
          <w:rFonts w:ascii="Arial" w:hAnsi="Arial" w:cs="Arial"/>
          <w:szCs w:val="24"/>
        </w:rPr>
      </w:pPr>
    </w:p>
    <w:p w:rsidR="008C0AA3" w:rsidRPr="008E0CBF" w:rsidRDefault="00F35C99" w:rsidP="00E55394">
      <w:pPr>
        <w:spacing w:line="276" w:lineRule="auto"/>
        <w:jc w:val="both"/>
        <w:rPr>
          <w:rFonts w:ascii="Arial" w:hAnsi="Arial" w:cs="Arial"/>
          <w:szCs w:val="24"/>
        </w:rPr>
      </w:pPr>
      <w:r>
        <w:rPr>
          <w:rFonts w:ascii="Arial" w:hAnsi="Arial" w:cs="Arial"/>
          <w:szCs w:val="24"/>
        </w:rPr>
        <w:t>(v) E</w:t>
      </w:r>
      <w:r w:rsidR="00273FEB">
        <w:rPr>
          <w:rFonts w:ascii="Arial" w:hAnsi="Arial" w:cs="Arial"/>
          <w:szCs w:val="24"/>
        </w:rPr>
        <w:t xml:space="preserve">l 12 de marzo de 2013, solicitó a </w:t>
      </w:r>
      <w:r w:rsidR="00801AD7">
        <w:rPr>
          <w:rFonts w:ascii="Arial" w:hAnsi="Arial" w:cs="Arial"/>
          <w:szCs w:val="24"/>
        </w:rPr>
        <w:t xml:space="preserve">Colpensiones, convertir la pensión especial de vejez en pensión de vejez, petición que le fue negada mediante Resolución  N° GNR2098 de 2014; (vi) según </w:t>
      </w:r>
      <w:r w:rsidR="005E0B99">
        <w:rPr>
          <w:rFonts w:ascii="Arial" w:hAnsi="Arial" w:cs="Arial"/>
          <w:szCs w:val="24"/>
        </w:rPr>
        <w:t>el artículo 2</w:t>
      </w:r>
      <w:r w:rsidR="0073210C">
        <w:rPr>
          <w:rFonts w:ascii="Arial" w:hAnsi="Arial" w:cs="Arial"/>
          <w:szCs w:val="24"/>
        </w:rPr>
        <w:t>8</w:t>
      </w:r>
      <w:r w:rsidR="005E0B99">
        <w:rPr>
          <w:rFonts w:ascii="Arial" w:hAnsi="Arial" w:cs="Arial"/>
          <w:szCs w:val="24"/>
        </w:rPr>
        <w:t>8 de la Ley 100/93, le es aplicable el régimen de transición, por lo que se le debe reconocer la pensión con base en el Acuerdo 049 de 1990, por ser esta la norma más favorable, frente al artículo 33 de la Ley 100 de 1993</w:t>
      </w:r>
      <w:r w:rsidR="0074746E">
        <w:rPr>
          <w:rFonts w:ascii="Arial" w:hAnsi="Arial" w:cs="Arial"/>
          <w:szCs w:val="24"/>
        </w:rPr>
        <w:t xml:space="preserve"> y</w:t>
      </w:r>
      <w:r w:rsidR="005E0B99">
        <w:rPr>
          <w:rFonts w:ascii="Arial" w:hAnsi="Arial" w:cs="Arial"/>
          <w:szCs w:val="24"/>
        </w:rPr>
        <w:t>; (</w:t>
      </w:r>
      <w:r w:rsidR="0074746E">
        <w:rPr>
          <w:rFonts w:ascii="Arial" w:hAnsi="Arial" w:cs="Arial"/>
          <w:szCs w:val="24"/>
        </w:rPr>
        <w:t>vi</w:t>
      </w:r>
      <w:r w:rsidR="005E0B99">
        <w:rPr>
          <w:rFonts w:ascii="Arial" w:hAnsi="Arial" w:cs="Arial"/>
          <w:szCs w:val="24"/>
        </w:rPr>
        <w:t>i) en virtud del Acuerdo 049/90, la pensión debe liquidarse con una tasa de reemplazo del 90%, con el IBL de toda la vida porque le es más favorable, obteniendo como monto de la primera mesada pensiona</w:t>
      </w:r>
      <w:r w:rsidR="0074746E">
        <w:rPr>
          <w:rFonts w:ascii="Arial" w:hAnsi="Arial" w:cs="Arial"/>
          <w:szCs w:val="24"/>
        </w:rPr>
        <w:t>l la suma de $1´704.108.</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w:t>
      </w:r>
      <w:r w:rsidR="00C3467D">
        <w:rPr>
          <w:rFonts w:ascii="Arial" w:hAnsi="Arial" w:cs="Arial"/>
          <w:szCs w:val="24"/>
        </w:rPr>
        <w:t>y p</w:t>
      </w:r>
      <w:r w:rsidR="002D1879" w:rsidRPr="008E0CBF">
        <w:rPr>
          <w:rFonts w:ascii="Arial" w:hAnsi="Arial" w:cs="Arial"/>
          <w:szCs w:val="24"/>
        </w:rPr>
        <w:t xml:space="preserve">ropuso como excepciones de mérito las que denominó </w:t>
      </w:r>
      <w:r w:rsidR="00C3467D">
        <w:rPr>
          <w:rFonts w:ascii="Arial" w:hAnsi="Arial" w:cs="Arial"/>
          <w:szCs w:val="24"/>
        </w:rPr>
        <w:t xml:space="preserve">“Inexistencia de la obligación”, </w:t>
      </w:r>
      <w:r w:rsidR="002D1879" w:rsidRPr="008E0CBF">
        <w:rPr>
          <w:rFonts w:ascii="Arial" w:hAnsi="Arial" w:cs="Arial"/>
          <w:szCs w:val="24"/>
        </w:rPr>
        <w:t>“</w:t>
      </w:r>
      <w:r w:rsidR="00B0646B">
        <w:rPr>
          <w:rFonts w:ascii="Arial" w:hAnsi="Arial" w:cs="Arial"/>
          <w:szCs w:val="24"/>
        </w:rPr>
        <w:t>Improcedencia de</w:t>
      </w:r>
      <w:r w:rsidR="00C3467D">
        <w:rPr>
          <w:rFonts w:ascii="Arial" w:hAnsi="Arial" w:cs="Arial"/>
          <w:szCs w:val="24"/>
        </w:rPr>
        <w:t>l reconocimiento de</w:t>
      </w:r>
      <w:r w:rsidR="00B0646B">
        <w:rPr>
          <w:rFonts w:ascii="Arial" w:hAnsi="Arial" w:cs="Arial"/>
          <w:szCs w:val="24"/>
        </w:rPr>
        <w:t xml:space="preserve"> intereses  mora</w:t>
      </w:r>
      <w:r w:rsidR="00C3467D">
        <w:rPr>
          <w:rFonts w:ascii="Arial" w:hAnsi="Arial" w:cs="Arial"/>
          <w:szCs w:val="24"/>
        </w:rPr>
        <w:t>torios o indexación de montos</w:t>
      </w:r>
      <w:r w:rsidR="00981280">
        <w:rPr>
          <w:rFonts w:ascii="Arial" w:hAnsi="Arial" w:cs="Arial"/>
          <w:szCs w:val="24"/>
        </w:rPr>
        <w:t>”</w:t>
      </w:r>
      <w:r w:rsidR="00C3467D">
        <w:rPr>
          <w:rFonts w:ascii="Arial" w:hAnsi="Arial" w:cs="Arial"/>
          <w:szCs w:val="24"/>
        </w:rPr>
        <w:t>, “Cobro de lo no debido”, “</w:t>
      </w:r>
      <w:r w:rsidR="00981280">
        <w:rPr>
          <w:rFonts w:ascii="Arial" w:hAnsi="Arial" w:cs="Arial"/>
          <w:szCs w:val="24"/>
        </w:rPr>
        <w:t>Prescripción”</w:t>
      </w:r>
      <w:r w:rsidR="00C3467D">
        <w:rPr>
          <w:rFonts w:ascii="Arial" w:hAnsi="Arial" w:cs="Arial"/>
          <w:szCs w:val="24"/>
        </w:rPr>
        <w:t>, “Buena fe” y las “Genéricas”.</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F9098C">
        <w:rPr>
          <w:rFonts w:ascii="Arial" w:hAnsi="Arial" w:cs="Arial"/>
          <w:b/>
          <w:sz w:val="24"/>
          <w:szCs w:val="24"/>
        </w:rPr>
        <w:t>consultada</w:t>
      </w:r>
    </w:p>
    <w:p w:rsidR="00E74505" w:rsidRDefault="00226D5F" w:rsidP="005469D3">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C3467D">
        <w:rPr>
          <w:rFonts w:ascii="Arial" w:hAnsi="Arial" w:cs="Arial"/>
          <w:color w:val="000000"/>
          <w:szCs w:val="24"/>
          <w:lang w:eastAsia="es-CO"/>
        </w:rPr>
        <w:t xml:space="preserve">Quinto </w:t>
      </w:r>
      <w:r w:rsidR="005469D3">
        <w:rPr>
          <w:rFonts w:ascii="Arial" w:hAnsi="Arial" w:cs="Arial"/>
          <w:color w:val="000000"/>
          <w:szCs w:val="24"/>
          <w:lang w:eastAsia="es-CO"/>
        </w:rPr>
        <w:t>Laboral del Circuito de Pereira</w:t>
      </w:r>
      <w:r w:rsidR="00F9098C">
        <w:rPr>
          <w:rFonts w:ascii="Arial" w:hAnsi="Arial" w:cs="Arial"/>
          <w:color w:val="000000"/>
          <w:szCs w:val="24"/>
          <w:lang w:eastAsia="es-CO"/>
        </w:rPr>
        <w:t xml:space="preserve">, declaró no probadas las excepciones de mérito y, consecuente con ello, </w:t>
      </w:r>
      <w:r w:rsidR="006731C9">
        <w:rPr>
          <w:rFonts w:ascii="Arial" w:hAnsi="Arial" w:cs="Arial"/>
          <w:color w:val="000000"/>
          <w:szCs w:val="24"/>
          <w:lang w:eastAsia="es-CO"/>
        </w:rPr>
        <w:t>accedió a las pretensiones de la demanda</w:t>
      </w:r>
      <w:r w:rsidR="00F9098C">
        <w:rPr>
          <w:rFonts w:ascii="Arial" w:hAnsi="Arial" w:cs="Arial"/>
          <w:color w:val="000000"/>
          <w:szCs w:val="24"/>
          <w:lang w:eastAsia="es-CO"/>
        </w:rPr>
        <w:t>, ordenando a Colpensiones modificar las Resoluciones N° 1737 y 4287 de 2012, GNR 2098 de 2014, en el sentido que la pensión especial de vejez, debe cambiarse por la de vejez, a partir del 12 de marzo de 2013, en cuantía de $728.429</w:t>
      </w:r>
      <w:r w:rsidR="006731C9">
        <w:rPr>
          <w:rFonts w:ascii="Arial" w:hAnsi="Arial" w:cs="Arial"/>
          <w:color w:val="000000"/>
          <w:szCs w:val="24"/>
          <w:lang w:eastAsia="es-CO"/>
        </w:rPr>
        <w:t>.</w:t>
      </w:r>
    </w:p>
    <w:p w:rsidR="00F9098C" w:rsidRDefault="00F9098C" w:rsidP="005469D3">
      <w:pPr>
        <w:spacing w:line="276" w:lineRule="auto"/>
        <w:jc w:val="both"/>
        <w:rPr>
          <w:rFonts w:ascii="Arial" w:hAnsi="Arial" w:cs="Arial"/>
          <w:color w:val="000000"/>
          <w:szCs w:val="24"/>
          <w:lang w:eastAsia="es-CO"/>
        </w:rPr>
      </w:pPr>
    </w:p>
    <w:p w:rsidR="006731C9" w:rsidRDefault="00446ECF"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45544E">
        <w:rPr>
          <w:rFonts w:ascii="Arial" w:hAnsi="Arial" w:cs="Arial"/>
          <w:color w:val="000000"/>
          <w:szCs w:val="24"/>
          <w:lang w:eastAsia="es-CO"/>
        </w:rPr>
        <w:t>ncontró que el actor era beneficiario</w:t>
      </w:r>
      <w:r w:rsidR="006731C9">
        <w:rPr>
          <w:rFonts w:ascii="Arial" w:hAnsi="Arial" w:cs="Arial"/>
          <w:color w:val="000000"/>
          <w:szCs w:val="24"/>
          <w:lang w:eastAsia="es-CO"/>
        </w:rPr>
        <w:t xml:space="preserve"> del régimen de transición y cumplía a cabalidad los requisitos del Acuerdo 049 de 1990, para</w:t>
      </w:r>
      <w:r w:rsidR="00622E08">
        <w:rPr>
          <w:rFonts w:ascii="Arial" w:hAnsi="Arial" w:cs="Arial"/>
          <w:color w:val="000000"/>
          <w:szCs w:val="24"/>
          <w:lang w:eastAsia="es-CO"/>
        </w:rPr>
        <w:t xml:space="preserve"> acceder a la pensión de vejez; obtuvo el monto de la mesada pensional </w:t>
      </w:r>
      <w:r w:rsidR="006731C9">
        <w:rPr>
          <w:rFonts w:ascii="Arial" w:hAnsi="Arial" w:cs="Arial"/>
          <w:color w:val="000000"/>
          <w:szCs w:val="24"/>
          <w:lang w:eastAsia="es-CO"/>
        </w:rPr>
        <w:t>con el IBL obtenido en los últimos 10 años y una tasa de reemplazo del 90%.</w:t>
      </w:r>
    </w:p>
    <w:p w:rsidR="00446ECF" w:rsidRDefault="00446ECF" w:rsidP="00446ECF">
      <w:pPr>
        <w:spacing w:line="276" w:lineRule="auto"/>
        <w:jc w:val="both"/>
        <w:rPr>
          <w:rFonts w:ascii="Arial" w:hAnsi="Arial" w:cs="Arial"/>
          <w:color w:val="000000"/>
          <w:szCs w:val="24"/>
          <w:lang w:eastAsia="es-CO"/>
        </w:rPr>
      </w:pPr>
    </w:p>
    <w:p w:rsidR="00446ECF" w:rsidRDefault="00446ECF" w:rsidP="00446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precisó que: (i) la pensión especial de vejez tiene una contingencia diferente </w:t>
      </w:r>
      <w:r w:rsidRPr="00446ECF">
        <w:rPr>
          <w:rFonts w:ascii="Arial" w:hAnsi="Arial" w:cs="Arial"/>
          <w:i/>
          <w:color w:val="000000"/>
          <w:szCs w:val="24"/>
          <w:lang w:eastAsia="es-CO"/>
        </w:rPr>
        <w:t>–tener un hijo discapacitado y ser trabajador-</w:t>
      </w:r>
      <w:r>
        <w:rPr>
          <w:rFonts w:ascii="Arial" w:hAnsi="Arial" w:cs="Arial"/>
          <w:color w:val="000000"/>
          <w:szCs w:val="24"/>
          <w:lang w:eastAsia="es-CO"/>
        </w:rPr>
        <w:t xml:space="preserve"> a la que ahora se discute, (ii) las garantías y montos pensionales del Acuerdo 049 de 1990, son más favorables a las del parágrafo 4° del artículo 33 de la Ley 100 de 1993, modificado por la Ley 797 de 2003, (iii) el beneficiario no va a disfrutar de dos prestaciones, como lo plantea la demandada, sino que la que actualmente goza se sustituye por la otra y; (iv) no hay escollo legal que impida el cambio.</w:t>
      </w:r>
    </w:p>
    <w:p w:rsidR="006731C9" w:rsidRDefault="006731C9" w:rsidP="005469D3">
      <w:pPr>
        <w:spacing w:line="276" w:lineRule="auto"/>
        <w:jc w:val="both"/>
        <w:rPr>
          <w:rFonts w:ascii="Arial" w:hAnsi="Arial" w:cs="Arial"/>
          <w:color w:val="000000"/>
          <w:szCs w:val="24"/>
          <w:lang w:eastAsia="es-CO"/>
        </w:rPr>
      </w:pPr>
    </w:p>
    <w:p w:rsidR="00446ECF" w:rsidRDefault="00446ECF"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Condenó al pago de los intereses moratorios previstos en el artículo 141 de la Ley 100 de 1993, a partir del 09 de febrero de 2014.</w:t>
      </w:r>
    </w:p>
    <w:p w:rsidR="00926155" w:rsidRDefault="00926155" w:rsidP="005469D3">
      <w:pPr>
        <w:spacing w:line="276" w:lineRule="auto"/>
        <w:jc w:val="both"/>
        <w:rPr>
          <w:rFonts w:ascii="Arial" w:hAnsi="Arial" w:cs="Arial"/>
          <w:color w:val="000000"/>
          <w:szCs w:val="24"/>
          <w:lang w:eastAsia="es-CO"/>
        </w:rPr>
      </w:pPr>
    </w:p>
    <w:p w:rsid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356D79" w:rsidRDefault="00356D79" w:rsidP="00A95C09">
      <w:pPr>
        <w:spacing w:line="276" w:lineRule="auto"/>
        <w:jc w:val="both"/>
        <w:rPr>
          <w:rFonts w:ascii="Arial" w:hAnsi="Arial" w:cs="Arial"/>
          <w:b/>
          <w:szCs w:val="24"/>
        </w:rPr>
      </w:pPr>
    </w:p>
    <w:p w:rsidR="00BF52F1" w:rsidRPr="005A2586" w:rsidRDefault="00BF52F1" w:rsidP="00BF52F1">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BF52F1" w:rsidRPr="00350788" w:rsidRDefault="00BF52F1" w:rsidP="00BF52F1">
      <w:pPr>
        <w:shd w:val="clear" w:color="auto" w:fill="FFFFFF"/>
        <w:spacing w:line="276" w:lineRule="auto"/>
        <w:jc w:val="both"/>
        <w:rPr>
          <w:rFonts w:ascii="Arial" w:hAnsi="Arial" w:cs="Arial"/>
          <w:b/>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882768" w:rsidRDefault="00356D79" w:rsidP="00356D79">
      <w:pPr>
        <w:pStyle w:val="Textoindependiente"/>
        <w:spacing w:line="276" w:lineRule="auto"/>
        <w:contextualSpacing/>
        <w:rPr>
          <w:iCs/>
          <w:szCs w:val="24"/>
        </w:rPr>
      </w:pPr>
      <w:r>
        <w:rPr>
          <w:iCs/>
          <w:szCs w:val="24"/>
        </w:rPr>
        <w:t>1.1. ¿</w:t>
      </w:r>
      <w:r w:rsidR="00882768">
        <w:rPr>
          <w:iCs/>
          <w:szCs w:val="24"/>
        </w:rPr>
        <w:t>Es procedente estudiar la r</w:t>
      </w:r>
      <w:r w:rsidR="007D5ED8">
        <w:rPr>
          <w:iCs/>
          <w:szCs w:val="24"/>
        </w:rPr>
        <w:t>eliquid</w:t>
      </w:r>
      <w:r w:rsidR="00882768">
        <w:rPr>
          <w:iCs/>
          <w:szCs w:val="24"/>
        </w:rPr>
        <w:t xml:space="preserve">ación de </w:t>
      </w:r>
      <w:r w:rsidR="007D5ED8">
        <w:rPr>
          <w:iCs/>
          <w:szCs w:val="24"/>
        </w:rPr>
        <w:t>la pensión especial de vejez reconocida mediante Resoluciones 1737 y 4287 de 2012</w:t>
      </w:r>
      <w:r w:rsidR="00882768">
        <w:rPr>
          <w:iCs/>
          <w:szCs w:val="24"/>
        </w:rPr>
        <w:t xml:space="preserve"> al señor Luis Eduardo Largo Gallón, a pesar de omitir la a-quo pronunciarse al respecto?</w:t>
      </w:r>
    </w:p>
    <w:p w:rsidR="00882768" w:rsidRDefault="00882768" w:rsidP="00356D79">
      <w:pPr>
        <w:pStyle w:val="Textoindependiente"/>
        <w:spacing w:line="276" w:lineRule="auto"/>
        <w:contextualSpacing/>
        <w:rPr>
          <w:iCs/>
          <w:szCs w:val="24"/>
        </w:rPr>
      </w:pPr>
    </w:p>
    <w:p w:rsidR="00356D79" w:rsidRDefault="007D5ED8" w:rsidP="00356D79">
      <w:pPr>
        <w:pStyle w:val="Textoindependiente"/>
        <w:spacing w:line="276" w:lineRule="auto"/>
        <w:contextualSpacing/>
        <w:rPr>
          <w:iCs/>
          <w:szCs w:val="24"/>
        </w:rPr>
      </w:pPr>
      <w:r>
        <w:rPr>
          <w:iCs/>
          <w:szCs w:val="24"/>
        </w:rPr>
        <w:t xml:space="preserve">1.2. </w:t>
      </w:r>
      <w:r w:rsidR="00356D79">
        <w:rPr>
          <w:iCs/>
          <w:szCs w:val="24"/>
        </w:rPr>
        <w:t>El reconocimiento de la pensión especial de vejez por tener a cargo un hijo discapacitado, impide que la administradora de pensiones, mute esa prestación en la ordinaria de vejez de manera definitiva, cuando el afiliado al sistema acredite el requisito de la edad para acceder a ella?</w:t>
      </w:r>
    </w:p>
    <w:p w:rsidR="00356D79" w:rsidRDefault="00356D79" w:rsidP="00356D79">
      <w:pPr>
        <w:tabs>
          <w:tab w:val="left" w:pos="0"/>
          <w:tab w:val="left" w:pos="8647"/>
        </w:tabs>
        <w:suppressAutoHyphens/>
        <w:spacing w:line="276" w:lineRule="auto"/>
        <w:jc w:val="both"/>
        <w:rPr>
          <w:rFonts w:ascii="Arial" w:hAnsi="Arial" w:cs="Arial"/>
          <w:szCs w:val="24"/>
          <w:lang w:eastAsia="es-CO"/>
        </w:rPr>
      </w:pPr>
    </w:p>
    <w:p w:rsidR="00562BC6" w:rsidRDefault="007D5ED8" w:rsidP="001F6EA3">
      <w:pPr>
        <w:pStyle w:val="Textoindependiente"/>
        <w:spacing w:line="276" w:lineRule="auto"/>
        <w:contextualSpacing/>
        <w:rPr>
          <w:iCs/>
          <w:szCs w:val="24"/>
        </w:rPr>
      </w:pPr>
      <w:r>
        <w:rPr>
          <w:iCs/>
          <w:szCs w:val="24"/>
        </w:rPr>
        <w:t>1.3</w:t>
      </w:r>
      <w:r w:rsidR="00356D79">
        <w:rPr>
          <w:iCs/>
          <w:szCs w:val="24"/>
        </w:rPr>
        <w:t xml:space="preserve">. </w:t>
      </w:r>
      <w:r w:rsidR="00562BC6" w:rsidRPr="007F1F65">
        <w:rPr>
          <w:iCs/>
          <w:szCs w:val="24"/>
        </w:rPr>
        <w:t>¿</w:t>
      </w:r>
      <w:r w:rsidR="00446ECF">
        <w:rPr>
          <w:iCs/>
          <w:szCs w:val="24"/>
        </w:rPr>
        <w:t xml:space="preserve">El </w:t>
      </w:r>
      <w:r w:rsidR="00562BC6">
        <w:rPr>
          <w:iCs/>
          <w:szCs w:val="24"/>
        </w:rPr>
        <w:t xml:space="preserve">señor </w:t>
      </w:r>
      <w:r w:rsidR="002807D2">
        <w:rPr>
          <w:iCs/>
          <w:szCs w:val="24"/>
        </w:rPr>
        <w:t>Luis Eduardo Largo Gallón</w:t>
      </w:r>
      <w:r w:rsidR="00591797">
        <w:rPr>
          <w:iCs/>
          <w:szCs w:val="24"/>
        </w:rPr>
        <w:t xml:space="preserve"> </w:t>
      </w:r>
      <w:r w:rsidR="00446ECF">
        <w:rPr>
          <w:iCs/>
          <w:szCs w:val="24"/>
        </w:rPr>
        <w:t>es beneficiario</w:t>
      </w:r>
      <w:r w:rsidR="00562BC6" w:rsidRPr="007F1F65">
        <w:rPr>
          <w:iCs/>
          <w:szCs w:val="24"/>
        </w:rPr>
        <w:t xml:space="preserve"> del Régimen de Transición?</w:t>
      </w:r>
    </w:p>
    <w:p w:rsidR="00562BC6" w:rsidRDefault="00562BC6" w:rsidP="00562BC6">
      <w:pPr>
        <w:pStyle w:val="Textoindependiente"/>
        <w:spacing w:line="276" w:lineRule="auto"/>
        <w:contextualSpacing/>
        <w:rPr>
          <w:iCs/>
          <w:szCs w:val="24"/>
        </w:rPr>
      </w:pPr>
    </w:p>
    <w:p w:rsidR="00562BC6" w:rsidRDefault="007D5ED8" w:rsidP="00562BC6">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1.4</w:t>
      </w:r>
      <w:r w:rsidR="001F6EA3">
        <w:rPr>
          <w:rFonts w:ascii="Arial" w:hAnsi="Arial" w:cs="Arial"/>
          <w:bCs/>
          <w:iCs/>
          <w:color w:val="000000"/>
          <w:szCs w:val="24"/>
          <w:lang w:val="es-CO"/>
        </w:rPr>
        <w:t>.</w:t>
      </w:r>
      <w:r w:rsidR="00562BC6" w:rsidRPr="00C71D5E">
        <w:rPr>
          <w:rFonts w:ascii="Arial" w:hAnsi="Arial" w:cs="Arial"/>
          <w:bCs/>
          <w:iCs/>
          <w:color w:val="000000"/>
          <w:szCs w:val="24"/>
          <w:lang w:val="es-CO"/>
        </w:rPr>
        <w:t xml:space="preserve"> </w:t>
      </w:r>
      <w:r w:rsidR="00446ECF">
        <w:rPr>
          <w:rFonts w:ascii="Arial" w:hAnsi="Arial" w:cs="Arial"/>
          <w:bCs/>
          <w:iCs/>
          <w:color w:val="000000"/>
          <w:szCs w:val="24"/>
          <w:lang w:val="es-CO"/>
        </w:rPr>
        <w:t xml:space="preserve"> ¿Logró el</w:t>
      </w:r>
      <w:r w:rsidR="00562BC6" w:rsidRPr="00C71D5E">
        <w:rPr>
          <w:rFonts w:ascii="Arial" w:hAnsi="Arial" w:cs="Arial"/>
          <w:bCs/>
          <w:iCs/>
          <w:color w:val="000000"/>
          <w:szCs w:val="24"/>
          <w:lang w:val="es-CO"/>
        </w:rPr>
        <w:t xml:space="preserve"> demandante acreditar los requisitos necesarios para acceder a la Pensión de vejez</w:t>
      </w:r>
      <w:r w:rsidR="00562BC6" w:rsidRPr="00B02F1F">
        <w:rPr>
          <w:rFonts w:ascii="Arial" w:hAnsi="Arial" w:cs="Arial"/>
          <w:bCs/>
          <w:iCs/>
          <w:color w:val="000000"/>
          <w:szCs w:val="24"/>
          <w:lang w:val="es-CO"/>
        </w:rPr>
        <w:t xml:space="preserve"> que solicita?</w:t>
      </w:r>
    </w:p>
    <w:p w:rsidR="00562BC6" w:rsidRDefault="00562BC6" w:rsidP="00562BC6">
      <w:pPr>
        <w:autoSpaceDE w:val="0"/>
        <w:autoSpaceDN w:val="0"/>
        <w:adjustRightInd w:val="0"/>
        <w:jc w:val="both"/>
        <w:rPr>
          <w:rFonts w:ascii="Arial" w:hAnsi="Arial" w:cs="Arial"/>
          <w:bCs/>
          <w:iCs/>
          <w:color w:val="000000"/>
          <w:szCs w:val="24"/>
          <w:lang w:val="es-CO"/>
        </w:rPr>
      </w:pPr>
    </w:p>
    <w:p w:rsidR="00562BC6" w:rsidRDefault="007D5ED8" w:rsidP="00562BC6">
      <w:pPr>
        <w:pStyle w:val="Textoindependiente"/>
        <w:spacing w:line="276" w:lineRule="auto"/>
        <w:contextualSpacing/>
        <w:rPr>
          <w:iCs/>
          <w:szCs w:val="24"/>
        </w:rPr>
      </w:pPr>
      <w:r>
        <w:rPr>
          <w:iCs/>
          <w:szCs w:val="24"/>
        </w:rPr>
        <w:t>1.5</w:t>
      </w:r>
      <w:r w:rsidR="00562BC6">
        <w:rPr>
          <w:iCs/>
          <w:szCs w:val="24"/>
        </w:rPr>
        <w:t>. En caso positivo, ¿A partir de qué fecha procede el disfrute de la pensión de vejez del actor y, por ende, el correspondiente retroactivo?</w:t>
      </w:r>
    </w:p>
    <w:p w:rsidR="00562BC6" w:rsidRDefault="00562BC6" w:rsidP="00562BC6">
      <w:pPr>
        <w:pStyle w:val="Textoindependiente"/>
        <w:spacing w:line="276" w:lineRule="auto"/>
        <w:contextualSpacing/>
        <w:rPr>
          <w:iCs/>
          <w:szCs w:val="24"/>
        </w:rPr>
      </w:pPr>
    </w:p>
    <w:p w:rsidR="00562BC6" w:rsidRDefault="007D5ED8" w:rsidP="00562BC6">
      <w:pPr>
        <w:pStyle w:val="Textoindependiente"/>
        <w:spacing w:line="276" w:lineRule="auto"/>
        <w:contextualSpacing/>
        <w:rPr>
          <w:iCs/>
          <w:szCs w:val="24"/>
        </w:rPr>
      </w:pPr>
      <w:r>
        <w:rPr>
          <w:iCs/>
          <w:szCs w:val="24"/>
        </w:rPr>
        <w:t>1.6</w:t>
      </w:r>
      <w:r w:rsidR="00562BC6">
        <w:rPr>
          <w:iCs/>
          <w:szCs w:val="24"/>
        </w:rPr>
        <w:t>. ¿Son procedentes los intereses moratorios previstos en el artículo 141 de la Ley 100 de 1993, en caso afirmativo, desde cuándo?</w:t>
      </w:r>
    </w:p>
    <w:p w:rsidR="001F6EA3" w:rsidRDefault="001F6EA3" w:rsidP="00562BC6">
      <w:pPr>
        <w:pStyle w:val="Textoindependiente"/>
        <w:spacing w:line="276" w:lineRule="auto"/>
        <w:contextualSpacing/>
        <w:rPr>
          <w:iCs/>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Default="007F1F65" w:rsidP="007F1F65">
      <w:pPr>
        <w:pStyle w:val="Textoindependiente"/>
        <w:spacing w:line="276" w:lineRule="auto"/>
        <w:ind w:right="284"/>
        <w:contextualSpacing/>
        <w:rPr>
          <w:b/>
          <w:szCs w:val="24"/>
          <w:lang w:val="es-CO"/>
        </w:rPr>
      </w:pPr>
    </w:p>
    <w:p w:rsidR="001502AE" w:rsidRDefault="001502AE" w:rsidP="009A2EA0">
      <w:pPr>
        <w:pStyle w:val="Textoindependiente"/>
        <w:numPr>
          <w:ilvl w:val="1"/>
          <w:numId w:val="7"/>
        </w:numPr>
        <w:spacing w:line="276" w:lineRule="auto"/>
        <w:ind w:left="426" w:right="51" w:hanging="426"/>
        <w:contextualSpacing/>
        <w:rPr>
          <w:b/>
          <w:szCs w:val="24"/>
          <w:lang w:val="es-CO"/>
        </w:rPr>
      </w:pPr>
      <w:r>
        <w:rPr>
          <w:b/>
          <w:szCs w:val="24"/>
          <w:lang w:val="es-CO"/>
        </w:rPr>
        <w:t>Procedencia de la mutación de la pensión especial de vejez por hijo inválido a pensión ordinaria de vejez</w:t>
      </w:r>
    </w:p>
    <w:p w:rsidR="001502AE" w:rsidRDefault="001502AE" w:rsidP="001502AE">
      <w:pPr>
        <w:pStyle w:val="Textoindependiente"/>
        <w:spacing w:line="276" w:lineRule="auto"/>
        <w:ind w:right="284"/>
        <w:contextualSpacing/>
        <w:rPr>
          <w:b/>
          <w:szCs w:val="24"/>
          <w:lang w:val="es-CO"/>
        </w:rPr>
      </w:pPr>
    </w:p>
    <w:p w:rsidR="001502AE" w:rsidRDefault="001502AE" w:rsidP="001502AE">
      <w:pPr>
        <w:pStyle w:val="Textoindependiente"/>
        <w:numPr>
          <w:ilvl w:val="2"/>
          <w:numId w:val="7"/>
        </w:numPr>
        <w:spacing w:line="276" w:lineRule="auto"/>
        <w:ind w:left="0" w:right="284" w:firstLine="0"/>
        <w:contextualSpacing/>
        <w:rPr>
          <w:b/>
          <w:szCs w:val="24"/>
          <w:lang w:val="es-CO"/>
        </w:rPr>
      </w:pPr>
      <w:r>
        <w:rPr>
          <w:b/>
          <w:szCs w:val="24"/>
          <w:lang w:val="es-CO"/>
        </w:rPr>
        <w:t>Fundamento Jurídico:</w:t>
      </w:r>
    </w:p>
    <w:p w:rsidR="001502AE" w:rsidRDefault="001502AE" w:rsidP="001502AE">
      <w:pPr>
        <w:pStyle w:val="Textoindependiente"/>
        <w:spacing w:line="276" w:lineRule="auto"/>
        <w:ind w:right="284"/>
        <w:contextualSpacing/>
        <w:rPr>
          <w:b/>
          <w:szCs w:val="24"/>
          <w:lang w:val="es-CO"/>
        </w:rPr>
      </w:pPr>
    </w:p>
    <w:p w:rsidR="001502AE" w:rsidRDefault="001502AE" w:rsidP="0073210C">
      <w:pPr>
        <w:pStyle w:val="Textoindependiente"/>
        <w:tabs>
          <w:tab w:val="left" w:pos="8364"/>
        </w:tabs>
        <w:spacing w:line="276" w:lineRule="auto"/>
        <w:contextualSpacing/>
        <w:rPr>
          <w:color w:val="000000"/>
          <w:szCs w:val="24"/>
          <w:shd w:val="clear" w:color="auto" w:fill="FFFFFF"/>
        </w:rPr>
      </w:pPr>
      <w:r w:rsidRPr="00BD25A1">
        <w:rPr>
          <w:szCs w:val="24"/>
          <w:lang w:val="es-CO"/>
        </w:rPr>
        <w:lastRenderedPageBreak/>
        <w:t xml:space="preserve">Dispone el inciso 2º del parágrafo 4º del artículo 33 de la Ley 100 de 1993, modificado por el artículo 9º de la Ley 797 de 2003 que </w:t>
      </w:r>
      <w:r>
        <w:rPr>
          <w:szCs w:val="24"/>
          <w:lang w:val="es-CO"/>
        </w:rPr>
        <w:t>l</w:t>
      </w:r>
      <w:r w:rsidRPr="00BD25A1">
        <w:rPr>
          <w:color w:val="000000"/>
          <w:szCs w:val="24"/>
          <w:shd w:val="clear" w:color="auto" w:fill="FFFFFF"/>
        </w:rPr>
        <w:t>a</w:t>
      </w:r>
      <w:bookmarkStart w:id="1" w:name="9.P.4.I.2"/>
      <w:r w:rsidRPr="00BD25A1">
        <w:rPr>
          <w:color w:val="000000"/>
          <w:szCs w:val="24"/>
          <w:shd w:val="clear" w:color="auto" w:fill="FFFFFF"/>
        </w:rPr>
        <w:t> </w:t>
      </w:r>
      <w:bookmarkEnd w:id="1"/>
      <w:r w:rsidRPr="00BD25A1">
        <w:rPr>
          <w:color w:val="000000"/>
          <w:szCs w:val="24"/>
          <w:shd w:val="clear" w:color="auto" w:fill="FFFFFF"/>
        </w:rPr>
        <w:t>madre</w:t>
      </w:r>
      <w:r>
        <w:rPr>
          <w:color w:val="000000"/>
          <w:szCs w:val="24"/>
          <w:shd w:val="clear" w:color="auto" w:fill="FFFFFF"/>
        </w:rPr>
        <w:t xml:space="preserve"> o padre  trabajadores</w:t>
      </w:r>
      <w:r w:rsidRPr="00BD25A1">
        <w:rPr>
          <w:color w:val="000000"/>
          <w:szCs w:val="24"/>
          <w:shd w:val="clear" w:color="auto" w:fill="FFFFFF"/>
        </w:rPr>
        <w:t xml:space="preserve"> cuyo hijo</w:t>
      </w:r>
      <w:r w:rsidRPr="00BD25A1">
        <w:rPr>
          <w:rStyle w:val="apple-converted-space"/>
          <w:color w:val="000000"/>
          <w:szCs w:val="24"/>
          <w:shd w:val="clear" w:color="auto" w:fill="FFFFFF"/>
        </w:rPr>
        <w:t> </w:t>
      </w:r>
      <w:r w:rsidRPr="00BD25A1">
        <w:rPr>
          <w:color w:val="000000"/>
          <w:szCs w:val="24"/>
          <w:shd w:val="clear" w:color="auto" w:fill="FFFFFF"/>
        </w:rPr>
        <w:t>padezca</w:t>
      </w:r>
      <w:r w:rsidRPr="00BD25A1">
        <w:rPr>
          <w:rStyle w:val="apple-converted-space"/>
          <w:color w:val="000000"/>
          <w:szCs w:val="24"/>
          <w:shd w:val="clear" w:color="auto" w:fill="FFFFFF"/>
        </w:rPr>
        <w:t> </w:t>
      </w:r>
      <w:r w:rsidRPr="00444341">
        <w:rPr>
          <w:rStyle w:val="Textoennegrita"/>
          <w:b w:val="0"/>
          <w:color w:val="000000"/>
          <w:szCs w:val="24"/>
          <w:shd w:val="clear" w:color="auto" w:fill="FFFFFF"/>
        </w:rPr>
        <w:t>invalidez</w:t>
      </w:r>
      <w:r w:rsidRPr="00BD25A1">
        <w:rPr>
          <w:color w:val="000000"/>
          <w:szCs w:val="24"/>
          <w:shd w:val="clear" w:color="auto" w:fill="FFFFFF"/>
        </w:rPr>
        <w:t xml:space="preserve"> debidamente calificada y hasta tanto permanezca en este estado y continúe como dependiente, tendrá derecho a recibir la pensión espec</w:t>
      </w:r>
      <w:r>
        <w:rPr>
          <w:color w:val="000000"/>
          <w:szCs w:val="24"/>
          <w:shd w:val="clear" w:color="auto" w:fill="FFFFFF"/>
        </w:rPr>
        <w:t xml:space="preserve">ial de vejez a cualquier edad, </w:t>
      </w:r>
      <w:r w:rsidRPr="00BD25A1">
        <w:rPr>
          <w:color w:val="000000"/>
          <w:szCs w:val="24"/>
          <w:shd w:val="clear" w:color="auto" w:fill="FFFFFF"/>
        </w:rPr>
        <w:t>siempre que haya cotizado al Sistema General de Pensiones cuando menos el mínimo de semanas exigido en el régimen de prima media para</w:t>
      </w:r>
      <w:r>
        <w:rPr>
          <w:color w:val="000000"/>
          <w:szCs w:val="24"/>
          <w:shd w:val="clear" w:color="auto" w:fill="FFFFFF"/>
        </w:rPr>
        <w:t xml:space="preserve"> acceder a la pensión de vejez.</w:t>
      </w:r>
    </w:p>
    <w:p w:rsidR="001502AE" w:rsidRDefault="001502AE" w:rsidP="0073210C">
      <w:pPr>
        <w:pStyle w:val="Textoindependiente"/>
        <w:tabs>
          <w:tab w:val="left" w:pos="8364"/>
        </w:tabs>
        <w:spacing w:line="276" w:lineRule="auto"/>
        <w:contextualSpacing/>
        <w:rPr>
          <w:color w:val="000000"/>
          <w:szCs w:val="24"/>
          <w:shd w:val="clear" w:color="auto" w:fill="FFFFFF"/>
        </w:rPr>
      </w:pPr>
    </w:p>
    <w:p w:rsidR="001502AE" w:rsidRDefault="001502AE" w:rsidP="0073210C">
      <w:pPr>
        <w:pStyle w:val="Textoindependiente"/>
        <w:tabs>
          <w:tab w:val="left" w:pos="8364"/>
        </w:tabs>
        <w:spacing w:line="276" w:lineRule="auto"/>
        <w:contextualSpacing/>
        <w:rPr>
          <w:szCs w:val="24"/>
          <w:lang w:val="es-CO"/>
        </w:rPr>
      </w:pPr>
      <w:r>
        <w:rPr>
          <w:color w:val="000000"/>
          <w:szCs w:val="24"/>
          <w:shd w:val="clear" w:color="auto" w:fill="FFFFFF"/>
        </w:rPr>
        <w:t xml:space="preserve">Como esa prestación no existía en el régimen anterior, en principio podría ser considerada como una nueva, sin embargo, debe precisarse que se trata de </w:t>
      </w:r>
      <w:r>
        <w:rPr>
          <w:szCs w:val="24"/>
          <w:lang w:val="es-CO"/>
        </w:rPr>
        <w:t>la misma</w:t>
      </w:r>
      <w:r>
        <w:rPr>
          <w:rStyle w:val="Refdenotaalpie"/>
          <w:szCs w:val="24"/>
          <w:lang w:val="es-CO"/>
        </w:rPr>
        <w:footnoteReference w:id="1"/>
      </w:r>
      <w:r>
        <w:rPr>
          <w:szCs w:val="24"/>
          <w:lang w:val="es-CO"/>
        </w:rPr>
        <w:t>, solo que tienen finalidades diferentes</w:t>
      </w:r>
      <w:r>
        <w:rPr>
          <w:rStyle w:val="Refdenotaalpie"/>
          <w:szCs w:val="24"/>
          <w:lang w:val="es-CO"/>
        </w:rPr>
        <w:footnoteReference w:id="2"/>
      </w:r>
      <w:r>
        <w:rPr>
          <w:szCs w:val="24"/>
          <w:lang w:val="es-CO"/>
        </w:rPr>
        <w:t xml:space="preserve">, toda vez que mientras la pensión especial tiene razón de ser en el amparo del “hijo inválido” como persona de especial protección constitucional, lo que implica el despliegue de acciones afirmativas por parte del Estado, con </w:t>
      </w:r>
      <w:r w:rsidRPr="00363262">
        <w:rPr>
          <w:szCs w:val="24"/>
          <w:lang w:val="es-CO"/>
        </w:rPr>
        <w:t xml:space="preserve">el objeto de coadyuvar a los padres </w:t>
      </w:r>
      <w:r w:rsidRPr="00450FA7">
        <w:rPr>
          <w:szCs w:val="24"/>
          <w:lang w:val="es-CO"/>
        </w:rPr>
        <w:t xml:space="preserve">con </w:t>
      </w:r>
      <w:r w:rsidRPr="00450FA7">
        <w:rPr>
          <w:iCs/>
          <w:szCs w:val="24"/>
          <w:bdr w:val="none" w:sz="0" w:space="0" w:color="auto" w:frame="1"/>
        </w:rPr>
        <w:t xml:space="preserve">su cuidado, efectivo desarrollo, integración social y adecuada rehabilitación </w:t>
      </w:r>
      <w:r w:rsidRPr="00450FA7">
        <w:rPr>
          <w:szCs w:val="24"/>
          <w:lang w:val="es-CO"/>
        </w:rPr>
        <w:t>de los mismos</w:t>
      </w:r>
      <w:r w:rsidRPr="00363262">
        <w:rPr>
          <w:szCs w:val="24"/>
          <w:lang w:val="es-CO"/>
        </w:rPr>
        <w:t xml:space="preserve">; la pensión </w:t>
      </w:r>
      <w:r>
        <w:rPr>
          <w:szCs w:val="24"/>
          <w:lang w:val="es-CO"/>
        </w:rPr>
        <w:t>ordinaria o definitiva está encaminada a cubrir las necesidades propias de la ancianidad de las personas que lograron acreditar una densidad de cotizaciones suficientes para lograr ese estatus.</w:t>
      </w:r>
    </w:p>
    <w:p w:rsidR="00B03E32" w:rsidRDefault="00B03E32" w:rsidP="0073210C">
      <w:pPr>
        <w:pStyle w:val="Textoindependiente"/>
        <w:tabs>
          <w:tab w:val="left" w:pos="8364"/>
        </w:tabs>
        <w:spacing w:line="276" w:lineRule="auto"/>
        <w:contextualSpacing/>
        <w:rPr>
          <w:szCs w:val="24"/>
          <w:lang w:val="es-CO"/>
        </w:rPr>
      </w:pPr>
    </w:p>
    <w:p w:rsidR="001502AE" w:rsidRDefault="001502AE" w:rsidP="0073210C">
      <w:pPr>
        <w:pStyle w:val="Textoindependiente"/>
        <w:tabs>
          <w:tab w:val="left" w:pos="8364"/>
        </w:tabs>
        <w:spacing w:line="276" w:lineRule="auto"/>
        <w:contextualSpacing/>
        <w:rPr>
          <w:szCs w:val="24"/>
          <w:lang w:val="es-CO"/>
        </w:rPr>
      </w:pPr>
      <w:r>
        <w:rPr>
          <w:szCs w:val="24"/>
          <w:lang w:val="es-CO"/>
        </w:rPr>
        <w:t>Ahora</w:t>
      </w:r>
      <w:r w:rsidR="00F35C99">
        <w:rPr>
          <w:szCs w:val="24"/>
          <w:lang w:val="es-CO"/>
        </w:rPr>
        <w:t>,</w:t>
      </w:r>
      <w:r>
        <w:rPr>
          <w:szCs w:val="24"/>
          <w:lang w:val="es-CO"/>
        </w:rPr>
        <w:t xml:space="preserve"> corresponde precisar que de los requisitos para acceder a las referidas prestaciones, coincide el relacionado con el número de semanas de cotización, pero se morigera el de la edad por la situación particular del hijo.</w:t>
      </w:r>
    </w:p>
    <w:p w:rsidR="001502AE" w:rsidRDefault="001502AE" w:rsidP="0073210C">
      <w:pPr>
        <w:pStyle w:val="Textoindependiente"/>
        <w:tabs>
          <w:tab w:val="left" w:pos="8364"/>
        </w:tabs>
        <w:spacing w:line="276" w:lineRule="auto"/>
        <w:contextualSpacing/>
        <w:rPr>
          <w:szCs w:val="24"/>
          <w:lang w:val="es-CO"/>
        </w:rPr>
      </w:pPr>
    </w:p>
    <w:p w:rsidR="001502AE" w:rsidRDefault="001502AE" w:rsidP="0073210C">
      <w:pPr>
        <w:pStyle w:val="Textoindependiente"/>
        <w:tabs>
          <w:tab w:val="left" w:pos="8364"/>
        </w:tabs>
        <w:spacing w:line="276" w:lineRule="auto"/>
        <w:contextualSpacing/>
        <w:rPr>
          <w:szCs w:val="24"/>
          <w:lang w:val="es-CO"/>
        </w:rPr>
      </w:pPr>
      <w:r>
        <w:rPr>
          <w:szCs w:val="24"/>
          <w:lang w:val="es-CO"/>
        </w:rPr>
        <w:t xml:space="preserve">En este orden de ideas, la norma exige como cotizaciones </w:t>
      </w:r>
      <w:r w:rsidRPr="00BD25A1">
        <w:rPr>
          <w:color w:val="000000"/>
          <w:szCs w:val="24"/>
          <w:shd w:val="clear" w:color="auto" w:fill="FFFFFF"/>
        </w:rPr>
        <w:t>al Sistema General de Pensiones</w:t>
      </w:r>
      <w:r>
        <w:rPr>
          <w:szCs w:val="24"/>
          <w:lang w:val="es-CO"/>
        </w:rPr>
        <w:t>, el mínimo exigido por el régimen de prima media con prestación definida, al cual, conforme al artículo 31 de la Ley 100 de 1993, se le aplican las normas vigentes para los seguros de IVM a cargo del ISS con las adiciones, modificaciones y excepciones.</w:t>
      </w:r>
    </w:p>
    <w:p w:rsidR="001502AE" w:rsidRDefault="001502AE" w:rsidP="0073210C">
      <w:pPr>
        <w:pStyle w:val="Textoindependiente"/>
        <w:tabs>
          <w:tab w:val="left" w:pos="8364"/>
        </w:tabs>
        <w:spacing w:line="276" w:lineRule="auto"/>
        <w:contextualSpacing/>
        <w:rPr>
          <w:szCs w:val="24"/>
          <w:lang w:val="es-CO"/>
        </w:rPr>
      </w:pPr>
    </w:p>
    <w:p w:rsidR="001502AE" w:rsidRDefault="001502AE" w:rsidP="0073210C">
      <w:pPr>
        <w:pStyle w:val="Textoindependiente"/>
        <w:tabs>
          <w:tab w:val="left" w:pos="8364"/>
        </w:tabs>
        <w:spacing w:line="276" w:lineRule="auto"/>
        <w:contextualSpacing/>
        <w:rPr>
          <w:szCs w:val="24"/>
          <w:lang w:val="es-CO"/>
        </w:rPr>
      </w:pPr>
      <w:r>
        <w:rPr>
          <w:szCs w:val="24"/>
          <w:lang w:val="es-CO"/>
        </w:rPr>
        <w:t>Del anterior enunciado puede concluirse: (i) que la pensión especial de vejez es aplicable al RPM como al RAIS, pues ambos regímenes integran el Sistema General de Pensiones</w:t>
      </w:r>
      <w:r>
        <w:rPr>
          <w:rStyle w:val="Refdenotaalpie"/>
          <w:szCs w:val="24"/>
          <w:lang w:val="es-CO"/>
        </w:rPr>
        <w:footnoteReference w:id="3"/>
      </w:r>
      <w:r>
        <w:rPr>
          <w:szCs w:val="24"/>
          <w:lang w:val="es-CO"/>
        </w:rPr>
        <w:t>; (ii) que para acreditar la densidad de semanas exigidas, puede observarse como regla general la Ley 100 de 1993 con las modificaciones de que ha sido objeto, así como por excepción los regímenes anteriores, en virtud del artículo 36 de la Ley 100 de 1993, según cada caso en particular; interpretación más favorable, según lo expuesto por la Corte Constitucional</w:t>
      </w:r>
      <w:r>
        <w:rPr>
          <w:rStyle w:val="Refdenotaalpie"/>
          <w:szCs w:val="24"/>
          <w:lang w:val="es-CO"/>
        </w:rPr>
        <w:footnoteReference w:id="4"/>
      </w:r>
      <w:r>
        <w:rPr>
          <w:szCs w:val="24"/>
          <w:lang w:val="es-CO"/>
        </w:rPr>
        <w:t>.</w:t>
      </w:r>
    </w:p>
    <w:p w:rsidR="001502AE" w:rsidRDefault="001502AE" w:rsidP="0073210C">
      <w:pPr>
        <w:pStyle w:val="Textoindependiente"/>
        <w:tabs>
          <w:tab w:val="left" w:pos="8364"/>
        </w:tabs>
        <w:spacing w:line="276" w:lineRule="auto"/>
        <w:contextualSpacing/>
        <w:rPr>
          <w:szCs w:val="24"/>
          <w:lang w:val="es-CO"/>
        </w:rPr>
      </w:pPr>
    </w:p>
    <w:p w:rsidR="001502AE" w:rsidRDefault="001502AE" w:rsidP="0073210C">
      <w:pPr>
        <w:pStyle w:val="Textoindependiente"/>
        <w:tabs>
          <w:tab w:val="left" w:pos="8364"/>
        </w:tabs>
        <w:spacing w:line="276" w:lineRule="auto"/>
        <w:contextualSpacing/>
        <w:rPr>
          <w:szCs w:val="24"/>
          <w:lang w:val="es-CO"/>
        </w:rPr>
      </w:pPr>
      <w:r>
        <w:rPr>
          <w:szCs w:val="24"/>
          <w:lang w:val="es-CO"/>
        </w:rPr>
        <w:t>Así las cosas, una vez verificada la calidad de beneficiario del régimen de transición del interesado, el número de semanas que debe acreditar dependerá del régimen anterior que pueda aplicársele, Acuerdo 049/90, Ley 71/88 o Ley 33/85 o algún otro.</w:t>
      </w:r>
    </w:p>
    <w:p w:rsidR="001502AE" w:rsidRDefault="001502AE" w:rsidP="0073210C">
      <w:pPr>
        <w:pStyle w:val="Textoindependiente"/>
        <w:tabs>
          <w:tab w:val="left" w:pos="8364"/>
        </w:tabs>
        <w:spacing w:line="276" w:lineRule="auto"/>
        <w:contextualSpacing/>
        <w:rPr>
          <w:szCs w:val="24"/>
          <w:lang w:val="es-CO"/>
        </w:rPr>
      </w:pPr>
      <w:r>
        <w:rPr>
          <w:szCs w:val="24"/>
          <w:lang w:val="es-CO"/>
        </w:rPr>
        <w:lastRenderedPageBreak/>
        <w:t>Conforme lo expuesto, el objeto del presente asunto, esto es, la mutación de la pensión especial de vejez a la ordinaria o definitiva con base en el Acuerdo 04/90, no vulnera el principio de inescindibilidad previsto en el artículo 288 de la Ley 100 de 1993, porque se itera, se trata de una misma prestación, respecto de la cual el régimen de transición permite obtenerla bajo las exigencias de la anterior legislación, com</w:t>
      </w:r>
      <w:r w:rsidR="00163573">
        <w:rPr>
          <w:szCs w:val="24"/>
          <w:lang w:val="es-CO"/>
        </w:rPr>
        <w:t>o es el caso del Acuerdo citado que es el</w:t>
      </w:r>
      <w:r w:rsidR="00163573" w:rsidRPr="00163573">
        <w:rPr>
          <w:color w:val="000000"/>
          <w:szCs w:val="24"/>
          <w:lang w:eastAsia="es-CO"/>
        </w:rPr>
        <w:t xml:space="preserve"> </w:t>
      </w:r>
      <w:r w:rsidR="00163573">
        <w:rPr>
          <w:color w:val="000000"/>
          <w:szCs w:val="24"/>
          <w:lang w:eastAsia="es-CO"/>
        </w:rPr>
        <w:t>régimen anterior al que se encontraba afiliado, pues al</w:t>
      </w:r>
      <w:r w:rsidR="002A330E" w:rsidRPr="002A330E">
        <w:rPr>
          <w:color w:val="000000"/>
          <w:szCs w:val="24"/>
          <w:lang w:eastAsia="es-CO"/>
        </w:rPr>
        <w:t xml:space="preserve"> </w:t>
      </w:r>
      <w:r w:rsidR="002A330E">
        <w:rPr>
          <w:color w:val="000000"/>
          <w:szCs w:val="24"/>
          <w:lang w:eastAsia="es-CO"/>
        </w:rPr>
        <w:t>revisar la historia laboral del actor, visible a folios 72 y s.s. se advierte que prestó sus servicios en el sector privado.</w:t>
      </w:r>
    </w:p>
    <w:p w:rsidR="00163573" w:rsidRDefault="00163573" w:rsidP="0073210C">
      <w:pPr>
        <w:pStyle w:val="Textoindependiente"/>
        <w:tabs>
          <w:tab w:val="left" w:pos="8364"/>
        </w:tabs>
        <w:spacing w:line="276" w:lineRule="auto"/>
        <w:contextualSpacing/>
        <w:rPr>
          <w:szCs w:val="24"/>
          <w:lang w:val="es-CO"/>
        </w:rPr>
      </w:pPr>
    </w:p>
    <w:p w:rsidR="002D2840" w:rsidRDefault="00653884" w:rsidP="0073210C">
      <w:pPr>
        <w:pStyle w:val="Textoindependiente"/>
        <w:tabs>
          <w:tab w:val="left" w:pos="8364"/>
        </w:tabs>
        <w:spacing w:line="276" w:lineRule="auto"/>
        <w:contextualSpacing/>
        <w:rPr>
          <w:b/>
          <w:szCs w:val="24"/>
          <w:lang w:val="es-CO"/>
        </w:rPr>
      </w:pPr>
      <w:r>
        <w:rPr>
          <w:b/>
          <w:szCs w:val="24"/>
          <w:lang w:val="es-CO"/>
        </w:rPr>
        <w:t xml:space="preserve">2.1.2. </w:t>
      </w:r>
      <w:r w:rsidR="002D2840">
        <w:rPr>
          <w:b/>
          <w:szCs w:val="24"/>
          <w:lang w:val="es-CO"/>
        </w:rPr>
        <w:t>Fundamento Fáctico:</w:t>
      </w:r>
    </w:p>
    <w:p w:rsidR="002D2840" w:rsidRDefault="002D2840" w:rsidP="003F023F">
      <w:pPr>
        <w:pStyle w:val="Textoindependiente"/>
        <w:tabs>
          <w:tab w:val="left" w:pos="8364"/>
        </w:tabs>
        <w:spacing w:line="276" w:lineRule="auto"/>
        <w:ind w:left="8364" w:hanging="8364"/>
        <w:contextualSpacing/>
        <w:rPr>
          <w:b/>
          <w:szCs w:val="24"/>
          <w:lang w:val="es-CO"/>
        </w:rPr>
      </w:pPr>
    </w:p>
    <w:p w:rsidR="002D2840" w:rsidRPr="002D2840" w:rsidRDefault="002D2840" w:rsidP="0073210C">
      <w:pPr>
        <w:pStyle w:val="Textoindependiente"/>
        <w:tabs>
          <w:tab w:val="left" w:pos="8364"/>
        </w:tabs>
        <w:spacing w:line="276" w:lineRule="auto"/>
        <w:contextualSpacing/>
        <w:rPr>
          <w:szCs w:val="24"/>
          <w:lang w:val="es-CO"/>
        </w:rPr>
      </w:pPr>
      <w:r>
        <w:rPr>
          <w:szCs w:val="24"/>
          <w:lang w:val="es-CO"/>
        </w:rPr>
        <w:t xml:space="preserve">En el presente asunto, </w:t>
      </w:r>
      <w:r w:rsidR="00363262">
        <w:rPr>
          <w:szCs w:val="24"/>
          <w:lang w:val="es-CO"/>
        </w:rPr>
        <w:t>el otrora Instituto de Seguros Sociales – Seccional</w:t>
      </w:r>
      <w:r w:rsidR="00176D18">
        <w:rPr>
          <w:szCs w:val="24"/>
          <w:lang w:val="es-CO"/>
        </w:rPr>
        <w:t xml:space="preserve"> Risaralda, mediante Resoluciones </w:t>
      </w:r>
      <w:r w:rsidR="00363262">
        <w:rPr>
          <w:szCs w:val="24"/>
          <w:lang w:val="es-CO"/>
        </w:rPr>
        <w:t xml:space="preserve">N° </w:t>
      </w:r>
      <w:r w:rsidR="00176D18">
        <w:rPr>
          <w:szCs w:val="24"/>
          <w:lang w:val="es-CO"/>
        </w:rPr>
        <w:t>1737 del 28 de marzo de 2012</w:t>
      </w:r>
      <w:r w:rsidR="00363262">
        <w:rPr>
          <w:szCs w:val="24"/>
          <w:lang w:val="es-CO"/>
        </w:rPr>
        <w:t xml:space="preserve"> </w:t>
      </w:r>
      <w:r w:rsidR="00176D18">
        <w:rPr>
          <w:szCs w:val="24"/>
          <w:lang w:val="es-CO"/>
        </w:rPr>
        <w:t>y 4287 del 24 de agosto de ese mismo año, le reconoció al</w:t>
      </w:r>
      <w:r w:rsidR="00363262">
        <w:rPr>
          <w:szCs w:val="24"/>
          <w:lang w:val="es-CO"/>
        </w:rPr>
        <w:t xml:space="preserve"> actor la pensión especial de vejez por hijo invalido, en atención a la dis</w:t>
      </w:r>
      <w:r w:rsidR="00176D18">
        <w:rPr>
          <w:szCs w:val="24"/>
          <w:lang w:val="es-CO"/>
        </w:rPr>
        <w:t>capacidad presentada por su hija María Edilbay Largo Aguirre</w:t>
      </w:r>
      <w:r w:rsidR="00363262">
        <w:rPr>
          <w:szCs w:val="24"/>
          <w:lang w:val="es-CO"/>
        </w:rPr>
        <w:t xml:space="preserve">, prestación que además fue reconocida con una tasa de reemplazo del </w:t>
      </w:r>
      <w:r w:rsidR="00176D18">
        <w:rPr>
          <w:szCs w:val="24"/>
          <w:lang w:val="es-CO"/>
        </w:rPr>
        <w:t>67.81%</w:t>
      </w:r>
      <w:r w:rsidR="00882768">
        <w:rPr>
          <w:szCs w:val="24"/>
          <w:lang w:val="es-CO"/>
        </w:rPr>
        <w:t>, en aplicación del artículo 33 de la Ley 100 de 1993, según se desprende de esta</w:t>
      </w:r>
      <w:r w:rsidR="00176D18">
        <w:rPr>
          <w:szCs w:val="24"/>
          <w:lang w:val="es-CO"/>
        </w:rPr>
        <w:t>, obteniéndose una mesada pensiona</w:t>
      </w:r>
      <w:r w:rsidR="00882768">
        <w:rPr>
          <w:szCs w:val="24"/>
          <w:lang w:val="es-CO"/>
        </w:rPr>
        <w:t>l equivalente al salario mínimo, que comenzó a pagarse el 1° de mayo de 2012, al dejar de cotizar el 30 de abril de ese mismo año.</w:t>
      </w:r>
    </w:p>
    <w:p w:rsidR="003A51A8" w:rsidRDefault="007F65FD" w:rsidP="007F65FD">
      <w:pPr>
        <w:pStyle w:val="centrado"/>
        <w:spacing w:line="276" w:lineRule="auto"/>
        <w:jc w:val="both"/>
        <w:rPr>
          <w:rFonts w:ascii="Arial" w:hAnsi="Arial" w:cs="Arial"/>
          <w:bCs/>
        </w:rPr>
      </w:pPr>
      <w:r>
        <w:rPr>
          <w:rFonts w:ascii="Arial" w:hAnsi="Arial" w:cs="Arial"/>
          <w:bCs/>
        </w:rPr>
        <w:t xml:space="preserve">Se encuentra acreditado que el demandante arribó a los 60 años de edad el 1° de agosto de 2012, por lo que </w:t>
      </w:r>
      <w:r w:rsidR="00F35C99">
        <w:rPr>
          <w:rFonts w:ascii="Arial" w:hAnsi="Arial" w:cs="Arial"/>
          <w:bCs/>
        </w:rPr>
        <w:t>no se ad</w:t>
      </w:r>
      <w:r w:rsidR="003A51A8">
        <w:rPr>
          <w:rFonts w:ascii="Arial" w:hAnsi="Arial" w:cs="Arial"/>
          <w:bCs/>
        </w:rPr>
        <w:t>v</w:t>
      </w:r>
      <w:r w:rsidR="00F35C99">
        <w:rPr>
          <w:rFonts w:ascii="Arial" w:hAnsi="Arial" w:cs="Arial"/>
          <w:bCs/>
        </w:rPr>
        <w:t xml:space="preserve">ierte </w:t>
      </w:r>
      <w:r w:rsidR="003A51A8">
        <w:rPr>
          <w:rFonts w:ascii="Arial" w:hAnsi="Arial" w:cs="Arial"/>
          <w:bCs/>
        </w:rPr>
        <w:t>obstáculo jurídico para que la pensión especial de vejez transitoria mute a la ordinaria definitiva,</w:t>
      </w:r>
      <w:r w:rsidR="00F35C99">
        <w:rPr>
          <w:rFonts w:ascii="Arial" w:hAnsi="Arial" w:cs="Arial"/>
          <w:bCs/>
        </w:rPr>
        <w:t xml:space="preserve"> conforme lo citado anteriormente, por lo que</w:t>
      </w:r>
      <w:r w:rsidR="003A51A8">
        <w:rPr>
          <w:rFonts w:ascii="Arial" w:hAnsi="Arial" w:cs="Arial"/>
          <w:bCs/>
        </w:rPr>
        <w:t xml:space="preserve"> </w:t>
      </w:r>
      <w:r w:rsidR="00A558B8">
        <w:rPr>
          <w:rFonts w:ascii="Arial" w:hAnsi="Arial" w:cs="Arial"/>
          <w:bCs/>
        </w:rPr>
        <w:t>se procederá a determinar si el</w:t>
      </w:r>
      <w:r w:rsidR="003A51A8">
        <w:rPr>
          <w:rFonts w:ascii="Arial" w:hAnsi="Arial" w:cs="Arial"/>
          <w:bCs/>
        </w:rPr>
        <w:t xml:space="preserve"> demandante cumple las exigencias legales para ser considerad</w:t>
      </w:r>
      <w:r w:rsidR="00F35C99">
        <w:rPr>
          <w:rFonts w:ascii="Arial" w:hAnsi="Arial" w:cs="Arial"/>
          <w:bCs/>
        </w:rPr>
        <w:t>o</w:t>
      </w:r>
      <w:r>
        <w:rPr>
          <w:rFonts w:ascii="Arial" w:hAnsi="Arial" w:cs="Arial"/>
          <w:bCs/>
        </w:rPr>
        <w:t xml:space="preserve"> beneficiario</w:t>
      </w:r>
      <w:r w:rsidR="003A51A8">
        <w:rPr>
          <w:rFonts w:ascii="Arial" w:hAnsi="Arial" w:cs="Arial"/>
          <w:bCs/>
        </w:rPr>
        <w:t xml:space="preserve"> del régimen de transición y, por ende, de</w:t>
      </w:r>
      <w:r w:rsidR="00882768">
        <w:rPr>
          <w:rFonts w:ascii="Arial" w:hAnsi="Arial" w:cs="Arial"/>
          <w:bCs/>
        </w:rPr>
        <w:t>l Acuerdo 049 de 1990, que debía</w:t>
      </w:r>
      <w:r w:rsidR="003A51A8">
        <w:rPr>
          <w:rFonts w:ascii="Arial" w:hAnsi="Arial" w:cs="Arial"/>
          <w:bCs/>
        </w:rPr>
        <w:t xml:space="preserve"> </w:t>
      </w:r>
      <w:r w:rsidR="00882768">
        <w:rPr>
          <w:rFonts w:ascii="Arial" w:hAnsi="Arial" w:cs="Arial"/>
          <w:bCs/>
        </w:rPr>
        <w:t>aplicársele</w:t>
      </w:r>
      <w:r w:rsidR="003A51A8">
        <w:rPr>
          <w:rFonts w:ascii="Arial" w:hAnsi="Arial" w:cs="Arial"/>
          <w:bCs/>
        </w:rPr>
        <w:t xml:space="preserve"> incluso desde el momento en que se le reconoció la pensión especial de vejez</w:t>
      </w:r>
      <w:r w:rsidR="00282F91">
        <w:rPr>
          <w:rFonts w:ascii="Arial" w:hAnsi="Arial" w:cs="Arial"/>
          <w:bCs/>
        </w:rPr>
        <w:t>.</w:t>
      </w:r>
    </w:p>
    <w:p w:rsidR="002E54FD" w:rsidRDefault="00282F91" w:rsidP="002E54FD">
      <w:pPr>
        <w:pStyle w:val="Textoindependiente"/>
        <w:spacing w:line="276" w:lineRule="auto"/>
        <w:contextualSpacing/>
        <w:rPr>
          <w:b/>
          <w:iCs/>
          <w:szCs w:val="24"/>
        </w:rPr>
      </w:pPr>
      <w:r>
        <w:rPr>
          <w:b/>
          <w:iCs/>
          <w:szCs w:val="24"/>
        </w:rPr>
        <w:t>2.2</w:t>
      </w:r>
      <w:r w:rsidR="002E54FD" w:rsidRPr="001F4718">
        <w:rPr>
          <w:b/>
          <w:iCs/>
          <w:szCs w:val="24"/>
        </w:rPr>
        <w:t>. Del régimen de transición</w:t>
      </w:r>
    </w:p>
    <w:p w:rsidR="002E54FD" w:rsidRDefault="002E54FD" w:rsidP="002E54FD">
      <w:pPr>
        <w:pStyle w:val="Textoindependiente"/>
        <w:spacing w:line="276" w:lineRule="auto"/>
        <w:contextualSpacing/>
        <w:rPr>
          <w:b/>
          <w:iCs/>
          <w:szCs w:val="24"/>
        </w:rPr>
      </w:pPr>
    </w:p>
    <w:p w:rsidR="002E54FD" w:rsidRPr="001F4718" w:rsidRDefault="00282F91" w:rsidP="002E54FD">
      <w:pPr>
        <w:pStyle w:val="Textoindependiente"/>
        <w:spacing w:line="276" w:lineRule="auto"/>
        <w:contextualSpacing/>
        <w:rPr>
          <w:b/>
          <w:iCs/>
          <w:szCs w:val="24"/>
        </w:rPr>
      </w:pPr>
      <w:r>
        <w:rPr>
          <w:b/>
          <w:iCs/>
          <w:szCs w:val="24"/>
        </w:rPr>
        <w:t>2.2</w:t>
      </w:r>
      <w:r w:rsidR="002E54FD">
        <w:rPr>
          <w:b/>
          <w:iCs/>
          <w:szCs w:val="24"/>
        </w:rPr>
        <w:t>.1. Fundamento Jurídico</w:t>
      </w:r>
    </w:p>
    <w:p w:rsidR="002E54FD" w:rsidRDefault="002D2840" w:rsidP="002E54FD">
      <w:pPr>
        <w:pStyle w:val="Textoindependiente"/>
        <w:spacing w:line="276" w:lineRule="auto"/>
        <w:contextualSpacing/>
        <w:rPr>
          <w:iCs/>
          <w:szCs w:val="24"/>
        </w:rPr>
      </w:pPr>
      <w:r>
        <w:rPr>
          <w:iCs/>
          <w:szCs w:val="24"/>
        </w:rPr>
        <w:t xml:space="preserve"> </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3A51A8" w:rsidRDefault="003A51A8"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2E54FD"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282F91">
        <w:rPr>
          <w:b/>
          <w:color w:val="000000"/>
          <w:szCs w:val="24"/>
          <w:shd w:val="clear" w:color="auto" w:fill="FFFFFF"/>
          <w:lang w:val="es-ES"/>
        </w:rPr>
        <w:t>2</w:t>
      </w:r>
      <w:r>
        <w:rPr>
          <w:b/>
          <w:color w:val="000000"/>
          <w:szCs w:val="24"/>
          <w:shd w:val="clear" w:color="auto" w:fill="FFFFFF"/>
          <w:lang w:val="es-ES"/>
        </w:rPr>
        <w:t>.2. Fundamento fáctico</w:t>
      </w:r>
      <w:r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544B75" w:rsidRDefault="002E54FD" w:rsidP="00C2591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Analizando la documental allegada al info</w:t>
      </w:r>
      <w:r w:rsidR="005475F0">
        <w:rPr>
          <w:rFonts w:ascii="Arial" w:hAnsi="Arial" w:cs="Arial"/>
          <w:color w:val="000000"/>
          <w:szCs w:val="24"/>
          <w:lang w:eastAsia="es-CO"/>
        </w:rPr>
        <w:t xml:space="preserve">lio, no existe duda que el </w:t>
      </w:r>
      <w:r>
        <w:rPr>
          <w:rFonts w:ascii="Arial" w:hAnsi="Arial" w:cs="Arial"/>
          <w:color w:val="000000"/>
          <w:szCs w:val="24"/>
          <w:lang w:eastAsia="es-CO"/>
        </w:rPr>
        <w:t xml:space="preserve">señor </w:t>
      </w:r>
      <w:r w:rsidR="002807D2">
        <w:rPr>
          <w:rFonts w:ascii="Arial" w:hAnsi="Arial" w:cs="Arial"/>
          <w:color w:val="000000"/>
          <w:szCs w:val="24"/>
          <w:lang w:eastAsia="es-CO"/>
        </w:rPr>
        <w:t>Luis Eduardo Largo Gallón</w:t>
      </w:r>
      <w:r>
        <w:rPr>
          <w:rFonts w:ascii="Arial" w:hAnsi="Arial" w:cs="Arial"/>
          <w:color w:val="000000"/>
          <w:szCs w:val="24"/>
          <w:lang w:eastAsia="es-CO"/>
        </w:rPr>
        <w:t>, adquirió el derecho a beneficiarse del régimen de transición descrito</w:t>
      </w:r>
      <w:r w:rsidR="000C42EE">
        <w:rPr>
          <w:rFonts w:ascii="Arial" w:hAnsi="Arial" w:cs="Arial"/>
          <w:color w:val="000000"/>
          <w:szCs w:val="24"/>
          <w:lang w:eastAsia="es-CO"/>
        </w:rPr>
        <w:t xml:space="preserve"> por edad y por tiempo laborado</w:t>
      </w:r>
      <w:r>
        <w:rPr>
          <w:rFonts w:ascii="Arial" w:hAnsi="Arial" w:cs="Arial"/>
          <w:color w:val="000000"/>
          <w:szCs w:val="24"/>
          <w:lang w:eastAsia="es-CO"/>
        </w:rPr>
        <w:t>, toda vez que al 1° de abril de</w:t>
      </w:r>
      <w:r w:rsidR="005475F0">
        <w:rPr>
          <w:rFonts w:ascii="Arial" w:hAnsi="Arial" w:cs="Arial"/>
          <w:color w:val="000000"/>
          <w:szCs w:val="24"/>
          <w:lang w:eastAsia="es-CO"/>
        </w:rPr>
        <w:t xml:space="preserve"> 1994 contaba con 41</w:t>
      </w:r>
      <w:r>
        <w:rPr>
          <w:rFonts w:ascii="Arial" w:hAnsi="Arial" w:cs="Arial"/>
          <w:color w:val="000000"/>
          <w:szCs w:val="24"/>
          <w:lang w:eastAsia="es-CO"/>
        </w:rPr>
        <w:t xml:space="preserve"> años de edad cumplidos</w:t>
      </w:r>
      <w:r w:rsidR="00C11D9D">
        <w:rPr>
          <w:rFonts w:ascii="Arial" w:hAnsi="Arial" w:cs="Arial"/>
          <w:color w:val="000000"/>
          <w:szCs w:val="24"/>
          <w:lang w:eastAsia="es-CO"/>
        </w:rPr>
        <w:t>,</w:t>
      </w:r>
      <w:r>
        <w:rPr>
          <w:rFonts w:ascii="Arial" w:hAnsi="Arial" w:cs="Arial"/>
          <w:color w:val="000000"/>
          <w:szCs w:val="24"/>
          <w:lang w:eastAsia="es-CO"/>
        </w:rPr>
        <w:t xml:space="preserve"> como quiera que de la copia</w:t>
      </w:r>
      <w:r w:rsidR="00B92046">
        <w:rPr>
          <w:rFonts w:ascii="Arial" w:hAnsi="Arial" w:cs="Arial"/>
          <w:color w:val="000000"/>
          <w:szCs w:val="24"/>
          <w:lang w:eastAsia="es-CO"/>
        </w:rPr>
        <w:t xml:space="preserve"> </w:t>
      </w:r>
      <w:r w:rsidR="00B30447">
        <w:rPr>
          <w:rFonts w:ascii="Arial" w:hAnsi="Arial" w:cs="Arial"/>
          <w:color w:val="000000"/>
          <w:szCs w:val="24"/>
          <w:lang w:eastAsia="es-CO"/>
        </w:rPr>
        <w:t xml:space="preserve">de la cédula de ciudadanía y </w:t>
      </w:r>
      <w:r w:rsidR="00B92046">
        <w:rPr>
          <w:rFonts w:ascii="Arial" w:hAnsi="Arial" w:cs="Arial"/>
          <w:color w:val="000000"/>
          <w:szCs w:val="24"/>
          <w:lang w:eastAsia="es-CO"/>
        </w:rPr>
        <w:t>de</w:t>
      </w:r>
      <w:r w:rsidR="00B30447">
        <w:rPr>
          <w:rFonts w:ascii="Arial" w:hAnsi="Arial" w:cs="Arial"/>
          <w:color w:val="000000"/>
          <w:szCs w:val="24"/>
          <w:lang w:eastAsia="es-CO"/>
        </w:rPr>
        <w:t xml:space="preserve">l registro civil de nacimiento </w:t>
      </w:r>
      <w:r>
        <w:rPr>
          <w:rFonts w:ascii="Arial" w:hAnsi="Arial" w:cs="Arial"/>
          <w:color w:val="000000"/>
          <w:szCs w:val="24"/>
          <w:lang w:eastAsia="es-CO"/>
        </w:rPr>
        <w:t>–fl</w:t>
      </w:r>
      <w:r w:rsidR="00B92046">
        <w:rPr>
          <w:rFonts w:ascii="Arial" w:hAnsi="Arial" w:cs="Arial"/>
          <w:color w:val="000000"/>
          <w:szCs w:val="24"/>
          <w:lang w:eastAsia="es-CO"/>
        </w:rPr>
        <w:t>s</w:t>
      </w:r>
      <w:r>
        <w:rPr>
          <w:rFonts w:ascii="Arial" w:hAnsi="Arial" w:cs="Arial"/>
          <w:color w:val="000000"/>
          <w:szCs w:val="24"/>
          <w:lang w:eastAsia="es-CO"/>
        </w:rPr>
        <w:t>.</w:t>
      </w:r>
      <w:r w:rsidR="00B92046">
        <w:rPr>
          <w:rFonts w:ascii="Arial" w:hAnsi="Arial" w:cs="Arial"/>
          <w:color w:val="000000"/>
          <w:szCs w:val="24"/>
          <w:lang w:eastAsia="es-CO"/>
        </w:rPr>
        <w:t xml:space="preserve"> </w:t>
      </w:r>
      <w:r w:rsidR="005475F0">
        <w:rPr>
          <w:rFonts w:ascii="Arial" w:hAnsi="Arial" w:cs="Arial"/>
          <w:color w:val="000000"/>
          <w:szCs w:val="24"/>
          <w:lang w:eastAsia="es-CO"/>
        </w:rPr>
        <w:t>45</w:t>
      </w:r>
      <w:r w:rsidR="00B30447">
        <w:rPr>
          <w:rFonts w:ascii="Arial" w:hAnsi="Arial" w:cs="Arial"/>
          <w:color w:val="000000"/>
          <w:szCs w:val="24"/>
          <w:lang w:eastAsia="es-CO"/>
        </w:rPr>
        <w:t xml:space="preserve"> y 22 del cd. 1-</w:t>
      </w:r>
      <w:r>
        <w:rPr>
          <w:rFonts w:ascii="Arial" w:hAnsi="Arial" w:cs="Arial"/>
          <w:color w:val="000000"/>
          <w:szCs w:val="24"/>
          <w:lang w:eastAsia="es-CO"/>
        </w:rPr>
        <w:t xml:space="preserve"> se puede extraer que nació el </w:t>
      </w:r>
      <w:r w:rsidR="005475F0">
        <w:rPr>
          <w:rFonts w:ascii="Arial" w:hAnsi="Arial" w:cs="Arial"/>
          <w:color w:val="000000"/>
          <w:szCs w:val="24"/>
          <w:lang w:eastAsia="es-CO"/>
        </w:rPr>
        <w:t>1°</w:t>
      </w:r>
      <w:r w:rsidR="00B92046">
        <w:rPr>
          <w:rFonts w:ascii="Arial" w:hAnsi="Arial" w:cs="Arial"/>
          <w:color w:val="000000"/>
          <w:szCs w:val="24"/>
          <w:lang w:eastAsia="es-CO"/>
        </w:rPr>
        <w:t xml:space="preserve"> </w:t>
      </w:r>
      <w:r>
        <w:rPr>
          <w:rFonts w:ascii="Arial" w:hAnsi="Arial" w:cs="Arial"/>
          <w:color w:val="000000"/>
          <w:szCs w:val="24"/>
          <w:lang w:eastAsia="es-CO"/>
        </w:rPr>
        <w:t xml:space="preserve">de </w:t>
      </w:r>
      <w:r w:rsidR="005475F0">
        <w:rPr>
          <w:rFonts w:ascii="Arial" w:hAnsi="Arial" w:cs="Arial"/>
          <w:color w:val="000000"/>
          <w:szCs w:val="24"/>
          <w:lang w:eastAsia="es-CO"/>
        </w:rPr>
        <w:t xml:space="preserve">agosto </w:t>
      </w:r>
      <w:r>
        <w:rPr>
          <w:rFonts w:ascii="Arial" w:hAnsi="Arial" w:cs="Arial"/>
          <w:color w:val="000000"/>
          <w:szCs w:val="24"/>
          <w:lang w:eastAsia="es-CO"/>
        </w:rPr>
        <w:t>de 195</w:t>
      </w:r>
      <w:r w:rsidR="005475F0">
        <w:rPr>
          <w:rFonts w:ascii="Arial" w:hAnsi="Arial" w:cs="Arial"/>
          <w:color w:val="000000"/>
          <w:szCs w:val="24"/>
          <w:lang w:eastAsia="es-CO"/>
        </w:rPr>
        <w:t>2</w:t>
      </w:r>
      <w:r w:rsidR="00B30447">
        <w:rPr>
          <w:rFonts w:ascii="Arial" w:hAnsi="Arial" w:cs="Arial"/>
          <w:color w:val="000000"/>
          <w:szCs w:val="24"/>
          <w:lang w:eastAsia="es-CO"/>
        </w:rPr>
        <w:t xml:space="preserve"> y, porque a esa misma calenda contaba </w:t>
      </w:r>
      <w:r w:rsidR="00B30447">
        <w:rPr>
          <w:rFonts w:ascii="Arial" w:hAnsi="Arial" w:cs="Arial"/>
          <w:color w:val="000000"/>
          <w:szCs w:val="24"/>
          <w:lang w:eastAsia="es-CO"/>
        </w:rPr>
        <w:lastRenderedPageBreak/>
        <w:t xml:space="preserve">con </w:t>
      </w:r>
      <w:r w:rsidR="00C25918">
        <w:rPr>
          <w:rFonts w:ascii="Arial" w:hAnsi="Arial" w:cs="Arial"/>
          <w:color w:val="000000"/>
          <w:szCs w:val="24"/>
          <w:lang w:eastAsia="es-CO"/>
        </w:rPr>
        <w:t xml:space="preserve">948 semanas de cotización, </w:t>
      </w:r>
      <w:r w:rsidR="00926155">
        <w:rPr>
          <w:rFonts w:ascii="Arial" w:hAnsi="Arial" w:cs="Arial"/>
          <w:color w:val="000000"/>
          <w:szCs w:val="24"/>
          <w:lang w:eastAsia="es-CO"/>
        </w:rPr>
        <w:t xml:space="preserve">por </w:t>
      </w:r>
      <w:r w:rsidR="00C25918">
        <w:rPr>
          <w:rFonts w:ascii="Arial" w:hAnsi="Arial" w:cs="Arial"/>
          <w:color w:val="000000"/>
          <w:szCs w:val="24"/>
          <w:lang w:eastAsia="es-CO"/>
        </w:rPr>
        <w:t xml:space="preserve">lo que </w:t>
      </w:r>
      <w:r w:rsidR="00926155">
        <w:rPr>
          <w:rFonts w:ascii="Arial" w:hAnsi="Arial" w:cs="Arial"/>
          <w:color w:val="000000"/>
          <w:szCs w:val="24"/>
          <w:lang w:eastAsia="es-CO"/>
        </w:rPr>
        <w:t xml:space="preserve">no lo afecta el </w:t>
      </w:r>
      <w:r w:rsidR="00C25918">
        <w:rPr>
          <w:rFonts w:ascii="Arial" w:hAnsi="Arial" w:cs="Arial"/>
          <w:color w:val="000000"/>
          <w:szCs w:val="24"/>
          <w:lang w:eastAsia="es-CO"/>
        </w:rPr>
        <w:t>acto legislativo 01 de 2005</w:t>
      </w:r>
      <w:r w:rsidR="00C25918" w:rsidRPr="001B5536">
        <w:rPr>
          <w:rFonts w:ascii="Arial" w:hAnsi="Arial" w:cs="Arial"/>
          <w:color w:val="000000"/>
          <w:szCs w:val="24"/>
          <w:lang w:eastAsia="es-CO"/>
        </w:rPr>
        <w:t>.</w:t>
      </w:r>
    </w:p>
    <w:p w:rsidR="002A330E" w:rsidRDefault="002A330E" w:rsidP="00C25918">
      <w:pPr>
        <w:shd w:val="clear" w:color="auto" w:fill="FFFFFF"/>
        <w:tabs>
          <w:tab w:val="left" w:pos="5197"/>
        </w:tabs>
        <w:spacing w:line="276" w:lineRule="auto"/>
        <w:jc w:val="both"/>
        <w:rPr>
          <w:rFonts w:ascii="Arial" w:hAnsi="Arial" w:cs="Arial"/>
          <w:color w:val="000000"/>
          <w:szCs w:val="24"/>
          <w:lang w:eastAsia="es-CO"/>
        </w:rPr>
      </w:pPr>
    </w:p>
    <w:p w:rsidR="00562BC6" w:rsidRDefault="00562BC6" w:rsidP="00562BC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.2. De los requisitos para acceder a la pensión de vejez conforme al Decreto 758 de 1990.</w:t>
      </w:r>
    </w:p>
    <w:p w:rsidR="00926155" w:rsidRPr="00F0544F" w:rsidRDefault="00926155" w:rsidP="00562BC6">
      <w:pPr>
        <w:shd w:val="clear" w:color="auto" w:fill="FFFFFF"/>
        <w:tabs>
          <w:tab w:val="left" w:pos="5197"/>
        </w:tabs>
        <w:spacing w:line="276" w:lineRule="auto"/>
        <w:jc w:val="both"/>
        <w:rPr>
          <w:rFonts w:ascii="Arial" w:hAnsi="Arial" w:cs="Arial"/>
          <w:b/>
          <w:color w:val="000000"/>
          <w:szCs w:val="24"/>
          <w:lang w:eastAsia="es-CO"/>
        </w:rPr>
      </w:pPr>
    </w:p>
    <w:p w:rsidR="00562BC6" w:rsidRDefault="00562BC6" w:rsidP="00562BC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282F91" w:rsidRPr="00F0544F" w:rsidRDefault="00282F91" w:rsidP="00562BC6">
      <w:pPr>
        <w:shd w:val="clear" w:color="auto" w:fill="FFFFFF"/>
        <w:tabs>
          <w:tab w:val="left" w:pos="5197"/>
        </w:tabs>
        <w:spacing w:line="276" w:lineRule="auto"/>
        <w:jc w:val="both"/>
        <w:rPr>
          <w:rFonts w:ascii="Arial" w:hAnsi="Arial" w:cs="Arial"/>
          <w:b/>
          <w:color w:val="000000"/>
          <w:szCs w:val="24"/>
          <w:lang w:eastAsia="es-CO"/>
        </w:rPr>
      </w:pPr>
    </w:p>
    <w:p w:rsidR="00562BC6" w:rsidRDefault="00562BC6" w:rsidP="00C87CD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AD1F5C">
        <w:rPr>
          <w:rFonts w:ascii="Arial" w:hAnsi="Arial" w:cs="Arial"/>
          <w:color w:val="000000"/>
          <w:szCs w:val="24"/>
          <w:lang w:eastAsia="es-CO"/>
        </w:rPr>
        <w:t>049 de 1990 y para el caso de l</w:t>
      </w:r>
      <w:r w:rsidR="00C25918">
        <w:rPr>
          <w:rFonts w:ascii="Arial" w:hAnsi="Arial" w:cs="Arial"/>
          <w:color w:val="000000"/>
          <w:szCs w:val="24"/>
          <w:lang w:eastAsia="es-CO"/>
        </w:rPr>
        <w:t>os</w:t>
      </w:r>
      <w:r>
        <w:rPr>
          <w:rFonts w:ascii="Arial" w:hAnsi="Arial" w:cs="Arial"/>
          <w:color w:val="000000"/>
          <w:szCs w:val="24"/>
          <w:lang w:eastAsia="es-CO"/>
        </w:rPr>
        <w:t xml:space="preserve"> </w:t>
      </w:r>
      <w:r w:rsidR="00C25918">
        <w:rPr>
          <w:rFonts w:ascii="Arial" w:hAnsi="Arial" w:cs="Arial"/>
          <w:color w:val="000000"/>
          <w:szCs w:val="24"/>
          <w:lang w:eastAsia="es-CO"/>
        </w:rPr>
        <w:t>hombres</w:t>
      </w:r>
      <w:r>
        <w:rPr>
          <w:rFonts w:ascii="Arial" w:hAnsi="Arial" w:cs="Arial"/>
          <w:color w:val="000000"/>
          <w:szCs w:val="24"/>
          <w:lang w:eastAsia="es-CO"/>
        </w:rPr>
        <w:t>, para obtener el derecho a la pensión d</w:t>
      </w:r>
      <w:r w:rsidR="00C25918">
        <w:rPr>
          <w:rFonts w:ascii="Arial" w:hAnsi="Arial" w:cs="Arial"/>
          <w:color w:val="000000"/>
          <w:szCs w:val="24"/>
          <w:lang w:eastAsia="es-CO"/>
        </w:rPr>
        <w:t>e vejez se requiere acreditar 60</w:t>
      </w:r>
      <w:r>
        <w:rPr>
          <w:rFonts w:ascii="Arial" w:hAnsi="Arial" w:cs="Arial"/>
          <w:color w:val="000000"/>
          <w:szCs w:val="24"/>
          <w:lang w:eastAsia="es-CO"/>
        </w:rPr>
        <w:t xml:space="preserve"> años de edad y haber cotizado 1000 semanas en cualquier tiempo o 500 dentro de los 20 años anteriores al cumplimiento de esa edad</w:t>
      </w:r>
      <w:r w:rsidR="00926155">
        <w:rPr>
          <w:rFonts w:ascii="Arial" w:hAnsi="Arial" w:cs="Arial"/>
          <w:color w:val="000000"/>
          <w:szCs w:val="24"/>
          <w:lang w:eastAsia="es-CO"/>
        </w:rPr>
        <w:t>.</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p>
    <w:p w:rsidR="00562BC6" w:rsidRDefault="00562BC6" w:rsidP="00562BC6">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562BC6" w:rsidRDefault="00562BC6" w:rsidP="00562BC6">
      <w:pPr>
        <w:shd w:val="clear" w:color="auto" w:fill="FFFFFF"/>
        <w:tabs>
          <w:tab w:val="left" w:pos="5197"/>
        </w:tabs>
        <w:spacing w:line="276" w:lineRule="auto"/>
        <w:jc w:val="both"/>
        <w:rPr>
          <w:rFonts w:ascii="Arial" w:hAnsi="Arial" w:cs="Arial"/>
          <w:b/>
          <w:color w:val="000000"/>
          <w:szCs w:val="24"/>
          <w:lang w:eastAsia="es-CO"/>
        </w:rPr>
      </w:pPr>
    </w:p>
    <w:p w:rsidR="00562BC6" w:rsidRPr="00FF7655" w:rsidRDefault="00562BC6" w:rsidP="00562BC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w:t>
      </w:r>
      <w:r w:rsidRPr="00FF7655">
        <w:rPr>
          <w:rFonts w:ascii="Arial" w:hAnsi="Arial" w:cs="Arial"/>
          <w:color w:val="000000"/>
          <w:szCs w:val="24"/>
          <w:lang w:eastAsia="es-CO"/>
        </w:rPr>
        <w:t xml:space="preserve">encuentra probado que </w:t>
      </w:r>
      <w:r w:rsidR="00C25918">
        <w:rPr>
          <w:rFonts w:ascii="Arial" w:hAnsi="Arial" w:cs="Arial"/>
          <w:color w:val="000000"/>
          <w:szCs w:val="24"/>
          <w:lang w:eastAsia="es-CO"/>
        </w:rPr>
        <w:t>el demandante nació el 1°</w:t>
      </w:r>
      <w:r w:rsidR="00AD1F5C">
        <w:rPr>
          <w:rFonts w:ascii="Arial" w:hAnsi="Arial" w:cs="Arial"/>
          <w:color w:val="000000"/>
          <w:szCs w:val="24"/>
          <w:lang w:eastAsia="es-CO"/>
        </w:rPr>
        <w:t xml:space="preserve"> </w:t>
      </w:r>
      <w:r w:rsidRPr="00FF7655">
        <w:rPr>
          <w:rFonts w:ascii="Arial" w:hAnsi="Arial" w:cs="Arial"/>
          <w:color w:val="000000"/>
          <w:szCs w:val="24"/>
          <w:lang w:eastAsia="es-CO"/>
        </w:rPr>
        <w:t xml:space="preserve">de </w:t>
      </w:r>
      <w:r w:rsidR="00C25918">
        <w:rPr>
          <w:rFonts w:ascii="Arial" w:hAnsi="Arial" w:cs="Arial"/>
          <w:color w:val="000000"/>
          <w:szCs w:val="24"/>
          <w:lang w:eastAsia="es-CO"/>
        </w:rPr>
        <w:t xml:space="preserve">agosto </w:t>
      </w:r>
      <w:r>
        <w:rPr>
          <w:rFonts w:ascii="Arial" w:hAnsi="Arial" w:cs="Arial"/>
          <w:color w:val="000000"/>
          <w:szCs w:val="24"/>
          <w:lang w:eastAsia="es-CO"/>
        </w:rPr>
        <w:t>de 19</w:t>
      </w:r>
      <w:r w:rsidR="00AD1F5C">
        <w:rPr>
          <w:rFonts w:ascii="Arial" w:hAnsi="Arial" w:cs="Arial"/>
          <w:color w:val="000000"/>
          <w:szCs w:val="24"/>
          <w:lang w:eastAsia="es-CO"/>
        </w:rPr>
        <w:t>5</w:t>
      </w:r>
      <w:r w:rsidR="00C25918">
        <w:rPr>
          <w:rFonts w:ascii="Arial" w:hAnsi="Arial" w:cs="Arial"/>
          <w:color w:val="000000"/>
          <w:szCs w:val="24"/>
          <w:lang w:eastAsia="es-CO"/>
        </w:rPr>
        <w:t>2</w:t>
      </w:r>
      <w:r w:rsidRPr="00FF7655">
        <w:rPr>
          <w:rFonts w:ascii="Arial" w:hAnsi="Arial" w:cs="Arial"/>
          <w:color w:val="000000"/>
          <w:szCs w:val="24"/>
          <w:lang w:eastAsia="es-CO"/>
        </w:rPr>
        <w:t xml:space="preserve">, por lo tanto, cumplió los </w:t>
      </w:r>
      <w:r w:rsidR="00C25918">
        <w:rPr>
          <w:rFonts w:ascii="Arial" w:hAnsi="Arial" w:cs="Arial"/>
          <w:color w:val="000000"/>
          <w:szCs w:val="24"/>
          <w:lang w:eastAsia="es-CO"/>
        </w:rPr>
        <w:t>60</w:t>
      </w:r>
      <w:r>
        <w:rPr>
          <w:rFonts w:ascii="Arial" w:hAnsi="Arial" w:cs="Arial"/>
          <w:color w:val="000000"/>
          <w:szCs w:val="24"/>
          <w:lang w:eastAsia="es-CO"/>
        </w:rPr>
        <w:t xml:space="preserve">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C25918">
        <w:rPr>
          <w:rFonts w:ascii="Arial" w:hAnsi="Arial" w:cs="Arial"/>
          <w:color w:val="000000"/>
          <w:szCs w:val="24"/>
          <w:lang w:eastAsia="es-CO"/>
        </w:rPr>
        <w:t>12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562BC6" w:rsidRPr="00FF7655" w:rsidRDefault="00562BC6" w:rsidP="00562BC6">
      <w:pPr>
        <w:shd w:val="clear" w:color="auto" w:fill="FFFFFF"/>
        <w:tabs>
          <w:tab w:val="left" w:pos="5197"/>
        </w:tabs>
        <w:spacing w:line="276" w:lineRule="auto"/>
        <w:ind w:firstLine="851"/>
        <w:jc w:val="both"/>
        <w:rPr>
          <w:rFonts w:ascii="Arial" w:hAnsi="Arial" w:cs="Arial"/>
          <w:color w:val="000000"/>
          <w:szCs w:val="24"/>
          <w:lang w:eastAsia="es-CO"/>
        </w:rPr>
      </w:pP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 </w:t>
      </w:r>
      <w:r w:rsidR="00C25918">
        <w:rPr>
          <w:rFonts w:ascii="Arial" w:hAnsi="Arial" w:cs="Arial"/>
          <w:color w:val="000000"/>
          <w:szCs w:val="24"/>
          <w:lang w:eastAsia="es-CO"/>
        </w:rPr>
        <w:t>72</w:t>
      </w:r>
      <w:r>
        <w:rPr>
          <w:rFonts w:ascii="Arial" w:hAnsi="Arial" w:cs="Arial"/>
          <w:color w:val="000000"/>
          <w:szCs w:val="24"/>
          <w:lang w:eastAsia="es-CO"/>
        </w:rPr>
        <w:t xml:space="preserve"> y s.s. del cuaderno de primer grado, se tiene que </w:t>
      </w:r>
      <w:r w:rsidR="00446364">
        <w:rPr>
          <w:rFonts w:ascii="Arial" w:hAnsi="Arial" w:cs="Arial"/>
          <w:color w:val="000000"/>
          <w:szCs w:val="24"/>
          <w:lang w:eastAsia="es-CO"/>
        </w:rPr>
        <w:t xml:space="preserve">en toda su vida laboral </w:t>
      </w:r>
      <w:r>
        <w:rPr>
          <w:rFonts w:ascii="Arial" w:hAnsi="Arial" w:cs="Arial"/>
          <w:color w:val="000000"/>
          <w:szCs w:val="24"/>
          <w:lang w:eastAsia="es-CO"/>
        </w:rPr>
        <w:t xml:space="preserve">cuenta con </w:t>
      </w:r>
      <w:r w:rsidR="00446364">
        <w:rPr>
          <w:rFonts w:ascii="Arial" w:hAnsi="Arial" w:cs="Arial"/>
          <w:color w:val="000000"/>
          <w:szCs w:val="24"/>
          <w:lang w:eastAsia="es-CO"/>
        </w:rPr>
        <w:t>1.</w:t>
      </w:r>
      <w:r w:rsidR="00C25918">
        <w:rPr>
          <w:rFonts w:ascii="Arial" w:hAnsi="Arial" w:cs="Arial"/>
          <w:color w:val="000000"/>
          <w:szCs w:val="24"/>
          <w:lang w:eastAsia="es-CO"/>
        </w:rPr>
        <w:t>295</w:t>
      </w:r>
      <w:r w:rsidR="00282F91">
        <w:rPr>
          <w:rFonts w:ascii="Arial" w:hAnsi="Arial" w:cs="Arial"/>
          <w:color w:val="000000"/>
          <w:szCs w:val="24"/>
          <w:lang w:eastAsia="es-CO"/>
        </w:rPr>
        <w:t>,</w:t>
      </w:r>
      <w:r w:rsidR="00C25918">
        <w:rPr>
          <w:rFonts w:ascii="Arial" w:hAnsi="Arial" w:cs="Arial"/>
          <w:color w:val="000000"/>
          <w:szCs w:val="24"/>
          <w:lang w:eastAsia="es-CO"/>
        </w:rPr>
        <w:t>81</w:t>
      </w:r>
      <w:r w:rsidR="00446364">
        <w:rPr>
          <w:rFonts w:ascii="Arial" w:hAnsi="Arial" w:cs="Arial"/>
          <w:color w:val="000000"/>
          <w:szCs w:val="24"/>
          <w:lang w:eastAsia="es-CO"/>
        </w:rPr>
        <w:t xml:space="preserve"> semanas</w:t>
      </w:r>
      <w:r>
        <w:rPr>
          <w:rFonts w:ascii="Arial" w:hAnsi="Arial" w:cs="Arial"/>
          <w:color w:val="000000"/>
          <w:szCs w:val="24"/>
          <w:lang w:eastAsia="es-CO"/>
        </w:rPr>
        <w:t>,</w:t>
      </w:r>
      <w:r w:rsidR="00446364">
        <w:rPr>
          <w:rFonts w:ascii="Arial" w:hAnsi="Arial" w:cs="Arial"/>
          <w:color w:val="000000"/>
          <w:szCs w:val="24"/>
          <w:lang w:eastAsia="es-CO"/>
        </w:rPr>
        <w:t xml:space="preserve"> más que s</w:t>
      </w:r>
      <w:r>
        <w:rPr>
          <w:rFonts w:ascii="Arial" w:hAnsi="Arial" w:cs="Arial"/>
          <w:color w:val="000000"/>
          <w:szCs w:val="24"/>
          <w:lang w:eastAsia="es-CO"/>
        </w:rPr>
        <w:t>uficientes para acceder al beneficio pensional previsto en la normativa referida.</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p>
    <w:p w:rsidR="00562BC6" w:rsidRDefault="00562BC6" w:rsidP="004945EE">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562BC6" w:rsidRDefault="00562BC6" w:rsidP="00562BC6">
      <w:pPr>
        <w:pStyle w:val="Textoindependiente"/>
        <w:ind w:firstLine="708"/>
        <w:contextualSpacing/>
        <w:rPr>
          <w:b/>
          <w:color w:val="000000"/>
          <w:szCs w:val="24"/>
          <w:shd w:val="clear" w:color="auto" w:fill="FFFFFF"/>
          <w:lang w:val="es-ES"/>
        </w:rPr>
      </w:pPr>
    </w:p>
    <w:p w:rsidR="00562BC6" w:rsidRPr="001E3706" w:rsidRDefault="00562BC6" w:rsidP="00562BC6">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562BC6" w:rsidRDefault="00562BC6" w:rsidP="00562BC6">
      <w:pPr>
        <w:pStyle w:val="Textoindependiente"/>
        <w:ind w:left="2988"/>
        <w:contextualSpacing/>
        <w:rPr>
          <w:color w:val="000000"/>
          <w:szCs w:val="24"/>
          <w:shd w:val="clear" w:color="auto" w:fill="FFFFFF"/>
          <w:lang w:val="es-ES"/>
        </w:rPr>
      </w:pPr>
    </w:p>
    <w:p w:rsidR="0048096D" w:rsidRDefault="0048096D" w:rsidP="0048096D">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48096D" w:rsidRDefault="0048096D" w:rsidP="0048096D">
      <w:pPr>
        <w:pStyle w:val="Textoindependiente"/>
        <w:ind w:firstLine="708"/>
        <w:contextualSpacing/>
        <w:rPr>
          <w:color w:val="000000"/>
          <w:szCs w:val="24"/>
          <w:shd w:val="clear" w:color="auto" w:fill="FFFFFF"/>
          <w:lang w:val="es-ES"/>
        </w:rPr>
      </w:pPr>
    </w:p>
    <w:p w:rsidR="00302C8E" w:rsidRDefault="0048096D" w:rsidP="0048096D">
      <w:pPr>
        <w:pStyle w:val="Textoindependiente"/>
        <w:spacing w:line="276" w:lineRule="auto"/>
        <w:contextualSpacing/>
        <w:rPr>
          <w:szCs w:val="24"/>
        </w:rPr>
      </w:pPr>
      <w:r w:rsidRPr="006263F5">
        <w:rPr>
          <w:color w:val="000000"/>
          <w:szCs w:val="24"/>
          <w:shd w:val="clear" w:color="auto" w:fill="FFFFFF"/>
          <w:lang w:val="es-ES"/>
        </w:rPr>
        <w:t>Al respecto, la Sala de Casaci</w:t>
      </w:r>
      <w:r>
        <w:rPr>
          <w:color w:val="000000"/>
          <w:szCs w:val="24"/>
          <w:shd w:val="clear" w:color="auto" w:fill="FFFFFF"/>
          <w:lang w:val="es-ES"/>
        </w:rPr>
        <w:t xml:space="preserve">ón Laboral, en sentencia del 6 de abril </w:t>
      </w:r>
      <w:r w:rsidRPr="006263F5">
        <w:rPr>
          <w:color w:val="000000"/>
          <w:szCs w:val="24"/>
          <w:shd w:val="clear" w:color="auto" w:fill="FFFFFF"/>
          <w:lang w:val="es-ES"/>
        </w:rPr>
        <w:t xml:space="preserve">de </w:t>
      </w:r>
      <w:r>
        <w:rPr>
          <w:color w:val="000000"/>
          <w:szCs w:val="24"/>
          <w:shd w:val="clear" w:color="auto" w:fill="FFFFFF"/>
          <w:lang w:val="es-ES"/>
        </w:rPr>
        <w:t>2016</w:t>
      </w:r>
      <w:r w:rsidRPr="006263F5">
        <w:rPr>
          <w:color w:val="000000"/>
          <w:szCs w:val="24"/>
          <w:shd w:val="clear" w:color="auto" w:fill="FFFFFF"/>
          <w:lang w:val="es-ES"/>
        </w:rPr>
        <w:t xml:space="preserve">, radicado </w:t>
      </w:r>
      <w:r w:rsidRPr="006263F5">
        <w:rPr>
          <w:szCs w:val="24"/>
        </w:rPr>
        <w:t>4</w:t>
      </w:r>
      <w:r>
        <w:rPr>
          <w:szCs w:val="24"/>
        </w:rPr>
        <w:t>7236</w:t>
      </w:r>
      <w:r w:rsidRPr="006263F5">
        <w:rPr>
          <w:szCs w:val="24"/>
        </w:rPr>
        <w:t>, con ponencia de</w:t>
      </w:r>
      <w:r>
        <w:rPr>
          <w:szCs w:val="24"/>
        </w:rPr>
        <w:t xml:space="preserve"> </w:t>
      </w:r>
      <w:r w:rsidRPr="006263F5">
        <w:rPr>
          <w:szCs w:val="24"/>
        </w:rPr>
        <w:t>l</w:t>
      </w:r>
      <w:r>
        <w:rPr>
          <w:szCs w:val="24"/>
        </w:rPr>
        <w:t xml:space="preserve">a </w:t>
      </w:r>
      <w:r w:rsidRPr="006263F5">
        <w:rPr>
          <w:szCs w:val="24"/>
        </w:rPr>
        <w:t>doctor</w:t>
      </w:r>
      <w:r>
        <w:rPr>
          <w:szCs w:val="24"/>
        </w:rPr>
        <w:t>a</w:t>
      </w:r>
      <w:r w:rsidRPr="006263F5">
        <w:rPr>
          <w:szCs w:val="24"/>
        </w:rPr>
        <w:t xml:space="preserve"> </w:t>
      </w:r>
      <w:r>
        <w:rPr>
          <w:szCs w:val="24"/>
        </w:rPr>
        <w:t>Clara Cecilia Dueñas Quevedo</w:t>
      </w:r>
      <w:r w:rsidRPr="006263F5">
        <w:rPr>
          <w:szCs w:val="24"/>
        </w:rPr>
        <w:t xml:space="preserve">, </w:t>
      </w:r>
      <w:r w:rsidRPr="006263F5">
        <w:rPr>
          <w:color w:val="000000"/>
          <w:szCs w:val="24"/>
          <w:shd w:val="clear" w:color="auto" w:fill="FFFFFF"/>
          <w:lang w:val="es-ES"/>
        </w:rPr>
        <w:t xml:space="preserve">ha expuesto </w:t>
      </w:r>
      <w:r>
        <w:rPr>
          <w:color w:val="000000"/>
          <w:szCs w:val="24"/>
          <w:shd w:val="clear" w:color="auto" w:fill="FFFFFF"/>
          <w:lang w:val="es-ES"/>
        </w:rPr>
        <w:t xml:space="preserve">que por regla general se requiere manifestación expresa acerca de la desafiliación del sistema y </w:t>
      </w:r>
      <w:r w:rsidRPr="00C71D5E">
        <w:rPr>
          <w:bCs/>
          <w:iCs/>
          <w:szCs w:val="24"/>
        </w:rPr>
        <w:t xml:space="preserve">que le corresponde </w:t>
      </w:r>
      <w:r>
        <w:rPr>
          <w:bCs/>
          <w:iCs/>
          <w:szCs w:val="24"/>
        </w:rPr>
        <w:t xml:space="preserve">en principio </w:t>
      </w:r>
      <w:r w:rsidRPr="00C71D5E">
        <w:rPr>
          <w:bCs/>
          <w:iCs/>
          <w:szCs w:val="24"/>
        </w:rPr>
        <w:t>al empleador informar la cesación de cotizaciones por renuncia del trabajador, por reuni</w:t>
      </w:r>
      <w:r w:rsidR="00C11D9D">
        <w:rPr>
          <w:bCs/>
          <w:iCs/>
          <w:szCs w:val="24"/>
        </w:rPr>
        <w:t xml:space="preserve">r los requisitos para acceder a </w:t>
      </w:r>
      <w:r w:rsidRPr="00C71D5E">
        <w:rPr>
          <w:bCs/>
          <w:iCs/>
          <w:szCs w:val="24"/>
        </w:rPr>
        <w:t xml:space="preserve">la pensión de vejez; no obstante, la jurisprudencia laboral ha consentido que excepcionalmente ante la falta de esa información, ésta puede </w:t>
      </w:r>
      <w:r>
        <w:rPr>
          <w:bCs/>
          <w:iCs/>
          <w:szCs w:val="24"/>
        </w:rPr>
        <w:t xml:space="preserve">provenir de actos externos e inequívocos que demuestren que esa es la voluntad del afiliado, como por ejemplo </w:t>
      </w:r>
      <w:r w:rsidRPr="00C71D5E">
        <w:rPr>
          <w:szCs w:val="24"/>
        </w:rPr>
        <w:t>dejar de</w:t>
      </w:r>
      <w:r>
        <w:rPr>
          <w:szCs w:val="24"/>
        </w:rPr>
        <w:t xml:space="preserve"> cotizar, cumplir la totalidad de los requisitos y solicitar el reconocimiento de la prestación por parte de este, postura que esta Sala ha aplicado reiteradamente</w:t>
      </w:r>
      <w:r>
        <w:rPr>
          <w:rStyle w:val="Refdenotaalpie"/>
          <w:szCs w:val="24"/>
        </w:rPr>
        <w:footnoteReference w:id="5"/>
      </w:r>
      <w:r>
        <w:rPr>
          <w:szCs w:val="24"/>
        </w:rPr>
        <w:t>.</w:t>
      </w:r>
    </w:p>
    <w:p w:rsidR="00562BC6" w:rsidRPr="00F56B46" w:rsidRDefault="00562BC6" w:rsidP="00AC2AF9">
      <w:pPr>
        <w:pStyle w:val="Prrafodelista"/>
        <w:widowControl w:val="0"/>
        <w:numPr>
          <w:ilvl w:val="1"/>
          <w:numId w:val="13"/>
        </w:numPr>
        <w:autoSpaceDE w:val="0"/>
        <w:autoSpaceDN w:val="0"/>
        <w:adjustRightInd w:val="0"/>
        <w:spacing w:line="276" w:lineRule="auto"/>
        <w:ind w:left="709" w:hanging="709"/>
        <w:jc w:val="both"/>
        <w:rPr>
          <w:rFonts w:ascii="Arial" w:hAnsi="Arial" w:cs="Arial"/>
          <w:b/>
          <w:sz w:val="24"/>
          <w:szCs w:val="24"/>
        </w:rPr>
      </w:pPr>
      <w:r w:rsidRPr="00F56B46">
        <w:rPr>
          <w:rFonts w:ascii="Arial" w:hAnsi="Arial" w:cs="Arial"/>
          <w:b/>
          <w:sz w:val="24"/>
          <w:szCs w:val="24"/>
        </w:rPr>
        <w:lastRenderedPageBreak/>
        <w:t>Fundamento fáctico</w:t>
      </w:r>
    </w:p>
    <w:p w:rsidR="00562BC6" w:rsidRDefault="00562BC6" w:rsidP="00562BC6">
      <w:pPr>
        <w:pStyle w:val="Sinespaciado"/>
        <w:spacing w:line="276" w:lineRule="auto"/>
        <w:contextualSpacing/>
        <w:jc w:val="both"/>
        <w:rPr>
          <w:rFonts w:ascii="Arial" w:hAnsi="Arial" w:cs="Arial"/>
          <w:sz w:val="24"/>
          <w:szCs w:val="24"/>
        </w:rPr>
      </w:pPr>
    </w:p>
    <w:p w:rsidR="007F65FD" w:rsidRDefault="007F65FD" w:rsidP="00562BC6">
      <w:pPr>
        <w:pStyle w:val="Sinespaciado"/>
        <w:spacing w:line="276" w:lineRule="auto"/>
        <w:contextualSpacing/>
        <w:jc w:val="both"/>
        <w:rPr>
          <w:rFonts w:ascii="Arial" w:hAnsi="Arial" w:cs="Arial"/>
          <w:sz w:val="24"/>
          <w:szCs w:val="24"/>
        </w:rPr>
      </w:pPr>
      <w:r>
        <w:rPr>
          <w:rFonts w:ascii="Arial" w:hAnsi="Arial" w:cs="Arial"/>
          <w:sz w:val="24"/>
          <w:szCs w:val="24"/>
        </w:rPr>
        <w:t>Ahora, lo pretendido por el actor es que desde el momento en que le fue reconocida la pensión especial de vejez se le reliquide teniendo en cuenta la tasa de reemplazo del 90% del IBL obtenido durante toda su vida laboral y que mute a la pensión ordinaria de vejez bajo los parámetros del Acuerdo 049/90, a partir del 1° de noviembre de 2012 –sic- por haber cumplido el requisito de edad.</w:t>
      </w:r>
    </w:p>
    <w:p w:rsidR="007F65FD" w:rsidRDefault="007F65FD" w:rsidP="00562BC6">
      <w:pPr>
        <w:pStyle w:val="Sinespaciado"/>
        <w:spacing w:line="276" w:lineRule="auto"/>
        <w:contextualSpacing/>
        <w:jc w:val="both"/>
        <w:rPr>
          <w:rFonts w:ascii="Arial" w:hAnsi="Arial" w:cs="Arial"/>
          <w:sz w:val="24"/>
          <w:szCs w:val="24"/>
        </w:rPr>
      </w:pPr>
    </w:p>
    <w:p w:rsidR="009F052F" w:rsidRPr="009F052F" w:rsidRDefault="009F052F" w:rsidP="009F052F">
      <w:pPr>
        <w:shd w:val="clear" w:color="auto" w:fill="FFFFFF"/>
        <w:tabs>
          <w:tab w:val="left" w:pos="5197"/>
        </w:tabs>
        <w:spacing w:line="276" w:lineRule="auto"/>
        <w:jc w:val="both"/>
        <w:rPr>
          <w:rFonts w:ascii="Arial" w:hAnsi="Arial" w:cs="Arial"/>
          <w:color w:val="000000"/>
          <w:szCs w:val="24"/>
          <w:lang w:eastAsia="es-CO"/>
        </w:rPr>
      </w:pPr>
      <w:r w:rsidRPr="009F052F">
        <w:rPr>
          <w:rFonts w:ascii="Arial" w:hAnsi="Arial" w:cs="Arial"/>
          <w:color w:val="000000"/>
          <w:szCs w:val="24"/>
          <w:lang w:eastAsia="es-CO"/>
        </w:rPr>
        <w:t>A pesar de lo dicho, no es posible abordar el estudio de la primera pretensión, relacionada con la reliquidación de la pensión especial de vejez del actor, por cuanto la a-quo omitió referirse a ella y, hacerlo afectaría los intereses de la demandada, respecto de la que se surte el grado jurisdiccional de consulta, por lo que solo nos referiremos a la restante.</w:t>
      </w:r>
    </w:p>
    <w:p w:rsidR="009F052F" w:rsidRDefault="009F052F" w:rsidP="0048096D">
      <w:pPr>
        <w:pStyle w:val="Sinespaciado"/>
        <w:spacing w:line="276" w:lineRule="auto"/>
        <w:contextualSpacing/>
        <w:jc w:val="both"/>
        <w:rPr>
          <w:rFonts w:ascii="Arial" w:hAnsi="Arial" w:cs="Arial"/>
          <w:sz w:val="24"/>
          <w:szCs w:val="24"/>
        </w:rPr>
      </w:pPr>
    </w:p>
    <w:p w:rsidR="0048096D" w:rsidRDefault="0048096D" w:rsidP="0048096D">
      <w:pPr>
        <w:pStyle w:val="Sinespaciado"/>
        <w:spacing w:line="276" w:lineRule="auto"/>
        <w:contextualSpacing/>
        <w:jc w:val="both"/>
        <w:rPr>
          <w:rFonts w:ascii="Arial" w:hAnsi="Arial" w:cs="Arial"/>
          <w:sz w:val="24"/>
          <w:szCs w:val="24"/>
        </w:rPr>
      </w:pPr>
      <w:r>
        <w:rPr>
          <w:rFonts w:ascii="Arial" w:hAnsi="Arial" w:cs="Arial"/>
          <w:sz w:val="24"/>
          <w:szCs w:val="24"/>
        </w:rPr>
        <w:t xml:space="preserve">De acuerdo con los elementos probatorios adosados al expediente, se tiene que el señor Luis Eduardo </w:t>
      </w:r>
      <w:r w:rsidR="00C11D9D">
        <w:rPr>
          <w:rFonts w:ascii="Arial" w:hAnsi="Arial" w:cs="Arial"/>
          <w:sz w:val="24"/>
          <w:szCs w:val="24"/>
        </w:rPr>
        <w:t xml:space="preserve">Largo </w:t>
      </w:r>
      <w:r>
        <w:rPr>
          <w:rFonts w:ascii="Arial" w:hAnsi="Arial" w:cs="Arial"/>
          <w:sz w:val="24"/>
          <w:szCs w:val="24"/>
        </w:rPr>
        <w:t xml:space="preserve">Gallón </w:t>
      </w:r>
      <w:r w:rsidR="009F052F">
        <w:rPr>
          <w:rFonts w:ascii="Arial" w:hAnsi="Arial" w:cs="Arial"/>
          <w:sz w:val="24"/>
          <w:szCs w:val="24"/>
        </w:rPr>
        <w:t>dejó de cotizar el 30 de abril de 2012 –fl. 73 vto. cd. 1-, y la edad la cumplió el 1° de agosto de 2012.</w:t>
      </w:r>
      <w:r>
        <w:rPr>
          <w:rFonts w:ascii="Arial" w:hAnsi="Arial" w:cs="Arial"/>
          <w:sz w:val="24"/>
          <w:szCs w:val="24"/>
        </w:rPr>
        <w:t xml:space="preserve"> </w:t>
      </w:r>
    </w:p>
    <w:p w:rsidR="0048096D" w:rsidRDefault="0048096D" w:rsidP="0048096D">
      <w:pPr>
        <w:pStyle w:val="Sinespaciado"/>
        <w:spacing w:line="276" w:lineRule="auto"/>
        <w:contextualSpacing/>
        <w:jc w:val="both"/>
        <w:rPr>
          <w:rFonts w:ascii="Arial" w:hAnsi="Arial" w:cs="Arial"/>
          <w:sz w:val="24"/>
          <w:szCs w:val="24"/>
        </w:rPr>
      </w:pPr>
    </w:p>
    <w:p w:rsidR="0048096D" w:rsidRPr="00C11D9D" w:rsidRDefault="0048096D" w:rsidP="0048096D">
      <w:pPr>
        <w:pStyle w:val="Sinespaciado"/>
        <w:spacing w:line="276" w:lineRule="auto"/>
        <w:contextualSpacing/>
        <w:jc w:val="both"/>
        <w:rPr>
          <w:rFonts w:ascii="Arial" w:hAnsi="Arial" w:cs="Arial"/>
          <w:sz w:val="23"/>
          <w:szCs w:val="23"/>
        </w:rPr>
      </w:pPr>
      <w:r w:rsidRPr="002D2B65">
        <w:rPr>
          <w:rFonts w:ascii="Arial" w:hAnsi="Arial" w:cs="Arial"/>
          <w:sz w:val="24"/>
          <w:szCs w:val="24"/>
        </w:rPr>
        <w:t>Así mismo, se advierte que elevó la solicitud de reconocimiento pensi</w:t>
      </w:r>
      <w:r w:rsidR="009F052F">
        <w:rPr>
          <w:rFonts w:ascii="Arial" w:hAnsi="Arial" w:cs="Arial"/>
          <w:sz w:val="24"/>
          <w:szCs w:val="24"/>
        </w:rPr>
        <w:t>onal el 12 de marzo de 2013, como s</w:t>
      </w:r>
      <w:r w:rsidRPr="002D2B65">
        <w:rPr>
          <w:rFonts w:ascii="Arial" w:hAnsi="Arial" w:cs="Arial"/>
          <w:sz w:val="24"/>
          <w:szCs w:val="24"/>
        </w:rPr>
        <w:t xml:space="preserve">e extracta de la Resolución N° </w:t>
      </w:r>
      <w:r w:rsidR="00C11D9D">
        <w:rPr>
          <w:rFonts w:ascii="Arial" w:hAnsi="Arial" w:cs="Arial"/>
          <w:sz w:val="24"/>
          <w:szCs w:val="24"/>
        </w:rPr>
        <w:t xml:space="preserve">GNR 2098 de 2014 </w:t>
      </w:r>
      <w:r w:rsidR="00C11D9D" w:rsidRPr="00C11D9D">
        <w:rPr>
          <w:rFonts w:ascii="Arial" w:hAnsi="Arial" w:cs="Arial"/>
          <w:sz w:val="23"/>
          <w:szCs w:val="23"/>
        </w:rPr>
        <w:t>–fl. 25-.</w:t>
      </w:r>
    </w:p>
    <w:p w:rsidR="0048096D" w:rsidRDefault="0048096D" w:rsidP="0048096D">
      <w:pPr>
        <w:pStyle w:val="Sinespaciado"/>
        <w:spacing w:line="276" w:lineRule="auto"/>
        <w:contextualSpacing/>
        <w:jc w:val="both"/>
        <w:rPr>
          <w:rFonts w:ascii="Arial" w:hAnsi="Arial" w:cs="Arial"/>
          <w:sz w:val="24"/>
          <w:szCs w:val="24"/>
        </w:rPr>
      </w:pPr>
    </w:p>
    <w:p w:rsidR="006C7AE7" w:rsidRDefault="0048096D" w:rsidP="00562BC6">
      <w:pPr>
        <w:pStyle w:val="Sinespaciado"/>
        <w:spacing w:line="276" w:lineRule="auto"/>
        <w:contextualSpacing/>
        <w:jc w:val="both"/>
        <w:rPr>
          <w:rFonts w:ascii="Arial" w:hAnsi="Arial" w:cs="Arial"/>
          <w:sz w:val="24"/>
          <w:szCs w:val="24"/>
        </w:rPr>
      </w:pPr>
      <w:r>
        <w:rPr>
          <w:rFonts w:ascii="Arial" w:hAnsi="Arial" w:cs="Arial"/>
          <w:sz w:val="24"/>
          <w:szCs w:val="24"/>
        </w:rPr>
        <w:t xml:space="preserve">Conforme lo anterior, la fecha en que </w:t>
      </w:r>
      <w:r w:rsidR="00F35C99">
        <w:rPr>
          <w:rFonts w:ascii="Arial" w:hAnsi="Arial" w:cs="Arial"/>
          <w:sz w:val="24"/>
          <w:szCs w:val="24"/>
        </w:rPr>
        <w:t>se</w:t>
      </w:r>
      <w:r>
        <w:rPr>
          <w:rFonts w:ascii="Arial" w:hAnsi="Arial" w:cs="Arial"/>
          <w:sz w:val="24"/>
          <w:szCs w:val="24"/>
        </w:rPr>
        <w:t xml:space="preserve"> consolidó el derecho pensional</w:t>
      </w:r>
      <w:r w:rsidR="009F052F">
        <w:rPr>
          <w:rFonts w:ascii="Arial" w:hAnsi="Arial" w:cs="Arial"/>
          <w:sz w:val="24"/>
          <w:szCs w:val="24"/>
        </w:rPr>
        <w:t xml:space="preserve"> definitivo</w:t>
      </w:r>
      <w:r w:rsidR="00926155">
        <w:rPr>
          <w:rFonts w:ascii="Arial" w:hAnsi="Arial" w:cs="Arial"/>
          <w:sz w:val="24"/>
          <w:szCs w:val="24"/>
        </w:rPr>
        <w:t xml:space="preserve">, </w:t>
      </w:r>
      <w:r w:rsidR="009F052F">
        <w:rPr>
          <w:rFonts w:ascii="Arial" w:hAnsi="Arial" w:cs="Arial"/>
          <w:sz w:val="24"/>
          <w:szCs w:val="24"/>
        </w:rPr>
        <w:t>es 01/08/2012</w:t>
      </w:r>
      <w:r>
        <w:rPr>
          <w:rFonts w:ascii="Arial" w:hAnsi="Arial" w:cs="Arial"/>
          <w:sz w:val="24"/>
          <w:szCs w:val="24"/>
        </w:rPr>
        <w:t xml:space="preserve">, </w:t>
      </w:r>
      <w:r w:rsidR="00584BAF">
        <w:rPr>
          <w:rFonts w:ascii="Arial" w:hAnsi="Arial" w:cs="Arial"/>
          <w:sz w:val="24"/>
          <w:szCs w:val="24"/>
        </w:rPr>
        <w:t>fecha en que ya había dejado de cotizar</w:t>
      </w:r>
      <w:r w:rsidR="004860D2">
        <w:rPr>
          <w:rFonts w:ascii="Arial" w:hAnsi="Arial" w:cs="Arial"/>
          <w:sz w:val="24"/>
          <w:szCs w:val="24"/>
        </w:rPr>
        <w:t>, a</w:t>
      </w:r>
      <w:r w:rsidR="00562BC6" w:rsidRPr="003B794C">
        <w:rPr>
          <w:rFonts w:ascii="Arial" w:eastAsia="Times New Roman" w:hAnsi="Arial"/>
          <w:sz w:val="24"/>
          <w:szCs w:val="24"/>
          <w:lang w:eastAsia="es-ES"/>
        </w:rPr>
        <w:t xml:space="preserve">sí las cosas, </w:t>
      </w:r>
      <w:r w:rsidR="00562BC6" w:rsidRPr="003B794C">
        <w:rPr>
          <w:rFonts w:ascii="Arial" w:hAnsi="Arial" w:cs="Arial"/>
          <w:sz w:val="24"/>
          <w:szCs w:val="24"/>
        </w:rPr>
        <w:t>procede</w:t>
      </w:r>
      <w:r w:rsidR="00A85FDF" w:rsidRPr="003B794C">
        <w:rPr>
          <w:rFonts w:ascii="Arial" w:hAnsi="Arial" w:cs="Arial"/>
          <w:sz w:val="24"/>
          <w:szCs w:val="24"/>
        </w:rPr>
        <w:t>ría</w:t>
      </w:r>
      <w:r w:rsidR="00562BC6" w:rsidRPr="003B794C">
        <w:rPr>
          <w:rFonts w:ascii="Arial" w:hAnsi="Arial" w:cs="Arial"/>
          <w:sz w:val="24"/>
          <w:szCs w:val="24"/>
        </w:rPr>
        <w:t xml:space="preserve"> el reconocimiento y disfrute</w:t>
      </w:r>
      <w:r w:rsidR="007762AD" w:rsidRPr="003B794C">
        <w:rPr>
          <w:rFonts w:ascii="Arial" w:hAnsi="Arial" w:cs="Arial"/>
          <w:sz w:val="24"/>
          <w:szCs w:val="24"/>
        </w:rPr>
        <w:t xml:space="preserve"> de la prestación a partir de</w:t>
      </w:r>
      <w:r w:rsidR="004860D2">
        <w:rPr>
          <w:rFonts w:ascii="Arial" w:hAnsi="Arial" w:cs="Arial"/>
          <w:sz w:val="24"/>
          <w:szCs w:val="24"/>
        </w:rPr>
        <w:t xml:space="preserve"> la fecha mencionada</w:t>
      </w:r>
      <w:r w:rsidR="00562BC6" w:rsidRPr="003B794C">
        <w:rPr>
          <w:rFonts w:ascii="Arial" w:hAnsi="Arial" w:cs="Arial"/>
          <w:sz w:val="24"/>
          <w:szCs w:val="24"/>
        </w:rPr>
        <w:t>,</w:t>
      </w:r>
      <w:r w:rsidR="006C7AE7" w:rsidRPr="003B794C">
        <w:rPr>
          <w:rFonts w:ascii="Arial" w:hAnsi="Arial" w:cs="Arial"/>
          <w:sz w:val="24"/>
          <w:szCs w:val="24"/>
        </w:rPr>
        <w:t xml:space="preserve"> por lo que sería del caso, modificar la decisión de primer grado, para liquidar el retroactivo y por lo tanto, la diferencia pensional causada desde esa</w:t>
      </w:r>
      <w:r w:rsidR="00C11D9D">
        <w:rPr>
          <w:rFonts w:ascii="Arial" w:hAnsi="Arial" w:cs="Arial"/>
          <w:sz w:val="24"/>
          <w:szCs w:val="24"/>
        </w:rPr>
        <w:t xml:space="preserve"> fecha;</w:t>
      </w:r>
      <w:r w:rsidR="006C7AE7" w:rsidRPr="003B794C">
        <w:rPr>
          <w:rFonts w:ascii="Arial" w:hAnsi="Arial" w:cs="Arial"/>
          <w:sz w:val="24"/>
          <w:szCs w:val="24"/>
        </w:rPr>
        <w:t xml:space="preserve"> sin embargo, dado que la misma se revisa en virtud del grado jurisdiccional de consulta que se surte a favor de Colpensiones, no es</w:t>
      </w:r>
      <w:r w:rsidR="00A85FDF" w:rsidRPr="003B794C">
        <w:rPr>
          <w:rFonts w:ascii="Arial" w:hAnsi="Arial" w:cs="Arial"/>
          <w:sz w:val="24"/>
          <w:szCs w:val="24"/>
        </w:rPr>
        <w:t xml:space="preserve"> posible proceder de esa manera, teniendo en cuenta que en la a-quo la reconoció a partir del 12 de marzo de 2013.</w:t>
      </w:r>
    </w:p>
    <w:p w:rsidR="007F65FD" w:rsidRDefault="007F65FD" w:rsidP="00562BC6">
      <w:pPr>
        <w:pStyle w:val="Sinespaciado"/>
        <w:spacing w:line="276" w:lineRule="auto"/>
        <w:jc w:val="both"/>
        <w:rPr>
          <w:rFonts w:ascii="Arial" w:hAnsi="Arial" w:cs="Arial"/>
          <w:sz w:val="24"/>
          <w:szCs w:val="24"/>
        </w:rPr>
      </w:pPr>
    </w:p>
    <w:p w:rsidR="00F35C99" w:rsidRDefault="007762AD" w:rsidP="00562BC6">
      <w:pPr>
        <w:pStyle w:val="Sinespaciado"/>
        <w:spacing w:line="276" w:lineRule="auto"/>
        <w:jc w:val="both"/>
        <w:rPr>
          <w:rFonts w:ascii="Arial" w:eastAsia="Times New Roman" w:hAnsi="Arial"/>
          <w:sz w:val="24"/>
          <w:szCs w:val="24"/>
          <w:lang w:eastAsia="es-ES"/>
        </w:rPr>
      </w:pPr>
      <w:r>
        <w:rPr>
          <w:rFonts w:ascii="Arial" w:hAnsi="Arial" w:cs="Arial"/>
          <w:sz w:val="24"/>
          <w:szCs w:val="24"/>
        </w:rPr>
        <w:t>E</w:t>
      </w:r>
      <w:r w:rsidR="00562BC6">
        <w:rPr>
          <w:rFonts w:ascii="Arial" w:hAnsi="Arial" w:cs="Arial"/>
          <w:sz w:val="24"/>
          <w:szCs w:val="24"/>
        </w:rPr>
        <w:t xml:space="preserve">n consecuencia, el retroactivo </w:t>
      </w:r>
      <w:r w:rsidR="00562BC6">
        <w:rPr>
          <w:rFonts w:ascii="Arial" w:eastAsia="Times New Roman" w:hAnsi="Arial"/>
          <w:sz w:val="24"/>
          <w:szCs w:val="24"/>
          <w:lang w:eastAsia="es-ES"/>
        </w:rPr>
        <w:t>será el generado a part</w:t>
      </w:r>
      <w:r w:rsidR="00F97DB3">
        <w:rPr>
          <w:rFonts w:ascii="Arial" w:eastAsia="Times New Roman" w:hAnsi="Arial"/>
          <w:sz w:val="24"/>
          <w:szCs w:val="24"/>
          <w:lang w:eastAsia="es-ES"/>
        </w:rPr>
        <w:t>ir de esa calenda</w:t>
      </w:r>
      <w:r w:rsidR="003B794C">
        <w:rPr>
          <w:rFonts w:ascii="Arial" w:eastAsia="Times New Roman" w:hAnsi="Arial"/>
          <w:sz w:val="24"/>
          <w:szCs w:val="24"/>
          <w:lang w:eastAsia="es-ES"/>
        </w:rPr>
        <w:t xml:space="preserve"> -</w:t>
      </w:r>
      <w:r w:rsidR="00F35C99">
        <w:rPr>
          <w:rFonts w:ascii="Arial" w:eastAsia="Times New Roman" w:hAnsi="Arial"/>
          <w:sz w:val="24"/>
          <w:szCs w:val="24"/>
          <w:lang w:eastAsia="es-ES"/>
        </w:rPr>
        <w:t>12/03/2013</w:t>
      </w:r>
      <w:r w:rsidR="003B794C">
        <w:rPr>
          <w:rFonts w:ascii="Arial" w:eastAsia="Times New Roman" w:hAnsi="Arial"/>
          <w:sz w:val="24"/>
          <w:szCs w:val="24"/>
          <w:lang w:eastAsia="es-ES"/>
        </w:rPr>
        <w:t>-</w:t>
      </w:r>
      <w:r w:rsidR="00F97DB3">
        <w:rPr>
          <w:rFonts w:ascii="Arial" w:eastAsia="Times New Roman" w:hAnsi="Arial"/>
          <w:sz w:val="24"/>
          <w:szCs w:val="24"/>
          <w:lang w:eastAsia="es-ES"/>
        </w:rPr>
        <w:t>, a razón de 13</w:t>
      </w:r>
      <w:r w:rsidR="00562BC6">
        <w:rPr>
          <w:rFonts w:ascii="Arial" w:eastAsia="Times New Roman" w:hAnsi="Arial"/>
          <w:sz w:val="24"/>
          <w:szCs w:val="24"/>
          <w:lang w:eastAsia="es-ES"/>
        </w:rPr>
        <w:t xml:space="preserve"> mesadas anuales, teniendo en cuenta que la prestación se causó con </w:t>
      </w:r>
      <w:r w:rsidR="00F97DB3">
        <w:rPr>
          <w:rFonts w:ascii="Arial" w:eastAsia="Times New Roman" w:hAnsi="Arial"/>
          <w:sz w:val="24"/>
          <w:szCs w:val="24"/>
          <w:lang w:eastAsia="es-ES"/>
        </w:rPr>
        <w:t xml:space="preserve">posterioridad </w:t>
      </w:r>
      <w:r w:rsidR="00122794">
        <w:rPr>
          <w:rFonts w:ascii="Arial" w:eastAsia="Times New Roman" w:hAnsi="Arial"/>
          <w:sz w:val="24"/>
          <w:szCs w:val="24"/>
          <w:lang w:eastAsia="es-ES"/>
        </w:rPr>
        <w:t>al 31 de julio de 2011</w:t>
      </w:r>
      <w:r w:rsidR="00F35C99">
        <w:rPr>
          <w:rFonts w:ascii="Arial" w:eastAsia="Times New Roman" w:hAnsi="Arial"/>
          <w:sz w:val="24"/>
          <w:szCs w:val="24"/>
          <w:lang w:eastAsia="es-ES"/>
        </w:rPr>
        <w:t>.</w:t>
      </w:r>
    </w:p>
    <w:p w:rsidR="00F35C99" w:rsidRDefault="00F35C99" w:rsidP="00562BC6">
      <w:pPr>
        <w:pStyle w:val="Sinespaciado"/>
        <w:spacing w:line="276" w:lineRule="auto"/>
        <w:jc w:val="both"/>
        <w:rPr>
          <w:rFonts w:ascii="Arial" w:eastAsia="Times New Roman" w:hAnsi="Arial"/>
          <w:sz w:val="24"/>
          <w:szCs w:val="24"/>
          <w:lang w:eastAsia="es-ES"/>
        </w:rPr>
      </w:pPr>
    </w:p>
    <w:p w:rsidR="008B5DB1" w:rsidRDefault="008B5DB1" w:rsidP="008B5DB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liquidación del IBL, conforme al artículo 36 de la Ley 100 de 1993, como al demandante le faltaban al 1° de abril de 1994 más de 10 años para acceder a la pensión, el mismo debe obtenerse conforme al artículo 21 </w:t>
      </w:r>
      <w:r w:rsidRPr="005402C8">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le permite optar por el toda la vida, dado que cuenta con más de 1250 semanas cotizadas, como parece pretenderlo en la demanda, pues si bien no lo solicita expresamente, con la liquidación efectuada a folios 13 y s.s. ello se infiere, por cuanto tuvo en cuenta las cotizaciones efectuadas por el señor Luis Eduardo Largo Gallón desde el 22 de enero de 1987.</w:t>
      </w:r>
    </w:p>
    <w:p w:rsidR="008B5DB1" w:rsidRDefault="008B5DB1" w:rsidP="008B5DB1">
      <w:pPr>
        <w:shd w:val="clear" w:color="auto" w:fill="FFFFFF"/>
        <w:tabs>
          <w:tab w:val="left" w:pos="5197"/>
        </w:tabs>
        <w:spacing w:line="276" w:lineRule="auto"/>
        <w:jc w:val="both"/>
        <w:rPr>
          <w:rFonts w:ascii="Arial" w:hAnsi="Arial" w:cs="Arial"/>
          <w:color w:val="000000"/>
          <w:szCs w:val="24"/>
          <w:lang w:eastAsia="es-CO"/>
        </w:rPr>
      </w:pPr>
    </w:p>
    <w:p w:rsidR="003F3D90" w:rsidRDefault="008B5DB1" w:rsidP="008B5DB1">
      <w:pPr>
        <w:shd w:val="clear" w:color="auto" w:fill="FFFFFF"/>
        <w:tabs>
          <w:tab w:val="left" w:pos="5197"/>
        </w:tabs>
        <w:spacing w:line="276" w:lineRule="auto"/>
        <w:jc w:val="both"/>
        <w:rPr>
          <w:rFonts w:ascii="Arial" w:hAnsi="Arial"/>
          <w:szCs w:val="24"/>
        </w:rPr>
      </w:pPr>
      <w:r>
        <w:rPr>
          <w:rFonts w:ascii="Arial" w:hAnsi="Arial" w:cs="Arial"/>
          <w:color w:val="000000"/>
          <w:szCs w:val="24"/>
          <w:lang w:eastAsia="es-CO"/>
        </w:rPr>
        <w:t xml:space="preserve">No obstante, esta Corporación en aplicación del artículo 21 citado, realizó el cálculo correspondiente, hallando que el IBL de los últimos 10 años resulta ser más favorable para los  intereses del actor que el de toda la vida, pues mientras </w:t>
      </w:r>
      <w:r>
        <w:rPr>
          <w:rFonts w:ascii="Arial" w:hAnsi="Arial" w:cs="Arial"/>
          <w:color w:val="000000"/>
          <w:szCs w:val="24"/>
          <w:lang w:eastAsia="es-CO"/>
        </w:rPr>
        <w:lastRenderedPageBreak/>
        <w:t>en el primer caso arroja un total de $813.463, en el último es de $779.938</w:t>
      </w:r>
      <w:r w:rsidR="00FA1C30">
        <w:rPr>
          <w:rFonts w:ascii="Arial" w:hAnsi="Arial" w:cs="Arial"/>
          <w:color w:val="000000"/>
          <w:szCs w:val="24"/>
          <w:lang w:eastAsia="es-CO"/>
        </w:rPr>
        <w:t xml:space="preserve">, </w:t>
      </w:r>
      <w:r w:rsidR="00FA1C30">
        <w:rPr>
          <w:rFonts w:ascii="Arial" w:hAnsi="Arial"/>
          <w:szCs w:val="24"/>
        </w:rPr>
        <w:t>conforme al acta que se pone de presente a los asistentes y forma parte integral del acta que se suscriba con ocasión de esta diligencia.</w:t>
      </w:r>
    </w:p>
    <w:p w:rsidR="0060652C" w:rsidRDefault="0060652C" w:rsidP="008B5DB1">
      <w:pPr>
        <w:shd w:val="clear" w:color="auto" w:fill="FFFFFF"/>
        <w:tabs>
          <w:tab w:val="left" w:pos="5197"/>
        </w:tabs>
        <w:spacing w:line="276" w:lineRule="auto"/>
        <w:jc w:val="both"/>
        <w:rPr>
          <w:rFonts w:ascii="Arial" w:hAnsi="Arial" w:cs="Arial"/>
          <w:color w:val="000000"/>
          <w:szCs w:val="24"/>
          <w:lang w:eastAsia="es-CO"/>
        </w:rPr>
      </w:pPr>
    </w:p>
    <w:p w:rsidR="0060652C" w:rsidRDefault="0060652C" w:rsidP="0060652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Es pertinente precisar que aunque el valor obtenido por la parte actora resultó mayor, eso se debe a que tomó en todos los ciclos un ingreso base de cotización superior al reportado en la historia laboral.</w:t>
      </w:r>
    </w:p>
    <w:p w:rsidR="003F3D90" w:rsidRDefault="003F3D90" w:rsidP="008B5DB1">
      <w:pPr>
        <w:shd w:val="clear" w:color="auto" w:fill="FFFFFF"/>
        <w:tabs>
          <w:tab w:val="left" w:pos="5197"/>
        </w:tabs>
        <w:spacing w:line="276" w:lineRule="auto"/>
        <w:jc w:val="both"/>
        <w:rPr>
          <w:rFonts w:ascii="Arial" w:hAnsi="Arial" w:cs="Arial"/>
          <w:color w:val="000000"/>
          <w:szCs w:val="24"/>
          <w:lang w:eastAsia="es-CO"/>
        </w:rPr>
      </w:pPr>
    </w:p>
    <w:p w:rsidR="003F3D90" w:rsidRDefault="003F3D90" w:rsidP="008B5DB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Teniendo en cuenta lo anterior, al aplicarle la tasa de reemplazo del 90%</w:t>
      </w:r>
      <w:r w:rsidR="00FA1C30">
        <w:rPr>
          <w:rFonts w:ascii="Arial" w:hAnsi="Arial" w:cs="Arial"/>
          <w:color w:val="000000"/>
          <w:szCs w:val="24"/>
          <w:lang w:eastAsia="es-CO"/>
        </w:rPr>
        <w:t xml:space="preserve"> al</w:t>
      </w:r>
      <w:r>
        <w:rPr>
          <w:rFonts w:ascii="Arial" w:hAnsi="Arial" w:cs="Arial"/>
          <w:color w:val="000000"/>
          <w:szCs w:val="24"/>
          <w:lang w:eastAsia="es-CO"/>
        </w:rPr>
        <w:t xml:space="preserve"> IBL de los últimos 10 años</w:t>
      </w:r>
      <w:r w:rsidR="008B5DB1">
        <w:rPr>
          <w:rFonts w:ascii="Arial" w:hAnsi="Arial" w:cs="Arial"/>
          <w:color w:val="000000"/>
          <w:szCs w:val="24"/>
          <w:lang w:eastAsia="es-CO"/>
        </w:rPr>
        <w:t xml:space="preserve">, </w:t>
      </w:r>
      <w:r w:rsidR="00FA1C30">
        <w:rPr>
          <w:rFonts w:ascii="Arial" w:hAnsi="Arial" w:cs="Arial"/>
          <w:color w:val="000000"/>
          <w:szCs w:val="24"/>
          <w:lang w:eastAsia="es-CO"/>
        </w:rPr>
        <w:t xml:space="preserve">se </w:t>
      </w:r>
      <w:r w:rsidR="008B5DB1">
        <w:rPr>
          <w:rFonts w:ascii="Arial" w:hAnsi="Arial" w:cs="Arial"/>
          <w:color w:val="000000"/>
          <w:szCs w:val="24"/>
          <w:lang w:eastAsia="es-CO"/>
        </w:rPr>
        <w:t>genera como monto de la mesada pensional la suma de $732.117</w:t>
      </w:r>
      <w:r w:rsidRPr="003F3D90">
        <w:rPr>
          <w:rFonts w:ascii="Arial" w:hAnsi="Arial" w:cs="Arial"/>
          <w:color w:val="000000"/>
          <w:szCs w:val="24"/>
          <w:lang w:eastAsia="es-CO"/>
        </w:rPr>
        <w:t xml:space="preserve"> </w:t>
      </w:r>
      <w:r>
        <w:rPr>
          <w:rFonts w:ascii="Arial" w:hAnsi="Arial" w:cs="Arial"/>
          <w:color w:val="000000"/>
          <w:szCs w:val="24"/>
          <w:lang w:eastAsia="es-CO"/>
        </w:rPr>
        <w:t>para el año 201</w:t>
      </w:r>
      <w:r w:rsidR="0060652C">
        <w:rPr>
          <w:rFonts w:ascii="Arial" w:hAnsi="Arial" w:cs="Arial"/>
          <w:color w:val="000000"/>
          <w:szCs w:val="24"/>
          <w:lang w:eastAsia="es-CO"/>
        </w:rPr>
        <w:t>3</w:t>
      </w:r>
      <w:r>
        <w:rPr>
          <w:rFonts w:ascii="Arial" w:hAnsi="Arial" w:cs="Arial"/>
          <w:color w:val="000000"/>
          <w:szCs w:val="24"/>
          <w:lang w:eastAsia="es-CO"/>
        </w:rPr>
        <w:t xml:space="preserve">, </w:t>
      </w:r>
      <w:r w:rsidR="00FA1C30">
        <w:rPr>
          <w:rFonts w:ascii="Arial" w:hAnsi="Arial" w:cs="Arial"/>
          <w:color w:val="000000"/>
          <w:szCs w:val="24"/>
          <w:lang w:eastAsia="es-CO"/>
        </w:rPr>
        <w:t>sin embargo, como resulta ser ligeramente mayor a la determinada en primer grado en la suma de $728.429, este último valor será el que se tendr</w:t>
      </w:r>
      <w:r w:rsidR="0060652C">
        <w:rPr>
          <w:rFonts w:ascii="Arial" w:hAnsi="Arial" w:cs="Arial"/>
          <w:color w:val="000000"/>
          <w:szCs w:val="24"/>
          <w:lang w:eastAsia="es-CO"/>
        </w:rPr>
        <w:t xml:space="preserve">á </w:t>
      </w:r>
      <w:r w:rsidR="00FA1C30">
        <w:rPr>
          <w:rFonts w:ascii="Arial" w:hAnsi="Arial" w:cs="Arial"/>
          <w:color w:val="000000"/>
          <w:szCs w:val="24"/>
          <w:lang w:eastAsia="es-CO"/>
        </w:rPr>
        <w:t xml:space="preserve">en cuenta con el fin de no hacer más gravosa la situación </w:t>
      </w:r>
      <w:r w:rsidR="0060652C">
        <w:rPr>
          <w:rFonts w:ascii="Arial" w:hAnsi="Arial" w:cs="Arial"/>
          <w:color w:val="000000"/>
          <w:szCs w:val="24"/>
          <w:lang w:eastAsia="es-CO"/>
        </w:rPr>
        <w:t>de la entidad demanda</w:t>
      </w:r>
      <w:r w:rsidR="00C11D9D">
        <w:rPr>
          <w:rFonts w:ascii="Arial" w:hAnsi="Arial" w:cs="Arial"/>
          <w:color w:val="000000"/>
          <w:szCs w:val="24"/>
          <w:lang w:eastAsia="es-CO"/>
        </w:rPr>
        <w:t>da</w:t>
      </w:r>
      <w:r w:rsidR="0060652C">
        <w:rPr>
          <w:rFonts w:ascii="Arial" w:hAnsi="Arial" w:cs="Arial"/>
          <w:color w:val="000000"/>
          <w:szCs w:val="24"/>
          <w:lang w:eastAsia="es-CO"/>
        </w:rPr>
        <w:t xml:space="preserve">, el que a su vez demuestra la existencia de </w:t>
      </w:r>
      <w:r>
        <w:rPr>
          <w:rFonts w:ascii="Arial" w:hAnsi="Arial" w:cs="Arial"/>
          <w:color w:val="000000"/>
          <w:szCs w:val="24"/>
          <w:lang w:eastAsia="es-CO"/>
        </w:rPr>
        <w:t>una diferencia notable con la que fue reconocida a partir de ese año</w:t>
      </w:r>
      <w:r w:rsidR="0060652C">
        <w:rPr>
          <w:rFonts w:ascii="Arial" w:hAnsi="Arial" w:cs="Arial"/>
          <w:color w:val="000000"/>
          <w:szCs w:val="24"/>
          <w:lang w:eastAsia="es-CO"/>
        </w:rPr>
        <w:t xml:space="preserve"> por Colpensiones</w:t>
      </w:r>
      <w:r>
        <w:rPr>
          <w:rFonts w:ascii="Arial" w:hAnsi="Arial" w:cs="Arial"/>
          <w:color w:val="000000"/>
          <w:szCs w:val="24"/>
          <w:lang w:eastAsia="es-CO"/>
        </w:rPr>
        <w:t>, por concepto de la pensión especial de vejez</w:t>
      </w:r>
      <w:r w:rsidR="0060652C">
        <w:rPr>
          <w:rFonts w:ascii="Arial" w:hAnsi="Arial" w:cs="Arial"/>
          <w:color w:val="000000"/>
          <w:szCs w:val="24"/>
          <w:lang w:eastAsia="es-CO"/>
        </w:rPr>
        <w:t>.</w:t>
      </w:r>
    </w:p>
    <w:p w:rsidR="0060652C" w:rsidRDefault="0060652C" w:rsidP="008B5DB1">
      <w:pPr>
        <w:shd w:val="clear" w:color="auto" w:fill="FFFFFF"/>
        <w:tabs>
          <w:tab w:val="left" w:pos="5197"/>
        </w:tabs>
        <w:spacing w:line="276" w:lineRule="auto"/>
        <w:jc w:val="both"/>
        <w:rPr>
          <w:rFonts w:ascii="Arial" w:hAnsi="Arial" w:cs="Arial"/>
          <w:color w:val="000000"/>
          <w:szCs w:val="24"/>
          <w:lang w:eastAsia="es-CO"/>
        </w:rPr>
      </w:pPr>
    </w:p>
    <w:p w:rsidR="0060652C" w:rsidRDefault="0060652C" w:rsidP="0060652C">
      <w:pPr>
        <w:pStyle w:val="Sinespaciado"/>
        <w:spacing w:line="276" w:lineRule="auto"/>
        <w:jc w:val="both"/>
        <w:rPr>
          <w:rFonts w:ascii="Arial" w:hAnsi="Arial" w:cs="Arial"/>
          <w:sz w:val="24"/>
          <w:szCs w:val="24"/>
        </w:rPr>
      </w:pPr>
      <w:r>
        <w:rPr>
          <w:rFonts w:ascii="Arial" w:hAnsi="Arial" w:cs="Arial"/>
          <w:sz w:val="24"/>
          <w:szCs w:val="24"/>
        </w:rPr>
        <w:t>Ahora, como para esa calenda, 12 de marzo de 2013, se le estaba cancelando al actor la mesada correspondiente a la pensión especial, el retroactivo será el que se obtenga de la diferencia pensional entre una y otra prestación, el que liquidado hasta el 31 de octubre de 2016, asciende a $6</w:t>
      </w:r>
      <w:r w:rsidR="00135378">
        <w:rPr>
          <w:rFonts w:ascii="Arial" w:hAnsi="Arial" w:cs="Arial"/>
          <w:sz w:val="24"/>
          <w:szCs w:val="24"/>
        </w:rPr>
        <w:t>´6</w:t>
      </w:r>
      <w:r>
        <w:rPr>
          <w:rFonts w:ascii="Arial" w:hAnsi="Arial" w:cs="Arial"/>
          <w:sz w:val="24"/>
          <w:szCs w:val="24"/>
        </w:rPr>
        <w:t>57.486. Y, a partir del mes de noviembre de este mismo año, se le deberá seguir cancelado una mesada equivalente a $826.010, conforme a la liquidación anteriormente citada.</w:t>
      </w:r>
    </w:p>
    <w:p w:rsidR="0060652C" w:rsidRDefault="0060652C" w:rsidP="008B5DB1">
      <w:pPr>
        <w:shd w:val="clear" w:color="auto" w:fill="FFFFFF"/>
        <w:tabs>
          <w:tab w:val="left" w:pos="5197"/>
        </w:tabs>
        <w:spacing w:line="276" w:lineRule="auto"/>
        <w:jc w:val="both"/>
        <w:rPr>
          <w:rFonts w:ascii="Arial" w:hAnsi="Arial" w:cs="Arial"/>
          <w:color w:val="000000"/>
          <w:szCs w:val="24"/>
          <w:lang w:eastAsia="es-CO"/>
        </w:rPr>
      </w:pPr>
    </w:p>
    <w:p w:rsidR="00943853" w:rsidRPr="00635DD5" w:rsidRDefault="00635DD5" w:rsidP="00943853">
      <w:pPr>
        <w:spacing w:line="276" w:lineRule="auto"/>
        <w:jc w:val="both"/>
        <w:rPr>
          <w:rFonts w:ascii="Arial" w:hAnsi="Arial" w:cs="Arial"/>
          <w:b/>
          <w:szCs w:val="24"/>
        </w:rPr>
      </w:pPr>
      <w:r w:rsidRPr="00635DD5">
        <w:rPr>
          <w:rFonts w:ascii="Arial" w:hAnsi="Arial" w:cs="Arial"/>
          <w:b/>
          <w:szCs w:val="24"/>
        </w:rPr>
        <w:t xml:space="preserve">2.3. De los intereses moratorios </w:t>
      </w:r>
    </w:p>
    <w:p w:rsidR="00635DD5" w:rsidRDefault="00635DD5" w:rsidP="00943853">
      <w:pPr>
        <w:spacing w:line="276" w:lineRule="auto"/>
        <w:jc w:val="both"/>
        <w:rPr>
          <w:rFonts w:ascii="Arial" w:hAnsi="Arial" w:cs="Arial"/>
          <w:szCs w:val="24"/>
        </w:rPr>
      </w:pPr>
    </w:p>
    <w:p w:rsidR="00635DD5" w:rsidRDefault="00635DD5" w:rsidP="00943853">
      <w:pPr>
        <w:spacing w:line="276" w:lineRule="auto"/>
        <w:jc w:val="both"/>
        <w:rPr>
          <w:rFonts w:ascii="Arial" w:hAnsi="Arial" w:cs="Arial"/>
          <w:b/>
          <w:szCs w:val="24"/>
        </w:rPr>
      </w:pPr>
      <w:r w:rsidRPr="008B4404">
        <w:rPr>
          <w:rFonts w:ascii="Arial" w:hAnsi="Arial" w:cs="Arial"/>
          <w:b/>
          <w:szCs w:val="24"/>
        </w:rPr>
        <w:t xml:space="preserve">2.3.1. </w:t>
      </w:r>
      <w:r w:rsidR="008B4404">
        <w:rPr>
          <w:rFonts w:ascii="Arial" w:hAnsi="Arial" w:cs="Arial"/>
          <w:b/>
          <w:szCs w:val="24"/>
        </w:rPr>
        <w:t>Fundamento jurídico</w:t>
      </w:r>
    </w:p>
    <w:p w:rsidR="00603A86" w:rsidRDefault="00603A86" w:rsidP="00943853">
      <w:pPr>
        <w:spacing w:line="276" w:lineRule="auto"/>
        <w:jc w:val="both"/>
        <w:rPr>
          <w:rFonts w:ascii="Arial" w:hAnsi="Arial" w:cs="Arial"/>
          <w:b/>
          <w:szCs w:val="24"/>
        </w:rPr>
      </w:pPr>
    </w:p>
    <w:p w:rsidR="006B7BB9" w:rsidRDefault="006B7BB9" w:rsidP="006B7BB9">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603A86" w:rsidRDefault="00603A86" w:rsidP="00603A86">
      <w:pPr>
        <w:pStyle w:val="Textoindependiente"/>
        <w:spacing w:line="276" w:lineRule="auto"/>
        <w:rPr>
          <w:szCs w:val="24"/>
        </w:rPr>
      </w:pPr>
    </w:p>
    <w:p w:rsidR="00603A86" w:rsidRPr="00406E7E" w:rsidRDefault="00603A86" w:rsidP="00603A86">
      <w:pPr>
        <w:pStyle w:val="Textoindependiente"/>
        <w:spacing w:line="276" w:lineRule="auto"/>
        <w:rPr>
          <w:b/>
          <w:szCs w:val="24"/>
        </w:rPr>
      </w:pPr>
      <w:r w:rsidRPr="00406E7E">
        <w:rPr>
          <w:b/>
          <w:szCs w:val="24"/>
        </w:rPr>
        <w:t>2.2.2. Fundamento fáctico</w:t>
      </w:r>
    </w:p>
    <w:p w:rsidR="00603A86" w:rsidRDefault="00603A86" w:rsidP="00603A86">
      <w:pPr>
        <w:pStyle w:val="Textoindependiente"/>
        <w:spacing w:line="276" w:lineRule="auto"/>
        <w:rPr>
          <w:szCs w:val="24"/>
        </w:rPr>
      </w:pPr>
    </w:p>
    <w:p w:rsidR="00603A86" w:rsidRDefault="00603A86" w:rsidP="00603A86">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w:t>
      </w:r>
      <w:r>
        <w:rPr>
          <w:szCs w:val="24"/>
        </w:rPr>
        <w:t xml:space="preserve">con la totalidad de la documentación respectiva, el día </w:t>
      </w:r>
      <w:r w:rsidR="001479F6">
        <w:rPr>
          <w:szCs w:val="24"/>
        </w:rPr>
        <w:t>12</w:t>
      </w:r>
      <w:r>
        <w:rPr>
          <w:szCs w:val="24"/>
        </w:rPr>
        <w:t xml:space="preserve"> de </w:t>
      </w:r>
      <w:r w:rsidR="001479F6">
        <w:rPr>
          <w:szCs w:val="24"/>
        </w:rPr>
        <w:t xml:space="preserve">marzo </w:t>
      </w:r>
      <w:r>
        <w:rPr>
          <w:szCs w:val="24"/>
        </w:rPr>
        <w:t xml:space="preserve">de 2013, conforme fue relatado en la parte considerativa de la Resolución N° GNR </w:t>
      </w:r>
      <w:r w:rsidR="001479F6">
        <w:rPr>
          <w:szCs w:val="24"/>
        </w:rPr>
        <w:t>2098</w:t>
      </w:r>
      <w:r>
        <w:rPr>
          <w:szCs w:val="24"/>
        </w:rPr>
        <w:t xml:space="preserve"> de </w:t>
      </w:r>
      <w:r w:rsidR="001479F6">
        <w:rPr>
          <w:szCs w:val="24"/>
        </w:rPr>
        <w:t xml:space="preserve">enero </w:t>
      </w:r>
      <w:r>
        <w:rPr>
          <w:szCs w:val="24"/>
        </w:rPr>
        <w:t xml:space="preserve">de 2014 –fl. </w:t>
      </w:r>
      <w:r w:rsidR="001479F6">
        <w:rPr>
          <w:szCs w:val="24"/>
        </w:rPr>
        <w:t>25</w:t>
      </w:r>
      <w:r>
        <w:rPr>
          <w:szCs w:val="24"/>
        </w:rPr>
        <w:t>-</w:t>
      </w:r>
      <w:r w:rsidRPr="00B22A2D">
        <w:rPr>
          <w:szCs w:val="24"/>
        </w:rPr>
        <w:t xml:space="preserve">, </w:t>
      </w:r>
      <w:r>
        <w:rPr>
          <w:szCs w:val="24"/>
        </w:rPr>
        <w:t xml:space="preserve">que </w:t>
      </w:r>
      <w:r w:rsidRPr="00B22A2D">
        <w:rPr>
          <w:szCs w:val="24"/>
        </w:rPr>
        <w:t xml:space="preserve">la entidad contaba hasta el </w:t>
      </w:r>
      <w:r w:rsidR="001479F6">
        <w:rPr>
          <w:szCs w:val="24"/>
        </w:rPr>
        <w:t xml:space="preserve">12 </w:t>
      </w:r>
      <w:r w:rsidRPr="00B22A2D">
        <w:rPr>
          <w:szCs w:val="24"/>
        </w:rPr>
        <w:t xml:space="preserve">de </w:t>
      </w:r>
      <w:r w:rsidR="006B7BB9">
        <w:rPr>
          <w:szCs w:val="24"/>
        </w:rPr>
        <w:t xml:space="preserve">septiembre </w:t>
      </w:r>
      <w:r>
        <w:rPr>
          <w:szCs w:val="24"/>
        </w:rPr>
        <w:t xml:space="preserve">de ese mismo año, </w:t>
      </w:r>
      <w:r w:rsidRPr="00B22A2D">
        <w:rPr>
          <w:szCs w:val="24"/>
        </w:rPr>
        <w:t>para efectuar el reconocimiento y pago de las mesadas pensionales respectivas,</w:t>
      </w:r>
      <w:r>
        <w:rPr>
          <w:szCs w:val="24"/>
        </w:rPr>
        <w:t xml:space="preserve"> </w:t>
      </w:r>
      <w:r w:rsidR="00C11D9D">
        <w:rPr>
          <w:szCs w:val="24"/>
        </w:rPr>
        <w:t>no osbtante</w:t>
      </w:r>
      <w:r>
        <w:rPr>
          <w:szCs w:val="24"/>
        </w:rPr>
        <w:t>, ello no ocurrió, precisamente porque mediante ese acto administrativo se le negó el derecho, siendo esa la razón de la existencia del presente proceso; de tal manera que los intereses deb</w:t>
      </w:r>
      <w:r w:rsidR="001479F6">
        <w:rPr>
          <w:szCs w:val="24"/>
        </w:rPr>
        <w:t xml:space="preserve">erían </w:t>
      </w:r>
      <w:r>
        <w:rPr>
          <w:szCs w:val="24"/>
        </w:rPr>
        <w:t>correr a partir de la última calenda anunciada y hasta el pago efectivo de la obligación</w:t>
      </w:r>
      <w:r w:rsidR="001479F6">
        <w:rPr>
          <w:szCs w:val="24"/>
        </w:rPr>
        <w:t xml:space="preserve">, sin embargo, como la a-quo determinó que era a partir del 9 de febrero de 2014 y esta </w:t>
      </w:r>
      <w:r w:rsidR="001479F6">
        <w:rPr>
          <w:szCs w:val="24"/>
        </w:rPr>
        <w:lastRenderedPageBreak/>
        <w:t>decisión se revisa en sede de consulta, no es posible modificarla en este aspecto, porque se agravaría la condena emitida en su contra</w:t>
      </w:r>
      <w:r>
        <w:rPr>
          <w:szCs w:val="24"/>
        </w:rPr>
        <w:t>.</w:t>
      </w:r>
    </w:p>
    <w:p w:rsidR="00603A86" w:rsidRDefault="00603A86" w:rsidP="00603A86">
      <w:pPr>
        <w:pStyle w:val="Textoindependiente"/>
        <w:spacing w:line="276" w:lineRule="auto"/>
        <w:rPr>
          <w:szCs w:val="24"/>
        </w:rPr>
      </w:pPr>
    </w:p>
    <w:p w:rsidR="00767102" w:rsidRPr="00C77063" w:rsidRDefault="00635DD5" w:rsidP="00767102">
      <w:pPr>
        <w:pStyle w:val="Sinespaciado"/>
        <w:spacing w:line="276" w:lineRule="auto"/>
        <w:contextualSpacing/>
        <w:jc w:val="both"/>
        <w:rPr>
          <w:rFonts w:ascii="Arial" w:hAnsi="Arial" w:cs="Arial"/>
          <w:b/>
          <w:sz w:val="24"/>
          <w:szCs w:val="24"/>
        </w:rPr>
      </w:pPr>
      <w:r>
        <w:rPr>
          <w:rFonts w:ascii="Arial" w:hAnsi="Arial" w:cs="Arial"/>
          <w:b/>
          <w:sz w:val="24"/>
          <w:szCs w:val="24"/>
        </w:rPr>
        <w:t>2.4</w:t>
      </w:r>
      <w:r w:rsidR="00767102" w:rsidRPr="00C77063">
        <w:rPr>
          <w:rFonts w:ascii="Arial" w:hAnsi="Arial" w:cs="Arial"/>
          <w:b/>
          <w:sz w:val="24"/>
          <w:szCs w:val="24"/>
        </w:rPr>
        <w:t>. De la prescripción</w:t>
      </w:r>
    </w:p>
    <w:p w:rsidR="00767102" w:rsidRPr="00C77063" w:rsidRDefault="00767102" w:rsidP="00767102">
      <w:pPr>
        <w:pStyle w:val="Sinespaciado"/>
        <w:spacing w:line="276" w:lineRule="auto"/>
        <w:contextualSpacing/>
        <w:jc w:val="both"/>
        <w:rPr>
          <w:rFonts w:ascii="Arial" w:hAnsi="Arial" w:cs="Arial"/>
          <w:b/>
          <w:sz w:val="24"/>
          <w:szCs w:val="24"/>
        </w:rPr>
      </w:pPr>
    </w:p>
    <w:p w:rsidR="00767102" w:rsidRDefault="00767102" w:rsidP="00767102">
      <w:pPr>
        <w:pStyle w:val="Sinespaciado"/>
        <w:spacing w:line="276" w:lineRule="auto"/>
        <w:contextualSpacing/>
        <w:jc w:val="both"/>
        <w:rPr>
          <w:rFonts w:ascii="Arial" w:hAnsi="Arial" w:cs="Arial"/>
          <w:b/>
          <w:sz w:val="24"/>
          <w:szCs w:val="24"/>
        </w:rPr>
      </w:pPr>
      <w:r>
        <w:rPr>
          <w:rFonts w:ascii="Arial" w:hAnsi="Arial" w:cs="Arial"/>
          <w:b/>
          <w:sz w:val="24"/>
          <w:szCs w:val="24"/>
        </w:rPr>
        <w:t>2.</w:t>
      </w:r>
      <w:r w:rsidR="00635DD5">
        <w:rPr>
          <w:rFonts w:ascii="Arial" w:hAnsi="Arial" w:cs="Arial"/>
          <w:b/>
          <w:sz w:val="24"/>
          <w:szCs w:val="24"/>
        </w:rPr>
        <w:t>4</w:t>
      </w:r>
      <w:r w:rsidRPr="00C77063">
        <w:rPr>
          <w:rFonts w:ascii="Arial" w:hAnsi="Arial" w:cs="Arial"/>
          <w:b/>
          <w:sz w:val="24"/>
          <w:szCs w:val="24"/>
        </w:rPr>
        <w:t>.1. Fundamento jurídico</w:t>
      </w:r>
    </w:p>
    <w:p w:rsidR="004F046E" w:rsidRDefault="004F046E" w:rsidP="00767102">
      <w:pPr>
        <w:pStyle w:val="Sinespaciado"/>
        <w:spacing w:line="276" w:lineRule="auto"/>
        <w:contextualSpacing/>
        <w:jc w:val="both"/>
        <w:rPr>
          <w:rFonts w:ascii="Arial" w:hAnsi="Arial" w:cs="Arial"/>
          <w:b/>
          <w:sz w:val="24"/>
          <w:szCs w:val="24"/>
        </w:rPr>
      </w:pPr>
    </w:p>
    <w:p w:rsidR="00767102" w:rsidRDefault="00767102"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w:t>
      </w:r>
      <w:r w:rsidR="0060652C">
        <w:rPr>
          <w:rFonts w:ascii="Arial" w:hAnsi="Arial" w:cs="Arial"/>
          <w:sz w:val="24"/>
          <w:szCs w:val="24"/>
        </w:rPr>
        <w:t xml:space="preserve">el </w:t>
      </w:r>
      <w:r>
        <w:rPr>
          <w:rFonts w:ascii="Arial" w:hAnsi="Arial" w:cs="Arial"/>
          <w:sz w:val="24"/>
          <w:szCs w:val="24"/>
        </w:rPr>
        <w:t>151 del C.P.L. las acciones que se deriven de los derechos laborales prescriben en los 3 años, contados desde que la obligación se haya hecho exigible,</w:t>
      </w:r>
      <w:r w:rsidR="006B7BB9">
        <w:rPr>
          <w:rFonts w:ascii="Arial" w:hAnsi="Arial" w:cs="Arial"/>
          <w:sz w:val="24"/>
          <w:szCs w:val="24"/>
        </w:rPr>
        <w:t xml:space="preserve"> que para el caso de las pensiones de vejez, lo es </w:t>
      </w:r>
      <w:r>
        <w:rPr>
          <w:rFonts w:ascii="Arial" w:hAnsi="Arial" w:cs="Arial"/>
          <w:sz w:val="24"/>
          <w:szCs w:val="24"/>
        </w:rPr>
        <w:t xml:space="preserve"> </w:t>
      </w:r>
      <w:r w:rsidR="006B7BB9">
        <w:rPr>
          <w:rFonts w:ascii="Arial" w:hAnsi="Arial" w:cs="Arial"/>
          <w:sz w:val="24"/>
          <w:szCs w:val="24"/>
        </w:rPr>
        <w:t>cuando confluyen en el afiliado los requisitos mínimos para acceder a la pensión y la desafiliación del sistema pensional</w:t>
      </w:r>
      <w:r>
        <w:rPr>
          <w:rFonts w:ascii="Arial" w:hAnsi="Arial" w:cs="Arial"/>
          <w:sz w:val="24"/>
          <w:szCs w:val="24"/>
        </w:rPr>
        <w:t>.</w:t>
      </w:r>
    </w:p>
    <w:p w:rsidR="004F046E" w:rsidRDefault="004F046E" w:rsidP="00767102">
      <w:pPr>
        <w:pStyle w:val="Sinespaciado"/>
        <w:spacing w:line="276" w:lineRule="auto"/>
        <w:contextualSpacing/>
        <w:jc w:val="both"/>
        <w:rPr>
          <w:rFonts w:ascii="Arial" w:hAnsi="Arial" w:cs="Arial"/>
          <w:sz w:val="24"/>
          <w:szCs w:val="24"/>
        </w:rPr>
      </w:pPr>
    </w:p>
    <w:p w:rsidR="006B7BB9" w:rsidRPr="0000603E" w:rsidRDefault="006B7BB9" w:rsidP="006B7BB9">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6B7BB9" w:rsidRDefault="006B7BB9" w:rsidP="006B7BB9">
      <w:pPr>
        <w:pStyle w:val="Sinespaciado"/>
        <w:spacing w:line="276" w:lineRule="auto"/>
        <w:contextualSpacing/>
        <w:jc w:val="both"/>
        <w:rPr>
          <w:rFonts w:ascii="Arial" w:hAnsi="Arial" w:cs="Arial"/>
          <w:sz w:val="24"/>
          <w:szCs w:val="24"/>
        </w:rPr>
      </w:pPr>
    </w:p>
    <w:p w:rsidR="006B7BB9" w:rsidRDefault="006B7BB9" w:rsidP="006B7BB9">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w:t>
      </w:r>
      <w:r w:rsidR="00C64E25">
        <w:rPr>
          <w:rFonts w:ascii="Arial" w:hAnsi="Arial" w:cs="Arial"/>
          <w:sz w:val="24"/>
          <w:szCs w:val="24"/>
        </w:rPr>
        <w:t>,</w:t>
      </w:r>
      <w:r w:rsidRPr="0000603E">
        <w:rPr>
          <w:rFonts w:ascii="Arial" w:hAnsi="Arial" w:cs="Arial"/>
          <w:sz w:val="24"/>
          <w:szCs w:val="24"/>
        </w:rPr>
        <w:t xml:space="preserve"> o si el interesado decide esperar la decisión, </w:t>
      </w:r>
      <w:r w:rsidR="00C64E25">
        <w:rPr>
          <w:rFonts w:ascii="Arial" w:hAnsi="Arial" w:cs="Arial"/>
          <w:sz w:val="24"/>
          <w:szCs w:val="24"/>
        </w:rPr>
        <w:t>no aplica ese término de gracia y</w:t>
      </w:r>
      <w:r w:rsidRPr="0000603E">
        <w:rPr>
          <w:rFonts w:ascii="Arial" w:hAnsi="Arial" w:cs="Arial"/>
          <w:sz w:val="24"/>
          <w:szCs w:val="24"/>
        </w:rPr>
        <w:t xml:space="preserve"> el término prescriptivo se suspende y co</w:t>
      </w:r>
      <w:r w:rsidR="0048164D">
        <w:rPr>
          <w:rFonts w:ascii="Arial" w:hAnsi="Arial" w:cs="Arial"/>
          <w:sz w:val="24"/>
          <w:szCs w:val="24"/>
        </w:rPr>
        <w:t xml:space="preserve">menzará de nuevo a </w:t>
      </w:r>
      <w:r>
        <w:rPr>
          <w:rFonts w:ascii="Arial" w:hAnsi="Arial" w:cs="Arial"/>
          <w:sz w:val="24"/>
          <w:szCs w:val="24"/>
        </w:rPr>
        <w:t>contabiliza</w:t>
      </w:r>
      <w:r w:rsidR="0048164D">
        <w:rPr>
          <w:rFonts w:ascii="Arial" w:hAnsi="Arial" w:cs="Arial"/>
          <w:sz w:val="24"/>
          <w:szCs w:val="24"/>
        </w:rPr>
        <w:t>rse</w:t>
      </w:r>
      <w:r>
        <w:rPr>
          <w:rFonts w:ascii="Arial" w:hAnsi="Arial" w:cs="Arial"/>
          <w:sz w:val="24"/>
          <w:szCs w:val="24"/>
        </w:rPr>
        <w:t xml:space="preserve"> cuando se le no</w:t>
      </w:r>
      <w:r w:rsidR="0048164D">
        <w:rPr>
          <w:rFonts w:ascii="Arial" w:hAnsi="Arial" w:cs="Arial"/>
          <w:sz w:val="24"/>
          <w:szCs w:val="24"/>
        </w:rPr>
        <w:t>tifique la respectiva respuesta y/o se decidan los recursos interpuestos.</w:t>
      </w:r>
    </w:p>
    <w:p w:rsidR="00767102" w:rsidRDefault="00767102" w:rsidP="00767102">
      <w:pPr>
        <w:pStyle w:val="Sinespaciado"/>
        <w:spacing w:line="276" w:lineRule="auto"/>
        <w:contextualSpacing/>
        <w:jc w:val="both"/>
        <w:rPr>
          <w:rFonts w:ascii="Arial" w:hAnsi="Arial" w:cs="Arial"/>
          <w:sz w:val="24"/>
          <w:szCs w:val="24"/>
        </w:rPr>
      </w:pPr>
    </w:p>
    <w:p w:rsidR="00767102" w:rsidRPr="0092683B" w:rsidRDefault="00635DD5" w:rsidP="00767102">
      <w:pPr>
        <w:pStyle w:val="Sinespaciado"/>
        <w:spacing w:line="276" w:lineRule="auto"/>
        <w:contextualSpacing/>
        <w:jc w:val="both"/>
        <w:rPr>
          <w:rFonts w:ascii="Arial" w:hAnsi="Arial" w:cs="Arial"/>
          <w:b/>
          <w:sz w:val="24"/>
          <w:szCs w:val="24"/>
        </w:rPr>
      </w:pPr>
      <w:r>
        <w:rPr>
          <w:rFonts w:ascii="Arial" w:hAnsi="Arial" w:cs="Arial"/>
          <w:b/>
          <w:sz w:val="24"/>
          <w:szCs w:val="24"/>
        </w:rPr>
        <w:t>2.4</w:t>
      </w:r>
      <w:r w:rsidR="00767102" w:rsidRPr="0092683B">
        <w:rPr>
          <w:rFonts w:ascii="Arial" w:hAnsi="Arial" w:cs="Arial"/>
          <w:b/>
          <w:sz w:val="24"/>
          <w:szCs w:val="24"/>
        </w:rPr>
        <w:t>.2. Fundamento fáctico</w:t>
      </w:r>
    </w:p>
    <w:p w:rsidR="00767102" w:rsidRDefault="00767102" w:rsidP="00767102">
      <w:pPr>
        <w:pStyle w:val="Sinespaciado"/>
        <w:spacing w:line="276" w:lineRule="auto"/>
        <w:contextualSpacing/>
        <w:jc w:val="both"/>
        <w:rPr>
          <w:rFonts w:ascii="Arial" w:hAnsi="Arial" w:cs="Arial"/>
          <w:sz w:val="24"/>
          <w:szCs w:val="24"/>
        </w:rPr>
      </w:pPr>
    </w:p>
    <w:p w:rsidR="002D2B65" w:rsidRDefault="002D2B65" w:rsidP="002D2B65">
      <w:pPr>
        <w:pStyle w:val="Sinespaciado"/>
        <w:spacing w:line="276" w:lineRule="auto"/>
        <w:contextualSpacing/>
        <w:jc w:val="both"/>
        <w:rPr>
          <w:rFonts w:ascii="Arial" w:hAnsi="Arial" w:cs="Arial"/>
          <w:sz w:val="24"/>
          <w:szCs w:val="24"/>
        </w:rPr>
      </w:pPr>
      <w:r>
        <w:rPr>
          <w:rFonts w:ascii="Arial" w:hAnsi="Arial" w:cs="Arial"/>
          <w:sz w:val="24"/>
          <w:szCs w:val="24"/>
        </w:rPr>
        <w:t>Teniendo en cuenta que la pensión de vejez definitiva se causó a partir del 1° de agosto de esa misma anualidad,</w:t>
      </w:r>
      <w:r w:rsidR="00513150">
        <w:rPr>
          <w:rFonts w:ascii="Arial" w:hAnsi="Arial" w:cs="Arial"/>
          <w:sz w:val="24"/>
          <w:szCs w:val="24"/>
        </w:rPr>
        <w:t xml:space="preserve"> pero debe tenerse en cuenta la definida en primera instancia, 12 de marzo de 2013,</w:t>
      </w:r>
      <w:r>
        <w:rPr>
          <w:rFonts w:ascii="Arial" w:hAnsi="Arial" w:cs="Arial"/>
          <w:sz w:val="24"/>
          <w:szCs w:val="24"/>
        </w:rPr>
        <w:t xml:space="preserve"> es fácil concluir que entre esas calendas y la fecha de presentación de la demanda que dio origen a este proceso, que lo fue el 22 de enero de 2015, según se extrae del acta de reparto visible a folio 46, no transcurrieron más de los 3 años, por lo que es evidente que no se configuró el fenómeno prescriptivo.</w:t>
      </w:r>
    </w:p>
    <w:p w:rsidR="002D2B65" w:rsidRDefault="002D2B65" w:rsidP="002D2B65">
      <w:pPr>
        <w:pStyle w:val="Sinespaciado"/>
        <w:spacing w:line="276" w:lineRule="auto"/>
        <w:contextualSpacing/>
        <w:jc w:val="both"/>
        <w:rPr>
          <w:rFonts w:ascii="Arial" w:hAnsi="Arial" w:cs="Arial"/>
          <w:sz w:val="24"/>
          <w:szCs w:val="24"/>
        </w:rPr>
      </w:pPr>
    </w:p>
    <w:p w:rsidR="005B215E" w:rsidRDefault="005B215E" w:rsidP="005B215E">
      <w:pPr>
        <w:pStyle w:val="Textoindependiente"/>
        <w:spacing w:line="276" w:lineRule="auto"/>
        <w:jc w:val="center"/>
        <w:rPr>
          <w:b/>
          <w:szCs w:val="24"/>
        </w:rPr>
      </w:pPr>
      <w:r w:rsidRPr="003D09CF">
        <w:rPr>
          <w:b/>
          <w:szCs w:val="24"/>
        </w:rPr>
        <w:t>CONCLUSIÓN</w:t>
      </w:r>
    </w:p>
    <w:p w:rsidR="006F2D18" w:rsidRDefault="006F2D18"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4D7FDC">
        <w:rPr>
          <w:rFonts w:ascii="Arial" w:hAnsi="Arial" w:cs="Arial"/>
          <w:szCs w:val="24"/>
        </w:rPr>
        <w:t xml:space="preserve">, salvo </w:t>
      </w:r>
      <w:r w:rsidR="00E27B45">
        <w:rPr>
          <w:rFonts w:ascii="Arial" w:hAnsi="Arial" w:cs="Arial"/>
          <w:szCs w:val="24"/>
        </w:rPr>
        <w:t xml:space="preserve">el </w:t>
      </w:r>
      <w:r w:rsidR="00590C35">
        <w:rPr>
          <w:rFonts w:ascii="Arial" w:hAnsi="Arial" w:cs="Arial"/>
          <w:szCs w:val="24"/>
        </w:rPr>
        <w:t xml:space="preserve"> </w:t>
      </w:r>
      <w:r w:rsidR="004D7FDC">
        <w:rPr>
          <w:rFonts w:ascii="Arial" w:hAnsi="Arial" w:cs="Arial"/>
          <w:szCs w:val="24"/>
        </w:rPr>
        <w:t>numeral</w:t>
      </w:r>
      <w:r w:rsidR="00101C39">
        <w:rPr>
          <w:rFonts w:ascii="Arial" w:hAnsi="Arial" w:cs="Arial"/>
          <w:szCs w:val="24"/>
        </w:rPr>
        <w:t xml:space="preserve"> sexto</w:t>
      </w:r>
      <w:r w:rsidR="004D7FDC">
        <w:rPr>
          <w:rFonts w:ascii="Arial" w:hAnsi="Arial" w:cs="Arial"/>
          <w:szCs w:val="24"/>
        </w:rPr>
        <w:t xml:space="preserve"> que se modificará con el objeto de </w:t>
      </w:r>
      <w:r w:rsidR="00E27B45">
        <w:rPr>
          <w:rFonts w:ascii="Arial" w:hAnsi="Arial" w:cs="Arial"/>
          <w:szCs w:val="24"/>
        </w:rPr>
        <w:t xml:space="preserve">actualizar la condena por concepto de retroactivo de diferencia pensional causada entre la pensión especial de vejez y la de vejez definitiva desde el 12 de marzo de 2013 y el 31 de octubre de 2016 y </w:t>
      </w:r>
      <w:r w:rsidR="00135378">
        <w:rPr>
          <w:rFonts w:ascii="Arial" w:hAnsi="Arial" w:cs="Arial"/>
          <w:szCs w:val="24"/>
        </w:rPr>
        <w:t>precisar el monto de esta última para la presente anualidad.</w:t>
      </w:r>
    </w:p>
    <w:p w:rsidR="00D72BE4" w:rsidRDefault="00D72BE4"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756C95">
        <w:rPr>
          <w:rFonts w:ascii="Arial" w:hAnsi="Arial" w:cs="Arial"/>
          <w:szCs w:val="24"/>
        </w:rPr>
        <w:t>no se causaron por tratarse del grado jurisdiccional de consulta.</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101C39">
        <w:rPr>
          <w:rFonts w:ascii="Arial" w:hAnsi="Arial" w:cs="Arial"/>
          <w:szCs w:val="24"/>
        </w:rPr>
        <w:t xml:space="preserve">09 </w:t>
      </w:r>
      <w:r w:rsidR="00EA3CA8" w:rsidRPr="00D578CB">
        <w:rPr>
          <w:rFonts w:ascii="Arial" w:hAnsi="Arial" w:cs="Arial"/>
          <w:szCs w:val="24"/>
        </w:rPr>
        <w:t xml:space="preserve">de </w:t>
      </w:r>
      <w:r w:rsidR="00101C39">
        <w:rPr>
          <w:rFonts w:ascii="Arial" w:hAnsi="Arial" w:cs="Arial"/>
          <w:szCs w:val="24"/>
        </w:rPr>
        <w:t xml:space="preserve">diciembre </w:t>
      </w:r>
      <w:r w:rsidR="00EA3CA8" w:rsidRPr="00D578CB">
        <w:rPr>
          <w:rFonts w:ascii="Arial" w:hAnsi="Arial" w:cs="Arial"/>
          <w:szCs w:val="24"/>
        </w:rPr>
        <w:t xml:space="preserve">de 2015 por el Juzgado </w:t>
      </w:r>
      <w:r w:rsidR="00101C39">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101C39">
        <w:rPr>
          <w:rFonts w:ascii="Arial" w:hAnsi="Arial" w:cs="Arial"/>
          <w:szCs w:val="24"/>
        </w:rPr>
        <w:t xml:space="preserve">el </w:t>
      </w:r>
      <w:r w:rsidR="00EA3CA8">
        <w:rPr>
          <w:rFonts w:ascii="Arial" w:hAnsi="Arial" w:cs="Arial"/>
          <w:szCs w:val="24"/>
        </w:rPr>
        <w:t xml:space="preserve">señor </w:t>
      </w:r>
      <w:r w:rsidR="002807D2">
        <w:rPr>
          <w:rFonts w:ascii="Arial" w:hAnsi="Arial" w:cs="Arial"/>
          <w:b/>
          <w:szCs w:val="24"/>
        </w:rPr>
        <w:t>Luis Eduardo Largo Gallón</w:t>
      </w:r>
      <w:r w:rsidR="0026074C">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26074C">
        <w:rPr>
          <w:rFonts w:ascii="Arial" w:hAnsi="Arial" w:cs="Arial"/>
          <w:szCs w:val="24"/>
        </w:rPr>
        <w:t xml:space="preserve"> </w:t>
      </w:r>
      <w:r w:rsidR="00EA3CA8" w:rsidRPr="003440CA">
        <w:rPr>
          <w:rFonts w:ascii="Arial" w:hAnsi="Arial" w:cs="Arial"/>
          <w:szCs w:val="24"/>
        </w:rPr>
        <w:t xml:space="preserve">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4D7FDC">
        <w:rPr>
          <w:rFonts w:ascii="Arial" w:hAnsi="Arial" w:cs="Arial"/>
          <w:bCs/>
          <w:iCs/>
          <w:szCs w:val="24"/>
        </w:rPr>
        <w:t>, salv</w:t>
      </w:r>
      <w:r w:rsidR="00C81112">
        <w:rPr>
          <w:rFonts w:ascii="Arial" w:hAnsi="Arial" w:cs="Arial"/>
          <w:bCs/>
          <w:iCs/>
          <w:szCs w:val="24"/>
        </w:rPr>
        <w:t>o</w:t>
      </w:r>
      <w:r w:rsidR="009B533F">
        <w:rPr>
          <w:rFonts w:ascii="Arial" w:hAnsi="Arial" w:cs="Arial"/>
          <w:bCs/>
          <w:iCs/>
          <w:szCs w:val="24"/>
        </w:rPr>
        <w:t xml:space="preserve"> </w:t>
      </w:r>
      <w:r w:rsidR="00D72BE4">
        <w:rPr>
          <w:rFonts w:ascii="Arial" w:hAnsi="Arial" w:cs="Arial"/>
          <w:bCs/>
          <w:iCs/>
          <w:szCs w:val="24"/>
        </w:rPr>
        <w:t xml:space="preserve">el numeral </w:t>
      </w:r>
      <w:r w:rsidR="00101C39">
        <w:rPr>
          <w:rFonts w:ascii="Arial" w:hAnsi="Arial" w:cs="Arial"/>
          <w:bCs/>
          <w:iCs/>
          <w:szCs w:val="24"/>
        </w:rPr>
        <w:t>sexto</w:t>
      </w:r>
      <w:r w:rsidR="009B533F">
        <w:rPr>
          <w:rFonts w:ascii="Arial" w:hAnsi="Arial" w:cs="Arial"/>
          <w:bCs/>
          <w:iCs/>
          <w:szCs w:val="24"/>
        </w:rPr>
        <w:t>,</w:t>
      </w:r>
      <w:r w:rsidR="004D7FDC">
        <w:rPr>
          <w:rFonts w:ascii="Arial" w:hAnsi="Arial" w:cs="Arial"/>
          <w:bCs/>
          <w:iCs/>
          <w:szCs w:val="24"/>
        </w:rPr>
        <w:t xml:space="preserve"> que quedará así: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6945EB" w:rsidRDefault="00135378" w:rsidP="00101C39">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w:t>
      </w:r>
      <w:r w:rsidR="006945EB">
        <w:rPr>
          <w:rFonts w:ascii="Arial" w:hAnsi="Arial" w:cs="Arial"/>
          <w:bCs/>
          <w:i/>
          <w:iCs/>
          <w:sz w:val="22"/>
          <w:szCs w:val="22"/>
        </w:rPr>
        <w:t>SEXTO</w:t>
      </w:r>
      <w:r w:rsidR="00101C39" w:rsidRPr="00590C35">
        <w:rPr>
          <w:rFonts w:ascii="Arial" w:hAnsi="Arial" w:cs="Arial"/>
          <w:bCs/>
          <w:i/>
          <w:iCs/>
          <w:sz w:val="22"/>
          <w:szCs w:val="22"/>
        </w:rPr>
        <w:t xml:space="preserve">: CONDENAR a la Administradora Colombiana de Pensiones –COLPENSIONES-  a cancelar </w:t>
      </w:r>
      <w:r w:rsidR="006945EB">
        <w:rPr>
          <w:rFonts w:ascii="Arial" w:hAnsi="Arial" w:cs="Arial"/>
          <w:bCs/>
          <w:i/>
          <w:iCs/>
          <w:sz w:val="22"/>
          <w:szCs w:val="22"/>
        </w:rPr>
        <w:t>al actor Luis Eduardo Largo Gallón, un retroactivo pensional de $</w:t>
      </w:r>
      <w:r w:rsidRPr="00135378">
        <w:rPr>
          <w:rFonts w:ascii="Arial" w:hAnsi="Arial" w:cs="Arial"/>
          <w:i/>
          <w:sz w:val="22"/>
          <w:szCs w:val="22"/>
        </w:rPr>
        <w:t>6´657.486</w:t>
      </w:r>
      <w:r w:rsidR="006945EB">
        <w:rPr>
          <w:rFonts w:ascii="Arial" w:hAnsi="Arial" w:cs="Arial"/>
          <w:bCs/>
          <w:i/>
          <w:iCs/>
          <w:sz w:val="22"/>
          <w:szCs w:val="22"/>
        </w:rPr>
        <w:t>, liquidado entre el 12 de marzo de 2013 y el 3</w:t>
      </w:r>
      <w:r>
        <w:rPr>
          <w:rFonts w:ascii="Arial" w:hAnsi="Arial" w:cs="Arial"/>
          <w:bCs/>
          <w:i/>
          <w:iCs/>
          <w:sz w:val="22"/>
          <w:szCs w:val="22"/>
        </w:rPr>
        <w:t>1</w:t>
      </w:r>
      <w:r w:rsidR="006945EB">
        <w:rPr>
          <w:rFonts w:ascii="Arial" w:hAnsi="Arial" w:cs="Arial"/>
          <w:bCs/>
          <w:i/>
          <w:iCs/>
          <w:sz w:val="22"/>
          <w:szCs w:val="22"/>
        </w:rPr>
        <w:t xml:space="preserve"> de </w:t>
      </w:r>
      <w:r>
        <w:rPr>
          <w:rFonts w:ascii="Arial" w:hAnsi="Arial" w:cs="Arial"/>
          <w:bCs/>
          <w:i/>
          <w:iCs/>
          <w:sz w:val="22"/>
          <w:szCs w:val="22"/>
        </w:rPr>
        <w:t xml:space="preserve">octubre </w:t>
      </w:r>
      <w:r w:rsidR="006945EB">
        <w:rPr>
          <w:rFonts w:ascii="Arial" w:hAnsi="Arial" w:cs="Arial"/>
          <w:bCs/>
          <w:i/>
          <w:iCs/>
          <w:sz w:val="22"/>
          <w:szCs w:val="22"/>
        </w:rPr>
        <w:t xml:space="preserve">de 2016, </w:t>
      </w:r>
      <w:r w:rsidR="00513150">
        <w:rPr>
          <w:rFonts w:ascii="Arial" w:hAnsi="Arial" w:cs="Arial"/>
          <w:bCs/>
          <w:i/>
          <w:iCs/>
          <w:sz w:val="22"/>
          <w:szCs w:val="22"/>
        </w:rPr>
        <w:t xml:space="preserve">de conformidad con las actas de liquidación que hacen parte de esta providencia. A partir del 1° de noviembre de 2016, la entidad deberá incluir en nómina de pensionados al señor Largo Gallón, en razón de la pensión de vejez definitiva por la suma </w:t>
      </w:r>
      <w:r w:rsidR="00513150" w:rsidRPr="00513150">
        <w:rPr>
          <w:rFonts w:ascii="Arial" w:hAnsi="Arial" w:cs="Arial"/>
          <w:bCs/>
          <w:i/>
          <w:iCs/>
          <w:sz w:val="22"/>
          <w:szCs w:val="22"/>
        </w:rPr>
        <w:t xml:space="preserve">de </w:t>
      </w:r>
      <w:r w:rsidR="00513150" w:rsidRPr="00513150">
        <w:rPr>
          <w:rFonts w:ascii="Arial" w:hAnsi="Arial" w:cs="Arial"/>
          <w:i/>
          <w:sz w:val="22"/>
          <w:szCs w:val="22"/>
        </w:rPr>
        <w:t>$826.010</w:t>
      </w:r>
      <w:r w:rsidR="00513150">
        <w:rPr>
          <w:rFonts w:ascii="Arial" w:hAnsi="Arial" w:cs="Arial"/>
          <w:bCs/>
          <w:i/>
          <w:iCs/>
          <w:sz w:val="22"/>
          <w:szCs w:val="22"/>
        </w:rPr>
        <w:t>, sin perjuicio de los aumentos legales anuales.</w:t>
      </w:r>
      <w:r w:rsidR="006945EB">
        <w:rPr>
          <w:rFonts w:ascii="Arial" w:hAnsi="Arial" w:cs="Arial"/>
          <w:bCs/>
          <w:i/>
          <w:iCs/>
          <w:sz w:val="22"/>
          <w:szCs w:val="22"/>
        </w:rPr>
        <w:t xml:space="preserve"> </w:t>
      </w:r>
    </w:p>
    <w:p w:rsidR="006945EB" w:rsidRDefault="006945EB" w:rsidP="00101C39">
      <w:pPr>
        <w:widowControl w:val="0"/>
        <w:autoSpaceDE w:val="0"/>
        <w:autoSpaceDN w:val="0"/>
        <w:adjustRightInd w:val="0"/>
        <w:spacing w:line="276" w:lineRule="auto"/>
        <w:ind w:left="567" w:right="567"/>
        <w:jc w:val="both"/>
        <w:rPr>
          <w:rFonts w:ascii="Arial" w:hAnsi="Arial" w:cs="Arial"/>
          <w:bCs/>
          <w:i/>
          <w:iCs/>
          <w:sz w:val="22"/>
          <w:szCs w:val="22"/>
        </w:rPr>
      </w:pPr>
    </w:p>
    <w:p w:rsidR="00A81BBC" w:rsidRDefault="00A81BBC" w:rsidP="003A202C">
      <w:pPr>
        <w:widowControl w:val="0"/>
        <w:autoSpaceDE w:val="0"/>
        <w:autoSpaceDN w:val="0"/>
        <w:adjustRightInd w:val="0"/>
        <w:spacing w:line="276" w:lineRule="auto"/>
        <w:jc w:val="both"/>
        <w:rPr>
          <w:rFonts w:ascii="Arial" w:hAnsi="Arial" w:cs="Arial"/>
          <w:bCs/>
          <w:i/>
          <w:iCs/>
          <w:sz w:val="22"/>
          <w:szCs w:val="22"/>
        </w:rPr>
      </w:pPr>
    </w:p>
    <w:p w:rsidR="005B215E" w:rsidRDefault="001365C6" w:rsidP="005B215E">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756C95">
        <w:rPr>
          <w:rFonts w:ascii="Arial" w:hAnsi="Arial" w:cs="Arial"/>
          <w:szCs w:val="24"/>
        </w:rPr>
        <w:t>Sin c</w:t>
      </w:r>
      <w:r w:rsidR="005B215E" w:rsidRPr="00D578CB">
        <w:rPr>
          <w:rFonts w:ascii="Arial" w:hAnsi="Arial" w:cs="Arial"/>
          <w:szCs w:val="24"/>
        </w:rPr>
        <w:t xml:space="preserve">ostas en </w:t>
      </w:r>
      <w:r w:rsidR="005B215E">
        <w:rPr>
          <w:rFonts w:ascii="Arial" w:hAnsi="Arial" w:cs="Arial"/>
          <w:szCs w:val="24"/>
        </w:rPr>
        <w:t>esta</w:t>
      </w:r>
      <w:r w:rsidR="00D879A8">
        <w:rPr>
          <w:rFonts w:ascii="Arial" w:hAnsi="Arial" w:cs="Arial"/>
          <w:szCs w:val="24"/>
        </w:rPr>
        <w:t xml:space="preserve"> instancia</w:t>
      </w:r>
      <w:r w:rsidR="00756C95">
        <w:rPr>
          <w:rFonts w:ascii="Arial" w:hAnsi="Arial" w:cs="Arial"/>
          <w:szCs w:val="24"/>
        </w:rPr>
        <w:t xml:space="preserve"> por tratarse del grado jurisdiccional de consulta.</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256248"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C3CC9" w:rsidRPr="00A47C8D" w:rsidRDefault="008C3CC9" w:rsidP="00256248">
      <w:pPr>
        <w:pStyle w:val="Textoindependiente"/>
        <w:spacing w:line="276" w:lineRule="auto"/>
        <w:contextualSpacing/>
        <w:rPr>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79609A" w:rsidRDefault="00E46710"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E46710" w:rsidRPr="0045273B" w:rsidRDefault="00756C95"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304666">
        <w:rPr>
          <w:rFonts w:ascii="Arial" w:hAnsi="Arial" w:cs="Arial"/>
          <w:b/>
          <w:bCs/>
          <w:iCs/>
          <w:szCs w:val="24"/>
          <w:lang w:val="es-ES"/>
        </w:rPr>
        <w:t>DANIEL BERMÚDEZ GIRALD</w:t>
      </w:r>
      <w:r w:rsidR="009405CC">
        <w:rPr>
          <w:rFonts w:ascii="Arial" w:hAnsi="Arial" w:cs="Arial"/>
          <w:b/>
          <w:bCs/>
          <w:iCs/>
          <w:szCs w:val="24"/>
          <w:lang w:val="es-ES"/>
        </w:rPr>
        <w:t>O</w:t>
      </w:r>
    </w:p>
    <w:p w:rsidR="0079609A" w:rsidRDefault="00256248" w:rsidP="0079609A">
      <w:pPr>
        <w:spacing w:line="276" w:lineRule="auto"/>
        <w:contextualSpacing/>
        <w:jc w:val="center"/>
        <w:rPr>
          <w:rFonts w:ascii="Arial" w:hAnsi="Arial" w:cs="Arial"/>
          <w:i/>
          <w:iCs/>
          <w:szCs w:val="24"/>
          <w:lang w:val="es-ES"/>
        </w:rPr>
      </w:pPr>
      <w:r>
        <w:rPr>
          <w:rFonts w:ascii="Arial" w:hAnsi="Arial" w:cs="Arial"/>
          <w:iCs/>
          <w:szCs w:val="24"/>
          <w:lang w:val="es-ES"/>
        </w:rPr>
        <w:t>Secretario</w:t>
      </w:r>
      <w:r w:rsidR="00304666">
        <w:rPr>
          <w:rFonts w:ascii="Arial" w:hAnsi="Arial" w:cs="Arial"/>
          <w:iCs/>
          <w:szCs w:val="24"/>
          <w:lang w:val="es-ES"/>
        </w:rPr>
        <w:t xml:space="preserve"> </w:t>
      </w:r>
      <w:r w:rsidR="00304666" w:rsidRPr="0007560D">
        <w:rPr>
          <w:rFonts w:ascii="Arial" w:hAnsi="Arial" w:cs="Arial"/>
          <w:i/>
          <w:iCs/>
          <w:szCs w:val="24"/>
          <w:lang w:val="es-ES"/>
        </w:rPr>
        <w:t>Ad-hoc</w:t>
      </w:r>
    </w:p>
    <w:p w:rsidR="00135378" w:rsidRDefault="00705571" w:rsidP="00705571">
      <w:pPr>
        <w:contextualSpacing/>
        <w:jc w:val="center"/>
        <w:rPr>
          <w:rFonts w:ascii="Arial" w:hAnsi="Arial" w:cs="Arial"/>
          <w:i/>
          <w:iCs/>
          <w:szCs w:val="24"/>
          <w:lang w:val="es-ES"/>
        </w:rPr>
      </w:pPr>
      <w:r w:rsidRPr="00705571">
        <w:rPr>
          <w:noProof/>
          <w:lang w:val="es-ES"/>
        </w:rPr>
        <w:lastRenderedPageBreak/>
        <w:drawing>
          <wp:inline distT="0" distB="0" distL="0" distR="0">
            <wp:extent cx="5523230" cy="9888752"/>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9888752"/>
                    </a:xfrm>
                    <a:prstGeom prst="rect">
                      <a:avLst/>
                    </a:prstGeom>
                    <a:noFill/>
                    <a:ln>
                      <a:noFill/>
                    </a:ln>
                  </pic:spPr>
                </pic:pic>
              </a:graphicData>
            </a:graphic>
          </wp:inline>
        </w:drawing>
      </w:r>
    </w:p>
    <w:p w:rsidR="00135378" w:rsidRDefault="00705571" w:rsidP="0079609A">
      <w:pPr>
        <w:spacing w:line="276" w:lineRule="auto"/>
        <w:contextualSpacing/>
        <w:jc w:val="center"/>
        <w:rPr>
          <w:rFonts w:ascii="Arial" w:hAnsi="Arial" w:cs="Arial"/>
          <w:i/>
          <w:iCs/>
          <w:szCs w:val="24"/>
          <w:lang w:val="es-ES"/>
        </w:rPr>
      </w:pPr>
      <w:r w:rsidRPr="00705571">
        <w:rPr>
          <w:noProof/>
          <w:lang w:val="es-ES"/>
        </w:rPr>
        <w:lastRenderedPageBreak/>
        <w:drawing>
          <wp:inline distT="0" distB="0" distL="0" distR="0">
            <wp:extent cx="5523230" cy="10475646"/>
            <wp:effectExtent l="0" t="0" r="127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10475646"/>
                    </a:xfrm>
                    <a:prstGeom prst="rect">
                      <a:avLst/>
                    </a:prstGeom>
                    <a:noFill/>
                    <a:ln>
                      <a:noFill/>
                    </a:ln>
                  </pic:spPr>
                </pic:pic>
              </a:graphicData>
            </a:graphic>
          </wp:inline>
        </w:drawing>
      </w:r>
    </w:p>
    <w:p w:rsidR="00135378" w:rsidRDefault="00705571" w:rsidP="0079609A">
      <w:pPr>
        <w:spacing w:line="276" w:lineRule="auto"/>
        <w:contextualSpacing/>
        <w:jc w:val="center"/>
        <w:rPr>
          <w:rFonts w:ascii="Arial" w:hAnsi="Arial" w:cs="Arial"/>
          <w:i/>
          <w:iCs/>
          <w:szCs w:val="24"/>
          <w:lang w:val="es-ES"/>
        </w:rPr>
      </w:pPr>
      <w:r w:rsidRPr="00705571">
        <w:rPr>
          <w:noProof/>
          <w:lang w:val="es-ES"/>
        </w:rPr>
        <w:lastRenderedPageBreak/>
        <w:drawing>
          <wp:inline distT="0" distB="0" distL="0" distR="0">
            <wp:extent cx="5523230" cy="1013798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10137981"/>
                    </a:xfrm>
                    <a:prstGeom prst="rect">
                      <a:avLst/>
                    </a:prstGeom>
                    <a:noFill/>
                    <a:ln>
                      <a:noFill/>
                    </a:ln>
                  </pic:spPr>
                </pic:pic>
              </a:graphicData>
            </a:graphic>
          </wp:inline>
        </w:drawing>
      </w:r>
    </w:p>
    <w:p w:rsidR="00135378" w:rsidRDefault="00135378" w:rsidP="0079609A">
      <w:pPr>
        <w:spacing w:line="276" w:lineRule="auto"/>
        <w:contextualSpacing/>
        <w:jc w:val="center"/>
        <w:rPr>
          <w:rFonts w:ascii="Arial" w:hAnsi="Arial" w:cs="Arial"/>
          <w:i/>
          <w:iCs/>
          <w:szCs w:val="24"/>
          <w:lang w:val="es-ES"/>
        </w:rPr>
      </w:pPr>
    </w:p>
    <w:p w:rsidR="00135378" w:rsidRDefault="00705571" w:rsidP="0079609A">
      <w:pPr>
        <w:spacing w:line="276" w:lineRule="auto"/>
        <w:contextualSpacing/>
        <w:jc w:val="center"/>
        <w:rPr>
          <w:rFonts w:ascii="Arial" w:hAnsi="Arial" w:cs="Arial"/>
          <w:i/>
          <w:iCs/>
          <w:szCs w:val="24"/>
          <w:lang w:val="es-ES"/>
        </w:rPr>
      </w:pPr>
      <w:r w:rsidRPr="00705571">
        <w:rPr>
          <w:noProof/>
          <w:lang w:val="es-ES"/>
        </w:rPr>
        <w:drawing>
          <wp:inline distT="0" distB="0" distL="0" distR="0">
            <wp:extent cx="5523230" cy="3215854"/>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3215854"/>
                    </a:xfrm>
                    <a:prstGeom prst="rect">
                      <a:avLst/>
                    </a:prstGeom>
                    <a:noFill/>
                    <a:ln>
                      <a:noFill/>
                    </a:ln>
                  </pic:spPr>
                </pic:pic>
              </a:graphicData>
            </a:graphic>
          </wp:inline>
        </w:drawing>
      </w:r>
    </w:p>
    <w:p w:rsidR="00135378" w:rsidRDefault="00135378" w:rsidP="0079609A">
      <w:pPr>
        <w:spacing w:line="276" w:lineRule="auto"/>
        <w:contextualSpacing/>
        <w:jc w:val="center"/>
        <w:rPr>
          <w:rFonts w:ascii="Arial" w:hAnsi="Arial" w:cs="Arial"/>
          <w:i/>
          <w:iCs/>
          <w:szCs w:val="24"/>
          <w:lang w:val="es-ES"/>
        </w:rPr>
      </w:pPr>
    </w:p>
    <w:p w:rsidR="00135378" w:rsidRDefault="00135378" w:rsidP="0079609A">
      <w:pPr>
        <w:spacing w:line="276" w:lineRule="auto"/>
        <w:contextualSpacing/>
        <w:jc w:val="center"/>
        <w:rPr>
          <w:rFonts w:ascii="Arial" w:hAnsi="Arial" w:cs="Arial"/>
          <w:i/>
          <w:iCs/>
          <w:szCs w:val="24"/>
          <w:lang w:val="es-ES"/>
        </w:rPr>
      </w:pPr>
    </w:p>
    <w:p w:rsidR="00705571" w:rsidRDefault="00705571" w:rsidP="0079609A">
      <w:pPr>
        <w:spacing w:line="276" w:lineRule="auto"/>
        <w:contextualSpacing/>
        <w:jc w:val="center"/>
        <w:rPr>
          <w:rFonts w:ascii="Arial" w:hAnsi="Arial" w:cs="Arial"/>
          <w:i/>
          <w:iCs/>
          <w:szCs w:val="24"/>
          <w:lang w:val="es-ES"/>
        </w:rPr>
      </w:pPr>
    </w:p>
    <w:p w:rsidR="00135378" w:rsidRDefault="00705571" w:rsidP="0079609A">
      <w:pPr>
        <w:spacing w:line="276" w:lineRule="auto"/>
        <w:contextualSpacing/>
        <w:jc w:val="center"/>
        <w:rPr>
          <w:rFonts w:ascii="Arial" w:hAnsi="Arial" w:cs="Arial"/>
          <w:i/>
          <w:iCs/>
          <w:szCs w:val="24"/>
          <w:lang w:val="es-ES"/>
        </w:rPr>
      </w:pPr>
      <w:r>
        <w:rPr>
          <w:rFonts w:ascii="Arial" w:hAnsi="Arial" w:cs="Arial"/>
          <w:i/>
          <w:iCs/>
          <w:szCs w:val="24"/>
          <w:lang w:val="es-ES"/>
        </w:rPr>
        <w:t>ANEXO 2</w:t>
      </w:r>
    </w:p>
    <w:p w:rsidR="00705571" w:rsidRDefault="00705571" w:rsidP="0079609A">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r>
        <w:rPr>
          <w:rFonts w:ascii="Arial" w:hAnsi="Arial" w:cs="Arial"/>
          <w:i/>
          <w:iCs/>
          <w:szCs w:val="24"/>
          <w:lang w:val="es-ES"/>
        </w:rPr>
        <w:t>IBL ÚLTIMOS 10 AÑOS</w:t>
      </w: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r w:rsidRPr="00705571">
        <w:rPr>
          <w:noProof/>
          <w:lang w:val="es-ES"/>
        </w:rPr>
        <w:drawing>
          <wp:inline distT="0" distB="0" distL="0" distR="0">
            <wp:extent cx="5523230" cy="3805249"/>
            <wp:effectExtent l="0" t="0" r="127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3805249"/>
                    </a:xfrm>
                    <a:prstGeom prst="rect">
                      <a:avLst/>
                    </a:prstGeom>
                    <a:noFill/>
                    <a:ln>
                      <a:noFill/>
                    </a:ln>
                  </pic:spPr>
                </pic:pic>
              </a:graphicData>
            </a:graphic>
          </wp:inline>
        </w:drawing>
      </w:r>
      <w:r>
        <w:rPr>
          <w:rFonts w:ascii="Arial" w:hAnsi="Arial" w:cs="Arial"/>
          <w:i/>
          <w:iCs/>
          <w:szCs w:val="24"/>
          <w:lang w:val="es-ES"/>
        </w:rPr>
        <w:t xml:space="preserve"> </w:t>
      </w: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r w:rsidRPr="00705571">
        <w:rPr>
          <w:noProof/>
          <w:lang w:val="es-ES"/>
        </w:rPr>
        <w:lastRenderedPageBreak/>
        <w:drawing>
          <wp:inline distT="0" distB="0" distL="0" distR="0">
            <wp:extent cx="5523230" cy="10291833"/>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230" cy="10291833"/>
                    </a:xfrm>
                    <a:prstGeom prst="rect">
                      <a:avLst/>
                    </a:prstGeom>
                    <a:noFill/>
                    <a:ln>
                      <a:noFill/>
                    </a:ln>
                  </pic:spPr>
                </pic:pic>
              </a:graphicData>
            </a:graphic>
          </wp:inline>
        </w:drawing>
      </w:r>
    </w:p>
    <w:p w:rsidR="00705571" w:rsidRDefault="00705571" w:rsidP="00705571">
      <w:pPr>
        <w:spacing w:line="276" w:lineRule="auto"/>
        <w:contextualSpacing/>
        <w:jc w:val="center"/>
        <w:rPr>
          <w:b/>
          <w:szCs w:val="24"/>
          <w:lang w:val="es-CO"/>
        </w:rPr>
      </w:pPr>
      <w:r w:rsidRPr="00705571">
        <w:rPr>
          <w:noProof/>
          <w:lang w:val="es-ES"/>
        </w:rPr>
        <w:lastRenderedPageBreak/>
        <w:drawing>
          <wp:inline distT="0" distB="0" distL="0" distR="0">
            <wp:extent cx="5523230" cy="2874006"/>
            <wp:effectExtent l="0" t="0" r="127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3230" cy="2874006"/>
                    </a:xfrm>
                    <a:prstGeom prst="rect">
                      <a:avLst/>
                    </a:prstGeom>
                    <a:noFill/>
                    <a:ln>
                      <a:noFill/>
                    </a:ln>
                  </pic:spPr>
                </pic:pic>
              </a:graphicData>
            </a:graphic>
          </wp:inline>
        </w:drawing>
      </w:r>
    </w:p>
    <w:p w:rsidR="00705571" w:rsidRDefault="00705571" w:rsidP="00705571">
      <w:pPr>
        <w:spacing w:line="276" w:lineRule="auto"/>
        <w:contextualSpacing/>
        <w:jc w:val="center"/>
        <w:rPr>
          <w:b/>
          <w:szCs w:val="24"/>
          <w:lang w:val="es-CO"/>
        </w:rPr>
      </w:pP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r>
        <w:rPr>
          <w:rFonts w:ascii="Arial" w:hAnsi="Arial" w:cs="Arial"/>
          <w:i/>
          <w:iCs/>
          <w:szCs w:val="24"/>
          <w:lang w:val="es-ES"/>
        </w:rPr>
        <w:t>ANEXO 3</w:t>
      </w:r>
    </w:p>
    <w:p w:rsidR="00705571" w:rsidRDefault="00705571" w:rsidP="00705571">
      <w:pPr>
        <w:spacing w:line="276" w:lineRule="auto"/>
        <w:contextualSpacing/>
        <w:jc w:val="center"/>
        <w:rPr>
          <w:rFonts w:ascii="Arial" w:hAnsi="Arial" w:cs="Arial"/>
          <w:i/>
          <w:iCs/>
          <w:szCs w:val="24"/>
          <w:lang w:val="es-ES"/>
        </w:rPr>
      </w:pPr>
    </w:p>
    <w:p w:rsidR="00705571" w:rsidRDefault="00705571" w:rsidP="00705571">
      <w:pPr>
        <w:spacing w:line="276" w:lineRule="auto"/>
        <w:contextualSpacing/>
        <w:jc w:val="center"/>
        <w:rPr>
          <w:rFonts w:ascii="Arial" w:hAnsi="Arial" w:cs="Arial"/>
          <w:i/>
          <w:iCs/>
          <w:szCs w:val="24"/>
          <w:lang w:val="es-ES"/>
        </w:rPr>
      </w:pPr>
      <w:r>
        <w:rPr>
          <w:rFonts w:ascii="Arial" w:hAnsi="Arial" w:cs="Arial"/>
          <w:i/>
          <w:iCs/>
          <w:szCs w:val="24"/>
          <w:lang w:val="es-ES"/>
        </w:rPr>
        <w:t>RETROACTIVO</w:t>
      </w:r>
    </w:p>
    <w:p w:rsidR="00705571" w:rsidRDefault="00705571" w:rsidP="00705571">
      <w:pPr>
        <w:spacing w:line="276" w:lineRule="auto"/>
        <w:contextualSpacing/>
        <w:jc w:val="center"/>
        <w:rPr>
          <w:b/>
          <w:szCs w:val="24"/>
          <w:lang w:val="es-CO"/>
        </w:rPr>
      </w:pPr>
    </w:p>
    <w:p w:rsidR="00705571" w:rsidRDefault="00705571" w:rsidP="00705571">
      <w:pPr>
        <w:spacing w:line="276" w:lineRule="auto"/>
        <w:contextualSpacing/>
        <w:jc w:val="center"/>
        <w:rPr>
          <w:b/>
          <w:szCs w:val="24"/>
          <w:lang w:val="es-CO"/>
        </w:rPr>
      </w:pPr>
      <w:r w:rsidRPr="00705571">
        <w:rPr>
          <w:noProof/>
          <w:lang w:val="es-ES"/>
        </w:rPr>
        <w:drawing>
          <wp:inline distT="0" distB="0" distL="0" distR="0">
            <wp:extent cx="5523230" cy="1240273"/>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230" cy="1240273"/>
                    </a:xfrm>
                    <a:prstGeom prst="rect">
                      <a:avLst/>
                    </a:prstGeom>
                    <a:noFill/>
                    <a:ln>
                      <a:noFill/>
                    </a:ln>
                  </pic:spPr>
                </pic:pic>
              </a:graphicData>
            </a:graphic>
          </wp:inline>
        </w:drawing>
      </w:r>
    </w:p>
    <w:sectPr w:rsidR="00705571" w:rsidSect="009D68F9">
      <w:headerReference w:type="default" r:id="rId16"/>
      <w:footerReference w:type="even" r:id="rId17"/>
      <w:footerReference w:type="default" r:id="rId18"/>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F6" w:rsidRDefault="00A309F6" w:rsidP="00226D5F">
      <w:r>
        <w:separator/>
      </w:r>
    </w:p>
  </w:endnote>
  <w:endnote w:type="continuationSeparator" w:id="0">
    <w:p w:rsidR="00A309F6" w:rsidRDefault="00A309F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10" w:rsidRDefault="00FE7410" w:rsidP="00FE7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410" w:rsidRDefault="00FE7410" w:rsidP="00FE74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10" w:rsidRDefault="00FE7410" w:rsidP="00FE7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4A69">
      <w:rPr>
        <w:rStyle w:val="Nmerodepgina"/>
        <w:noProof/>
      </w:rPr>
      <w:t>2</w:t>
    </w:r>
    <w:r>
      <w:rPr>
        <w:rStyle w:val="Nmerodepgina"/>
      </w:rPr>
      <w:fldChar w:fldCharType="end"/>
    </w:r>
  </w:p>
  <w:p w:rsidR="00FE7410" w:rsidRDefault="00FE7410" w:rsidP="00FE741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F6" w:rsidRDefault="00A309F6" w:rsidP="00226D5F">
      <w:r>
        <w:separator/>
      </w:r>
    </w:p>
  </w:footnote>
  <w:footnote w:type="continuationSeparator" w:id="0">
    <w:p w:rsidR="00A309F6" w:rsidRDefault="00A309F6" w:rsidP="00226D5F">
      <w:r>
        <w:continuationSeparator/>
      </w:r>
    </w:p>
  </w:footnote>
  <w:footnote w:id="1">
    <w:p w:rsidR="001502AE" w:rsidRPr="002148D4" w:rsidRDefault="001502AE" w:rsidP="001502AE">
      <w:pPr>
        <w:pStyle w:val="Textonotapie"/>
        <w:contextualSpacing/>
        <w:rPr>
          <w:lang w:val="es-AR"/>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Gustavo José Gnecco Mendoza. Rad. N°</w:t>
      </w:r>
      <w:r w:rsidRPr="00A75235">
        <w:rPr>
          <w:rStyle w:val="baj"/>
          <w:rFonts w:ascii="Arial" w:hAnsi="Arial" w:cs="Arial"/>
          <w:bCs/>
          <w:sz w:val="18"/>
          <w:szCs w:val="18"/>
        </w:rPr>
        <w:t xml:space="preserve"> </w:t>
      </w:r>
      <w:r>
        <w:rPr>
          <w:rStyle w:val="baj"/>
          <w:rFonts w:ascii="Arial" w:hAnsi="Arial" w:cs="Arial"/>
          <w:bCs/>
          <w:sz w:val="18"/>
          <w:szCs w:val="18"/>
        </w:rPr>
        <w:t>32204</w:t>
      </w:r>
      <w:r w:rsidRPr="00A75235">
        <w:rPr>
          <w:rStyle w:val="baj"/>
          <w:rFonts w:ascii="Arial" w:hAnsi="Arial" w:cs="Arial"/>
          <w:bCs/>
          <w:sz w:val="18"/>
          <w:szCs w:val="18"/>
        </w:rPr>
        <w:t xml:space="preserve"> </w:t>
      </w:r>
      <w:r>
        <w:rPr>
          <w:rFonts w:ascii="Arial" w:hAnsi="Arial" w:cs="Arial"/>
          <w:sz w:val="18"/>
          <w:szCs w:val="18"/>
        </w:rPr>
        <w:t>del 18/08/2010</w:t>
      </w:r>
    </w:p>
  </w:footnote>
  <w:footnote w:id="2">
    <w:p w:rsidR="001502AE" w:rsidRPr="00A75235" w:rsidRDefault="001502AE" w:rsidP="001502AE">
      <w:pPr>
        <w:pStyle w:val="centrado"/>
        <w:contextualSpacing/>
        <w:jc w:val="both"/>
        <w:rPr>
          <w:lang w:val="es-CO"/>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Jorge Mauricio Burgos Ruíz</w:t>
      </w:r>
      <w:r>
        <w:rPr>
          <w:rStyle w:val="baj"/>
          <w:rFonts w:ascii="Arial" w:hAnsi="Arial" w:cs="Arial"/>
          <w:bCs/>
          <w:sz w:val="18"/>
          <w:szCs w:val="18"/>
        </w:rPr>
        <w:t>. SL 785-2013. Rad. N°</w:t>
      </w:r>
      <w:r w:rsidRPr="00A75235">
        <w:rPr>
          <w:rStyle w:val="baj"/>
          <w:rFonts w:ascii="Arial" w:hAnsi="Arial" w:cs="Arial"/>
          <w:bCs/>
          <w:sz w:val="18"/>
          <w:szCs w:val="18"/>
        </w:rPr>
        <w:t xml:space="preserve"> 40517 </w:t>
      </w:r>
      <w:r w:rsidRPr="00A75235">
        <w:rPr>
          <w:rFonts w:ascii="Arial" w:hAnsi="Arial" w:cs="Arial"/>
          <w:sz w:val="18"/>
          <w:szCs w:val="18"/>
        </w:rPr>
        <w:t>06</w:t>
      </w:r>
      <w:r>
        <w:rPr>
          <w:rFonts w:ascii="Arial" w:hAnsi="Arial" w:cs="Arial"/>
          <w:sz w:val="18"/>
          <w:szCs w:val="18"/>
        </w:rPr>
        <w:t>/11/2</w:t>
      </w:r>
      <w:r w:rsidRPr="00A75235">
        <w:rPr>
          <w:rFonts w:ascii="Arial" w:hAnsi="Arial" w:cs="Arial"/>
          <w:sz w:val="18"/>
          <w:szCs w:val="18"/>
        </w:rPr>
        <w:t>013.</w:t>
      </w:r>
    </w:p>
  </w:footnote>
  <w:footnote w:id="3">
    <w:p w:rsidR="001502AE" w:rsidRPr="002148D4" w:rsidRDefault="001502AE" w:rsidP="001502AE">
      <w:pPr>
        <w:pStyle w:val="Textonotapie"/>
        <w:contextualSpacing/>
        <w:rPr>
          <w:lang w:val="es-AR"/>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Gustavo José Gnecco Mendoza. Rad. N°</w:t>
      </w:r>
      <w:r w:rsidRPr="00A75235">
        <w:rPr>
          <w:rStyle w:val="baj"/>
          <w:rFonts w:ascii="Arial" w:hAnsi="Arial" w:cs="Arial"/>
          <w:bCs/>
          <w:sz w:val="18"/>
          <w:szCs w:val="18"/>
        </w:rPr>
        <w:t xml:space="preserve"> </w:t>
      </w:r>
      <w:r>
        <w:rPr>
          <w:rStyle w:val="baj"/>
          <w:rFonts w:ascii="Arial" w:hAnsi="Arial" w:cs="Arial"/>
          <w:bCs/>
          <w:sz w:val="18"/>
          <w:szCs w:val="18"/>
        </w:rPr>
        <w:t>32204</w:t>
      </w:r>
      <w:r w:rsidRPr="00A75235">
        <w:rPr>
          <w:rStyle w:val="baj"/>
          <w:rFonts w:ascii="Arial" w:hAnsi="Arial" w:cs="Arial"/>
          <w:bCs/>
          <w:sz w:val="18"/>
          <w:szCs w:val="18"/>
        </w:rPr>
        <w:t xml:space="preserve"> </w:t>
      </w:r>
      <w:r>
        <w:rPr>
          <w:rFonts w:ascii="Arial" w:hAnsi="Arial" w:cs="Arial"/>
          <w:sz w:val="18"/>
          <w:szCs w:val="18"/>
        </w:rPr>
        <w:t>del 18/08/2010</w:t>
      </w:r>
    </w:p>
    <w:p w:rsidR="001502AE" w:rsidRPr="002148D4" w:rsidRDefault="001502AE" w:rsidP="001502AE">
      <w:pPr>
        <w:pStyle w:val="Textonotapie"/>
        <w:contextualSpacing/>
        <w:rPr>
          <w:lang w:val="es-AR"/>
        </w:rPr>
      </w:pPr>
    </w:p>
  </w:footnote>
  <w:footnote w:id="4">
    <w:p w:rsidR="001502AE" w:rsidRPr="00B40C04" w:rsidRDefault="001502AE" w:rsidP="001502AE">
      <w:pPr>
        <w:pStyle w:val="Textonotapie"/>
        <w:contextualSpacing/>
        <w:rPr>
          <w:rFonts w:ascii="Arial" w:hAnsi="Arial" w:cs="Arial"/>
          <w:sz w:val="18"/>
          <w:szCs w:val="18"/>
          <w:lang w:val="es-AR"/>
        </w:rPr>
      </w:pPr>
      <w:r w:rsidRPr="00B40C04">
        <w:rPr>
          <w:rStyle w:val="Refdenotaalpie"/>
          <w:rFonts w:ascii="Arial" w:hAnsi="Arial" w:cs="Arial"/>
          <w:sz w:val="18"/>
          <w:szCs w:val="18"/>
        </w:rPr>
        <w:footnoteRef/>
      </w:r>
      <w:r w:rsidRPr="00B40C04">
        <w:rPr>
          <w:rFonts w:ascii="Arial" w:hAnsi="Arial" w:cs="Arial"/>
          <w:sz w:val="18"/>
          <w:szCs w:val="18"/>
        </w:rPr>
        <w:t xml:space="preserve"> </w:t>
      </w:r>
      <w:r w:rsidRPr="00B40C04">
        <w:rPr>
          <w:rFonts w:ascii="Arial" w:hAnsi="Arial" w:cs="Arial"/>
          <w:sz w:val="18"/>
          <w:szCs w:val="18"/>
          <w:lang w:val="es-AR"/>
        </w:rPr>
        <w:t xml:space="preserve">T-651-2009 M.P. Luis Ernesto Vargas Silva </w:t>
      </w:r>
    </w:p>
  </w:footnote>
  <w:footnote w:id="5">
    <w:p w:rsidR="0048096D" w:rsidRPr="00594A8B" w:rsidRDefault="0048096D" w:rsidP="0048096D">
      <w:pPr>
        <w:pStyle w:val="Textonotapie"/>
        <w:rPr>
          <w:rFonts w:ascii="Arial" w:hAnsi="Arial" w:cs="Arial"/>
          <w:sz w:val="18"/>
          <w:szCs w:val="18"/>
        </w:rPr>
      </w:pPr>
      <w:r>
        <w:rPr>
          <w:rStyle w:val="Refdenotaalpie"/>
        </w:rPr>
        <w:footnoteRef/>
      </w:r>
      <w:r>
        <w:t xml:space="preserve"> </w:t>
      </w:r>
      <w:r w:rsidRPr="00594A8B">
        <w:rPr>
          <w:rFonts w:ascii="Arial" w:hAnsi="Arial" w:cs="Arial"/>
          <w:sz w:val="18"/>
          <w:szCs w:val="18"/>
        </w:rPr>
        <w:t>M.P. Olga Lucía Hoyos Sepúlveda. Radicado 2015-00321 de 26/07/2016 Dte. Teresa Aristizabal Carmona.</w:t>
      </w:r>
    </w:p>
    <w:p w:rsidR="0048096D" w:rsidRPr="00594A8B" w:rsidRDefault="0048096D" w:rsidP="0048096D">
      <w:pPr>
        <w:pStyle w:val="Textonotapie"/>
        <w:rPr>
          <w:rFonts w:ascii="Arial" w:hAnsi="Arial" w:cs="Arial"/>
          <w:sz w:val="18"/>
          <w:szCs w:val="18"/>
          <w:lang w:val="es-AR"/>
        </w:rPr>
      </w:pPr>
      <w:r w:rsidRPr="00594A8B">
        <w:rPr>
          <w:rStyle w:val="Refdenotaalpie"/>
          <w:rFonts w:ascii="Arial" w:hAnsi="Arial" w:cs="Arial"/>
          <w:sz w:val="18"/>
          <w:szCs w:val="18"/>
        </w:rPr>
        <w:footnoteRef/>
      </w:r>
      <w:r w:rsidRPr="00594A8B">
        <w:rPr>
          <w:rFonts w:ascii="Arial" w:hAnsi="Arial" w:cs="Arial"/>
          <w:sz w:val="18"/>
          <w:szCs w:val="18"/>
        </w:rPr>
        <w:t xml:space="preserve"> M.P. Olga Lucía Hoyos Sepúlveda. Radicado 2014-00305 de 12/07/2016 Dte. Adiela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10" w:rsidRPr="001B0E6E" w:rsidRDefault="00FE7410"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FE7410" w:rsidRPr="001B0E6E" w:rsidRDefault="00FE7410"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5</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021</w:t>
    </w:r>
    <w:r w:rsidRPr="001B0E6E">
      <w:rPr>
        <w:rFonts w:ascii="Arial" w:hAnsi="Arial" w:cs="Arial"/>
        <w:sz w:val="16"/>
        <w:szCs w:val="16"/>
      </w:rPr>
      <w:t>-01</w:t>
    </w:r>
  </w:p>
  <w:p w:rsidR="00FE7410" w:rsidRPr="001B0E6E" w:rsidRDefault="00FE7410" w:rsidP="00350788">
    <w:pPr>
      <w:pStyle w:val="Encabezado"/>
      <w:jc w:val="center"/>
      <w:rPr>
        <w:rFonts w:ascii="Arial" w:hAnsi="Arial" w:cs="Arial"/>
        <w:sz w:val="16"/>
        <w:szCs w:val="16"/>
      </w:rPr>
    </w:pPr>
    <w:r>
      <w:rPr>
        <w:rFonts w:ascii="Arial" w:hAnsi="Arial" w:cs="Arial"/>
        <w:sz w:val="16"/>
        <w:szCs w:val="16"/>
      </w:rPr>
      <w:t xml:space="preserve">Luis Eduardo Largo Gallón </w:t>
    </w:r>
    <w:r w:rsidRPr="001B0E6E">
      <w:rPr>
        <w:rFonts w:ascii="Arial" w:hAnsi="Arial" w:cs="Arial"/>
        <w:sz w:val="16"/>
        <w:szCs w:val="16"/>
      </w:rPr>
      <w:t>vs Colpensiones</w:t>
    </w:r>
  </w:p>
  <w:p w:rsidR="00FE7410" w:rsidRPr="00350788" w:rsidRDefault="00FE7410"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3B3E"/>
    <w:rsid w:val="00031EF4"/>
    <w:rsid w:val="00034EE6"/>
    <w:rsid w:val="00037D16"/>
    <w:rsid w:val="00040E9A"/>
    <w:rsid w:val="000429E7"/>
    <w:rsid w:val="000452F4"/>
    <w:rsid w:val="00046FBA"/>
    <w:rsid w:val="000513EC"/>
    <w:rsid w:val="00057FAE"/>
    <w:rsid w:val="0007560D"/>
    <w:rsid w:val="00076F69"/>
    <w:rsid w:val="00084002"/>
    <w:rsid w:val="00094E79"/>
    <w:rsid w:val="00096832"/>
    <w:rsid w:val="000A397D"/>
    <w:rsid w:val="000A7294"/>
    <w:rsid w:val="000A7BA8"/>
    <w:rsid w:val="000B6182"/>
    <w:rsid w:val="000C08B1"/>
    <w:rsid w:val="000C0A51"/>
    <w:rsid w:val="000C3195"/>
    <w:rsid w:val="000C42EE"/>
    <w:rsid w:val="000C4643"/>
    <w:rsid w:val="000C7993"/>
    <w:rsid w:val="000D0444"/>
    <w:rsid w:val="000D611F"/>
    <w:rsid w:val="000D6626"/>
    <w:rsid w:val="000D66C4"/>
    <w:rsid w:val="000D6873"/>
    <w:rsid w:val="000D6AE3"/>
    <w:rsid w:val="000E70EB"/>
    <w:rsid w:val="000E7F42"/>
    <w:rsid w:val="000F08C1"/>
    <w:rsid w:val="000F1C6A"/>
    <w:rsid w:val="000F30D4"/>
    <w:rsid w:val="000F38F8"/>
    <w:rsid w:val="000F5775"/>
    <w:rsid w:val="000F6FF9"/>
    <w:rsid w:val="00101C39"/>
    <w:rsid w:val="00101DEB"/>
    <w:rsid w:val="00106A7E"/>
    <w:rsid w:val="001072B6"/>
    <w:rsid w:val="00111BDE"/>
    <w:rsid w:val="00117283"/>
    <w:rsid w:val="00121F87"/>
    <w:rsid w:val="00122794"/>
    <w:rsid w:val="00122A57"/>
    <w:rsid w:val="00122F7E"/>
    <w:rsid w:val="00127390"/>
    <w:rsid w:val="001320DB"/>
    <w:rsid w:val="00132136"/>
    <w:rsid w:val="00134C86"/>
    <w:rsid w:val="00135378"/>
    <w:rsid w:val="001365C6"/>
    <w:rsid w:val="00146784"/>
    <w:rsid w:val="001479F6"/>
    <w:rsid w:val="001502AE"/>
    <w:rsid w:val="00154D84"/>
    <w:rsid w:val="00163573"/>
    <w:rsid w:val="00164E8B"/>
    <w:rsid w:val="001667FB"/>
    <w:rsid w:val="00171C56"/>
    <w:rsid w:val="00172834"/>
    <w:rsid w:val="00176B04"/>
    <w:rsid w:val="00176D18"/>
    <w:rsid w:val="00183477"/>
    <w:rsid w:val="00186940"/>
    <w:rsid w:val="001879F2"/>
    <w:rsid w:val="001926F2"/>
    <w:rsid w:val="00195E2C"/>
    <w:rsid w:val="00197F26"/>
    <w:rsid w:val="001A2492"/>
    <w:rsid w:val="001A2E17"/>
    <w:rsid w:val="001A4D21"/>
    <w:rsid w:val="001A6ED0"/>
    <w:rsid w:val="001B03FA"/>
    <w:rsid w:val="001C46FA"/>
    <w:rsid w:val="001C4D7F"/>
    <w:rsid w:val="001C7071"/>
    <w:rsid w:val="001E0313"/>
    <w:rsid w:val="001E26AA"/>
    <w:rsid w:val="001E3462"/>
    <w:rsid w:val="001F5F7D"/>
    <w:rsid w:val="001F6EA3"/>
    <w:rsid w:val="00203ABA"/>
    <w:rsid w:val="0020449A"/>
    <w:rsid w:val="002077A7"/>
    <w:rsid w:val="00217431"/>
    <w:rsid w:val="00220899"/>
    <w:rsid w:val="002233EC"/>
    <w:rsid w:val="00226D5F"/>
    <w:rsid w:val="0023095E"/>
    <w:rsid w:val="00230AFD"/>
    <w:rsid w:val="002319BC"/>
    <w:rsid w:val="00231C21"/>
    <w:rsid w:val="002320EB"/>
    <w:rsid w:val="00242152"/>
    <w:rsid w:val="00244804"/>
    <w:rsid w:val="00247BBE"/>
    <w:rsid w:val="00251CC1"/>
    <w:rsid w:val="00256154"/>
    <w:rsid w:val="0025615E"/>
    <w:rsid w:val="00256248"/>
    <w:rsid w:val="0026074C"/>
    <w:rsid w:val="00265520"/>
    <w:rsid w:val="00270CA8"/>
    <w:rsid w:val="00272C8B"/>
    <w:rsid w:val="00273805"/>
    <w:rsid w:val="00273FEB"/>
    <w:rsid w:val="00275B08"/>
    <w:rsid w:val="00275FF1"/>
    <w:rsid w:val="00276FE7"/>
    <w:rsid w:val="002807D2"/>
    <w:rsid w:val="00282F91"/>
    <w:rsid w:val="00287CC2"/>
    <w:rsid w:val="00290C0B"/>
    <w:rsid w:val="00293E1D"/>
    <w:rsid w:val="00295C40"/>
    <w:rsid w:val="002A02BA"/>
    <w:rsid w:val="002A1785"/>
    <w:rsid w:val="002A330E"/>
    <w:rsid w:val="002B556B"/>
    <w:rsid w:val="002B6C00"/>
    <w:rsid w:val="002C15F7"/>
    <w:rsid w:val="002C313D"/>
    <w:rsid w:val="002D1879"/>
    <w:rsid w:val="002D2840"/>
    <w:rsid w:val="002D2B65"/>
    <w:rsid w:val="002D3D5F"/>
    <w:rsid w:val="002D6807"/>
    <w:rsid w:val="002D7A8E"/>
    <w:rsid w:val="002E09C2"/>
    <w:rsid w:val="002E235A"/>
    <w:rsid w:val="002E36F9"/>
    <w:rsid w:val="002E4F47"/>
    <w:rsid w:val="002E54FD"/>
    <w:rsid w:val="002F07BA"/>
    <w:rsid w:val="002F2BAC"/>
    <w:rsid w:val="002F31A3"/>
    <w:rsid w:val="00302C8E"/>
    <w:rsid w:val="00304666"/>
    <w:rsid w:val="00316580"/>
    <w:rsid w:val="003215E8"/>
    <w:rsid w:val="003229C8"/>
    <w:rsid w:val="00324AD2"/>
    <w:rsid w:val="00325911"/>
    <w:rsid w:val="00340FCE"/>
    <w:rsid w:val="003440CA"/>
    <w:rsid w:val="003463CD"/>
    <w:rsid w:val="003465C4"/>
    <w:rsid w:val="003468B7"/>
    <w:rsid w:val="00347C69"/>
    <w:rsid w:val="00350788"/>
    <w:rsid w:val="00355709"/>
    <w:rsid w:val="00355D2E"/>
    <w:rsid w:val="00356D79"/>
    <w:rsid w:val="003578D3"/>
    <w:rsid w:val="00363262"/>
    <w:rsid w:val="003745E6"/>
    <w:rsid w:val="00382914"/>
    <w:rsid w:val="00382C70"/>
    <w:rsid w:val="00387FA3"/>
    <w:rsid w:val="00390B71"/>
    <w:rsid w:val="003912BE"/>
    <w:rsid w:val="00391B65"/>
    <w:rsid w:val="003922FA"/>
    <w:rsid w:val="00396403"/>
    <w:rsid w:val="003A202C"/>
    <w:rsid w:val="003A51A8"/>
    <w:rsid w:val="003B4EA7"/>
    <w:rsid w:val="003B794C"/>
    <w:rsid w:val="003B7E72"/>
    <w:rsid w:val="003C35CA"/>
    <w:rsid w:val="003C50BE"/>
    <w:rsid w:val="003C640A"/>
    <w:rsid w:val="003C7B9B"/>
    <w:rsid w:val="003D0C37"/>
    <w:rsid w:val="003D0DFC"/>
    <w:rsid w:val="003E12DD"/>
    <w:rsid w:val="003F023F"/>
    <w:rsid w:val="003F0D4B"/>
    <w:rsid w:val="003F1EEA"/>
    <w:rsid w:val="003F39CE"/>
    <w:rsid w:val="003F3D90"/>
    <w:rsid w:val="004021CB"/>
    <w:rsid w:val="00413A44"/>
    <w:rsid w:val="00416A8D"/>
    <w:rsid w:val="00420991"/>
    <w:rsid w:val="00420BC6"/>
    <w:rsid w:val="00427D4E"/>
    <w:rsid w:val="004348AB"/>
    <w:rsid w:val="004453BD"/>
    <w:rsid w:val="00446364"/>
    <w:rsid w:val="00446ECF"/>
    <w:rsid w:val="00450598"/>
    <w:rsid w:val="00450903"/>
    <w:rsid w:val="004519EB"/>
    <w:rsid w:val="0045273B"/>
    <w:rsid w:val="00453DC3"/>
    <w:rsid w:val="0045544E"/>
    <w:rsid w:val="00455713"/>
    <w:rsid w:val="0046204A"/>
    <w:rsid w:val="00470873"/>
    <w:rsid w:val="00473DB9"/>
    <w:rsid w:val="00474E80"/>
    <w:rsid w:val="0048096D"/>
    <w:rsid w:val="00480C56"/>
    <w:rsid w:val="0048164D"/>
    <w:rsid w:val="004860D2"/>
    <w:rsid w:val="0049370A"/>
    <w:rsid w:val="004945EE"/>
    <w:rsid w:val="004A2468"/>
    <w:rsid w:val="004A7AB4"/>
    <w:rsid w:val="004B0EDC"/>
    <w:rsid w:val="004B45C3"/>
    <w:rsid w:val="004C0D30"/>
    <w:rsid w:val="004C5B27"/>
    <w:rsid w:val="004D018B"/>
    <w:rsid w:val="004D01C5"/>
    <w:rsid w:val="004D7FDC"/>
    <w:rsid w:val="004E4CC6"/>
    <w:rsid w:val="004E5E8E"/>
    <w:rsid w:val="004E6B7F"/>
    <w:rsid w:val="004F046E"/>
    <w:rsid w:val="004F20BA"/>
    <w:rsid w:val="004F2F10"/>
    <w:rsid w:val="004F408A"/>
    <w:rsid w:val="004F724D"/>
    <w:rsid w:val="00501034"/>
    <w:rsid w:val="00502691"/>
    <w:rsid w:val="00513150"/>
    <w:rsid w:val="00514C61"/>
    <w:rsid w:val="00515BDC"/>
    <w:rsid w:val="005262DB"/>
    <w:rsid w:val="00530158"/>
    <w:rsid w:val="00533F10"/>
    <w:rsid w:val="0053562A"/>
    <w:rsid w:val="0053780E"/>
    <w:rsid w:val="005402C8"/>
    <w:rsid w:val="0054084D"/>
    <w:rsid w:val="00544B75"/>
    <w:rsid w:val="005469D3"/>
    <w:rsid w:val="00547158"/>
    <w:rsid w:val="005475F0"/>
    <w:rsid w:val="00550C34"/>
    <w:rsid w:val="0055106C"/>
    <w:rsid w:val="00552CE3"/>
    <w:rsid w:val="0055465D"/>
    <w:rsid w:val="0055606A"/>
    <w:rsid w:val="0056027F"/>
    <w:rsid w:val="005608BC"/>
    <w:rsid w:val="0056183E"/>
    <w:rsid w:val="00562BC6"/>
    <w:rsid w:val="00563496"/>
    <w:rsid w:val="0056453B"/>
    <w:rsid w:val="00565E83"/>
    <w:rsid w:val="00567B33"/>
    <w:rsid w:val="00567C97"/>
    <w:rsid w:val="0057082E"/>
    <w:rsid w:val="00572BE9"/>
    <w:rsid w:val="005832DD"/>
    <w:rsid w:val="00584BAF"/>
    <w:rsid w:val="00586CB3"/>
    <w:rsid w:val="005878E1"/>
    <w:rsid w:val="00590C35"/>
    <w:rsid w:val="00591797"/>
    <w:rsid w:val="00591F75"/>
    <w:rsid w:val="00593363"/>
    <w:rsid w:val="00594723"/>
    <w:rsid w:val="005A19F8"/>
    <w:rsid w:val="005A65D3"/>
    <w:rsid w:val="005B0552"/>
    <w:rsid w:val="005B215E"/>
    <w:rsid w:val="005B7D0B"/>
    <w:rsid w:val="005C376C"/>
    <w:rsid w:val="005C3850"/>
    <w:rsid w:val="005C3CA7"/>
    <w:rsid w:val="005C3E71"/>
    <w:rsid w:val="005D1C5A"/>
    <w:rsid w:val="005D38A6"/>
    <w:rsid w:val="005D46D1"/>
    <w:rsid w:val="005D5800"/>
    <w:rsid w:val="005D6A9A"/>
    <w:rsid w:val="005D7A47"/>
    <w:rsid w:val="005E0B99"/>
    <w:rsid w:val="005E0ED1"/>
    <w:rsid w:val="005E1A7F"/>
    <w:rsid w:val="005E7DA5"/>
    <w:rsid w:val="005F1504"/>
    <w:rsid w:val="005F5E82"/>
    <w:rsid w:val="0060031C"/>
    <w:rsid w:val="00603A86"/>
    <w:rsid w:val="0060652C"/>
    <w:rsid w:val="006103BE"/>
    <w:rsid w:val="006135E9"/>
    <w:rsid w:val="0061484D"/>
    <w:rsid w:val="00615E23"/>
    <w:rsid w:val="0062213D"/>
    <w:rsid w:val="00622E08"/>
    <w:rsid w:val="00623898"/>
    <w:rsid w:val="00625C71"/>
    <w:rsid w:val="0062649A"/>
    <w:rsid w:val="00626A64"/>
    <w:rsid w:val="00635DD5"/>
    <w:rsid w:val="00637118"/>
    <w:rsid w:val="0064158C"/>
    <w:rsid w:val="006424B0"/>
    <w:rsid w:val="0064279C"/>
    <w:rsid w:val="00643D10"/>
    <w:rsid w:val="00650C9B"/>
    <w:rsid w:val="006516CA"/>
    <w:rsid w:val="00653884"/>
    <w:rsid w:val="00662013"/>
    <w:rsid w:val="00662287"/>
    <w:rsid w:val="006731C9"/>
    <w:rsid w:val="006738A5"/>
    <w:rsid w:val="00675E25"/>
    <w:rsid w:val="006761A7"/>
    <w:rsid w:val="00681A5C"/>
    <w:rsid w:val="00682681"/>
    <w:rsid w:val="00682BA8"/>
    <w:rsid w:val="00685419"/>
    <w:rsid w:val="006945EB"/>
    <w:rsid w:val="006A0D48"/>
    <w:rsid w:val="006A3D88"/>
    <w:rsid w:val="006A4FD9"/>
    <w:rsid w:val="006A6E7B"/>
    <w:rsid w:val="006B7BB9"/>
    <w:rsid w:val="006C06D9"/>
    <w:rsid w:val="006C1C3B"/>
    <w:rsid w:val="006C7AE7"/>
    <w:rsid w:val="006D0816"/>
    <w:rsid w:val="006E11A2"/>
    <w:rsid w:val="006E2F01"/>
    <w:rsid w:val="006E3949"/>
    <w:rsid w:val="006F2D18"/>
    <w:rsid w:val="006F2FF3"/>
    <w:rsid w:val="006F3D12"/>
    <w:rsid w:val="006F68BC"/>
    <w:rsid w:val="00705571"/>
    <w:rsid w:val="007106CC"/>
    <w:rsid w:val="007123C3"/>
    <w:rsid w:val="00712CFC"/>
    <w:rsid w:val="00713558"/>
    <w:rsid w:val="00715CD9"/>
    <w:rsid w:val="00716474"/>
    <w:rsid w:val="00720C4E"/>
    <w:rsid w:val="007220D1"/>
    <w:rsid w:val="00722D48"/>
    <w:rsid w:val="007257B2"/>
    <w:rsid w:val="007258A6"/>
    <w:rsid w:val="00726CC1"/>
    <w:rsid w:val="007308D1"/>
    <w:rsid w:val="0073210C"/>
    <w:rsid w:val="007364DD"/>
    <w:rsid w:val="00741C67"/>
    <w:rsid w:val="00745389"/>
    <w:rsid w:val="007465BA"/>
    <w:rsid w:val="0074746E"/>
    <w:rsid w:val="00750744"/>
    <w:rsid w:val="00756C95"/>
    <w:rsid w:val="007632AA"/>
    <w:rsid w:val="007642E7"/>
    <w:rsid w:val="00764C9B"/>
    <w:rsid w:val="00767102"/>
    <w:rsid w:val="00774823"/>
    <w:rsid w:val="007762AD"/>
    <w:rsid w:val="00776EC7"/>
    <w:rsid w:val="00777C68"/>
    <w:rsid w:val="00777D9C"/>
    <w:rsid w:val="00792C67"/>
    <w:rsid w:val="00795237"/>
    <w:rsid w:val="0079609A"/>
    <w:rsid w:val="007962CC"/>
    <w:rsid w:val="00797D4B"/>
    <w:rsid w:val="007A2D40"/>
    <w:rsid w:val="007B0892"/>
    <w:rsid w:val="007B0BD7"/>
    <w:rsid w:val="007B1977"/>
    <w:rsid w:val="007B5499"/>
    <w:rsid w:val="007B6DED"/>
    <w:rsid w:val="007B6F39"/>
    <w:rsid w:val="007B76B5"/>
    <w:rsid w:val="007C5A02"/>
    <w:rsid w:val="007D180B"/>
    <w:rsid w:val="007D40B8"/>
    <w:rsid w:val="007D5ED8"/>
    <w:rsid w:val="007E0BAF"/>
    <w:rsid w:val="007E3F4A"/>
    <w:rsid w:val="007E5F18"/>
    <w:rsid w:val="007E70B0"/>
    <w:rsid w:val="007F1063"/>
    <w:rsid w:val="007F111B"/>
    <w:rsid w:val="007F176A"/>
    <w:rsid w:val="007F19AC"/>
    <w:rsid w:val="007F1F65"/>
    <w:rsid w:val="007F65FD"/>
    <w:rsid w:val="007F7476"/>
    <w:rsid w:val="007F7CE7"/>
    <w:rsid w:val="00801AD7"/>
    <w:rsid w:val="008031E8"/>
    <w:rsid w:val="0080681F"/>
    <w:rsid w:val="00810397"/>
    <w:rsid w:val="00814A0A"/>
    <w:rsid w:val="00814A69"/>
    <w:rsid w:val="0082591D"/>
    <w:rsid w:val="008261E9"/>
    <w:rsid w:val="0083061B"/>
    <w:rsid w:val="0083155E"/>
    <w:rsid w:val="008353D2"/>
    <w:rsid w:val="00845E7B"/>
    <w:rsid w:val="008460CC"/>
    <w:rsid w:val="008472E5"/>
    <w:rsid w:val="00851309"/>
    <w:rsid w:val="008525AF"/>
    <w:rsid w:val="00862EBC"/>
    <w:rsid w:val="00865FAA"/>
    <w:rsid w:val="008718AD"/>
    <w:rsid w:val="00874803"/>
    <w:rsid w:val="008751D8"/>
    <w:rsid w:val="008778BA"/>
    <w:rsid w:val="00881830"/>
    <w:rsid w:val="0088258E"/>
    <w:rsid w:val="00882768"/>
    <w:rsid w:val="00882CA8"/>
    <w:rsid w:val="00891545"/>
    <w:rsid w:val="0089228D"/>
    <w:rsid w:val="00895036"/>
    <w:rsid w:val="008A01A3"/>
    <w:rsid w:val="008A04F6"/>
    <w:rsid w:val="008A316B"/>
    <w:rsid w:val="008B19F4"/>
    <w:rsid w:val="008B2194"/>
    <w:rsid w:val="008B4404"/>
    <w:rsid w:val="008B48B8"/>
    <w:rsid w:val="008B5DB1"/>
    <w:rsid w:val="008C0AA3"/>
    <w:rsid w:val="008C3B2F"/>
    <w:rsid w:val="008C3CC9"/>
    <w:rsid w:val="008D0040"/>
    <w:rsid w:val="008D1AF6"/>
    <w:rsid w:val="008D27EF"/>
    <w:rsid w:val="008D7A9A"/>
    <w:rsid w:val="008E0CBF"/>
    <w:rsid w:val="008E0EF1"/>
    <w:rsid w:val="008E1432"/>
    <w:rsid w:val="008E2244"/>
    <w:rsid w:val="008E4150"/>
    <w:rsid w:val="008F003B"/>
    <w:rsid w:val="008F31EB"/>
    <w:rsid w:val="009000D4"/>
    <w:rsid w:val="009018F8"/>
    <w:rsid w:val="00906D5C"/>
    <w:rsid w:val="009071F5"/>
    <w:rsid w:val="00907A5F"/>
    <w:rsid w:val="00911B29"/>
    <w:rsid w:val="009137A5"/>
    <w:rsid w:val="00915EE3"/>
    <w:rsid w:val="00916ABE"/>
    <w:rsid w:val="00917C27"/>
    <w:rsid w:val="00921C3D"/>
    <w:rsid w:val="00926155"/>
    <w:rsid w:val="009405CC"/>
    <w:rsid w:val="0094079B"/>
    <w:rsid w:val="00943853"/>
    <w:rsid w:val="00943F86"/>
    <w:rsid w:val="00945AA7"/>
    <w:rsid w:val="00956E5F"/>
    <w:rsid w:val="00956FD0"/>
    <w:rsid w:val="00965356"/>
    <w:rsid w:val="009660D4"/>
    <w:rsid w:val="00966F23"/>
    <w:rsid w:val="009670D4"/>
    <w:rsid w:val="009740CF"/>
    <w:rsid w:val="00975DEE"/>
    <w:rsid w:val="00981280"/>
    <w:rsid w:val="00981DA7"/>
    <w:rsid w:val="009827E2"/>
    <w:rsid w:val="009849BE"/>
    <w:rsid w:val="00990B2C"/>
    <w:rsid w:val="00995393"/>
    <w:rsid w:val="0099755A"/>
    <w:rsid w:val="009A0660"/>
    <w:rsid w:val="009A2EA0"/>
    <w:rsid w:val="009B06F1"/>
    <w:rsid w:val="009B15A7"/>
    <w:rsid w:val="009B4AA4"/>
    <w:rsid w:val="009B533F"/>
    <w:rsid w:val="009C77EB"/>
    <w:rsid w:val="009D1438"/>
    <w:rsid w:val="009D68F9"/>
    <w:rsid w:val="009D6F42"/>
    <w:rsid w:val="009D7443"/>
    <w:rsid w:val="009E51A9"/>
    <w:rsid w:val="009E5A8E"/>
    <w:rsid w:val="009F052F"/>
    <w:rsid w:val="009F0B85"/>
    <w:rsid w:val="009F1835"/>
    <w:rsid w:val="00A04EA2"/>
    <w:rsid w:val="00A15ACF"/>
    <w:rsid w:val="00A227F4"/>
    <w:rsid w:val="00A23CFA"/>
    <w:rsid w:val="00A26C03"/>
    <w:rsid w:val="00A27137"/>
    <w:rsid w:val="00A309F6"/>
    <w:rsid w:val="00A30E48"/>
    <w:rsid w:val="00A3173B"/>
    <w:rsid w:val="00A32B05"/>
    <w:rsid w:val="00A32B8A"/>
    <w:rsid w:val="00A36479"/>
    <w:rsid w:val="00A36956"/>
    <w:rsid w:val="00A41823"/>
    <w:rsid w:val="00A42244"/>
    <w:rsid w:val="00A43FF8"/>
    <w:rsid w:val="00A468C0"/>
    <w:rsid w:val="00A5024C"/>
    <w:rsid w:val="00A558B8"/>
    <w:rsid w:val="00A75235"/>
    <w:rsid w:val="00A81BBC"/>
    <w:rsid w:val="00A8431E"/>
    <w:rsid w:val="00A85FDF"/>
    <w:rsid w:val="00A90157"/>
    <w:rsid w:val="00A912C9"/>
    <w:rsid w:val="00A9199C"/>
    <w:rsid w:val="00A928D2"/>
    <w:rsid w:val="00A93D78"/>
    <w:rsid w:val="00A93DCA"/>
    <w:rsid w:val="00A957FB"/>
    <w:rsid w:val="00A95C09"/>
    <w:rsid w:val="00AA2F30"/>
    <w:rsid w:val="00AA4C5B"/>
    <w:rsid w:val="00AA5AE6"/>
    <w:rsid w:val="00AB21B9"/>
    <w:rsid w:val="00AB2427"/>
    <w:rsid w:val="00AB60B5"/>
    <w:rsid w:val="00AC2AF9"/>
    <w:rsid w:val="00AC486E"/>
    <w:rsid w:val="00AC75B2"/>
    <w:rsid w:val="00AD1F5C"/>
    <w:rsid w:val="00AD5C30"/>
    <w:rsid w:val="00AD6B64"/>
    <w:rsid w:val="00AD79A8"/>
    <w:rsid w:val="00AD7EF8"/>
    <w:rsid w:val="00AE118E"/>
    <w:rsid w:val="00AE62E4"/>
    <w:rsid w:val="00AE7027"/>
    <w:rsid w:val="00AF1A27"/>
    <w:rsid w:val="00AF434A"/>
    <w:rsid w:val="00AF5C75"/>
    <w:rsid w:val="00AF6E3F"/>
    <w:rsid w:val="00AF71F0"/>
    <w:rsid w:val="00B03E32"/>
    <w:rsid w:val="00B04151"/>
    <w:rsid w:val="00B0466B"/>
    <w:rsid w:val="00B04949"/>
    <w:rsid w:val="00B05B6F"/>
    <w:rsid w:val="00B0646B"/>
    <w:rsid w:val="00B10AF5"/>
    <w:rsid w:val="00B139E9"/>
    <w:rsid w:val="00B220D2"/>
    <w:rsid w:val="00B22E56"/>
    <w:rsid w:val="00B30447"/>
    <w:rsid w:val="00B30572"/>
    <w:rsid w:val="00B32C4F"/>
    <w:rsid w:val="00B364A1"/>
    <w:rsid w:val="00B5427D"/>
    <w:rsid w:val="00B56E76"/>
    <w:rsid w:val="00B63804"/>
    <w:rsid w:val="00B63DEE"/>
    <w:rsid w:val="00B649BF"/>
    <w:rsid w:val="00B65F9A"/>
    <w:rsid w:val="00B66117"/>
    <w:rsid w:val="00B67118"/>
    <w:rsid w:val="00B84169"/>
    <w:rsid w:val="00B86AC5"/>
    <w:rsid w:val="00B92046"/>
    <w:rsid w:val="00B92076"/>
    <w:rsid w:val="00B9600C"/>
    <w:rsid w:val="00BA0C20"/>
    <w:rsid w:val="00BB1F45"/>
    <w:rsid w:val="00BC31C8"/>
    <w:rsid w:val="00BC70D9"/>
    <w:rsid w:val="00BC7717"/>
    <w:rsid w:val="00BD2840"/>
    <w:rsid w:val="00BE0373"/>
    <w:rsid w:val="00BE3F2E"/>
    <w:rsid w:val="00BF2478"/>
    <w:rsid w:val="00BF2489"/>
    <w:rsid w:val="00BF52F1"/>
    <w:rsid w:val="00C1062A"/>
    <w:rsid w:val="00C11D9D"/>
    <w:rsid w:val="00C1591F"/>
    <w:rsid w:val="00C22EE6"/>
    <w:rsid w:val="00C25918"/>
    <w:rsid w:val="00C329F6"/>
    <w:rsid w:val="00C3467D"/>
    <w:rsid w:val="00C409E6"/>
    <w:rsid w:val="00C548D8"/>
    <w:rsid w:val="00C607EC"/>
    <w:rsid w:val="00C615A9"/>
    <w:rsid w:val="00C634AF"/>
    <w:rsid w:val="00C64E25"/>
    <w:rsid w:val="00C65B86"/>
    <w:rsid w:val="00C65FCA"/>
    <w:rsid w:val="00C70EB6"/>
    <w:rsid w:val="00C80907"/>
    <w:rsid w:val="00C80996"/>
    <w:rsid w:val="00C81112"/>
    <w:rsid w:val="00C81FE6"/>
    <w:rsid w:val="00C846A9"/>
    <w:rsid w:val="00C87B9A"/>
    <w:rsid w:val="00C87CD1"/>
    <w:rsid w:val="00C91182"/>
    <w:rsid w:val="00C92394"/>
    <w:rsid w:val="00C93B8B"/>
    <w:rsid w:val="00CA1378"/>
    <w:rsid w:val="00CB125C"/>
    <w:rsid w:val="00CB17D9"/>
    <w:rsid w:val="00CB1FCF"/>
    <w:rsid w:val="00CB2589"/>
    <w:rsid w:val="00CB550B"/>
    <w:rsid w:val="00CC023C"/>
    <w:rsid w:val="00CC0590"/>
    <w:rsid w:val="00CC4EF1"/>
    <w:rsid w:val="00CD0F44"/>
    <w:rsid w:val="00CD79DF"/>
    <w:rsid w:val="00CE3AEE"/>
    <w:rsid w:val="00CE714F"/>
    <w:rsid w:val="00CE75C2"/>
    <w:rsid w:val="00CF5421"/>
    <w:rsid w:val="00CF576A"/>
    <w:rsid w:val="00CF5C91"/>
    <w:rsid w:val="00D0554B"/>
    <w:rsid w:val="00D07779"/>
    <w:rsid w:val="00D13723"/>
    <w:rsid w:val="00D213EB"/>
    <w:rsid w:val="00D24908"/>
    <w:rsid w:val="00D260C3"/>
    <w:rsid w:val="00D320B2"/>
    <w:rsid w:val="00D33344"/>
    <w:rsid w:val="00D35984"/>
    <w:rsid w:val="00D426FA"/>
    <w:rsid w:val="00D50A1D"/>
    <w:rsid w:val="00D51CB6"/>
    <w:rsid w:val="00D55BF1"/>
    <w:rsid w:val="00D56DAA"/>
    <w:rsid w:val="00D578CB"/>
    <w:rsid w:val="00D72BE4"/>
    <w:rsid w:val="00D736BD"/>
    <w:rsid w:val="00D747E2"/>
    <w:rsid w:val="00D8473B"/>
    <w:rsid w:val="00D879A8"/>
    <w:rsid w:val="00D91996"/>
    <w:rsid w:val="00D955FB"/>
    <w:rsid w:val="00D959B2"/>
    <w:rsid w:val="00D96DB6"/>
    <w:rsid w:val="00DA069C"/>
    <w:rsid w:val="00DA3E57"/>
    <w:rsid w:val="00DA4B0A"/>
    <w:rsid w:val="00DA4FEE"/>
    <w:rsid w:val="00DA516C"/>
    <w:rsid w:val="00DA7434"/>
    <w:rsid w:val="00DB01C9"/>
    <w:rsid w:val="00DB6C87"/>
    <w:rsid w:val="00DC3D92"/>
    <w:rsid w:val="00DC7C5E"/>
    <w:rsid w:val="00DD4354"/>
    <w:rsid w:val="00DD69F2"/>
    <w:rsid w:val="00DD6BF4"/>
    <w:rsid w:val="00DF23F4"/>
    <w:rsid w:val="00DF30A5"/>
    <w:rsid w:val="00E032A5"/>
    <w:rsid w:val="00E04B5A"/>
    <w:rsid w:val="00E062F9"/>
    <w:rsid w:val="00E13165"/>
    <w:rsid w:val="00E173F7"/>
    <w:rsid w:val="00E205E5"/>
    <w:rsid w:val="00E2487C"/>
    <w:rsid w:val="00E27B45"/>
    <w:rsid w:val="00E27B52"/>
    <w:rsid w:val="00E368B2"/>
    <w:rsid w:val="00E40CD3"/>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875E4"/>
    <w:rsid w:val="00E924F2"/>
    <w:rsid w:val="00EA0A58"/>
    <w:rsid w:val="00EA25C2"/>
    <w:rsid w:val="00EA3CA8"/>
    <w:rsid w:val="00EA4765"/>
    <w:rsid w:val="00EA4839"/>
    <w:rsid w:val="00EA64BC"/>
    <w:rsid w:val="00EC3B1B"/>
    <w:rsid w:val="00EC3C6F"/>
    <w:rsid w:val="00ED29F1"/>
    <w:rsid w:val="00ED7CCD"/>
    <w:rsid w:val="00EE108C"/>
    <w:rsid w:val="00EE2EDA"/>
    <w:rsid w:val="00EE629D"/>
    <w:rsid w:val="00EF1695"/>
    <w:rsid w:val="00EF2074"/>
    <w:rsid w:val="00F017BF"/>
    <w:rsid w:val="00F0773C"/>
    <w:rsid w:val="00F11410"/>
    <w:rsid w:val="00F15807"/>
    <w:rsid w:val="00F20353"/>
    <w:rsid w:val="00F22BB5"/>
    <w:rsid w:val="00F31123"/>
    <w:rsid w:val="00F3117F"/>
    <w:rsid w:val="00F33EB5"/>
    <w:rsid w:val="00F35ACC"/>
    <w:rsid w:val="00F35C99"/>
    <w:rsid w:val="00F44401"/>
    <w:rsid w:val="00F500A7"/>
    <w:rsid w:val="00F57ABD"/>
    <w:rsid w:val="00F65645"/>
    <w:rsid w:val="00F65767"/>
    <w:rsid w:val="00F7229A"/>
    <w:rsid w:val="00F76795"/>
    <w:rsid w:val="00F9098C"/>
    <w:rsid w:val="00F919EA"/>
    <w:rsid w:val="00F9550A"/>
    <w:rsid w:val="00F97DB3"/>
    <w:rsid w:val="00FA05E4"/>
    <w:rsid w:val="00FA1C30"/>
    <w:rsid w:val="00FA2B83"/>
    <w:rsid w:val="00FA6675"/>
    <w:rsid w:val="00FB101F"/>
    <w:rsid w:val="00FB2817"/>
    <w:rsid w:val="00FB60C3"/>
    <w:rsid w:val="00FC1809"/>
    <w:rsid w:val="00FC46DC"/>
    <w:rsid w:val="00FD0868"/>
    <w:rsid w:val="00FD3CE8"/>
    <w:rsid w:val="00FD6247"/>
    <w:rsid w:val="00FE059A"/>
    <w:rsid w:val="00FE2BDE"/>
    <w:rsid w:val="00FE52E6"/>
    <w:rsid w:val="00FE652F"/>
    <w:rsid w:val="00FE7410"/>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character" w:customStyle="1" w:styleId="SinespaciadoCar">
    <w:name w:val="Sin espaciado Car"/>
    <w:link w:val="Sinespaciado"/>
    <w:uiPriority w:val="1"/>
    <w:locked/>
    <w:rsid w:val="00814A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562694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29237805">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3025-CF14-4CC0-8873-060C27BE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4582</Words>
  <Characters>25207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2016-11-02T15:41:00Z</cp:lastPrinted>
  <dcterms:created xsi:type="dcterms:W3CDTF">2016-10-27T18:49:00Z</dcterms:created>
  <dcterms:modified xsi:type="dcterms:W3CDTF">2017-02-28T13:41:00Z</dcterms:modified>
</cp:coreProperties>
</file>