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193" w:rsidRDefault="00DF6193" w:rsidP="00DF6193">
      <w:pPr>
        <w:pStyle w:val="NormalWeb"/>
        <w:pBdr>
          <w:top w:val="single" w:sz="4" w:space="1" w:color="auto"/>
          <w:left w:val="single" w:sz="4" w:space="4" w:color="auto"/>
          <w:bottom w:val="single" w:sz="4" w:space="1" w:color="auto"/>
          <w:right w:val="single" w:sz="4" w:space="4" w:color="auto"/>
        </w:pBdr>
        <w:jc w:val="center"/>
        <w:rPr>
          <w:rFonts w:ascii="Arial Narrow" w:hAnsi="Arial Narrow" w:cs="Tahoma"/>
          <w:bCs/>
          <w:color w:val="FF0000"/>
          <w:spacing w:val="-2"/>
          <w:sz w:val="18"/>
          <w:szCs w:val="18"/>
        </w:rPr>
      </w:pPr>
      <w:r>
        <w:rPr>
          <w:rFonts w:ascii="Arial Narrow" w:hAnsi="Arial Narrow" w:cs="Tahoma"/>
          <w:bCs/>
          <w:color w:val="FF0000"/>
          <w:spacing w:val="-2"/>
          <w:sz w:val="18"/>
          <w:szCs w:val="18"/>
        </w:rPr>
        <w:t xml:space="preserve">El siguiente es el documento presentado por </w:t>
      </w:r>
      <w:r>
        <w:rPr>
          <w:rFonts w:ascii="Arial Narrow" w:hAnsi="Arial Narrow"/>
          <w:bCs/>
          <w:color w:val="FF0000"/>
          <w:spacing w:val="-2"/>
          <w:sz w:val="18"/>
          <w:szCs w:val="18"/>
        </w:rPr>
        <w:t>el</w:t>
      </w:r>
      <w:r>
        <w:rPr>
          <w:rFonts w:ascii="Arial Narrow" w:hAnsi="Arial Narrow" w:cs="Tahoma"/>
          <w:bCs/>
          <w:color w:val="FF0000"/>
          <w:spacing w:val="-2"/>
          <w:sz w:val="18"/>
          <w:szCs w:val="18"/>
        </w:rPr>
        <w:t xml:space="preserve"> Magistrad</w:t>
      </w:r>
      <w:r>
        <w:rPr>
          <w:rFonts w:ascii="Arial Narrow" w:hAnsi="Arial Narrow"/>
          <w:bCs/>
          <w:color w:val="FF0000"/>
          <w:spacing w:val="-2"/>
          <w:sz w:val="18"/>
          <w:szCs w:val="18"/>
        </w:rPr>
        <w:t>o</w:t>
      </w:r>
      <w:r>
        <w:rPr>
          <w:rFonts w:ascii="Arial Narrow" w:hAnsi="Arial Narrow" w:cs="Tahoma"/>
          <w:bCs/>
          <w:color w:val="FF0000"/>
          <w:spacing w:val="-2"/>
          <w:sz w:val="18"/>
          <w:szCs w:val="18"/>
        </w:rPr>
        <w:t xml:space="preserve"> ponente que sirvió de base para proferir la providencia dentro del proceso de la referencia. El contenido total y fiel de la decisión debe ser verificado en la Secretaría.</w:t>
      </w:r>
    </w:p>
    <w:p w:rsidR="00DF6193" w:rsidRPr="003128D3" w:rsidRDefault="00DF6193" w:rsidP="001773AC">
      <w:pPr>
        <w:pStyle w:val="Sinespaciado"/>
        <w:jc w:val="both"/>
        <w:rPr>
          <w:rFonts w:ascii="Calibri" w:hAnsi="Calibri"/>
          <w:b/>
          <w:sz w:val="18"/>
          <w:szCs w:val="18"/>
        </w:rPr>
      </w:pPr>
      <w:r w:rsidRPr="003128D3">
        <w:rPr>
          <w:rFonts w:ascii="Calibri" w:hAnsi="Calibri"/>
          <w:b/>
          <w:sz w:val="18"/>
          <w:szCs w:val="18"/>
        </w:rPr>
        <w:t xml:space="preserve">LESIONES CULPOSAS / ANULA SENTENCIA Y DECRETA CESACIÓN DEL PROCEDIMIENTO POR PRESCRIPCIÓN / </w:t>
      </w:r>
    </w:p>
    <w:p w:rsidR="00DF6193" w:rsidRPr="003128D3" w:rsidRDefault="00DF6193" w:rsidP="001773AC">
      <w:pPr>
        <w:pStyle w:val="Sinespaciado"/>
        <w:jc w:val="both"/>
        <w:rPr>
          <w:rFonts w:ascii="Calibri" w:hAnsi="Calibri"/>
          <w:sz w:val="18"/>
          <w:szCs w:val="18"/>
        </w:rPr>
      </w:pPr>
    </w:p>
    <w:p w:rsidR="001773AC" w:rsidRPr="003128D3" w:rsidRDefault="001773AC" w:rsidP="001773AC">
      <w:pPr>
        <w:pStyle w:val="Sinespaciado"/>
        <w:jc w:val="both"/>
        <w:rPr>
          <w:rFonts w:ascii="Calibri" w:hAnsi="Calibri"/>
          <w:sz w:val="18"/>
          <w:szCs w:val="18"/>
        </w:rPr>
      </w:pPr>
      <w:r w:rsidRPr="003128D3">
        <w:rPr>
          <w:rFonts w:ascii="Calibri" w:hAnsi="Calibri"/>
          <w:sz w:val="18"/>
          <w:szCs w:val="18"/>
        </w:rPr>
        <w:t xml:space="preserve">“La formulación de imputación se realizó en septiembre 02 de 2013 por la conducta punible de lesiones personales culposas, al tenor de los artículos </w:t>
      </w:r>
      <w:r w:rsidRPr="003128D3">
        <w:rPr>
          <w:rStyle w:val="EncabezadoCar"/>
          <w:rFonts w:ascii="Calibri" w:hAnsi="Calibri"/>
          <w:sz w:val="18"/>
          <w:szCs w:val="18"/>
          <w:lang w:val="es-CO" w:eastAsia="en-US"/>
        </w:rPr>
        <w:t>111, 112 inciso 3, 113 inciso 2 y 4, 114 inciso 2, 116, 117 y 120 C.P.</w:t>
      </w:r>
      <w:r w:rsidRPr="003128D3">
        <w:rPr>
          <w:rFonts w:ascii="Calibri" w:hAnsi="Calibri"/>
          <w:sz w:val="18"/>
          <w:szCs w:val="18"/>
        </w:rPr>
        <w:t xml:space="preserve"> De conformidad con lo establecido en el artículo 117 ibídem acerca de la unidad punitiva, la pena más grave es la contenida en el artículo 116 que oscila entre 96 y 180 meses, los cuales deben ser disminuidos de las 4/5 a las 3/4 partes según lo consagrado en el 120 ibídem por tratarse de un delito culposo, por lo que la sanción oscilaría entre 19.2 meses a 45  meses de prisión.</w:t>
      </w:r>
    </w:p>
    <w:p w:rsidR="001773AC" w:rsidRPr="003128D3" w:rsidRDefault="001773AC" w:rsidP="001773AC">
      <w:pPr>
        <w:pStyle w:val="Sinespaciado"/>
        <w:jc w:val="both"/>
        <w:rPr>
          <w:rFonts w:ascii="Calibri" w:hAnsi="Calibri"/>
          <w:sz w:val="18"/>
          <w:szCs w:val="18"/>
        </w:rPr>
      </w:pPr>
    </w:p>
    <w:p w:rsidR="001773AC" w:rsidRPr="003128D3" w:rsidRDefault="001773AC" w:rsidP="001773AC">
      <w:pPr>
        <w:pStyle w:val="Sinespaciado"/>
        <w:jc w:val="both"/>
        <w:rPr>
          <w:rFonts w:ascii="Calibri" w:hAnsi="Calibri"/>
          <w:sz w:val="18"/>
          <w:szCs w:val="18"/>
        </w:rPr>
      </w:pPr>
      <w:r w:rsidRPr="003128D3">
        <w:rPr>
          <w:rFonts w:ascii="Calibri" w:hAnsi="Calibri"/>
          <w:sz w:val="18"/>
          <w:szCs w:val="18"/>
        </w:rPr>
        <w:t xml:space="preserve">De acuerdo con lo consagrado en el artículo 292 de la Ley 906/04, ese acto de comunicación interrumpió el término de prescripción, y empezó a correr nuevamente por un tiempo igual a la mitad del señalado en el artículo 83 C.P.,  sin que sea inferior a tres (3) años. </w:t>
      </w:r>
    </w:p>
    <w:p w:rsidR="001773AC" w:rsidRPr="003128D3" w:rsidRDefault="001773AC" w:rsidP="001773AC">
      <w:pPr>
        <w:pStyle w:val="Sinespaciado"/>
        <w:jc w:val="both"/>
        <w:rPr>
          <w:rFonts w:ascii="Calibri" w:hAnsi="Calibri"/>
          <w:sz w:val="18"/>
          <w:szCs w:val="18"/>
        </w:rPr>
      </w:pPr>
    </w:p>
    <w:p w:rsidR="001773AC" w:rsidRPr="003128D3" w:rsidRDefault="001773AC" w:rsidP="001773AC">
      <w:pPr>
        <w:pStyle w:val="Sinespaciado"/>
        <w:jc w:val="both"/>
        <w:rPr>
          <w:rFonts w:ascii="Calibri" w:hAnsi="Calibri"/>
          <w:sz w:val="18"/>
          <w:szCs w:val="18"/>
        </w:rPr>
      </w:pPr>
      <w:r w:rsidRPr="003128D3">
        <w:rPr>
          <w:rFonts w:ascii="Calibri" w:hAnsi="Calibri"/>
          <w:sz w:val="18"/>
          <w:szCs w:val="18"/>
        </w:rPr>
        <w:t xml:space="preserve">En este caso la mitad del máximo de la pena serían 22.5 meses, por lo que debe aplicarse el término de 3 años; lo que significa que la prescripción tuvo lugar en septiembre 02 de 2016, esto es, doce (12) días antes de dictarse el fallo </w:t>
      </w:r>
      <w:bookmarkStart w:id="0" w:name="_GoBack"/>
      <w:r w:rsidRPr="003128D3">
        <w:rPr>
          <w:rFonts w:ascii="Calibri" w:hAnsi="Calibri"/>
          <w:sz w:val="18"/>
          <w:szCs w:val="18"/>
        </w:rPr>
        <w:t xml:space="preserve">de </w:t>
      </w:r>
      <w:bookmarkEnd w:id="0"/>
      <w:r w:rsidRPr="003128D3">
        <w:rPr>
          <w:rFonts w:ascii="Calibri" w:hAnsi="Calibri"/>
          <w:sz w:val="18"/>
          <w:szCs w:val="18"/>
        </w:rPr>
        <w:t>primera instancia.”</w:t>
      </w:r>
    </w:p>
    <w:p w:rsidR="001773AC" w:rsidRPr="003128D3" w:rsidRDefault="001773AC" w:rsidP="001773AC">
      <w:pPr>
        <w:pStyle w:val="Sinespaciado"/>
        <w:jc w:val="both"/>
        <w:rPr>
          <w:rFonts w:ascii="Calibri" w:hAnsi="Calibri"/>
          <w:sz w:val="18"/>
          <w:szCs w:val="18"/>
        </w:rPr>
      </w:pPr>
      <w:r w:rsidRPr="003128D3">
        <w:rPr>
          <w:rFonts w:ascii="Calibri" w:hAnsi="Calibri"/>
          <w:sz w:val="18"/>
          <w:szCs w:val="18"/>
        </w:rPr>
        <w:t>(…)</w:t>
      </w:r>
    </w:p>
    <w:p w:rsidR="001773AC" w:rsidRPr="003128D3" w:rsidRDefault="001773AC" w:rsidP="001773AC">
      <w:pPr>
        <w:pStyle w:val="Sinespaciado"/>
        <w:jc w:val="both"/>
        <w:rPr>
          <w:rFonts w:ascii="Calibri" w:hAnsi="Calibri"/>
          <w:sz w:val="18"/>
          <w:szCs w:val="18"/>
        </w:rPr>
      </w:pPr>
    </w:p>
    <w:p w:rsidR="001773AC" w:rsidRPr="003128D3" w:rsidRDefault="001773AC" w:rsidP="001773AC">
      <w:pPr>
        <w:pStyle w:val="Sinespaciado"/>
        <w:jc w:val="both"/>
        <w:rPr>
          <w:rFonts w:ascii="Calibri" w:eastAsia="Adobe Gothic Std B" w:hAnsi="Calibri"/>
          <w:sz w:val="18"/>
          <w:szCs w:val="18"/>
        </w:rPr>
      </w:pPr>
      <w:r w:rsidRPr="003128D3">
        <w:rPr>
          <w:rFonts w:ascii="Calibri" w:hAnsi="Calibri"/>
          <w:sz w:val="18"/>
          <w:szCs w:val="18"/>
        </w:rPr>
        <w:t xml:space="preserve">“Así las cosas, al Tribunal no le queda alternativa diferente </w:t>
      </w:r>
      <w:r w:rsidRPr="003128D3">
        <w:rPr>
          <w:rFonts w:ascii="Calibri" w:eastAsia="Adobe Gothic Std B" w:hAnsi="Calibri"/>
          <w:sz w:val="18"/>
          <w:szCs w:val="18"/>
        </w:rPr>
        <w:t xml:space="preserve">a declarar la nulidad de la actuación procesal a partir de la sentencia de primera instancia, por cuanto la misma carece de validez, ya que para el momento en que fue emitida había fenecido la facultad sancionadora del Estado, lo que le impedía al fallador pronunciarse de fondo sobre el asunto, irregularidad que afectó el debido proceso en su núcleo esencial, en consideración a que lo que procedía era declarar la prescripción de la actuación; en consecuencia, se dictará la correspondiente preclusión a favor del procesado, y se dispondrá el archivo de la actuación una vez se encuentre en firme esta decisión. </w:t>
      </w:r>
    </w:p>
    <w:p w:rsidR="001773AC" w:rsidRPr="003128D3" w:rsidRDefault="001773AC" w:rsidP="001773AC">
      <w:pPr>
        <w:pStyle w:val="Sinespaciado"/>
        <w:jc w:val="both"/>
        <w:rPr>
          <w:rFonts w:ascii="Calibri" w:hAnsi="Calibri"/>
          <w:sz w:val="18"/>
          <w:szCs w:val="18"/>
        </w:rPr>
      </w:pPr>
    </w:p>
    <w:p w:rsidR="001773AC" w:rsidRPr="003128D3" w:rsidRDefault="001773AC" w:rsidP="001773AC">
      <w:pPr>
        <w:pStyle w:val="Sinespaciado"/>
        <w:jc w:val="both"/>
        <w:rPr>
          <w:rFonts w:ascii="Calibri" w:hAnsi="Calibri"/>
          <w:sz w:val="18"/>
          <w:szCs w:val="18"/>
        </w:rPr>
      </w:pPr>
      <w:r w:rsidRPr="003128D3">
        <w:rPr>
          <w:rFonts w:ascii="Calibri" w:hAnsi="Calibri"/>
          <w:sz w:val="18"/>
          <w:szCs w:val="18"/>
        </w:rPr>
        <w:t>Se aclara que el apoderado de la víctima tiene abierta la posibilidad de demandar los perjuicios derivados del hecho ante la jurisdicción civil, de conformidad con lo indicado en sentencia de casación penal de enero 18 de 2012 con radicado 36.841.”</w:t>
      </w:r>
    </w:p>
    <w:p w:rsidR="001773AC" w:rsidRPr="003128D3" w:rsidRDefault="001773AC" w:rsidP="001773AC">
      <w:pPr>
        <w:pStyle w:val="Sinespaciado"/>
        <w:jc w:val="both"/>
        <w:rPr>
          <w:rFonts w:ascii="Calibri" w:hAnsi="Calibri"/>
          <w:sz w:val="18"/>
          <w:szCs w:val="18"/>
        </w:rPr>
      </w:pPr>
    </w:p>
    <w:p w:rsidR="001773AC" w:rsidRPr="003128D3" w:rsidRDefault="001773AC" w:rsidP="001773AC">
      <w:pPr>
        <w:pStyle w:val="Sinespaciado"/>
        <w:jc w:val="both"/>
        <w:rPr>
          <w:rFonts w:ascii="Calibri" w:hAnsi="Calibri"/>
          <w:sz w:val="18"/>
          <w:szCs w:val="18"/>
        </w:rPr>
      </w:pPr>
      <w:r w:rsidRPr="003128D3">
        <w:rPr>
          <w:rFonts w:ascii="Calibri" w:hAnsi="Calibri"/>
          <w:b/>
          <w:sz w:val="18"/>
          <w:szCs w:val="18"/>
        </w:rPr>
        <w:t xml:space="preserve">Citación jurisprudencial: </w:t>
      </w:r>
      <w:r w:rsidRPr="003128D3">
        <w:rPr>
          <w:rFonts w:ascii="Calibri" w:hAnsi="Calibri"/>
          <w:sz w:val="18"/>
          <w:szCs w:val="18"/>
        </w:rPr>
        <w:t xml:space="preserve">CSJ SP, 21 agos. 2013, rad. 40587. / CSJ SP, 11 mar. 2015, rad. 42895. / CSJ SP, 28 oct. 2015, rad. 42628. / </w:t>
      </w:r>
    </w:p>
    <w:p w:rsidR="00DF6193" w:rsidRDefault="00DF6193" w:rsidP="00DF6193">
      <w:pPr>
        <w:pStyle w:val="Sinespaciado"/>
        <w:jc w:val="both"/>
        <w:rPr>
          <w:rFonts w:ascii="Calibri" w:hAnsi="Calibri"/>
          <w:spacing w:val="-2"/>
          <w:sz w:val="18"/>
          <w:szCs w:val="18"/>
          <w:lang w:val="es-ES_tradnl"/>
        </w:rPr>
      </w:pPr>
    </w:p>
    <w:p w:rsidR="00DF6193" w:rsidRPr="004A3D6C" w:rsidRDefault="00DF6193" w:rsidP="00DF6193">
      <w:pPr>
        <w:pStyle w:val="Sinespaciado"/>
        <w:jc w:val="center"/>
        <w:rPr>
          <w:rFonts w:ascii="Calibri" w:hAnsi="Calibri"/>
          <w:spacing w:val="-2"/>
          <w:sz w:val="18"/>
          <w:szCs w:val="18"/>
          <w:lang w:val="es-ES_tradnl"/>
        </w:rPr>
      </w:pPr>
      <w:r>
        <w:rPr>
          <w:rFonts w:ascii="Calibri" w:hAnsi="Calibri"/>
          <w:spacing w:val="-2"/>
          <w:sz w:val="18"/>
          <w:szCs w:val="18"/>
          <w:lang w:val="es-ES_tradnl"/>
        </w:rPr>
        <w:t>--------------------------------------------------------------------------------------------------------------------------</w:t>
      </w:r>
    </w:p>
    <w:p w:rsidR="00DF6193" w:rsidRDefault="00DF6193" w:rsidP="00DF6193">
      <w:pPr>
        <w:spacing w:line="240" w:lineRule="auto"/>
        <w:rPr>
          <w:spacing w:val="2"/>
          <w:sz w:val="12"/>
          <w:szCs w:val="12"/>
        </w:rPr>
      </w:pPr>
    </w:p>
    <w:p w:rsidR="00DF6193" w:rsidRDefault="00DF6193" w:rsidP="00B25DDF">
      <w:pPr>
        <w:spacing w:line="240" w:lineRule="auto"/>
        <w:rPr>
          <w:sz w:val="12"/>
          <w:szCs w:val="12"/>
        </w:rPr>
      </w:pPr>
    </w:p>
    <w:p w:rsidR="00B25DDF" w:rsidRPr="00BF5DAF" w:rsidRDefault="00310AA0" w:rsidP="00B25DDF">
      <w:pPr>
        <w:spacing w:line="240" w:lineRule="auto"/>
        <w:rPr>
          <w:b/>
          <w:sz w:val="12"/>
          <w:szCs w:val="12"/>
        </w:rPr>
      </w:pPr>
      <w:r w:rsidRPr="00BF5DAF">
        <w:rPr>
          <w:sz w:val="12"/>
          <w:szCs w:val="12"/>
        </w:rPr>
        <w:t xml:space="preserve">         </w:t>
      </w:r>
      <w:r w:rsidR="00B25DDF" w:rsidRPr="00BF5DAF">
        <w:rPr>
          <w:sz w:val="12"/>
          <w:szCs w:val="12"/>
        </w:rPr>
        <w:t xml:space="preserve">                         </w:t>
      </w:r>
      <w:r w:rsidRPr="00BF5DAF">
        <w:rPr>
          <w:sz w:val="12"/>
          <w:szCs w:val="12"/>
        </w:rPr>
        <w:t xml:space="preserve">  </w:t>
      </w:r>
      <w:r w:rsidR="00B25DDF" w:rsidRPr="00BF5DAF">
        <w:rPr>
          <w:sz w:val="12"/>
          <w:szCs w:val="12"/>
        </w:rPr>
        <w:t xml:space="preserve"> </w:t>
      </w:r>
      <w:r w:rsidRPr="00BF5DAF">
        <w:rPr>
          <w:sz w:val="12"/>
          <w:szCs w:val="12"/>
        </w:rPr>
        <w:t xml:space="preserve"> </w:t>
      </w:r>
      <w:r w:rsidR="00B25DDF" w:rsidRPr="00BF5DAF">
        <w:rPr>
          <w:sz w:val="12"/>
          <w:szCs w:val="12"/>
        </w:rPr>
        <w:t xml:space="preserve">                                   </w:t>
      </w:r>
      <w:r w:rsidR="007F4388" w:rsidRPr="00BF5DAF">
        <w:rPr>
          <w:sz w:val="12"/>
          <w:szCs w:val="12"/>
        </w:rPr>
        <w:t xml:space="preserve">     </w:t>
      </w:r>
      <w:r w:rsidR="00B25DDF" w:rsidRPr="00BF5DAF">
        <w:rPr>
          <w:sz w:val="12"/>
          <w:szCs w:val="12"/>
        </w:rPr>
        <w:t xml:space="preserve">              </w:t>
      </w:r>
      <w:r w:rsidR="00FA129F" w:rsidRPr="00BF5DAF">
        <w:rPr>
          <w:sz w:val="12"/>
          <w:szCs w:val="12"/>
        </w:rPr>
        <w:t xml:space="preserve">   </w:t>
      </w:r>
      <w:r w:rsidR="006E15C0" w:rsidRPr="00BF5DAF">
        <w:rPr>
          <w:sz w:val="12"/>
          <w:szCs w:val="12"/>
        </w:rPr>
        <w:t xml:space="preserve"> </w:t>
      </w:r>
      <w:r w:rsidR="007F4388" w:rsidRPr="00BF5DAF">
        <w:rPr>
          <w:sz w:val="12"/>
          <w:szCs w:val="12"/>
        </w:rPr>
        <w:t xml:space="preserve">   </w:t>
      </w:r>
      <w:r w:rsidR="00BF5DAF" w:rsidRPr="00BF5DAF">
        <w:rPr>
          <w:sz w:val="12"/>
          <w:szCs w:val="12"/>
        </w:rPr>
        <w:t xml:space="preserve">        </w:t>
      </w:r>
      <w:r w:rsidR="00B25DDF" w:rsidRPr="00BF5DAF">
        <w:rPr>
          <w:b/>
          <w:sz w:val="12"/>
          <w:szCs w:val="12"/>
        </w:rPr>
        <w:t>REPÚBLICA DE COLOMBIA</w:t>
      </w:r>
    </w:p>
    <w:p w:rsidR="00B25DDF" w:rsidRPr="00BF5DAF" w:rsidRDefault="00B25DDF" w:rsidP="00B25DDF">
      <w:pPr>
        <w:spacing w:line="240" w:lineRule="auto"/>
        <w:rPr>
          <w:b/>
          <w:sz w:val="12"/>
          <w:szCs w:val="12"/>
        </w:rPr>
      </w:pPr>
      <w:r w:rsidRPr="00BF5DAF">
        <w:rPr>
          <w:b/>
          <w:sz w:val="12"/>
          <w:szCs w:val="12"/>
        </w:rPr>
        <w:t xml:space="preserve">          </w:t>
      </w:r>
      <w:r w:rsidR="00310AA0" w:rsidRPr="00BF5DAF">
        <w:rPr>
          <w:b/>
          <w:sz w:val="12"/>
          <w:szCs w:val="12"/>
        </w:rPr>
        <w:t xml:space="preserve">           </w:t>
      </w:r>
      <w:r w:rsidRPr="00BF5DAF">
        <w:rPr>
          <w:b/>
          <w:sz w:val="12"/>
          <w:szCs w:val="12"/>
        </w:rPr>
        <w:t xml:space="preserve">             </w:t>
      </w:r>
      <w:r w:rsidR="00310AA0" w:rsidRPr="00BF5DAF">
        <w:rPr>
          <w:b/>
          <w:sz w:val="12"/>
          <w:szCs w:val="12"/>
        </w:rPr>
        <w:t xml:space="preserve">  </w:t>
      </w:r>
      <w:r w:rsidRPr="00BF5DAF">
        <w:rPr>
          <w:b/>
          <w:sz w:val="12"/>
          <w:szCs w:val="12"/>
        </w:rPr>
        <w:t xml:space="preserve">   </w:t>
      </w:r>
      <w:r w:rsidR="00310AA0" w:rsidRPr="00BF5DAF">
        <w:rPr>
          <w:b/>
          <w:sz w:val="12"/>
          <w:szCs w:val="12"/>
        </w:rPr>
        <w:t xml:space="preserve"> </w:t>
      </w:r>
      <w:r w:rsidRPr="00BF5DAF">
        <w:rPr>
          <w:b/>
          <w:sz w:val="12"/>
          <w:szCs w:val="12"/>
        </w:rPr>
        <w:t xml:space="preserve">                                    </w:t>
      </w:r>
      <w:r w:rsidR="00B33D4A" w:rsidRPr="00BF5DAF">
        <w:rPr>
          <w:b/>
          <w:sz w:val="12"/>
          <w:szCs w:val="12"/>
        </w:rPr>
        <w:t xml:space="preserve">        </w:t>
      </w:r>
      <w:r w:rsidR="007F4388" w:rsidRPr="00BF5DAF">
        <w:rPr>
          <w:b/>
          <w:sz w:val="12"/>
          <w:szCs w:val="12"/>
        </w:rPr>
        <w:t xml:space="preserve">          </w:t>
      </w:r>
      <w:r w:rsidR="00B33D4A" w:rsidRPr="00BF5DAF">
        <w:rPr>
          <w:b/>
          <w:sz w:val="12"/>
          <w:szCs w:val="12"/>
        </w:rPr>
        <w:t xml:space="preserve">           </w:t>
      </w:r>
      <w:r w:rsidR="007F4388" w:rsidRPr="00BF5DAF">
        <w:rPr>
          <w:b/>
          <w:sz w:val="12"/>
          <w:szCs w:val="12"/>
        </w:rPr>
        <w:t xml:space="preserve"> </w:t>
      </w:r>
      <w:r w:rsidR="00B33D4A" w:rsidRPr="00BF5DAF">
        <w:rPr>
          <w:b/>
          <w:sz w:val="12"/>
          <w:szCs w:val="12"/>
        </w:rPr>
        <w:t xml:space="preserve"> </w:t>
      </w:r>
      <w:r w:rsidR="007F4388" w:rsidRPr="00BF5DAF">
        <w:rPr>
          <w:b/>
          <w:sz w:val="12"/>
          <w:szCs w:val="12"/>
        </w:rPr>
        <w:t xml:space="preserve">  </w:t>
      </w:r>
      <w:r w:rsidR="00B33D4A" w:rsidRPr="00BF5DAF">
        <w:rPr>
          <w:b/>
          <w:sz w:val="12"/>
          <w:szCs w:val="12"/>
        </w:rPr>
        <w:t xml:space="preserve"> </w:t>
      </w:r>
      <w:r w:rsidR="00BF5DAF" w:rsidRPr="00BF5DAF">
        <w:rPr>
          <w:b/>
          <w:sz w:val="12"/>
          <w:szCs w:val="12"/>
        </w:rPr>
        <w:t xml:space="preserve">         </w:t>
      </w:r>
      <w:r w:rsidRPr="00BF5DAF">
        <w:rPr>
          <w:b/>
          <w:sz w:val="12"/>
          <w:szCs w:val="12"/>
        </w:rPr>
        <w:t xml:space="preserve"> PEREIRA-RISARALDA</w:t>
      </w:r>
    </w:p>
    <w:p w:rsidR="00B25DDF" w:rsidRPr="00BF5DAF" w:rsidRDefault="008B2CB2" w:rsidP="00B25DDF">
      <w:pPr>
        <w:tabs>
          <w:tab w:val="left" w:pos="3090"/>
        </w:tabs>
        <w:spacing w:line="240" w:lineRule="auto"/>
        <w:rPr>
          <w:sz w:val="12"/>
          <w:szCs w:val="12"/>
        </w:rPr>
      </w:pPr>
      <w:r w:rsidRPr="00BF5DAF">
        <w:rPr>
          <w:b/>
          <w:iCs/>
          <w:noProof/>
          <w:sz w:val="12"/>
          <w:szCs w:val="12"/>
          <w:lang w:eastAsia="es-ES"/>
        </w:rPr>
        <w:drawing>
          <wp:anchor distT="0" distB="0" distL="114300" distR="114300" simplePos="0" relativeHeight="251657728" behindDoc="1" locked="0" layoutInCell="1" allowOverlap="1">
            <wp:simplePos x="0" y="0"/>
            <wp:positionH relativeFrom="column">
              <wp:posOffset>2222500</wp:posOffset>
            </wp:positionH>
            <wp:positionV relativeFrom="paragraph">
              <wp:posOffset>157480</wp:posOffset>
            </wp:positionV>
            <wp:extent cx="777875" cy="532130"/>
            <wp:effectExtent l="0" t="0" r="3175" b="1270"/>
            <wp:wrapTopAndBottom/>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DDF" w:rsidRPr="00BF5DAF">
        <w:rPr>
          <w:b/>
          <w:sz w:val="12"/>
          <w:szCs w:val="12"/>
        </w:rPr>
        <w:t xml:space="preserve">                     </w:t>
      </w:r>
      <w:r w:rsidR="00310AA0" w:rsidRPr="00BF5DAF">
        <w:rPr>
          <w:b/>
          <w:sz w:val="12"/>
          <w:szCs w:val="12"/>
        </w:rPr>
        <w:t xml:space="preserve">             </w:t>
      </w:r>
      <w:r w:rsidR="00B25DDF" w:rsidRPr="00BF5DAF">
        <w:rPr>
          <w:b/>
          <w:sz w:val="12"/>
          <w:szCs w:val="12"/>
        </w:rPr>
        <w:t xml:space="preserve">                                                            </w:t>
      </w:r>
      <w:r w:rsidR="007F4388" w:rsidRPr="00BF5DAF">
        <w:rPr>
          <w:b/>
          <w:sz w:val="12"/>
          <w:szCs w:val="12"/>
        </w:rPr>
        <w:t xml:space="preserve">           </w:t>
      </w:r>
      <w:r w:rsidR="00B25DDF" w:rsidRPr="00BF5DAF">
        <w:rPr>
          <w:b/>
          <w:sz w:val="12"/>
          <w:szCs w:val="12"/>
        </w:rPr>
        <w:t xml:space="preserve">      </w:t>
      </w:r>
      <w:r w:rsidR="006E15C0" w:rsidRPr="00BF5DAF">
        <w:rPr>
          <w:b/>
          <w:sz w:val="12"/>
          <w:szCs w:val="12"/>
        </w:rPr>
        <w:t xml:space="preserve">  </w:t>
      </w:r>
      <w:r w:rsidR="00BF5DAF" w:rsidRPr="00BF5DAF">
        <w:rPr>
          <w:b/>
          <w:sz w:val="12"/>
          <w:szCs w:val="12"/>
        </w:rPr>
        <w:t xml:space="preserve">          </w:t>
      </w:r>
      <w:r w:rsidR="006E15C0" w:rsidRPr="00BF5DAF">
        <w:rPr>
          <w:b/>
          <w:sz w:val="12"/>
          <w:szCs w:val="12"/>
        </w:rPr>
        <w:t xml:space="preserve">  </w:t>
      </w:r>
      <w:r w:rsidR="00B25DDF" w:rsidRPr="00BF5DAF">
        <w:rPr>
          <w:b/>
          <w:sz w:val="12"/>
          <w:szCs w:val="12"/>
        </w:rPr>
        <w:t>RAMA JUDICIAL</w:t>
      </w:r>
    </w:p>
    <w:p w:rsidR="00B25DDF" w:rsidRPr="00BF5DAF" w:rsidRDefault="00B25DDF" w:rsidP="00B25DDF">
      <w:pPr>
        <w:spacing w:line="240" w:lineRule="auto"/>
        <w:jc w:val="center"/>
        <w:rPr>
          <w:rFonts w:ascii="Algerian" w:hAnsi="Algerian"/>
          <w:sz w:val="28"/>
          <w:szCs w:val="28"/>
        </w:rPr>
      </w:pPr>
      <w:r w:rsidRPr="00BF5DAF">
        <w:rPr>
          <w:rFonts w:ascii="Algerian" w:hAnsi="Algerian"/>
          <w:smallCaps/>
          <w:color w:val="000000"/>
          <w:sz w:val="28"/>
          <w:szCs w:val="28"/>
        </w:rPr>
        <w:t>TRIBUNAL SUPERIOR DE PEREIRA</w:t>
      </w:r>
    </w:p>
    <w:p w:rsidR="00B25DDF" w:rsidRPr="00BF5DAF" w:rsidRDefault="00B25DDF" w:rsidP="00B61E7B">
      <w:pPr>
        <w:pStyle w:val="Textoindependiente3"/>
        <w:tabs>
          <w:tab w:val="left" w:pos="1202"/>
        </w:tabs>
        <w:spacing w:line="240" w:lineRule="auto"/>
        <w:jc w:val="center"/>
        <w:rPr>
          <w:rFonts w:ascii="Algerian" w:hAnsi="Algerian"/>
          <w:sz w:val="28"/>
          <w:szCs w:val="28"/>
        </w:rPr>
      </w:pPr>
      <w:r w:rsidRPr="00BF5DAF">
        <w:rPr>
          <w:rFonts w:ascii="Algerian" w:hAnsi="Algerian"/>
          <w:sz w:val="28"/>
          <w:szCs w:val="28"/>
        </w:rPr>
        <w:t>SALA de decisión PENAL</w:t>
      </w:r>
    </w:p>
    <w:p w:rsidR="00B25DDF" w:rsidRPr="00BF5DAF" w:rsidRDefault="00B25DDF" w:rsidP="00B25DDF">
      <w:pPr>
        <w:spacing w:line="240" w:lineRule="auto"/>
        <w:jc w:val="center"/>
      </w:pPr>
      <w:r w:rsidRPr="00BF5DAF">
        <w:t>Magistrado Ponente</w:t>
      </w:r>
    </w:p>
    <w:p w:rsidR="00B25DDF" w:rsidRPr="00BF5DAF" w:rsidRDefault="00B25DDF" w:rsidP="00B25DDF">
      <w:pPr>
        <w:spacing w:line="240" w:lineRule="auto"/>
        <w:jc w:val="center"/>
        <w:rPr>
          <w:sz w:val="24"/>
          <w:szCs w:val="24"/>
        </w:rPr>
      </w:pPr>
      <w:r w:rsidRPr="00BF5DAF">
        <w:rPr>
          <w:sz w:val="24"/>
          <w:szCs w:val="24"/>
        </w:rPr>
        <w:t xml:space="preserve"> JORGE ARTURO CASTAÑO DUQUE</w:t>
      </w:r>
    </w:p>
    <w:p w:rsidR="00B25DDF" w:rsidRPr="00BF5DAF" w:rsidRDefault="00B25DDF" w:rsidP="00B25DDF">
      <w:pPr>
        <w:spacing w:line="240" w:lineRule="auto"/>
      </w:pPr>
      <w:r w:rsidRPr="00BF5DAF">
        <w:t xml:space="preserve">                                                 </w:t>
      </w:r>
    </w:p>
    <w:p w:rsidR="00FE7AA3" w:rsidRPr="00BF5DAF" w:rsidRDefault="00FE7AA3" w:rsidP="00B25DDF">
      <w:pPr>
        <w:spacing w:line="240" w:lineRule="auto"/>
      </w:pPr>
    </w:p>
    <w:p w:rsidR="00B25DDF" w:rsidRPr="00BF5DAF" w:rsidRDefault="00EE5EA2" w:rsidP="00B25DDF">
      <w:pPr>
        <w:spacing w:line="240" w:lineRule="auto"/>
        <w:jc w:val="center"/>
      </w:pPr>
      <w:r w:rsidRPr="00BF5DAF">
        <w:t xml:space="preserve">    Pereira, </w:t>
      </w:r>
      <w:r w:rsidR="00AB1D6F" w:rsidRPr="00BF5DAF">
        <w:t xml:space="preserve">diez </w:t>
      </w:r>
      <w:r w:rsidRPr="00BF5DAF">
        <w:t>(</w:t>
      </w:r>
      <w:r w:rsidR="00AB1D6F" w:rsidRPr="00BF5DAF">
        <w:t>10</w:t>
      </w:r>
      <w:r w:rsidR="00B25DDF" w:rsidRPr="00BF5DAF">
        <w:t>) d</w:t>
      </w:r>
      <w:r w:rsidR="00AC67D4" w:rsidRPr="00BF5DAF">
        <w:t>e octu</w:t>
      </w:r>
      <w:r w:rsidR="00E44369" w:rsidRPr="00BF5DAF">
        <w:t>bre</w:t>
      </w:r>
      <w:r w:rsidR="00A128E2" w:rsidRPr="00BF5DAF">
        <w:t xml:space="preserve"> </w:t>
      </w:r>
      <w:r w:rsidR="00B25DDF" w:rsidRPr="00BF5DAF">
        <w:t>de dos</w:t>
      </w:r>
      <w:r w:rsidR="00F61856" w:rsidRPr="00BF5DAF">
        <w:t xml:space="preserve"> mil dieciséis </w:t>
      </w:r>
      <w:r w:rsidR="00A44512" w:rsidRPr="00BF5DAF">
        <w:t>(201</w:t>
      </w:r>
      <w:r w:rsidR="00F61856" w:rsidRPr="00BF5DAF">
        <w:t>6</w:t>
      </w:r>
      <w:r w:rsidR="00B25DDF" w:rsidRPr="00BF5DAF">
        <w:t>)</w:t>
      </w:r>
    </w:p>
    <w:p w:rsidR="00B25DDF" w:rsidRPr="00BF5DAF" w:rsidRDefault="00B25DDF" w:rsidP="00B25DDF">
      <w:pPr>
        <w:spacing w:line="240" w:lineRule="auto"/>
        <w:jc w:val="center"/>
      </w:pPr>
    </w:p>
    <w:p w:rsidR="00FE7AA3" w:rsidRPr="00BF5DAF" w:rsidRDefault="00FE7AA3" w:rsidP="00B25DDF">
      <w:pPr>
        <w:spacing w:line="240" w:lineRule="auto"/>
        <w:jc w:val="center"/>
      </w:pPr>
    </w:p>
    <w:p w:rsidR="00B25DDF" w:rsidRPr="00BF5DAF" w:rsidRDefault="00B25DDF" w:rsidP="00B25DDF">
      <w:pPr>
        <w:spacing w:line="240" w:lineRule="auto"/>
        <w:jc w:val="center"/>
        <w:rPr>
          <w:sz w:val="24"/>
          <w:szCs w:val="24"/>
        </w:rPr>
      </w:pPr>
      <w:r w:rsidRPr="00BF5DAF">
        <w:rPr>
          <w:sz w:val="22"/>
          <w:szCs w:val="22"/>
        </w:rPr>
        <w:t xml:space="preserve">  </w:t>
      </w:r>
      <w:r w:rsidR="00AB1D6F" w:rsidRPr="00BF5DAF">
        <w:rPr>
          <w:sz w:val="24"/>
          <w:szCs w:val="24"/>
        </w:rPr>
        <w:t>ACTA DE APROBACIÓN N° 922</w:t>
      </w:r>
    </w:p>
    <w:p w:rsidR="00B25DDF" w:rsidRPr="00BF5DAF" w:rsidRDefault="00B25DDF" w:rsidP="00B25DDF">
      <w:pPr>
        <w:spacing w:line="240" w:lineRule="auto"/>
        <w:jc w:val="center"/>
        <w:rPr>
          <w:sz w:val="24"/>
          <w:szCs w:val="24"/>
        </w:rPr>
      </w:pPr>
      <w:r w:rsidRPr="00BF5DAF">
        <w:rPr>
          <w:sz w:val="24"/>
          <w:szCs w:val="24"/>
        </w:rPr>
        <w:t xml:space="preserve">  SEGUNDA INSTANCIA</w:t>
      </w:r>
    </w:p>
    <w:p w:rsidR="00664755" w:rsidRPr="00BF5DAF" w:rsidRDefault="00664755" w:rsidP="00B25DDF">
      <w:pPr>
        <w:spacing w:line="240"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4960"/>
      </w:tblGrid>
      <w:tr w:rsidR="00B25DDF" w:rsidRPr="00BF5DAF">
        <w:trPr>
          <w:trHeight w:val="259"/>
        </w:trPr>
        <w:tc>
          <w:tcPr>
            <w:tcW w:w="3860" w:type="dxa"/>
            <w:tcBorders>
              <w:top w:val="single" w:sz="4" w:space="0" w:color="auto"/>
              <w:left w:val="single" w:sz="4" w:space="0" w:color="auto"/>
              <w:bottom w:val="single" w:sz="4" w:space="0" w:color="auto"/>
              <w:right w:val="single" w:sz="4" w:space="0" w:color="auto"/>
            </w:tcBorders>
          </w:tcPr>
          <w:p w:rsidR="00B25DDF" w:rsidRPr="00BF5DAF" w:rsidRDefault="00B25DDF" w:rsidP="00ED2D17">
            <w:pPr>
              <w:pStyle w:val="Tablaidentificadora"/>
              <w:rPr>
                <w:szCs w:val="24"/>
              </w:rPr>
            </w:pPr>
            <w:r w:rsidRPr="00BF5DAF">
              <w:rPr>
                <w:szCs w:val="24"/>
              </w:rPr>
              <w:t xml:space="preserve">Fecha y hora de lectura: </w:t>
            </w:r>
          </w:p>
        </w:tc>
        <w:tc>
          <w:tcPr>
            <w:tcW w:w="4960" w:type="dxa"/>
            <w:tcBorders>
              <w:top w:val="single" w:sz="4" w:space="0" w:color="auto"/>
              <w:left w:val="single" w:sz="4" w:space="0" w:color="auto"/>
              <w:bottom w:val="single" w:sz="4" w:space="0" w:color="auto"/>
              <w:right w:val="single" w:sz="4" w:space="0" w:color="auto"/>
            </w:tcBorders>
          </w:tcPr>
          <w:p w:rsidR="00B25DDF" w:rsidRPr="00BF5DAF" w:rsidRDefault="00AB1D6F" w:rsidP="00ED2D17">
            <w:pPr>
              <w:pStyle w:val="Tablaidentificadora"/>
              <w:rPr>
                <w:rFonts w:cs="Tahoma"/>
                <w:szCs w:val="24"/>
              </w:rPr>
            </w:pPr>
            <w:r w:rsidRPr="00BF5DAF">
              <w:rPr>
                <w:rFonts w:cs="Tahoma"/>
                <w:szCs w:val="24"/>
              </w:rPr>
              <w:t>Octubre 14 de 2016, 9:30 a.m.</w:t>
            </w:r>
          </w:p>
        </w:tc>
      </w:tr>
      <w:tr w:rsidR="00B25DDF" w:rsidRPr="00BF5DAF">
        <w:trPr>
          <w:trHeight w:val="259"/>
        </w:trPr>
        <w:tc>
          <w:tcPr>
            <w:tcW w:w="3860" w:type="dxa"/>
            <w:tcBorders>
              <w:top w:val="single" w:sz="4" w:space="0" w:color="auto"/>
              <w:left w:val="single" w:sz="4" w:space="0" w:color="auto"/>
              <w:bottom w:val="single" w:sz="4" w:space="0" w:color="auto"/>
              <w:right w:val="single" w:sz="4" w:space="0" w:color="auto"/>
            </w:tcBorders>
          </w:tcPr>
          <w:p w:rsidR="00B25DDF" w:rsidRPr="00BF5DAF" w:rsidRDefault="00B25DDF" w:rsidP="00ED2D17">
            <w:pPr>
              <w:pStyle w:val="Tablaidentificadora"/>
              <w:rPr>
                <w:szCs w:val="24"/>
              </w:rPr>
            </w:pPr>
            <w:r w:rsidRPr="00BF5DAF">
              <w:rPr>
                <w:szCs w:val="24"/>
              </w:rPr>
              <w:t xml:space="preserve">Imputado: </w:t>
            </w:r>
          </w:p>
        </w:tc>
        <w:tc>
          <w:tcPr>
            <w:tcW w:w="4960" w:type="dxa"/>
            <w:tcBorders>
              <w:top w:val="single" w:sz="4" w:space="0" w:color="auto"/>
              <w:left w:val="single" w:sz="4" w:space="0" w:color="auto"/>
              <w:bottom w:val="single" w:sz="4" w:space="0" w:color="auto"/>
              <w:right w:val="single" w:sz="4" w:space="0" w:color="auto"/>
            </w:tcBorders>
          </w:tcPr>
          <w:p w:rsidR="00B25DDF" w:rsidRPr="00BF5DAF" w:rsidRDefault="00CF0026" w:rsidP="00ED2D17">
            <w:pPr>
              <w:pStyle w:val="Tablaidentificadora"/>
              <w:rPr>
                <w:rFonts w:cs="Tahoma"/>
                <w:szCs w:val="24"/>
              </w:rPr>
            </w:pPr>
            <w:r>
              <w:rPr>
                <w:rFonts w:cs="Tahoma"/>
                <w:szCs w:val="24"/>
              </w:rPr>
              <w:t>CAGR</w:t>
            </w:r>
          </w:p>
        </w:tc>
      </w:tr>
      <w:tr w:rsidR="00B25DDF" w:rsidRPr="00BF5DAF">
        <w:trPr>
          <w:trHeight w:val="275"/>
        </w:trPr>
        <w:tc>
          <w:tcPr>
            <w:tcW w:w="3860" w:type="dxa"/>
            <w:tcBorders>
              <w:top w:val="single" w:sz="4" w:space="0" w:color="auto"/>
              <w:left w:val="single" w:sz="4" w:space="0" w:color="auto"/>
              <w:bottom w:val="single" w:sz="4" w:space="0" w:color="auto"/>
              <w:right w:val="single" w:sz="4" w:space="0" w:color="auto"/>
            </w:tcBorders>
          </w:tcPr>
          <w:p w:rsidR="00B25DDF" w:rsidRPr="00BF5DAF" w:rsidRDefault="00B25DDF" w:rsidP="00ED2D17">
            <w:pPr>
              <w:pStyle w:val="Tablaidentificadora"/>
              <w:rPr>
                <w:szCs w:val="24"/>
              </w:rPr>
            </w:pPr>
            <w:r w:rsidRPr="00BF5DAF">
              <w:rPr>
                <w:szCs w:val="24"/>
              </w:rPr>
              <w:t>Cédula de ciudadanía:</w:t>
            </w:r>
          </w:p>
        </w:tc>
        <w:tc>
          <w:tcPr>
            <w:tcW w:w="4960" w:type="dxa"/>
            <w:tcBorders>
              <w:top w:val="single" w:sz="4" w:space="0" w:color="auto"/>
              <w:left w:val="single" w:sz="4" w:space="0" w:color="auto"/>
              <w:bottom w:val="single" w:sz="4" w:space="0" w:color="auto"/>
              <w:right w:val="single" w:sz="4" w:space="0" w:color="auto"/>
            </w:tcBorders>
          </w:tcPr>
          <w:p w:rsidR="00B25DDF" w:rsidRPr="00BF5DAF" w:rsidRDefault="00E44369" w:rsidP="00ED2D17">
            <w:pPr>
              <w:pStyle w:val="Tablaidentificadora"/>
              <w:rPr>
                <w:rFonts w:cs="Tahoma"/>
                <w:szCs w:val="24"/>
              </w:rPr>
            </w:pPr>
            <w:r w:rsidRPr="00BF5DAF">
              <w:rPr>
                <w:rFonts w:cs="Tahoma"/>
                <w:szCs w:val="24"/>
              </w:rPr>
              <w:t>18´611.019</w:t>
            </w:r>
            <w:r w:rsidR="00AC67D4" w:rsidRPr="00BF5DAF">
              <w:rPr>
                <w:rFonts w:cs="Tahoma"/>
                <w:szCs w:val="24"/>
              </w:rPr>
              <w:t xml:space="preserve"> de Belén de Umbría (Rda).</w:t>
            </w:r>
          </w:p>
        </w:tc>
      </w:tr>
      <w:tr w:rsidR="00B25DDF" w:rsidRPr="00BF5DAF">
        <w:trPr>
          <w:trHeight w:val="259"/>
        </w:trPr>
        <w:tc>
          <w:tcPr>
            <w:tcW w:w="3860" w:type="dxa"/>
            <w:tcBorders>
              <w:top w:val="single" w:sz="4" w:space="0" w:color="auto"/>
              <w:left w:val="single" w:sz="4" w:space="0" w:color="auto"/>
              <w:bottom w:val="single" w:sz="4" w:space="0" w:color="auto"/>
              <w:right w:val="single" w:sz="4" w:space="0" w:color="auto"/>
            </w:tcBorders>
          </w:tcPr>
          <w:p w:rsidR="00B25DDF" w:rsidRPr="00BF5DAF" w:rsidRDefault="00B25DDF" w:rsidP="00ED2D17">
            <w:pPr>
              <w:pStyle w:val="Tablaidentificadora"/>
              <w:rPr>
                <w:szCs w:val="24"/>
              </w:rPr>
            </w:pPr>
            <w:r w:rsidRPr="00BF5DAF">
              <w:rPr>
                <w:szCs w:val="24"/>
              </w:rPr>
              <w:t>Delito:</w:t>
            </w:r>
          </w:p>
        </w:tc>
        <w:tc>
          <w:tcPr>
            <w:tcW w:w="4960" w:type="dxa"/>
            <w:tcBorders>
              <w:top w:val="single" w:sz="4" w:space="0" w:color="auto"/>
              <w:left w:val="single" w:sz="4" w:space="0" w:color="auto"/>
              <w:bottom w:val="single" w:sz="4" w:space="0" w:color="auto"/>
              <w:right w:val="single" w:sz="4" w:space="0" w:color="auto"/>
            </w:tcBorders>
          </w:tcPr>
          <w:p w:rsidR="00B25DDF" w:rsidRPr="00BF5DAF" w:rsidRDefault="00680802" w:rsidP="00ED2D17">
            <w:pPr>
              <w:pStyle w:val="Tablaidentificadora"/>
              <w:rPr>
                <w:rFonts w:cs="Tahoma"/>
                <w:szCs w:val="24"/>
              </w:rPr>
            </w:pPr>
            <w:r w:rsidRPr="00BF5DAF">
              <w:rPr>
                <w:rFonts w:cs="Tahoma"/>
                <w:szCs w:val="24"/>
              </w:rPr>
              <w:t>Lesione</w:t>
            </w:r>
            <w:r w:rsidR="003E67F1" w:rsidRPr="00BF5DAF">
              <w:rPr>
                <w:rFonts w:cs="Tahoma"/>
                <w:szCs w:val="24"/>
              </w:rPr>
              <w:t>s personales c</w:t>
            </w:r>
            <w:r w:rsidRPr="00BF5DAF">
              <w:rPr>
                <w:rFonts w:cs="Tahoma"/>
                <w:szCs w:val="24"/>
              </w:rPr>
              <w:t>ulposas</w:t>
            </w:r>
          </w:p>
        </w:tc>
      </w:tr>
      <w:tr w:rsidR="00B25DDF" w:rsidRPr="00BF5DAF">
        <w:trPr>
          <w:trHeight w:val="259"/>
        </w:trPr>
        <w:tc>
          <w:tcPr>
            <w:tcW w:w="3860" w:type="dxa"/>
            <w:tcBorders>
              <w:top w:val="single" w:sz="4" w:space="0" w:color="auto"/>
              <w:left w:val="single" w:sz="4" w:space="0" w:color="auto"/>
              <w:bottom w:val="single" w:sz="4" w:space="0" w:color="auto"/>
              <w:right w:val="single" w:sz="4" w:space="0" w:color="auto"/>
            </w:tcBorders>
          </w:tcPr>
          <w:p w:rsidR="00B25DDF" w:rsidRPr="00BF5DAF" w:rsidRDefault="00B25DDF" w:rsidP="00ED2D17">
            <w:pPr>
              <w:pStyle w:val="Tablaidentificadora"/>
              <w:rPr>
                <w:szCs w:val="24"/>
              </w:rPr>
            </w:pPr>
            <w:r w:rsidRPr="00BF5DAF">
              <w:rPr>
                <w:szCs w:val="24"/>
              </w:rPr>
              <w:t>Víctima:</w:t>
            </w:r>
          </w:p>
        </w:tc>
        <w:tc>
          <w:tcPr>
            <w:tcW w:w="4960" w:type="dxa"/>
            <w:tcBorders>
              <w:top w:val="single" w:sz="4" w:space="0" w:color="auto"/>
              <w:left w:val="single" w:sz="4" w:space="0" w:color="auto"/>
              <w:bottom w:val="single" w:sz="4" w:space="0" w:color="auto"/>
              <w:right w:val="single" w:sz="4" w:space="0" w:color="auto"/>
            </w:tcBorders>
          </w:tcPr>
          <w:p w:rsidR="00B25DDF" w:rsidRPr="00BF5DAF" w:rsidRDefault="00E44369" w:rsidP="00ED2D17">
            <w:pPr>
              <w:pStyle w:val="Tablaidentificadora"/>
              <w:rPr>
                <w:rFonts w:cs="Tahoma"/>
                <w:szCs w:val="24"/>
              </w:rPr>
            </w:pPr>
            <w:r w:rsidRPr="00BF5DAF">
              <w:rPr>
                <w:rFonts w:cs="Tahoma"/>
                <w:szCs w:val="24"/>
              </w:rPr>
              <w:t>Margarita María Vergara Trujillo</w:t>
            </w:r>
          </w:p>
        </w:tc>
      </w:tr>
      <w:tr w:rsidR="00B25DDF" w:rsidRPr="00BF5DAF">
        <w:trPr>
          <w:trHeight w:val="275"/>
        </w:trPr>
        <w:tc>
          <w:tcPr>
            <w:tcW w:w="3860" w:type="dxa"/>
            <w:tcBorders>
              <w:top w:val="single" w:sz="4" w:space="0" w:color="auto"/>
              <w:left w:val="single" w:sz="4" w:space="0" w:color="auto"/>
              <w:bottom w:val="single" w:sz="4" w:space="0" w:color="auto"/>
              <w:right w:val="single" w:sz="4" w:space="0" w:color="auto"/>
            </w:tcBorders>
          </w:tcPr>
          <w:p w:rsidR="00B25DDF" w:rsidRPr="00BF5DAF" w:rsidRDefault="00B25DDF" w:rsidP="00ED2D17">
            <w:pPr>
              <w:pStyle w:val="Tablaidentificadora"/>
              <w:rPr>
                <w:szCs w:val="24"/>
              </w:rPr>
            </w:pPr>
            <w:r w:rsidRPr="00BF5DAF">
              <w:rPr>
                <w:szCs w:val="24"/>
              </w:rPr>
              <w:t>Procedencia:</w:t>
            </w:r>
          </w:p>
        </w:tc>
        <w:tc>
          <w:tcPr>
            <w:tcW w:w="4960" w:type="dxa"/>
            <w:tcBorders>
              <w:top w:val="single" w:sz="4" w:space="0" w:color="auto"/>
              <w:left w:val="single" w:sz="4" w:space="0" w:color="auto"/>
              <w:bottom w:val="single" w:sz="4" w:space="0" w:color="auto"/>
              <w:right w:val="single" w:sz="4" w:space="0" w:color="auto"/>
            </w:tcBorders>
          </w:tcPr>
          <w:p w:rsidR="00B25DDF" w:rsidRPr="00BF5DAF" w:rsidRDefault="00680802" w:rsidP="00E44369">
            <w:pPr>
              <w:pStyle w:val="Tablaidentificadora"/>
              <w:rPr>
                <w:rFonts w:cs="Tahoma"/>
                <w:szCs w:val="24"/>
              </w:rPr>
            </w:pPr>
            <w:r w:rsidRPr="00BF5DAF">
              <w:rPr>
                <w:rFonts w:cs="Tahoma"/>
                <w:szCs w:val="24"/>
              </w:rPr>
              <w:t>Juzgado Primero P</w:t>
            </w:r>
            <w:r w:rsidR="00E44369" w:rsidRPr="00BF5DAF">
              <w:rPr>
                <w:rFonts w:cs="Tahoma"/>
                <w:szCs w:val="24"/>
              </w:rPr>
              <w:t xml:space="preserve">romiscuo Municipal de </w:t>
            </w:r>
            <w:r w:rsidR="00E44369" w:rsidRPr="00BF5DAF">
              <w:rPr>
                <w:rFonts w:cs="Tahoma"/>
                <w:szCs w:val="24"/>
              </w:rPr>
              <w:lastRenderedPageBreak/>
              <w:t xml:space="preserve">Belén de Umbría </w:t>
            </w:r>
            <w:r w:rsidRPr="00BF5DAF">
              <w:rPr>
                <w:rFonts w:cs="Tahoma"/>
                <w:szCs w:val="24"/>
              </w:rPr>
              <w:t>(Rda.)</w:t>
            </w:r>
          </w:p>
        </w:tc>
      </w:tr>
      <w:tr w:rsidR="00B25DDF" w:rsidRPr="00BF5DAF">
        <w:trPr>
          <w:trHeight w:val="275"/>
        </w:trPr>
        <w:tc>
          <w:tcPr>
            <w:tcW w:w="3860" w:type="dxa"/>
            <w:tcBorders>
              <w:top w:val="single" w:sz="4" w:space="0" w:color="auto"/>
              <w:left w:val="single" w:sz="4" w:space="0" w:color="auto"/>
              <w:bottom w:val="single" w:sz="4" w:space="0" w:color="auto"/>
              <w:right w:val="single" w:sz="4" w:space="0" w:color="auto"/>
            </w:tcBorders>
          </w:tcPr>
          <w:p w:rsidR="00B25DDF" w:rsidRPr="00BF5DAF" w:rsidRDefault="00B25DDF" w:rsidP="00ED2D17">
            <w:pPr>
              <w:pStyle w:val="Tablaidentificadora"/>
              <w:rPr>
                <w:szCs w:val="24"/>
              </w:rPr>
            </w:pPr>
            <w:r w:rsidRPr="00BF5DAF">
              <w:rPr>
                <w:szCs w:val="24"/>
              </w:rPr>
              <w:lastRenderedPageBreak/>
              <w:t>Asunto:</w:t>
            </w:r>
          </w:p>
        </w:tc>
        <w:tc>
          <w:tcPr>
            <w:tcW w:w="4960" w:type="dxa"/>
            <w:tcBorders>
              <w:top w:val="single" w:sz="4" w:space="0" w:color="auto"/>
              <w:left w:val="single" w:sz="4" w:space="0" w:color="auto"/>
              <w:bottom w:val="single" w:sz="4" w:space="0" w:color="auto"/>
              <w:right w:val="single" w:sz="4" w:space="0" w:color="auto"/>
            </w:tcBorders>
          </w:tcPr>
          <w:p w:rsidR="00B25DDF" w:rsidRPr="00BF5DAF" w:rsidRDefault="00680802" w:rsidP="00DB438B">
            <w:pPr>
              <w:pStyle w:val="Tablaidentificadora"/>
              <w:rPr>
                <w:rFonts w:cs="Tahoma"/>
                <w:szCs w:val="24"/>
              </w:rPr>
            </w:pPr>
            <w:r w:rsidRPr="00BF5DAF">
              <w:rPr>
                <w:rFonts w:cs="Tahoma"/>
                <w:szCs w:val="24"/>
              </w:rPr>
              <w:t>Decide apelación interpuesta por</w:t>
            </w:r>
            <w:r w:rsidR="004638CB" w:rsidRPr="00BF5DAF">
              <w:rPr>
                <w:rFonts w:cs="Tahoma"/>
                <w:szCs w:val="24"/>
              </w:rPr>
              <w:t xml:space="preserve"> </w:t>
            </w:r>
            <w:r w:rsidR="00DB438B" w:rsidRPr="00BF5DAF">
              <w:rPr>
                <w:rFonts w:cs="Tahoma"/>
                <w:szCs w:val="24"/>
              </w:rPr>
              <w:t xml:space="preserve">la defensa </w:t>
            </w:r>
            <w:r w:rsidRPr="00BF5DAF">
              <w:rPr>
                <w:rFonts w:cs="Tahoma"/>
                <w:szCs w:val="24"/>
              </w:rPr>
              <w:t xml:space="preserve"> contra la sen</w:t>
            </w:r>
            <w:r w:rsidR="00DB438B" w:rsidRPr="00BF5DAF">
              <w:rPr>
                <w:rFonts w:cs="Tahoma"/>
                <w:szCs w:val="24"/>
              </w:rPr>
              <w:t>tencia condena</w:t>
            </w:r>
            <w:r w:rsidR="00B44A10" w:rsidRPr="00BF5DAF">
              <w:rPr>
                <w:rFonts w:cs="Tahoma"/>
                <w:szCs w:val="24"/>
              </w:rPr>
              <w:t>toria</w:t>
            </w:r>
            <w:r w:rsidR="00DB438B" w:rsidRPr="00BF5DAF">
              <w:rPr>
                <w:rFonts w:cs="Tahoma"/>
                <w:szCs w:val="24"/>
              </w:rPr>
              <w:t xml:space="preserve"> de septiembre </w:t>
            </w:r>
            <w:r w:rsidR="00861137" w:rsidRPr="00BF5DAF">
              <w:rPr>
                <w:rFonts w:cs="Tahoma"/>
                <w:szCs w:val="24"/>
              </w:rPr>
              <w:t>14 de 2016. SE DECRETA NULIDAD y</w:t>
            </w:r>
            <w:r w:rsidR="00DB438B" w:rsidRPr="00BF5DAF">
              <w:rPr>
                <w:rFonts w:cs="Tahoma"/>
                <w:szCs w:val="24"/>
              </w:rPr>
              <w:t xml:space="preserve"> SE DECLARA PRESCRIPCIÓN</w:t>
            </w:r>
          </w:p>
        </w:tc>
      </w:tr>
    </w:tbl>
    <w:p w:rsidR="006E15C0" w:rsidRPr="00BF5DAF" w:rsidRDefault="006E15C0" w:rsidP="00B01B87"/>
    <w:p w:rsidR="00B25DDF" w:rsidRPr="00BF5DAF" w:rsidRDefault="00B01B87" w:rsidP="008848CA">
      <w:pPr>
        <w:spacing w:line="276" w:lineRule="auto"/>
      </w:pPr>
      <w:r w:rsidRPr="00BF5DAF">
        <w:t>El Tribunal Superior d</w:t>
      </w:r>
      <w:r w:rsidR="005E41DB" w:rsidRPr="00BF5DAF">
        <w:t>el Distrito Judicial de Pereira</w:t>
      </w:r>
      <w:r w:rsidRPr="00BF5DAF">
        <w:t xml:space="preserve"> pronuncia la sentencia en los siguientes términos:</w:t>
      </w:r>
    </w:p>
    <w:p w:rsidR="00B25DDF" w:rsidRPr="00BF5DAF" w:rsidRDefault="00AC67D4" w:rsidP="00AC67D4">
      <w:pPr>
        <w:pStyle w:val="Textoindependiente2"/>
        <w:tabs>
          <w:tab w:val="left" w:pos="6900"/>
        </w:tabs>
        <w:spacing w:line="276" w:lineRule="auto"/>
      </w:pPr>
      <w:r w:rsidRPr="00BF5DAF">
        <w:tab/>
      </w:r>
    </w:p>
    <w:p w:rsidR="00B01B87" w:rsidRPr="00BF5DAF" w:rsidRDefault="00B01B87" w:rsidP="008848CA">
      <w:pPr>
        <w:spacing w:line="276" w:lineRule="auto"/>
        <w:rPr>
          <w:rStyle w:val="Algerian"/>
        </w:rPr>
      </w:pPr>
      <w:r w:rsidRPr="00BF5DAF">
        <w:rPr>
          <w:rStyle w:val="Algerian"/>
        </w:rPr>
        <w:t xml:space="preserve">1.- </w:t>
      </w:r>
      <w:r w:rsidR="009D3DE3" w:rsidRPr="00BF5DAF">
        <w:rPr>
          <w:rStyle w:val="Algerian"/>
        </w:rPr>
        <w:t>hechos Y precedentes</w:t>
      </w:r>
    </w:p>
    <w:p w:rsidR="00B01B87" w:rsidRPr="00BF5DAF" w:rsidRDefault="00B01B87" w:rsidP="008848CA">
      <w:pPr>
        <w:spacing w:line="276" w:lineRule="auto"/>
      </w:pPr>
    </w:p>
    <w:p w:rsidR="009D3DE3" w:rsidRPr="00BF5DAF" w:rsidRDefault="009D3DE3" w:rsidP="008848CA">
      <w:pPr>
        <w:spacing w:line="276" w:lineRule="auto"/>
      </w:pPr>
      <w:r w:rsidRPr="00BF5DAF">
        <w:t>La situación fáctica jurídicamente relevante y la actuación procesal esencial para la decisión a tomar, se pueden sinte</w:t>
      </w:r>
      <w:r w:rsidR="001F59E7" w:rsidRPr="00BF5DAF">
        <w:t>tizar así:</w:t>
      </w:r>
    </w:p>
    <w:p w:rsidR="00B01B87" w:rsidRPr="00BF5DAF" w:rsidRDefault="00B01B87" w:rsidP="008848CA">
      <w:pPr>
        <w:spacing w:line="276" w:lineRule="auto"/>
      </w:pPr>
    </w:p>
    <w:p w:rsidR="00F13C3F" w:rsidRPr="00BF5DAF" w:rsidRDefault="00B01B87" w:rsidP="008848CA">
      <w:pPr>
        <w:spacing w:line="276" w:lineRule="auto"/>
        <w:rPr>
          <w:rStyle w:val="Numeracinttulo"/>
          <w:b w:val="0"/>
          <w:sz w:val="26"/>
        </w:rPr>
      </w:pPr>
      <w:r w:rsidRPr="00BF5DAF">
        <w:rPr>
          <w:rStyle w:val="Numeracinttulo"/>
        </w:rPr>
        <w:t xml:space="preserve">1.1.- </w:t>
      </w:r>
      <w:r w:rsidR="00B91C2A" w:rsidRPr="00BF5DAF">
        <w:rPr>
          <w:rStyle w:val="Numeracinttulo"/>
          <w:b w:val="0"/>
          <w:sz w:val="26"/>
        </w:rPr>
        <w:t xml:space="preserve">Según </w:t>
      </w:r>
      <w:r w:rsidR="009A5199" w:rsidRPr="00BF5DAF">
        <w:rPr>
          <w:rStyle w:val="Numeracinttulo"/>
          <w:b w:val="0"/>
          <w:sz w:val="26"/>
        </w:rPr>
        <w:t xml:space="preserve">consta en los registros, </w:t>
      </w:r>
      <w:r w:rsidR="00213FA2" w:rsidRPr="00BF5DAF">
        <w:rPr>
          <w:rStyle w:val="Numeracinttulo"/>
          <w:b w:val="0"/>
          <w:sz w:val="26"/>
        </w:rPr>
        <w:t xml:space="preserve">en </w:t>
      </w:r>
      <w:r w:rsidR="00AC67D4" w:rsidRPr="00BF5DAF">
        <w:rPr>
          <w:rStyle w:val="Numeracinttulo"/>
          <w:b w:val="0"/>
          <w:sz w:val="26"/>
        </w:rPr>
        <w:t xml:space="preserve">octubre 15 de 2008 </w:t>
      </w:r>
      <w:r w:rsidR="00861137" w:rsidRPr="00BF5DAF">
        <w:rPr>
          <w:rStyle w:val="Numeracinttulo"/>
          <w:b w:val="0"/>
          <w:sz w:val="26"/>
        </w:rPr>
        <w:t xml:space="preserve">concretamente en </w:t>
      </w:r>
      <w:r w:rsidR="00F13C3F" w:rsidRPr="00BF5DAF">
        <w:rPr>
          <w:rStyle w:val="Numeracinttulo"/>
          <w:b w:val="0"/>
          <w:sz w:val="26"/>
        </w:rPr>
        <w:t>la intersecci</w:t>
      </w:r>
      <w:r w:rsidR="00AD035E" w:rsidRPr="00BF5DAF">
        <w:rPr>
          <w:rStyle w:val="Numeracinttulo"/>
          <w:b w:val="0"/>
          <w:sz w:val="26"/>
        </w:rPr>
        <w:t xml:space="preserve">ón de la carrera 10 con calle 3 del municipio de Belén de Umbría (Rda.), </w:t>
      </w:r>
      <w:r w:rsidR="00D84B84" w:rsidRPr="00BF5DAF">
        <w:rPr>
          <w:rStyle w:val="Numeracinttulo"/>
          <w:b w:val="0"/>
          <w:sz w:val="26"/>
        </w:rPr>
        <w:t xml:space="preserve">vía que conduce hacia </w:t>
      </w:r>
      <w:r w:rsidR="00F13C3F" w:rsidRPr="00BF5DAF">
        <w:rPr>
          <w:rStyle w:val="Numeracinttulo"/>
          <w:b w:val="0"/>
          <w:sz w:val="26"/>
        </w:rPr>
        <w:t xml:space="preserve">Remolinos, colisionaron las motocicletas de placas DTJ14 conducida por el ciudadano </w:t>
      </w:r>
      <w:r w:rsidR="00CF0026">
        <w:rPr>
          <w:rStyle w:val="Numeracinttulo"/>
          <w:sz w:val="22"/>
          <w:szCs w:val="22"/>
        </w:rPr>
        <w:t>CAGR</w:t>
      </w:r>
      <w:r w:rsidR="00AD035E" w:rsidRPr="00BF5DAF">
        <w:rPr>
          <w:rStyle w:val="Numeracinttulo"/>
          <w:b w:val="0"/>
          <w:sz w:val="26"/>
        </w:rPr>
        <w:t xml:space="preserve">, </w:t>
      </w:r>
      <w:r w:rsidR="00F13C3F" w:rsidRPr="00BF5DAF">
        <w:rPr>
          <w:rStyle w:val="Numeracinttulo"/>
          <w:b w:val="0"/>
          <w:sz w:val="26"/>
        </w:rPr>
        <w:t>y la de placas SKU45 timoneada por la señora MARGARITA MARÍA VERGAR</w:t>
      </w:r>
      <w:r w:rsidR="00D84B84" w:rsidRPr="00BF5DAF">
        <w:rPr>
          <w:rStyle w:val="Numeracinttulo"/>
          <w:b w:val="0"/>
          <w:sz w:val="26"/>
        </w:rPr>
        <w:t>A TRUJILLO, a consecuencia de lo cual resultó</w:t>
      </w:r>
      <w:r w:rsidR="003E67F1" w:rsidRPr="00BF5DAF">
        <w:rPr>
          <w:rStyle w:val="Numeracinttulo"/>
          <w:b w:val="0"/>
          <w:sz w:val="26"/>
        </w:rPr>
        <w:t xml:space="preserve"> lesionada</w:t>
      </w:r>
      <w:r w:rsidR="00F13C3F" w:rsidRPr="00BF5DAF">
        <w:rPr>
          <w:rStyle w:val="Numeracinttulo"/>
          <w:b w:val="0"/>
          <w:sz w:val="26"/>
        </w:rPr>
        <w:t xml:space="preserve"> esta última</w:t>
      </w:r>
      <w:r w:rsidR="00AD035E" w:rsidRPr="00BF5DAF">
        <w:rPr>
          <w:rStyle w:val="Numeracinttulo"/>
          <w:b w:val="0"/>
          <w:sz w:val="26"/>
        </w:rPr>
        <w:t>.</w:t>
      </w:r>
    </w:p>
    <w:p w:rsidR="00B44A10" w:rsidRPr="00BF5DAF" w:rsidRDefault="00B44A10" w:rsidP="008848CA">
      <w:pPr>
        <w:spacing w:line="276" w:lineRule="auto"/>
        <w:rPr>
          <w:rStyle w:val="Numeracinttulo"/>
          <w:b w:val="0"/>
          <w:sz w:val="26"/>
        </w:rPr>
      </w:pPr>
    </w:p>
    <w:p w:rsidR="00C07D60" w:rsidRPr="00BF5DAF" w:rsidRDefault="00C07D60" w:rsidP="00C07D60">
      <w:pPr>
        <w:spacing w:line="276" w:lineRule="auto"/>
        <w:rPr>
          <w:rStyle w:val="Numeracinttulo"/>
          <w:b w:val="0"/>
          <w:sz w:val="26"/>
        </w:rPr>
      </w:pPr>
      <w:r w:rsidRPr="00BF5DAF">
        <w:rPr>
          <w:rStyle w:val="Numeracinttulo"/>
          <w:b w:val="0"/>
          <w:sz w:val="26"/>
        </w:rPr>
        <w:t>Luego de realizarse la correspondiente</w:t>
      </w:r>
      <w:r w:rsidR="00AD035E" w:rsidRPr="00BF5DAF">
        <w:rPr>
          <w:rStyle w:val="Numeracinttulo"/>
          <w:b w:val="0"/>
          <w:sz w:val="26"/>
        </w:rPr>
        <w:t xml:space="preserve"> valoraci</w:t>
      </w:r>
      <w:r w:rsidRPr="00BF5DAF">
        <w:rPr>
          <w:rStyle w:val="Numeracinttulo"/>
          <w:b w:val="0"/>
          <w:sz w:val="26"/>
        </w:rPr>
        <w:t xml:space="preserve">ón médico legal </w:t>
      </w:r>
      <w:r w:rsidR="003E67F1" w:rsidRPr="00BF5DAF">
        <w:rPr>
          <w:rStyle w:val="Numeracinttulo"/>
          <w:b w:val="0"/>
          <w:sz w:val="26"/>
        </w:rPr>
        <w:t xml:space="preserve">a la víctima se le otorgó una </w:t>
      </w:r>
      <w:r w:rsidRPr="00BF5DAF">
        <w:rPr>
          <w:rStyle w:val="Numeracinttulo"/>
          <w:b w:val="0"/>
          <w:sz w:val="26"/>
        </w:rPr>
        <w:t xml:space="preserve">incapacidad definitiva </w:t>
      </w:r>
      <w:r w:rsidR="003E67F1" w:rsidRPr="00BF5DAF">
        <w:rPr>
          <w:rStyle w:val="Numeracinttulo"/>
          <w:b w:val="0"/>
          <w:sz w:val="26"/>
        </w:rPr>
        <w:t xml:space="preserve">de </w:t>
      </w:r>
      <w:r w:rsidR="00AD035E" w:rsidRPr="00BF5DAF">
        <w:rPr>
          <w:rStyle w:val="Numeracinttulo"/>
          <w:b w:val="0"/>
          <w:sz w:val="26"/>
        </w:rPr>
        <w:t xml:space="preserve">100 días </w:t>
      </w:r>
      <w:r w:rsidR="005C6E0A" w:rsidRPr="00BF5DAF">
        <w:rPr>
          <w:rStyle w:val="Numeracinttulo"/>
          <w:b w:val="0"/>
          <w:sz w:val="26"/>
        </w:rPr>
        <w:t xml:space="preserve">y secuelas consistentes en </w:t>
      </w:r>
      <w:r w:rsidR="00AD035E" w:rsidRPr="00BF5DAF">
        <w:rPr>
          <w:rStyle w:val="Numeracinttulo"/>
          <w:b w:val="0"/>
          <w:sz w:val="26"/>
        </w:rPr>
        <w:t>deformidad física que afecta el rostro de carácter permanente</w:t>
      </w:r>
      <w:r w:rsidR="005C6E0A" w:rsidRPr="00BF5DAF">
        <w:rPr>
          <w:rStyle w:val="Numeracinttulo"/>
          <w:b w:val="0"/>
          <w:sz w:val="26"/>
        </w:rPr>
        <w:t>,</w:t>
      </w:r>
      <w:r w:rsidR="00AD035E" w:rsidRPr="00BF5DAF">
        <w:rPr>
          <w:rStyle w:val="Numeracinttulo"/>
          <w:b w:val="0"/>
          <w:sz w:val="26"/>
        </w:rPr>
        <w:t xml:space="preserve"> deformidad física que afecta e</w:t>
      </w:r>
      <w:r w:rsidR="005C6E0A" w:rsidRPr="00BF5DAF">
        <w:rPr>
          <w:rStyle w:val="Numeracinttulo"/>
          <w:b w:val="0"/>
          <w:sz w:val="26"/>
        </w:rPr>
        <w:t>l cuerpo de carácter permanente,</w:t>
      </w:r>
      <w:r w:rsidR="00AD035E" w:rsidRPr="00BF5DAF">
        <w:rPr>
          <w:rStyle w:val="Numeracinttulo"/>
          <w:b w:val="0"/>
          <w:sz w:val="26"/>
        </w:rPr>
        <w:t xml:space="preserve"> perturbación funcional del órgano de la locomoción de ca</w:t>
      </w:r>
      <w:r w:rsidR="005C6E0A" w:rsidRPr="00BF5DAF">
        <w:rPr>
          <w:rStyle w:val="Numeracinttulo"/>
          <w:b w:val="0"/>
          <w:sz w:val="26"/>
        </w:rPr>
        <w:t>rácter permanente,</w:t>
      </w:r>
      <w:r w:rsidR="00AD035E" w:rsidRPr="00BF5DAF">
        <w:rPr>
          <w:rStyle w:val="Numeracinttulo"/>
          <w:b w:val="0"/>
          <w:sz w:val="26"/>
        </w:rPr>
        <w:t xml:space="preserve"> y pérdida funcional de miembro superior izquierdo de carácter permanente</w:t>
      </w:r>
      <w:r w:rsidRPr="00BF5DAF">
        <w:rPr>
          <w:rStyle w:val="Numeracinttulo"/>
          <w:b w:val="0"/>
          <w:sz w:val="26"/>
        </w:rPr>
        <w:t>.</w:t>
      </w:r>
    </w:p>
    <w:p w:rsidR="009A5199" w:rsidRPr="00BF5DAF" w:rsidRDefault="009A5199" w:rsidP="00C07D60">
      <w:pPr>
        <w:spacing w:line="276" w:lineRule="auto"/>
        <w:rPr>
          <w:rStyle w:val="Numeracinttulo"/>
          <w:b w:val="0"/>
          <w:sz w:val="26"/>
        </w:rPr>
      </w:pPr>
      <w:r w:rsidRPr="00BF5DAF">
        <w:rPr>
          <w:rStyle w:val="Numeracinttulo"/>
          <w:b w:val="0"/>
          <w:sz w:val="26"/>
        </w:rPr>
        <w:t xml:space="preserve"> </w:t>
      </w:r>
    </w:p>
    <w:p w:rsidR="005605B8" w:rsidRPr="00BF5DAF" w:rsidRDefault="00B01B87" w:rsidP="008848CA">
      <w:pPr>
        <w:spacing w:line="276" w:lineRule="auto"/>
        <w:rPr>
          <w:rStyle w:val="Numeracinttulo"/>
          <w:b w:val="0"/>
          <w:sz w:val="26"/>
        </w:rPr>
      </w:pPr>
      <w:r w:rsidRPr="00BF5DAF">
        <w:rPr>
          <w:rStyle w:val="Numeracinttulo"/>
        </w:rPr>
        <w:t xml:space="preserve">1.2.- </w:t>
      </w:r>
      <w:r w:rsidR="005605B8" w:rsidRPr="00BF5DAF">
        <w:rPr>
          <w:rStyle w:val="Numeracinttulo"/>
          <w:b w:val="0"/>
          <w:sz w:val="26"/>
        </w:rPr>
        <w:t xml:space="preserve">Con fundamento en lo anterior, la Fiscalía </w:t>
      </w:r>
      <w:r w:rsidR="00552D7A" w:rsidRPr="00BF5DAF">
        <w:rPr>
          <w:rStyle w:val="Numeracinttulo"/>
          <w:b w:val="0"/>
          <w:sz w:val="26"/>
        </w:rPr>
        <w:t xml:space="preserve">le </w:t>
      </w:r>
      <w:r w:rsidR="005605B8" w:rsidRPr="00BF5DAF">
        <w:rPr>
          <w:rStyle w:val="Numeracinttulo"/>
          <w:b w:val="0"/>
          <w:sz w:val="26"/>
        </w:rPr>
        <w:t>formuló imputación</w:t>
      </w:r>
      <w:r w:rsidR="009F7460" w:rsidRPr="00BF5DAF">
        <w:rPr>
          <w:rStyle w:val="Numeracinttulo"/>
          <w:b w:val="0"/>
          <w:sz w:val="26"/>
        </w:rPr>
        <w:t xml:space="preserve"> (</w:t>
      </w:r>
      <w:r w:rsidR="00C07D60" w:rsidRPr="00BF5DAF">
        <w:rPr>
          <w:rStyle w:val="Numeracinttulo"/>
          <w:b w:val="0"/>
          <w:sz w:val="26"/>
        </w:rPr>
        <w:t>septiembre 2 de 2013</w:t>
      </w:r>
      <w:r w:rsidR="009F7460" w:rsidRPr="00BF5DAF">
        <w:rPr>
          <w:rStyle w:val="Numeracinttulo"/>
          <w:b w:val="0"/>
          <w:sz w:val="26"/>
        </w:rPr>
        <w:t xml:space="preserve">) </w:t>
      </w:r>
      <w:r w:rsidR="00552D7A" w:rsidRPr="00BF5DAF">
        <w:rPr>
          <w:rStyle w:val="Numeracinttulo"/>
          <w:b w:val="0"/>
          <w:sz w:val="26"/>
        </w:rPr>
        <w:t xml:space="preserve">al señor </w:t>
      </w:r>
      <w:r w:rsidR="00CF0026">
        <w:rPr>
          <w:rStyle w:val="Numeracinttulo"/>
          <w:sz w:val="22"/>
          <w:szCs w:val="22"/>
        </w:rPr>
        <w:t>CAGR</w:t>
      </w:r>
      <w:r w:rsidR="00552D7A" w:rsidRPr="00BF5DAF">
        <w:rPr>
          <w:rStyle w:val="Numeracinttulo"/>
          <w:sz w:val="22"/>
          <w:szCs w:val="22"/>
        </w:rPr>
        <w:t xml:space="preserve"> </w:t>
      </w:r>
      <w:r w:rsidR="009F7460" w:rsidRPr="00BF5DAF">
        <w:rPr>
          <w:rStyle w:val="Numeracinttulo"/>
          <w:b w:val="0"/>
          <w:sz w:val="26"/>
        </w:rPr>
        <w:t>ante el Juzgado Se</w:t>
      </w:r>
      <w:r w:rsidR="00C07D60" w:rsidRPr="00BF5DAF">
        <w:rPr>
          <w:rStyle w:val="Numeracinttulo"/>
          <w:b w:val="0"/>
          <w:sz w:val="26"/>
        </w:rPr>
        <w:t>gundo Promiscuo Municipal</w:t>
      </w:r>
      <w:r w:rsidR="009F7460" w:rsidRPr="00BF5DAF">
        <w:rPr>
          <w:rStyle w:val="Numeracinttulo"/>
          <w:b w:val="0"/>
          <w:sz w:val="26"/>
        </w:rPr>
        <w:t xml:space="preserve"> con función de</w:t>
      </w:r>
      <w:r w:rsidR="00C07D60" w:rsidRPr="00BF5DAF">
        <w:rPr>
          <w:rStyle w:val="Numeracinttulo"/>
          <w:b w:val="0"/>
          <w:sz w:val="26"/>
        </w:rPr>
        <w:t xml:space="preserve"> control de garantías de Belén de Umbría</w:t>
      </w:r>
      <w:r w:rsidR="009F7460" w:rsidRPr="00BF5DAF">
        <w:rPr>
          <w:rStyle w:val="Numeracinttulo"/>
          <w:b w:val="0"/>
          <w:sz w:val="26"/>
        </w:rPr>
        <w:t xml:space="preserve"> (Rda.)</w:t>
      </w:r>
      <w:r w:rsidR="00552D7A" w:rsidRPr="00BF5DAF">
        <w:rPr>
          <w:rStyle w:val="Numeracinttulo"/>
          <w:b w:val="0"/>
          <w:sz w:val="26"/>
        </w:rPr>
        <w:t>,</w:t>
      </w:r>
      <w:r w:rsidR="009F7460" w:rsidRPr="00BF5DAF">
        <w:rPr>
          <w:rStyle w:val="Numeracinttulo"/>
          <w:b w:val="0"/>
          <w:sz w:val="26"/>
        </w:rPr>
        <w:t xml:space="preserve"> </w:t>
      </w:r>
      <w:r w:rsidR="005605B8" w:rsidRPr="00BF5DAF">
        <w:rPr>
          <w:rStyle w:val="Numeracinttulo"/>
          <w:b w:val="0"/>
          <w:sz w:val="26"/>
        </w:rPr>
        <w:t>como presunto autor de la conducta punible de lesiones personales culposas, de conformidad con lo establecido en los artículos</w:t>
      </w:r>
      <w:r w:rsidR="00344368" w:rsidRPr="00BF5DAF">
        <w:rPr>
          <w:rStyle w:val="Numeracinttulo"/>
          <w:b w:val="0"/>
          <w:sz w:val="26"/>
        </w:rPr>
        <w:t xml:space="preserve"> 111, 112 inciso 3</w:t>
      </w:r>
      <w:r w:rsidR="009F7460" w:rsidRPr="00BF5DAF">
        <w:rPr>
          <w:rStyle w:val="Numeracinttulo"/>
          <w:b w:val="0"/>
          <w:sz w:val="26"/>
        </w:rPr>
        <w:t xml:space="preserve">, </w:t>
      </w:r>
      <w:r w:rsidR="003E67F1" w:rsidRPr="00BF5DAF">
        <w:rPr>
          <w:rStyle w:val="Numeracinttulo"/>
          <w:b w:val="0"/>
          <w:sz w:val="26"/>
        </w:rPr>
        <w:t>113 inciso 2 y 4</w:t>
      </w:r>
      <w:r w:rsidR="009F7460" w:rsidRPr="00BF5DAF">
        <w:rPr>
          <w:rStyle w:val="Numeracinttulo"/>
          <w:b w:val="0"/>
          <w:sz w:val="26"/>
        </w:rPr>
        <w:t xml:space="preserve">, 114 inciso 2, </w:t>
      </w:r>
      <w:r w:rsidR="00C07D60" w:rsidRPr="00BF5DAF">
        <w:rPr>
          <w:rStyle w:val="Numeracinttulo"/>
          <w:b w:val="0"/>
          <w:sz w:val="26"/>
        </w:rPr>
        <w:t xml:space="preserve">116, </w:t>
      </w:r>
      <w:r w:rsidR="005605B8" w:rsidRPr="00BF5DAF">
        <w:rPr>
          <w:rStyle w:val="Numeracinttulo"/>
          <w:b w:val="0"/>
          <w:sz w:val="26"/>
        </w:rPr>
        <w:t xml:space="preserve">117 </w:t>
      </w:r>
      <w:r w:rsidR="009F7460" w:rsidRPr="00BF5DAF">
        <w:rPr>
          <w:rStyle w:val="Numeracinttulo"/>
          <w:b w:val="0"/>
          <w:sz w:val="26"/>
        </w:rPr>
        <w:t>y 120</w:t>
      </w:r>
      <w:r w:rsidR="00344368" w:rsidRPr="00BF5DAF">
        <w:rPr>
          <w:rStyle w:val="Numeracinttulo"/>
          <w:b w:val="0"/>
          <w:sz w:val="26"/>
        </w:rPr>
        <w:t xml:space="preserve"> </w:t>
      </w:r>
      <w:r w:rsidR="005605B8" w:rsidRPr="00BF5DAF">
        <w:rPr>
          <w:rStyle w:val="Numeracinttulo"/>
          <w:b w:val="0"/>
          <w:sz w:val="26"/>
        </w:rPr>
        <w:t xml:space="preserve">del C.P., cargo que </w:t>
      </w:r>
      <w:r w:rsidR="00C07D60" w:rsidRPr="00BF5DAF">
        <w:rPr>
          <w:rStyle w:val="Numeracinttulo"/>
          <w:b w:val="0"/>
          <w:sz w:val="26"/>
        </w:rPr>
        <w:t>frente al cual el indiciado GUARDÓ SILENCIO</w:t>
      </w:r>
      <w:r w:rsidR="005605B8" w:rsidRPr="00BF5DAF">
        <w:rPr>
          <w:rStyle w:val="Numeracinttulo"/>
          <w:b w:val="0"/>
          <w:sz w:val="26"/>
        </w:rPr>
        <w:t>.</w:t>
      </w:r>
    </w:p>
    <w:p w:rsidR="005605B8" w:rsidRPr="00BF5DAF" w:rsidRDefault="005605B8" w:rsidP="008848CA">
      <w:pPr>
        <w:spacing w:line="276" w:lineRule="auto"/>
        <w:rPr>
          <w:rStyle w:val="Numeracinttulo"/>
          <w:b w:val="0"/>
          <w:sz w:val="26"/>
        </w:rPr>
      </w:pPr>
    </w:p>
    <w:p w:rsidR="00B413B9" w:rsidRPr="00BF5DAF" w:rsidRDefault="00B01B87" w:rsidP="00B413B9">
      <w:pPr>
        <w:spacing w:line="276" w:lineRule="auto"/>
        <w:rPr>
          <w:rStyle w:val="Numeracinttulo"/>
          <w:b w:val="0"/>
        </w:rPr>
      </w:pPr>
      <w:r w:rsidRPr="00BF5DAF">
        <w:rPr>
          <w:rStyle w:val="Numeracinttulo"/>
        </w:rPr>
        <w:t xml:space="preserve">1.3.- </w:t>
      </w:r>
      <w:r w:rsidR="009F7460" w:rsidRPr="00BF5DAF">
        <w:rPr>
          <w:rStyle w:val="Numeracinttulo"/>
          <w:b w:val="0"/>
          <w:sz w:val="26"/>
        </w:rPr>
        <w:t>En virtud al no allanamiento unilateral a los cargos, el ente persecutor presentó escrito de acusación</w:t>
      </w:r>
      <w:r w:rsidR="00C07D60" w:rsidRPr="00BF5DAF">
        <w:rPr>
          <w:rStyle w:val="Numeracinttulo"/>
          <w:b w:val="0"/>
          <w:sz w:val="26"/>
        </w:rPr>
        <w:t xml:space="preserve"> (noviembre 29</w:t>
      </w:r>
      <w:r w:rsidR="00B74E28" w:rsidRPr="00BF5DAF">
        <w:rPr>
          <w:rStyle w:val="Numeracinttulo"/>
          <w:b w:val="0"/>
          <w:sz w:val="26"/>
        </w:rPr>
        <w:t xml:space="preserve"> de 2013)</w:t>
      </w:r>
      <w:r w:rsidR="003D1B47" w:rsidRPr="00BF5DAF">
        <w:rPr>
          <w:rStyle w:val="Numeracinttulo"/>
          <w:b w:val="0"/>
          <w:sz w:val="26"/>
        </w:rPr>
        <w:t xml:space="preserve">, el cual </w:t>
      </w:r>
      <w:r w:rsidR="001F0807" w:rsidRPr="00BF5DAF">
        <w:rPr>
          <w:rStyle w:val="Numeracinttulo"/>
          <w:b w:val="0"/>
          <w:sz w:val="26"/>
        </w:rPr>
        <w:t xml:space="preserve">correspondió por reparto </w:t>
      </w:r>
      <w:r w:rsidR="009F7460" w:rsidRPr="00BF5DAF">
        <w:rPr>
          <w:rStyle w:val="Numeracinttulo"/>
          <w:b w:val="0"/>
          <w:sz w:val="26"/>
        </w:rPr>
        <w:t>al Juzgado Primero P</w:t>
      </w:r>
      <w:r w:rsidR="00C07D60" w:rsidRPr="00BF5DAF">
        <w:rPr>
          <w:rStyle w:val="Numeracinttulo"/>
          <w:b w:val="0"/>
          <w:sz w:val="26"/>
        </w:rPr>
        <w:t xml:space="preserve">romiscuo Municipal </w:t>
      </w:r>
      <w:r w:rsidR="009F7460" w:rsidRPr="00BF5DAF">
        <w:rPr>
          <w:rStyle w:val="Numeracinttulo"/>
          <w:b w:val="0"/>
          <w:sz w:val="26"/>
        </w:rPr>
        <w:t>con funció</w:t>
      </w:r>
      <w:r w:rsidR="00C07D60" w:rsidRPr="00BF5DAF">
        <w:rPr>
          <w:rStyle w:val="Numeracinttulo"/>
          <w:b w:val="0"/>
          <w:sz w:val="26"/>
        </w:rPr>
        <w:t>n de conocimiento de Belén de Umbría (Rda.)</w:t>
      </w:r>
      <w:r w:rsidR="009F7460" w:rsidRPr="00BF5DAF">
        <w:rPr>
          <w:rStyle w:val="Numeracinttulo"/>
          <w:b w:val="0"/>
          <w:sz w:val="26"/>
        </w:rPr>
        <w:t>, autoridad que convocó para las correspondientes audiencias de formulación de acusación (</w:t>
      </w:r>
      <w:r w:rsidR="00C07D60" w:rsidRPr="00BF5DAF">
        <w:rPr>
          <w:rStyle w:val="Numeracinttulo"/>
          <w:b w:val="0"/>
          <w:sz w:val="26"/>
        </w:rPr>
        <w:t>enero 28 de 2014</w:t>
      </w:r>
      <w:r w:rsidR="00B74E28" w:rsidRPr="00BF5DAF">
        <w:rPr>
          <w:rStyle w:val="Numeracinttulo"/>
          <w:b w:val="0"/>
          <w:sz w:val="26"/>
        </w:rPr>
        <w:t>), preparatoria (</w:t>
      </w:r>
      <w:r w:rsidR="00141E07" w:rsidRPr="00BF5DAF">
        <w:rPr>
          <w:rStyle w:val="Numeracinttulo"/>
          <w:b w:val="0"/>
          <w:sz w:val="26"/>
        </w:rPr>
        <w:t xml:space="preserve">mayo 23 de </w:t>
      </w:r>
      <w:r w:rsidR="00B74E28" w:rsidRPr="00BF5DAF">
        <w:rPr>
          <w:rStyle w:val="Numeracinttulo"/>
          <w:b w:val="0"/>
          <w:sz w:val="26"/>
        </w:rPr>
        <w:t xml:space="preserve">2014), </w:t>
      </w:r>
      <w:r w:rsidR="00141E07" w:rsidRPr="00BF5DAF">
        <w:rPr>
          <w:rStyle w:val="Numeracinttulo"/>
          <w:b w:val="0"/>
          <w:sz w:val="26"/>
        </w:rPr>
        <w:t xml:space="preserve">y </w:t>
      </w:r>
      <w:r w:rsidR="00B74E28" w:rsidRPr="00BF5DAF">
        <w:rPr>
          <w:rStyle w:val="Numeracinttulo"/>
          <w:b w:val="0"/>
          <w:sz w:val="26"/>
        </w:rPr>
        <w:t>ju</w:t>
      </w:r>
      <w:r w:rsidR="00C5645C" w:rsidRPr="00BF5DAF">
        <w:rPr>
          <w:rStyle w:val="Numeracinttulo"/>
          <w:b w:val="0"/>
          <w:sz w:val="26"/>
        </w:rPr>
        <w:t>icio oral (agosto 31</w:t>
      </w:r>
      <w:r w:rsidR="00141E07" w:rsidRPr="00BF5DAF">
        <w:rPr>
          <w:rStyle w:val="Numeracinttulo"/>
          <w:b w:val="0"/>
          <w:sz w:val="26"/>
        </w:rPr>
        <w:t xml:space="preserve"> de 2016</w:t>
      </w:r>
      <w:r w:rsidR="00B413B9" w:rsidRPr="00BF5DAF">
        <w:rPr>
          <w:rStyle w:val="Numeracinttulo"/>
          <w:b w:val="0"/>
          <w:sz w:val="26"/>
        </w:rPr>
        <w:t xml:space="preserve">), al cabo del cual anunció un sentido del fallo de carácter condenatorio. Con </w:t>
      </w:r>
      <w:r w:rsidR="00B413B9" w:rsidRPr="00BF5DAF">
        <w:rPr>
          <w:rStyle w:val="Numeracinttulo"/>
          <w:b w:val="0"/>
          <w:sz w:val="26"/>
        </w:rPr>
        <w:lastRenderedPageBreak/>
        <w:t>posterioridad se profirió la respectiva sentencia (</w:t>
      </w:r>
      <w:r w:rsidR="00607EAF" w:rsidRPr="00BF5DAF">
        <w:rPr>
          <w:rStyle w:val="Numeracinttulo"/>
          <w:b w:val="0"/>
          <w:sz w:val="26"/>
        </w:rPr>
        <w:t>septiembre 14 de 2016</w:t>
      </w:r>
      <w:r w:rsidR="00B413B9" w:rsidRPr="00BF5DAF">
        <w:rPr>
          <w:rStyle w:val="Numeracinttulo"/>
          <w:b w:val="0"/>
          <w:sz w:val="26"/>
        </w:rPr>
        <w:t>) por medio de la cual: (i) se declaró responsable al acusado</w:t>
      </w:r>
      <w:r w:rsidR="00607EAF" w:rsidRPr="00BF5DAF">
        <w:rPr>
          <w:rStyle w:val="Numeracinttulo"/>
          <w:b w:val="0"/>
          <w:sz w:val="26"/>
        </w:rPr>
        <w:t xml:space="preserve"> por e</w:t>
      </w:r>
      <w:r w:rsidR="00B413B9" w:rsidRPr="00BF5DAF">
        <w:rPr>
          <w:rStyle w:val="Numeracinttulo"/>
          <w:b w:val="0"/>
          <w:sz w:val="26"/>
        </w:rPr>
        <w:t>l punible de</w:t>
      </w:r>
      <w:r w:rsidR="00607EAF" w:rsidRPr="00BF5DAF">
        <w:rPr>
          <w:rStyle w:val="Numeracinttulo"/>
          <w:b w:val="0"/>
          <w:sz w:val="26"/>
        </w:rPr>
        <w:t xml:space="preserve"> lesiones personales culposas, en consonancia con los cargos endilgados</w:t>
      </w:r>
      <w:r w:rsidR="00B413B9" w:rsidRPr="00BF5DAF">
        <w:rPr>
          <w:rStyle w:val="Numeracinttulo"/>
          <w:b w:val="0"/>
          <w:sz w:val="26"/>
        </w:rPr>
        <w:t xml:space="preserve">; (ii) se le impuso sanción privativa </w:t>
      </w:r>
      <w:r w:rsidR="00607EAF" w:rsidRPr="00BF5DAF">
        <w:rPr>
          <w:rStyle w:val="Numeracinttulo"/>
          <w:b w:val="0"/>
          <w:sz w:val="26"/>
        </w:rPr>
        <w:t xml:space="preserve">de la libertad equivalente a 19 </w:t>
      </w:r>
      <w:r w:rsidR="00B413B9" w:rsidRPr="00BF5DAF">
        <w:rPr>
          <w:rStyle w:val="Numeracinttulo"/>
          <w:b w:val="0"/>
          <w:sz w:val="26"/>
        </w:rPr>
        <w:t>meses</w:t>
      </w:r>
      <w:r w:rsidR="00607EAF" w:rsidRPr="00BF5DAF">
        <w:rPr>
          <w:rStyle w:val="Numeracinttulo"/>
          <w:b w:val="0"/>
          <w:sz w:val="26"/>
        </w:rPr>
        <w:t xml:space="preserve"> de prisión, multa de 6.66 salario</w:t>
      </w:r>
      <w:r w:rsidR="00D97C7A" w:rsidRPr="00BF5DAF">
        <w:rPr>
          <w:rStyle w:val="Numeracinttulo"/>
          <w:b w:val="0"/>
          <w:sz w:val="26"/>
        </w:rPr>
        <w:t>s</w:t>
      </w:r>
      <w:r w:rsidR="00607EAF" w:rsidRPr="00BF5DAF">
        <w:rPr>
          <w:rStyle w:val="Numeracinttulo"/>
          <w:b w:val="0"/>
          <w:sz w:val="26"/>
        </w:rPr>
        <w:t xml:space="preserve"> mínimos legales mensuales vigentes,</w:t>
      </w:r>
      <w:r w:rsidR="00B413B9" w:rsidRPr="00BF5DAF">
        <w:rPr>
          <w:rStyle w:val="Numeracinttulo"/>
          <w:b w:val="0"/>
          <w:sz w:val="26"/>
        </w:rPr>
        <w:t xml:space="preserve"> inhabilitación en el ejercicio de derechos y funciones públicas</w:t>
      </w:r>
      <w:r w:rsidR="00607EAF" w:rsidRPr="00BF5DAF">
        <w:rPr>
          <w:rStyle w:val="Numeracinttulo"/>
          <w:b w:val="0"/>
          <w:sz w:val="26"/>
        </w:rPr>
        <w:t>, y la prohibición de conducir motocicletas por el mismo lapso de la pena corporal</w:t>
      </w:r>
      <w:r w:rsidR="00B413B9" w:rsidRPr="00BF5DAF">
        <w:rPr>
          <w:rStyle w:val="Numeracinttulo"/>
          <w:b w:val="0"/>
          <w:sz w:val="26"/>
        </w:rPr>
        <w:t>; y (iii) se</w:t>
      </w:r>
      <w:r w:rsidR="00607EAF" w:rsidRPr="00BF5DAF">
        <w:rPr>
          <w:rStyle w:val="Numeracinttulo"/>
          <w:b w:val="0"/>
          <w:sz w:val="26"/>
        </w:rPr>
        <w:t xml:space="preserve"> le concedió </w:t>
      </w:r>
      <w:r w:rsidR="00B413B9" w:rsidRPr="00BF5DAF">
        <w:rPr>
          <w:rStyle w:val="Numeracinttulo"/>
          <w:b w:val="0"/>
          <w:sz w:val="26"/>
        </w:rPr>
        <w:t>el subrogado de la suspensión condicional de la ejecució</w:t>
      </w:r>
      <w:r w:rsidR="00607EAF" w:rsidRPr="00BF5DAF">
        <w:rPr>
          <w:rStyle w:val="Numeracinttulo"/>
          <w:b w:val="0"/>
          <w:sz w:val="26"/>
        </w:rPr>
        <w:t>n de la pena</w:t>
      </w:r>
      <w:r w:rsidR="00B413B9" w:rsidRPr="00BF5DAF">
        <w:rPr>
          <w:rStyle w:val="Numeracinttulo"/>
          <w:b w:val="0"/>
          <w:sz w:val="26"/>
        </w:rPr>
        <w:t>.</w:t>
      </w:r>
    </w:p>
    <w:p w:rsidR="001F0807" w:rsidRPr="00BF5DAF" w:rsidRDefault="001F0807" w:rsidP="00B413B9">
      <w:pPr>
        <w:spacing w:line="276" w:lineRule="auto"/>
        <w:rPr>
          <w:rStyle w:val="Numeracinttulo"/>
          <w:b w:val="0"/>
          <w:sz w:val="26"/>
        </w:rPr>
      </w:pPr>
    </w:p>
    <w:p w:rsidR="00B01B87" w:rsidRPr="00BF5DAF" w:rsidRDefault="00B01B87" w:rsidP="008848CA">
      <w:pPr>
        <w:spacing w:line="276" w:lineRule="auto"/>
        <w:rPr>
          <w:lang w:val="es-ES_tradnl"/>
        </w:rPr>
      </w:pPr>
      <w:r w:rsidRPr="00BF5DAF">
        <w:rPr>
          <w:rStyle w:val="Numeracinttulo"/>
        </w:rPr>
        <w:t xml:space="preserve">1.4.- </w:t>
      </w:r>
      <w:r w:rsidR="00FE3A8F" w:rsidRPr="00BF5DAF">
        <w:t xml:space="preserve">El </w:t>
      </w:r>
      <w:r w:rsidR="00141E07" w:rsidRPr="00BF5DAF">
        <w:t xml:space="preserve">defensor del procesado </w:t>
      </w:r>
      <w:r w:rsidR="00FE3A8F" w:rsidRPr="00BF5DAF">
        <w:t>no estuvo conforme con esa decisión y la impugn</w:t>
      </w:r>
      <w:r w:rsidR="00FB0C6D" w:rsidRPr="00BF5DAF">
        <w:t xml:space="preserve">ó; </w:t>
      </w:r>
      <w:r w:rsidR="00A62301" w:rsidRPr="00BF5DAF">
        <w:t xml:space="preserve">en </w:t>
      </w:r>
      <w:r w:rsidR="00FB0C6D" w:rsidRPr="00BF5DAF">
        <w:rPr>
          <w:lang w:val="es-ES_tradnl"/>
        </w:rPr>
        <w:t xml:space="preserve">consecuencia, por parte de la primera instancia se concedió el recurso en el efecto suspensivo y se dispuso la remisión del expediente con los correspondientes registros </w:t>
      </w:r>
      <w:r w:rsidR="00E373B2" w:rsidRPr="00BF5DAF">
        <w:rPr>
          <w:lang w:val="es-ES_tradnl"/>
        </w:rPr>
        <w:t>para</w:t>
      </w:r>
      <w:r w:rsidR="00FB0C6D" w:rsidRPr="00BF5DAF">
        <w:rPr>
          <w:lang w:val="es-ES_tradnl"/>
        </w:rPr>
        <w:t xml:space="preserve"> </w:t>
      </w:r>
      <w:r w:rsidR="00E373B2" w:rsidRPr="00BF5DAF">
        <w:rPr>
          <w:lang w:val="es-ES_tradnl"/>
        </w:rPr>
        <w:t xml:space="preserve">efectos de </w:t>
      </w:r>
      <w:r w:rsidR="00FB0C6D" w:rsidRPr="00BF5DAF">
        <w:rPr>
          <w:lang w:val="es-ES_tradnl"/>
        </w:rPr>
        <w:t>desatar la alzada.</w:t>
      </w:r>
    </w:p>
    <w:p w:rsidR="00B01B87" w:rsidRPr="00BF5DAF" w:rsidRDefault="00B01B87" w:rsidP="008848CA">
      <w:pPr>
        <w:spacing w:line="276" w:lineRule="auto"/>
      </w:pPr>
    </w:p>
    <w:p w:rsidR="00B01B87" w:rsidRPr="00BF5DAF" w:rsidRDefault="009D3DE3" w:rsidP="008848CA">
      <w:pPr>
        <w:spacing w:line="276" w:lineRule="auto"/>
        <w:rPr>
          <w:rStyle w:val="Algerian"/>
        </w:rPr>
      </w:pPr>
      <w:r w:rsidRPr="00BF5DAF">
        <w:rPr>
          <w:rStyle w:val="Algerian"/>
        </w:rPr>
        <w:t xml:space="preserve">2.- </w:t>
      </w:r>
      <w:r w:rsidR="00B01B87" w:rsidRPr="00BF5DAF">
        <w:rPr>
          <w:rStyle w:val="Algerian"/>
        </w:rPr>
        <w:t>Debate</w:t>
      </w:r>
    </w:p>
    <w:p w:rsidR="00065858" w:rsidRPr="00BF5DAF" w:rsidRDefault="00065858" w:rsidP="008848CA">
      <w:pPr>
        <w:spacing w:line="276" w:lineRule="auto"/>
      </w:pPr>
    </w:p>
    <w:p w:rsidR="00593482" w:rsidRPr="00BF5DAF" w:rsidRDefault="00065858" w:rsidP="003E67F1">
      <w:pPr>
        <w:spacing w:line="276" w:lineRule="auto"/>
      </w:pPr>
      <w:r w:rsidRPr="00BF5DAF">
        <w:rPr>
          <w:rStyle w:val="Numeracinttulo"/>
        </w:rPr>
        <w:t xml:space="preserve">2.1.- </w:t>
      </w:r>
      <w:r w:rsidR="00141E07" w:rsidRPr="00BF5DAF">
        <w:t>Defensor</w:t>
      </w:r>
      <w:r w:rsidRPr="00BF5DAF">
        <w:t xml:space="preserve"> </w:t>
      </w:r>
      <w:r w:rsidRPr="00BF5DAF">
        <w:rPr>
          <w:rFonts w:ascii="Verdana" w:hAnsi="Verdana"/>
          <w:sz w:val="20"/>
          <w:szCs w:val="20"/>
        </w:rPr>
        <w:t>-recurrente-</w:t>
      </w:r>
    </w:p>
    <w:p w:rsidR="00F7461A" w:rsidRPr="00BF5DAF" w:rsidRDefault="00F7461A" w:rsidP="003E67F1">
      <w:pPr>
        <w:spacing w:line="276" w:lineRule="auto"/>
        <w:rPr>
          <w:rStyle w:val="Nombreprincipal"/>
        </w:rPr>
      </w:pPr>
    </w:p>
    <w:p w:rsidR="00D97C7A" w:rsidRPr="00BF5DAF" w:rsidRDefault="003E67F1" w:rsidP="003E67F1">
      <w:pPr>
        <w:spacing w:line="276" w:lineRule="auto"/>
      </w:pPr>
      <w:r w:rsidRPr="00BF5DAF">
        <w:t>S</w:t>
      </w:r>
      <w:r w:rsidR="005C6E0A" w:rsidRPr="00BF5DAF">
        <w:t xml:space="preserve">olicita </w:t>
      </w:r>
      <w:r w:rsidR="00D97C7A" w:rsidRPr="00BF5DAF">
        <w:t xml:space="preserve">se revoque </w:t>
      </w:r>
      <w:r w:rsidRPr="00BF5DAF">
        <w:t xml:space="preserve">la decisión </w:t>
      </w:r>
      <w:r w:rsidR="00D97C7A" w:rsidRPr="00BF5DAF">
        <w:t>condenatoria adoptada por</w:t>
      </w:r>
      <w:r w:rsidR="005C6E0A" w:rsidRPr="00BF5DAF">
        <w:t xml:space="preserve"> la primer</w:t>
      </w:r>
      <w:r w:rsidR="006E15C0" w:rsidRPr="00BF5DAF">
        <w:t>a instancia</w:t>
      </w:r>
      <w:r w:rsidRPr="00BF5DAF">
        <w:t xml:space="preserve">, </w:t>
      </w:r>
      <w:r w:rsidR="00D97C7A" w:rsidRPr="00BF5DAF">
        <w:t xml:space="preserve">y en su lugar se absuelva a su representado por el </w:t>
      </w:r>
      <w:r w:rsidR="005C6E0A" w:rsidRPr="00BF5DAF">
        <w:t>delito que le fue enrostrado.</w:t>
      </w:r>
      <w:r w:rsidR="00D97C7A" w:rsidRPr="00BF5DAF">
        <w:t xml:space="preserve"> Al efecto argumenta:</w:t>
      </w:r>
    </w:p>
    <w:p w:rsidR="00D97C7A" w:rsidRPr="00BF5DAF" w:rsidRDefault="00D97C7A" w:rsidP="003E67F1">
      <w:pPr>
        <w:spacing w:line="276" w:lineRule="auto"/>
      </w:pPr>
    </w:p>
    <w:p w:rsidR="00B30F4D" w:rsidRPr="00BF5DAF" w:rsidRDefault="006E15C0" w:rsidP="003E67F1">
      <w:pPr>
        <w:spacing w:line="276" w:lineRule="auto"/>
      </w:pPr>
      <w:r w:rsidRPr="00BF5DAF">
        <w:t>E</w:t>
      </w:r>
      <w:r w:rsidR="00B30F4D" w:rsidRPr="00BF5DAF">
        <w:t xml:space="preserve">l señor juez asegura </w:t>
      </w:r>
      <w:r w:rsidR="003E67F1" w:rsidRPr="00BF5DAF">
        <w:t xml:space="preserve">en </w:t>
      </w:r>
      <w:r w:rsidR="00B30F4D" w:rsidRPr="00BF5DAF">
        <w:t xml:space="preserve">la </w:t>
      </w:r>
      <w:r w:rsidRPr="00BF5DAF">
        <w:t xml:space="preserve">sentencia que la defensa dijo en sus alegatos </w:t>
      </w:r>
      <w:r w:rsidR="005C6E0A" w:rsidRPr="00BF5DAF">
        <w:t xml:space="preserve">finales que probó </w:t>
      </w:r>
      <w:r w:rsidR="003E67F1" w:rsidRPr="00BF5DAF">
        <w:t>la inocencia plena</w:t>
      </w:r>
      <w:r w:rsidR="005C6E0A" w:rsidRPr="00BF5DAF">
        <w:t xml:space="preserve"> de su representado, lo cual no es cierto, por cuanto lo que </w:t>
      </w:r>
      <w:r w:rsidR="003D1B47" w:rsidRPr="00BF5DAF">
        <w:t>manifestó es</w:t>
      </w:r>
      <w:r w:rsidR="00B30F4D" w:rsidRPr="00BF5DAF">
        <w:t xml:space="preserve"> que no se probó la responsabilidad de su defendido</w:t>
      </w:r>
      <w:r w:rsidR="003E67F1" w:rsidRPr="00BF5DAF">
        <w:t xml:space="preserve">, </w:t>
      </w:r>
      <w:r w:rsidR="00B30F4D" w:rsidRPr="00BF5DAF">
        <w:t>y al respecto la carga probatoria correspondía</w:t>
      </w:r>
      <w:r w:rsidR="003E67F1" w:rsidRPr="00BF5DAF">
        <w:t xml:space="preserve"> a la </w:t>
      </w:r>
      <w:r w:rsidR="003D1B47" w:rsidRPr="00BF5DAF">
        <w:t>F</w:t>
      </w:r>
      <w:r w:rsidR="003E67F1" w:rsidRPr="00BF5DAF">
        <w:t>iscalía</w:t>
      </w:r>
      <w:r w:rsidR="00B30F4D" w:rsidRPr="00BF5DAF">
        <w:t xml:space="preserve">, por lo que al no haberse acreditado ese aspecto </w:t>
      </w:r>
      <w:r w:rsidR="00C10413" w:rsidRPr="00BF5DAF">
        <w:t xml:space="preserve">debió dictarse una </w:t>
      </w:r>
      <w:r w:rsidR="00B30F4D" w:rsidRPr="00BF5DAF">
        <w:t>decisión</w:t>
      </w:r>
      <w:r w:rsidR="00C10413" w:rsidRPr="00BF5DAF">
        <w:t xml:space="preserve"> </w:t>
      </w:r>
      <w:r w:rsidR="00B30F4D" w:rsidRPr="00BF5DAF">
        <w:t>absolutoria.</w:t>
      </w:r>
    </w:p>
    <w:p w:rsidR="00B30F4D" w:rsidRPr="00BF5DAF" w:rsidRDefault="00B30F4D" w:rsidP="003E67F1">
      <w:pPr>
        <w:spacing w:line="276" w:lineRule="auto"/>
      </w:pPr>
    </w:p>
    <w:p w:rsidR="00755078" w:rsidRPr="00BF5DAF" w:rsidRDefault="00755078" w:rsidP="003E67F1">
      <w:pPr>
        <w:spacing w:line="276" w:lineRule="auto"/>
      </w:pPr>
      <w:r w:rsidRPr="00BF5DAF">
        <w:t>N</w:t>
      </w:r>
      <w:r w:rsidR="003E67F1" w:rsidRPr="00BF5DAF">
        <w:t>o se alegaron eximentes de re</w:t>
      </w:r>
      <w:r w:rsidR="00B53825" w:rsidRPr="00BF5DAF">
        <w:t xml:space="preserve">sponsabilidad porque </w:t>
      </w:r>
      <w:r w:rsidR="003E67F1" w:rsidRPr="00BF5DAF">
        <w:t xml:space="preserve">no tuvo la oportunidad de </w:t>
      </w:r>
      <w:r w:rsidR="00B53825" w:rsidRPr="00BF5DAF">
        <w:t>hacer solicitudes probatorias en el momento procesal que llegó a la actuación.</w:t>
      </w:r>
    </w:p>
    <w:p w:rsidR="00B53825" w:rsidRPr="00BF5DAF" w:rsidRDefault="00B53825" w:rsidP="003E67F1">
      <w:pPr>
        <w:spacing w:line="276" w:lineRule="auto"/>
      </w:pPr>
    </w:p>
    <w:p w:rsidR="00444FC9" w:rsidRPr="00BF5DAF" w:rsidRDefault="00755078" w:rsidP="003E67F1">
      <w:pPr>
        <w:spacing w:line="276" w:lineRule="auto"/>
      </w:pPr>
      <w:r w:rsidRPr="00BF5DAF">
        <w:t xml:space="preserve">La norma internacional que afirma el fallador </w:t>
      </w:r>
      <w:r w:rsidR="003E67F1" w:rsidRPr="00BF5DAF">
        <w:t xml:space="preserve">existe </w:t>
      </w:r>
      <w:r w:rsidRPr="00BF5DAF">
        <w:t>e i</w:t>
      </w:r>
      <w:r w:rsidR="003E67F1" w:rsidRPr="00BF5DAF">
        <w:t>n</w:t>
      </w:r>
      <w:r w:rsidRPr="00BF5DAF">
        <w:t>dica que las carreras tienen</w:t>
      </w:r>
      <w:r w:rsidR="00CC682A" w:rsidRPr="00BF5DAF">
        <w:t xml:space="preserve"> la prelación y</w:t>
      </w:r>
      <w:r w:rsidRPr="00BF5DAF">
        <w:t xml:space="preserve"> </w:t>
      </w:r>
      <w:r w:rsidR="00CC682A" w:rsidRPr="00BF5DAF">
        <w:t xml:space="preserve">en </w:t>
      </w:r>
      <w:r w:rsidRPr="00BF5DAF">
        <w:t>las calles debe</w:t>
      </w:r>
      <w:r w:rsidR="003E67F1" w:rsidRPr="00BF5DAF">
        <w:t xml:space="preserve"> hacer</w:t>
      </w:r>
      <w:r w:rsidRPr="00BF5DAF">
        <w:t>se</w:t>
      </w:r>
      <w:r w:rsidR="003E67F1" w:rsidRPr="00BF5DAF">
        <w:t xml:space="preserve"> el pare</w:t>
      </w:r>
      <w:r w:rsidRPr="00BF5DAF">
        <w:t xml:space="preserve">, no </w:t>
      </w:r>
      <w:r w:rsidR="003E67F1" w:rsidRPr="00BF5DAF">
        <w:t>la conoce la defensa</w:t>
      </w:r>
      <w:r w:rsidR="003D1B47" w:rsidRPr="00BF5DAF">
        <w:t>,</w:t>
      </w:r>
      <w:r w:rsidR="003E67F1" w:rsidRPr="00BF5DAF">
        <w:t xml:space="preserve"> </w:t>
      </w:r>
      <w:r w:rsidRPr="00BF5DAF">
        <w:t>y ni siquiera fue referida por la Fiscalía. En todas las ciudades del mund</w:t>
      </w:r>
      <w:r w:rsidR="003E67F1" w:rsidRPr="00BF5DAF">
        <w:t>o ex</w:t>
      </w:r>
      <w:r w:rsidRPr="00BF5DAF">
        <w:t>isten calles que tiene</w:t>
      </w:r>
      <w:r w:rsidR="00EB3AC3" w:rsidRPr="00BF5DAF">
        <w:t>n</w:t>
      </w:r>
      <w:r w:rsidRPr="00BF5DAF">
        <w:t xml:space="preserve"> </w:t>
      </w:r>
      <w:r w:rsidR="003E67F1" w:rsidRPr="00BF5DAF">
        <w:t xml:space="preserve">la </w:t>
      </w:r>
      <w:r w:rsidR="006E15C0" w:rsidRPr="00BF5DAF">
        <w:t>prelación</w:t>
      </w:r>
      <w:r w:rsidR="003E67F1" w:rsidRPr="00BF5DAF">
        <w:t xml:space="preserve">, </w:t>
      </w:r>
      <w:r w:rsidRPr="00BF5DAF">
        <w:t xml:space="preserve">con mayor razón en la vía donde ocurrió el accidente porque </w:t>
      </w:r>
      <w:r w:rsidR="003E67F1" w:rsidRPr="00BF5DAF">
        <w:t xml:space="preserve">llegan 5 intersecciones, </w:t>
      </w:r>
      <w:r w:rsidRPr="00BF5DAF">
        <w:t xml:space="preserve">y por tanto </w:t>
      </w:r>
      <w:r w:rsidR="003E67F1" w:rsidRPr="00BF5DAF">
        <w:t xml:space="preserve">es </w:t>
      </w:r>
      <w:r w:rsidR="006E15C0" w:rsidRPr="00BF5DAF">
        <w:t>más</w:t>
      </w:r>
      <w:r w:rsidR="003E67F1" w:rsidRPr="00BF5DAF">
        <w:t xml:space="preserve"> complicado saber </w:t>
      </w:r>
      <w:r w:rsidR="006E15C0" w:rsidRPr="00BF5DAF">
        <w:t>quiénes</w:t>
      </w:r>
      <w:r w:rsidRPr="00BF5DAF">
        <w:t xml:space="preserve"> tiene</w:t>
      </w:r>
      <w:r w:rsidR="00B53825" w:rsidRPr="00BF5DAF">
        <w:t>n</w:t>
      </w:r>
      <w:r w:rsidRPr="00BF5DAF">
        <w:t xml:space="preserve"> la prioridad</w:t>
      </w:r>
      <w:r w:rsidR="003E67F1" w:rsidRPr="00BF5DAF">
        <w:t xml:space="preserve">. </w:t>
      </w:r>
    </w:p>
    <w:p w:rsidR="00444FC9" w:rsidRPr="00BF5DAF" w:rsidRDefault="00444FC9" w:rsidP="003E67F1">
      <w:pPr>
        <w:spacing w:line="276" w:lineRule="auto"/>
      </w:pPr>
    </w:p>
    <w:p w:rsidR="00B53825" w:rsidRPr="00BF5DAF" w:rsidRDefault="00755078" w:rsidP="003E67F1">
      <w:pPr>
        <w:spacing w:line="276" w:lineRule="auto"/>
      </w:pPr>
      <w:r w:rsidRPr="00BF5DAF">
        <w:lastRenderedPageBreak/>
        <w:t>Se dijo por parte del fallador que la defensa no p</w:t>
      </w:r>
      <w:r w:rsidR="003E67F1" w:rsidRPr="00BF5DAF">
        <w:t xml:space="preserve">robó la no existencia de los pares en el momento del accidente, </w:t>
      </w:r>
      <w:r w:rsidRPr="00BF5DAF">
        <w:t>pero no está en el deber de probar las ne</w:t>
      </w:r>
      <w:r w:rsidR="003E67F1" w:rsidRPr="00BF5DAF">
        <w:t>gaciones sino las afirmaciones</w:t>
      </w:r>
      <w:r w:rsidR="004017EE" w:rsidRPr="00BF5DAF">
        <w:t>. En todo caso la presencia de esa señal de pare debió probarla la Fiscalía.</w:t>
      </w:r>
    </w:p>
    <w:p w:rsidR="004017EE" w:rsidRPr="00BF5DAF" w:rsidRDefault="004017EE" w:rsidP="003E67F1">
      <w:pPr>
        <w:spacing w:line="276" w:lineRule="auto"/>
      </w:pPr>
    </w:p>
    <w:p w:rsidR="00444FC9" w:rsidRPr="00BF5DAF" w:rsidRDefault="00755078" w:rsidP="003E67F1">
      <w:pPr>
        <w:spacing w:line="276" w:lineRule="auto"/>
      </w:pPr>
      <w:r w:rsidRPr="00BF5DAF">
        <w:t>El accidente ocurrió en</w:t>
      </w:r>
      <w:r w:rsidR="003E67F1" w:rsidRPr="00BF5DAF">
        <w:t xml:space="preserve"> el año 2008 y </w:t>
      </w:r>
      <w:r w:rsidRPr="00BF5DAF">
        <w:t xml:space="preserve">la </w:t>
      </w:r>
      <w:r w:rsidR="003E67F1" w:rsidRPr="00BF5DAF">
        <w:t xml:space="preserve">inspección </w:t>
      </w:r>
      <w:r w:rsidRPr="00BF5DAF">
        <w:t xml:space="preserve">se hizo </w:t>
      </w:r>
      <w:r w:rsidR="003E67F1" w:rsidRPr="00BF5DAF">
        <w:t xml:space="preserve">en el 2012, </w:t>
      </w:r>
      <w:r w:rsidRPr="00BF5DAF">
        <w:t>se trajeron fot</w:t>
      </w:r>
      <w:r w:rsidR="003E67F1" w:rsidRPr="00BF5DAF">
        <w:t>ografía</w:t>
      </w:r>
      <w:r w:rsidRPr="00BF5DAF">
        <w:t>s</w:t>
      </w:r>
      <w:r w:rsidR="003E67F1" w:rsidRPr="00BF5DAF">
        <w:t xml:space="preserve"> que no fueron del </w:t>
      </w:r>
      <w:r w:rsidRPr="00BF5DAF">
        <w:t xml:space="preserve">momento del accidente sino de 4 años después, y se </w:t>
      </w:r>
      <w:r w:rsidR="00206CED" w:rsidRPr="00BF5DAF">
        <w:t xml:space="preserve">realizó </w:t>
      </w:r>
      <w:r w:rsidRPr="00BF5DAF">
        <w:t>una especie de reconstrucción a la que invitaron a la supuesta víctima pero nunca al victimario, es decir</w:t>
      </w:r>
      <w:r w:rsidR="00B53825" w:rsidRPr="00BF5DAF">
        <w:t>,</w:t>
      </w:r>
      <w:r w:rsidRPr="00BF5DAF">
        <w:t xml:space="preserve"> </w:t>
      </w:r>
      <w:r w:rsidR="003E67F1" w:rsidRPr="00BF5DAF">
        <w:t xml:space="preserve">su defendido no </w:t>
      </w:r>
      <w:r w:rsidR="00EB3AC3" w:rsidRPr="00BF5DAF">
        <w:t>pudo asistir para</w:t>
      </w:r>
      <w:r w:rsidRPr="00BF5DAF">
        <w:t xml:space="preserve"> expresar su versión</w:t>
      </w:r>
      <w:r w:rsidR="003E67F1" w:rsidRPr="00BF5DAF">
        <w:t>.</w:t>
      </w:r>
    </w:p>
    <w:p w:rsidR="00444FC9" w:rsidRPr="00BF5DAF" w:rsidRDefault="00444FC9" w:rsidP="003E67F1">
      <w:pPr>
        <w:spacing w:line="276" w:lineRule="auto"/>
      </w:pPr>
    </w:p>
    <w:p w:rsidR="00444FC9" w:rsidRPr="00BF5DAF" w:rsidRDefault="00755078" w:rsidP="003E67F1">
      <w:pPr>
        <w:spacing w:line="276" w:lineRule="auto"/>
      </w:pPr>
      <w:r w:rsidRPr="00BF5DAF">
        <w:t xml:space="preserve">La </w:t>
      </w:r>
      <w:r w:rsidR="00FD5E91" w:rsidRPr="00BF5DAF">
        <w:t>señor</w:t>
      </w:r>
      <w:r w:rsidR="00206CED" w:rsidRPr="00BF5DAF">
        <w:t>a</w:t>
      </w:r>
      <w:r w:rsidR="00FD5E91" w:rsidRPr="00BF5DAF">
        <w:t xml:space="preserve"> MARGARITA MARÍA</w:t>
      </w:r>
      <w:r w:rsidR="003E67F1" w:rsidRPr="00BF5DAF">
        <w:t xml:space="preserve"> </w:t>
      </w:r>
      <w:r w:rsidR="00206CED" w:rsidRPr="00BF5DAF">
        <w:t xml:space="preserve">en su testimonio </w:t>
      </w:r>
      <w:r w:rsidR="003E67F1" w:rsidRPr="00BF5DAF">
        <w:t xml:space="preserve">prácticamente no hizo ninguna manifestación, </w:t>
      </w:r>
      <w:r w:rsidRPr="00BF5DAF">
        <w:t xml:space="preserve">solo que </w:t>
      </w:r>
      <w:r w:rsidR="00EB3AC3" w:rsidRPr="00BF5DAF">
        <w:t>iba a 60 kilómetros por hora</w:t>
      </w:r>
      <w:r w:rsidR="003E67F1" w:rsidRPr="00BF5DAF">
        <w:t>,</w:t>
      </w:r>
      <w:r w:rsidR="00EB3AC3" w:rsidRPr="00BF5DAF">
        <w:t xml:space="preserve"> lo cual debía tenerse en consideración.</w:t>
      </w:r>
      <w:r w:rsidR="003E67F1" w:rsidRPr="00BF5DAF">
        <w:t xml:space="preserve"> </w:t>
      </w:r>
    </w:p>
    <w:p w:rsidR="00393B20" w:rsidRPr="00BF5DAF" w:rsidRDefault="00393B20" w:rsidP="003E67F1">
      <w:pPr>
        <w:spacing w:line="276" w:lineRule="auto"/>
      </w:pPr>
    </w:p>
    <w:p w:rsidR="00393B20" w:rsidRPr="00BF5DAF" w:rsidRDefault="00AE45CC" w:rsidP="003E67F1">
      <w:pPr>
        <w:spacing w:line="276" w:lineRule="auto"/>
      </w:pPr>
      <w:r w:rsidRPr="00BF5DAF">
        <w:t>No rindieron declaración los policí</w:t>
      </w:r>
      <w:r w:rsidR="003E67F1" w:rsidRPr="00BF5DAF">
        <w:t>as que atendieron el caso en el momento de ocurrenci</w:t>
      </w:r>
      <w:r w:rsidR="00FD5E91" w:rsidRPr="00BF5DAF">
        <w:t xml:space="preserve">a del hecho, ni </w:t>
      </w:r>
      <w:r w:rsidR="00EB3AC3" w:rsidRPr="00BF5DAF">
        <w:t xml:space="preserve">se presentó </w:t>
      </w:r>
      <w:r w:rsidR="00FD5E91" w:rsidRPr="00BF5DAF">
        <w:t>u</w:t>
      </w:r>
      <w:r w:rsidR="00C10413" w:rsidRPr="00BF5DAF">
        <w:t>n</w:t>
      </w:r>
      <w:r w:rsidR="003E67F1" w:rsidRPr="00BF5DAF">
        <w:t xml:space="preserve"> peritaje de física forense que pudiera </w:t>
      </w:r>
      <w:r w:rsidR="00C10413" w:rsidRPr="00BF5DAF">
        <w:t>determinar</w:t>
      </w:r>
      <w:r w:rsidR="003E67F1" w:rsidRPr="00BF5DAF">
        <w:t xml:space="preserve"> la velocidad del vehículo.</w:t>
      </w:r>
      <w:r w:rsidR="00FD5E91" w:rsidRPr="00BF5DAF">
        <w:t xml:space="preserve"> E</w:t>
      </w:r>
      <w:r w:rsidR="003E67F1" w:rsidRPr="00BF5DAF">
        <w:t>l señor juez habla del daño</w:t>
      </w:r>
      <w:r w:rsidR="00FD5E91" w:rsidRPr="00BF5DAF">
        <w:t xml:space="preserve"> que sufrió la motocicleta, pero no hay un estudio que a</w:t>
      </w:r>
      <w:r w:rsidR="003E67F1" w:rsidRPr="00BF5DAF">
        <w:t>sí lo determine</w:t>
      </w:r>
      <w:r w:rsidR="00EB3AC3" w:rsidRPr="00BF5DAF">
        <w:t>, entonces h</w:t>
      </w:r>
      <w:r w:rsidR="00FD5E91" w:rsidRPr="00BF5DAF">
        <w:t>ay c</w:t>
      </w:r>
      <w:r w:rsidR="003E67F1" w:rsidRPr="00BF5DAF">
        <w:t>arencia de elementos importantes para demostrar la responsabilidad de su defendido.</w:t>
      </w:r>
    </w:p>
    <w:p w:rsidR="00393B20" w:rsidRPr="00BF5DAF" w:rsidRDefault="00393B20" w:rsidP="003E67F1">
      <w:pPr>
        <w:spacing w:line="276" w:lineRule="auto"/>
      </w:pPr>
    </w:p>
    <w:p w:rsidR="006C4BE8" w:rsidRPr="00BF5DAF" w:rsidRDefault="00FD5E91" w:rsidP="003E67F1">
      <w:pPr>
        <w:spacing w:line="276" w:lineRule="auto"/>
      </w:pPr>
      <w:r w:rsidRPr="00BF5DAF">
        <w:t xml:space="preserve">Se señaló una </w:t>
      </w:r>
      <w:r w:rsidR="00C10413" w:rsidRPr="00BF5DAF">
        <w:t>infracción</w:t>
      </w:r>
      <w:r w:rsidR="003E67F1" w:rsidRPr="00BF5DAF">
        <w:t xml:space="preserve"> al deber de cuidado</w:t>
      </w:r>
      <w:r w:rsidRPr="00BF5DAF">
        <w:t xml:space="preserve"> por parte de su representado, pero ello podría considerarse de esa manera si</w:t>
      </w:r>
      <w:r w:rsidR="003E67F1" w:rsidRPr="00BF5DAF">
        <w:t xml:space="preserve"> hubie</w:t>
      </w:r>
      <w:r w:rsidR="00EB3AC3" w:rsidRPr="00BF5DAF">
        <w:t>se</w:t>
      </w:r>
      <w:r w:rsidRPr="00BF5DAF">
        <w:t xml:space="preserve"> </w:t>
      </w:r>
      <w:r w:rsidR="003E67F1" w:rsidRPr="00BF5DAF">
        <w:t xml:space="preserve">prueba determinante </w:t>
      </w:r>
      <w:r w:rsidRPr="00BF5DAF">
        <w:t xml:space="preserve">de que </w:t>
      </w:r>
      <w:r w:rsidR="00C10413" w:rsidRPr="00BF5DAF">
        <w:t>en</w:t>
      </w:r>
      <w:r w:rsidR="003E67F1" w:rsidRPr="00BF5DAF">
        <w:t xml:space="preserve"> octubre de 2008 </w:t>
      </w:r>
      <w:r w:rsidRPr="00BF5DAF">
        <w:t xml:space="preserve">el pare </w:t>
      </w:r>
      <w:r w:rsidR="003E67F1" w:rsidRPr="00BF5DAF">
        <w:t>se encontraba vi</w:t>
      </w:r>
      <w:r w:rsidR="00C10413" w:rsidRPr="00BF5DAF">
        <w:t>gente</w:t>
      </w:r>
      <w:r w:rsidR="0039145C" w:rsidRPr="00BF5DAF">
        <w:t>, lo cual no es</w:t>
      </w:r>
      <w:r w:rsidRPr="00BF5DAF">
        <w:t xml:space="preserve"> así. La misma </w:t>
      </w:r>
      <w:r w:rsidR="003E67F1" w:rsidRPr="00BF5DAF">
        <w:t xml:space="preserve">víctima </w:t>
      </w:r>
      <w:r w:rsidR="00C10413" w:rsidRPr="00BF5DAF">
        <w:t>reconoció</w:t>
      </w:r>
      <w:r w:rsidRPr="00BF5DAF">
        <w:t xml:space="preserve"> la existencia de un pare por el lado de la vía en el que ella transitaba, entonces fue </w:t>
      </w:r>
      <w:r w:rsidR="00EB3AC3" w:rsidRPr="00BF5DAF">
        <w:t>ésta</w:t>
      </w:r>
      <w:r w:rsidRPr="00BF5DAF">
        <w:t xml:space="preserve"> quien no observó ese deber objetivo de cuidado, ya que pasó por allí a 6</w:t>
      </w:r>
      <w:r w:rsidR="003E67F1" w:rsidRPr="00BF5DAF">
        <w:t>0 kilómetros por hora</w:t>
      </w:r>
      <w:r w:rsidRPr="00BF5DAF">
        <w:t>.</w:t>
      </w:r>
    </w:p>
    <w:p w:rsidR="00F7461A" w:rsidRPr="00BF5DAF" w:rsidRDefault="00F7461A" w:rsidP="003E67F1">
      <w:pPr>
        <w:spacing w:line="276" w:lineRule="auto"/>
      </w:pPr>
    </w:p>
    <w:p w:rsidR="004B2B5F" w:rsidRPr="00BF5DAF" w:rsidRDefault="004B2B5F" w:rsidP="003E67F1">
      <w:pPr>
        <w:spacing w:line="276" w:lineRule="auto"/>
      </w:pPr>
      <w:r w:rsidRPr="00BF5DAF">
        <w:rPr>
          <w:rStyle w:val="Numeracinttulo"/>
        </w:rPr>
        <w:t xml:space="preserve">2.2.- </w:t>
      </w:r>
      <w:r w:rsidR="00141E07" w:rsidRPr="00BF5DAF">
        <w:t>Fiscalía</w:t>
      </w:r>
      <w:r w:rsidRPr="00BF5DAF">
        <w:t xml:space="preserve"> </w:t>
      </w:r>
      <w:r w:rsidRPr="00BF5DAF">
        <w:rPr>
          <w:rFonts w:ascii="Verdana" w:hAnsi="Verdana"/>
          <w:sz w:val="20"/>
          <w:szCs w:val="20"/>
        </w:rPr>
        <w:t>-no recurrente-</w:t>
      </w:r>
    </w:p>
    <w:p w:rsidR="004B2B5F" w:rsidRPr="00BF5DAF" w:rsidRDefault="004B2B5F" w:rsidP="003E67F1">
      <w:pPr>
        <w:spacing w:line="276" w:lineRule="auto"/>
        <w:rPr>
          <w:rStyle w:val="Nombreprincipal"/>
          <w:b w:val="0"/>
        </w:rPr>
      </w:pPr>
    </w:p>
    <w:p w:rsidR="00F928DB" w:rsidRPr="00BF5DAF" w:rsidRDefault="003F0C50" w:rsidP="003E67F1">
      <w:pPr>
        <w:spacing w:line="276" w:lineRule="auto"/>
      </w:pPr>
      <w:r w:rsidRPr="00BF5DAF">
        <w:t xml:space="preserve">Está de acuerdo con </w:t>
      </w:r>
      <w:r w:rsidR="00971470" w:rsidRPr="00BF5DAF">
        <w:t>el fallo adoptado</w:t>
      </w:r>
      <w:r w:rsidR="00512DAE" w:rsidRPr="00BF5DAF">
        <w:t xml:space="preserve"> por la</w:t>
      </w:r>
      <w:r w:rsidR="00B03A93" w:rsidRPr="00BF5DAF">
        <w:t xml:space="preserve"> primera instancia</w:t>
      </w:r>
      <w:r w:rsidR="009E20DE" w:rsidRPr="00BF5DAF">
        <w:t xml:space="preserve"> y</w:t>
      </w:r>
      <w:r w:rsidR="00CE5078" w:rsidRPr="00BF5DAF">
        <w:t xml:space="preserve"> por ello</w:t>
      </w:r>
      <w:r w:rsidR="009E20DE" w:rsidRPr="00BF5DAF">
        <w:t xml:space="preserve"> pide que se confirme</w:t>
      </w:r>
      <w:r w:rsidR="0046430C" w:rsidRPr="00BF5DAF">
        <w:t>, de acuerdo con los siguientes argumentos:</w:t>
      </w:r>
    </w:p>
    <w:p w:rsidR="000E31AE" w:rsidRPr="00BF5DAF" w:rsidRDefault="000E31AE" w:rsidP="003E67F1">
      <w:pPr>
        <w:spacing w:line="276" w:lineRule="auto"/>
      </w:pPr>
    </w:p>
    <w:p w:rsidR="000E31AE" w:rsidRPr="00BF5DAF" w:rsidRDefault="00206CED" w:rsidP="003E67F1">
      <w:pPr>
        <w:spacing w:line="276" w:lineRule="auto"/>
      </w:pPr>
      <w:r w:rsidRPr="00BF5DAF">
        <w:t xml:space="preserve">La primera falla del </w:t>
      </w:r>
      <w:r w:rsidR="000E31AE" w:rsidRPr="00BF5DAF">
        <w:t>procesado</w:t>
      </w:r>
      <w:r w:rsidRPr="00BF5DAF">
        <w:t xml:space="preserve"> fue conducir </w:t>
      </w:r>
      <w:r w:rsidR="006C4BE8" w:rsidRPr="00BF5DAF">
        <w:t xml:space="preserve">una motocicleta </w:t>
      </w:r>
      <w:r w:rsidR="000E31AE" w:rsidRPr="00BF5DAF">
        <w:t>pese a que no contaba</w:t>
      </w:r>
      <w:r w:rsidRPr="00BF5DAF">
        <w:t xml:space="preserve"> con licencia para ello.</w:t>
      </w:r>
    </w:p>
    <w:p w:rsidR="000E31AE" w:rsidRPr="00BF5DAF" w:rsidRDefault="000E31AE" w:rsidP="003E67F1">
      <w:pPr>
        <w:spacing w:line="276" w:lineRule="auto"/>
      </w:pPr>
    </w:p>
    <w:p w:rsidR="006C4BE8" w:rsidRPr="00BF5DAF" w:rsidRDefault="006C4BE8" w:rsidP="003E67F1">
      <w:pPr>
        <w:spacing w:line="276" w:lineRule="auto"/>
      </w:pPr>
      <w:r w:rsidRPr="00BF5DAF">
        <w:t xml:space="preserve">Si bien no hay un dictamen pericial de </w:t>
      </w:r>
      <w:r w:rsidR="00206CED" w:rsidRPr="00BF5DAF">
        <w:t>la velocidad de los vehículos,</w:t>
      </w:r>
      <w:r w:rsidRPr="00BF5DAF">
        <w:t xml:space="preserve"> </w:t>
      </w:r>
      <w:r w:rsidR="000E31AE" w:rsidRPr="00BF5DAF">
        <w:t xml:space="preserve">por cuanto para ello </w:t>
      </w:r>
      <w:r w:rsidRPr="00BF5DAF">
        <w:t xml:space="preserve">debe </w:t>
      </w:r>
      <w:r w:rsidR="000E31AE" w:rsidRPr="00BF5DAF">
        <w:t xml:space="preserve">contarse con </w:t>
      </w:r>
      <w:r w:rsidRPr="00BF5DAF">
        <w:t xml:space="preserve">un croquis, </w:t>
      </w:r>
      <w:r w:rsidR="00206CED" w:rsidRPr="00BF5DAF">
        <w:t>el mismo no pudo hacerse porque el municipio no cuenta con policía de tránsito</w:t>
      </w:r>
      <w:r w:rsidRPr="00BF5DAF">
        <w:t>.</w:t>
      </w:r>
      <w:r w:rsidR="000E31AE" w:rsidRPr="00BF5DAF">
        <w:t xml:space="preserve"> No obstante, n</w:t>
      </w:r>
      <w:r w:rsidRPr="00BF5DAF">
        <w:t xml:space="preserve">o se necesita ser un físico forense para determinar que las lesiones que </w:t>
      </w:r>
      <w:r w:rsidR="007E4301" w:rsidRPr="00BF5DAF">
        <w:t>están</w:t>
      </w:r>
      <w:r w:rsidR="000E31AE" w:rsidRPr="00BF5DAF">
        <w:t xml:space="preserve"> </w:t>
      </w:r>
      <w:r w:rsidR="000E31AE" w:rsidRPr="00BF5DAF">
        <w:lastRenderedPageBreak/>
        <w:t xml:space="preserve">consignadas en la valoración de </w:t>
      </w:r>
      <w:r w:rsidR="007E4301" w:rsidRPr="00BF5DAF">
        <w:t>medicina</w:t>
      </w:r>
      <w:r w:rsidRPr="00BF5DAF">
        <w:t xml:space="preserve"> </w:t>
      </w:r>
      <w:r w:rsidR="007E4301" w:rsidRPr="00BF5DAF">
        <w:t>legal</w:t>
      </w:r>
      <w:r w:rsidRPr="00BF5DAF">
        <w:t xml:space="preserve"> son c</w:t>
      </w:r>
      <w:r w:rsidR="002A01E5" w:rsidRPr="00BF5DAF">
        <w:t>onsecuencia de un golpe fuerte.</w:t>
      </w:r>
    </w:p>
    <w:p w:rsidR="004961A8" w:rsidRPr="00BF5DAF" w:rsidRDefault="004961A8" w:rsidP="003E67F1">
      <w:pPr>
        <w:spacing w:line="276" w:lineRule="auto"/>
      </w:pPr>
    </w:p>
    <w:p w:rsidR="004961A8" w:rsidRPr="00BF5DAF" w:rsidRDefault="000E31AE" w:rsidP="003E67F1">
      <w:pPr>
        <w:spacing w:line="276" w:lineRule="auto"/>
      </w:pPr>
      <w:r w:rsidRPr="00BF5DAF">
        <w:t xml:space="preserve">No es cierto lo indicado por el defensor en cuanto a que la víctima dijo que conducía a </w:t>
      </w:r>
      <w:r w:rsidR="004961A8" w:rsidRPr="00BF5DAF">
        <w:t>60 kilómetros por hora</w:t>
      </w:r>
      <w:r w:rsidRPr="00BF5DAF">
        <w:t xml:space="preserve"> en el momento del accidente</w:t>
      </w:r>
      <w:r w:rsidR="004961A8" w:rsidRPr="00BF5DAF">
        <w:t xml:space="preserve">, </w:t>
      </w:r>
      <w:r w:rsidR="00206CED" w:rsidRPr="00BF5DAF">
        <w:t>lo</w:t>
      </w:r>
      <w:r w:rsidR="00AA3A26" w:rsidRPr="00BF5DAF">
        <w:t xml:space="preserve"> que</w:t>
      </w:r>
      <w:r w:rsidR="00206CED" w:rsidRPr="00BF5DAF">
        <w:t xml:space="preserve"> </w:t>
      </w:r>
      <w:r w:rsidRPr="00BF5DAF">
        <w:t>ésta</w:t>
      </w:r>
      <w:r w:rsidR="006A1D39" w:rsidRPr="00BF5DAF">
        <w:t xml:space="preserve"> manifestó</w:t>
      </w:r>
      <w:r w:rsidRPr="00BF5DAF">
        <w:t xml:space="preserve"> </w:t>
      </w:r>
      <w:r w:rsidR="007E4301" w:rsidRPr="00BF5DAF">
        <w:t>cuando se le preguntó cómo</w:t>
      </w:r>
      <w:r w:rsidR="002A7EEB" w:rsidRPr="00BF5DAF">
        <w:t xml:space="preserve"> acostumbraba conducir, </w:t>
      </w:r>
      <w:r w:rsidR="00206CED" w:rsidRPr="00BF5DAF">
        <w:t>es</w:t>
      </w:r>
      <w:r w:rsidR="006A1D39" w:rsidRPr="00BF5DAF">
        <w:t xml:space="preserve"> que lo hacía </w:t>
      </w:r>
      <w:r w:rsidRPr="00BF5DAF">
        <w:t>a</w:t>
      </w:r>
      <w:r w:rsidR="007E4301" w:rsidRPr="00BF5DAF">
        <w:t xml:space="preserve"> una velocidad norma</w:t>
      </w:r>
      <w:r w:rsidRPr="00BF5DAF">
        <w:t>l</w:t>
      </w:r>
      <w:r w:rsidR="007E4301" w:rsidRPr="00BF5DAF">
        <w:t xml:space="preserve"> de 60 kilómetros por hora</w:t>
      </w:r>
      <w:r w:rsidRPr="00BF5DAF">
        <w:t>.</w:t>
      </w:r>
    </w:p>
    <w:p w:rsidR="007E4301" w:rsidRPr="00BF5DAF" w:rsidRDefault="007E4301" w:rsidP="003E67F1">
      <w:pPr>
        <w:spacing w:line="276" w:lineRule="auto"/>
      </w:pPr>
    </w:p>
    <w:p w:rsidR="007E4301" w:rsidRPr="00BF5DAF" w:rsidRDefault="00162EB4" w:rsidP="003E67F1">
      <w:pPr>
        <w:spacing w:line="276" w:lineRule="auto"/>
      </w:pPr>
      <w:r w:rsidRPr="00BF5DAF">
        <w:t>Tanto ella como el procesado</w:t>
      </w:r>
      <w:r w:rsidR="007E4301" w:rsidRPr="00BF5DAF">
        <w:t xml:space="preserve"> recono</w:t>
      </w:r>
      <w:r w:rsidRPr="00BF5DAF">
        <w:t>cieron la existencia de pares, y</w:t>
      </w:r>
      <w:r w:rsidR="007E4301" w:rsidRPr="00BF5DAF">
        <w:t xml:space="preserve"> si</w:t>
      </w:r>
      <w:r w:rsidR="00B65320" w:rsidRPr="00BF5DAF">
        <w:t xml:space="preserve"> en verdad</w:t>
      </w:r>
      <w:r w:rsidRPr="00BF5DAF">
        <w:t xml:space="preserve"> h</w:t>
      </w:r>
      <w:r w:rsidR="007E4301" w:rsidRPr="00BF5DAF">
        <w:t xml:space="preserve">ubiese pasado </w:t>
      </w:r>
      <w:r w:rsidR="002A7EEB" w:rsidRPr="00BF5DAF">
        <w:t xml:space="preserve">a 60 kilómetros por hora </w:t>
      </w:r>
      <w:r w:rsidR="007E4301" w:rsidRPr="00BF5DAF">
        <w:t>por ese lugar,</w:t>
      </w:r>
      <w:r w:rsidR="002A7EEB" w:rsidRPr="00BF5DAF">
        <w:t xml:space="preserve"> ni siquiera </w:t>
      </w:r>
      <w:r w:rsidRPr="00BF5DAF">
        <w:t xml:space="preserve">habría hecho </w:t>
      </w:r>
      <w:r w:rsidR="002A7EEB" w:rsidRPr="00BF5DAF">
        <w:t xml:space="preserve">la </w:t>
      </w:r>
      <w:r w:rsidR="007E4301" w:rsidRPr="00BF5DAF">
        <w:t xml:space="preserve">curva sino que </w:t>
      </w:r>
      <w:r w:rsidR="00EE1861" w:rsidRPr="00BF5DAF">
        <w:t xml:space="preserve">se </w:t>
      </w:r>
      <w:r w:rsidR="007E4301" w:rsidRPr="00BF5DAF">
        <w:t>hubie</w:t>
      </w:r>
      <w:r w:rsidRPr="00BF5DAF">
        <w:t>ra d</w:t>
      </w:r>
      <w:r w:rsidR="00EE1861" w:rsidRPr="00BF5DAF">
        <w:t>ado d</w:t>
      </w:r>
      <w:r w:rsidRPr="00BF5DAF">
        <w:t>e frente contra las ca</w:t>
      </w:r>
      <w:r w:rsidR="00EE1861" w:rsidRPr="00BF5DAF">
        <w:t>sas, y</w:t>
      </w:r>
      <w:r w:rsidRPr="00BF5DAF">
        <w:t xml:space="preserve"> el mayo</w:t>
      </w:r>
      <w:r w:rsidR="00D07E12" w:rsidRPr="00BF5DAF">
        <w:t>r</w:t>
      </w:r>
      <w:r w:rsidRPr="00BF5DAF">
        <w:t xml:space="preserve"> lesionado habría sido el acusado por recibir </w:t>
      </w:r>
      <w:r w:rsidR="00EE1861" w:rsidRPr="00BF5DAF">
        <w:t>el impacto de un vehículo a más de 50 kilómetros por hora.</w:t>
      </w:r>
    </w:p>
    <w:p w:rsidR="00EE1861" w:rsidRPr="00BF5DAF" w:rsidRDefault="00EE1861" w:rsidP="003E67F1">
      <w:pPr>
        <w:spacing w:line="276" w:lineRule="auto"/>
      </w:pPr>
    </w:p>
    <w:p w:rsidR="00EE1861" w:rsidRPr="00BF5DAF" w:rsidRDefault="00162EB4" w:rsidP="003E67F1">
      <w:pPr>
        <w:spacing w:line="276" w:lineRule="auto"/>
      </w:pPr>
      <w:r w:rsidRPr="00BF5DAF">
        <w:t>Si bien no se citó al victimario a la</w:t>
      </w:r>
      <w:r w:rsidR="00EE1861" w:rsidRPr="00BF5DAF">
        <w:t xml:space="preserve"> reconstrucción, la </w:t>
      </w:r>
      <w:r w:rsidRPr="00BF5DAF">
        <w:t>defensa</w:t>
      </w:r>
      <w:r w:rsidR="00D07E12" w:rsidRPr="00BF5DAF">
        <w:t xml:space="preserve"> podía solicitar los</w:t>
      </w:r>
      <w:r w:rsidRPr="00BF5DAF">
        <w:t xml:space="preserve"> medios de conocimiento </w:t>
      </w:r>
      <w:r w:rsidR="00D07E12" w:rsidRPr="00BF5DAF">
        <w:t>que considerara necesarios</w:t>
      </w:r>
      <w:r w:rsidR="00EE1861" w:rsidRPr="00BF5DAF">
        <w:t>,</w:t>
      </w:r>
      <w:r w:rsidR="00D07E12" w:rsidRPr="00BF5DAF">
        <w:t xml:space="preserve"> y</w:t>
      </w:r>
      <w:r w:rsidR="008C4F90" w:rsidRPr="00BF5DAF">
        <w:t>a que</w:t>
      </w:r>
      <w:r w:rsidR="00D07E12" w:rsidRPr="00BF5DAF">
        <w:t xml:space="preserve"> </w:t>
      </w:r>
      <w:r w:rsidR="00EE1861" w:rsidRPr="00BF5DAF">
        <w:t>Medicina Legal y los peritos atiende</w:t>
      </w:r>
      <w:r w:rsidRPr="00BF5DAF">
        <w:t>n todos los requerimientos que hacen los abogados bien sea públicos o privados.</w:t>
      </w:r>
    </w:p>
    <w:p w:rsidR="00EE1861" w:rsidRPr="00BF5DAF" w:rsidRDefault="00EE1861" w:rsidP="003E67F1">
      <w:pPr>
        <w:spacing w:line="276" w:lineRule="auto"/>
      </w:pPr>
    </w:p>
    <w:p w:rsidR="00EE1861" w:rsidRPr="00BF5DAF" w:rsidRDefault="00EE1861" w:rsidP="003E67F1">
      <w:pPr>
        <w:spacing w:line="276" w:lineRule="auto"/>
      </w:pPr>
      <w:r w:rsidRPr="00BF5DAF">
        <w:t>Es cierto que el defensor llegó a las últimas audiencias, y por ello la responsabilidad en ese sentido no e</w:t>
      </w:r>
      <w:r w:rsidR="00D07E12" w:rsidRPr="00BF5DAF">
        <w:t>s de él sino de sus antecesores. Se</w:t>
      </w:r>
      <w:r w:rsidR="00162EB4" w:rsidRPr="00BF5DAF">
        <w:t xml:space="preserve"> trata de</w:t>
      </w:r>
      <w:r w:rsidRPr="00BF5DAF">
        <w:t xml:space="preserve"> un proceso que tuvo innumerables aplazamientos, casi </w:t>
      </w:r>
      <w:r w:rsidR="00162EB4" w:rsidRPr="00BF5DAF">
        <w:t xml:space="preserve">hasta llegar al punto de </w:t>
      </w:r>
      <w:r w:rsidRPr="00BF5DAF">
        <w:t>la pre</w:t>
      </w:r>
      <w:r w:rsidR="00162EB4" w:rsidRPr="00BF5DAF">
        <w:t xml:space="preserve">scripción, </w:t>
      </w:r>
      <w:r w:rsidRPr="00BF5DAF">
        <w:t>no porque la Fiscalía se haya demorado tanto años en investiga</w:t>
      </w:r>
      <w:r w:rsidR="008C4F90" w:rsidRPr="00BF5DAF">
        <w:t>r, la tardanza</w:t>
      </w:r>
      <w:r w:rsidR="00162EB4" w:rsidRPr="00BF5DAF">
        <w:t xml:space="preserve"> en retomar la investigación</w:t>
      </w:r>
      <w:r w:rsidR="00D07E12" w:rsidRPr="00BF5DAF">
        <w:t xml:space="preserve"> obedeció a que la </w:t>
      </w:r>
      <w:r w:rsidR="008C4F90" w:rsidRPr="00BF5DAF">
        <w:t xml:space="preserve">víctima </w:t>
      </w:r>
      <w:r w:rsidRPr="00BF5DAF">
        <w:t>duró mucho t</w:t>
      </w:r>
      <w:r w:rsidR="00D07E12" w:rsidRPr="00BF5DAF">
        <w:t>iempo</w:t>
      </w:r>
      <w:r w:rsidR="008C4F90" w:rsidRPr="00BF5DAF">
        <w:t xml:space="preserve"> en coma</w:t>
      </w:r>
      <w:r w:rsidR="00D07E12" w:rsidRPr="00BF5DAF">
        <w:t>, pero cuando se reanudó y se le informó al ciudadano que se le estaba</w:t>
      </w:r>
      <w:r w:rsidR="00C85C9B" w:rsidRPr="00BF5DAF">
        <w:t xml:space="preserve"> adelantando</w:t>
      </w:r>
      <w:r w:rsidR="00D07E12" w:rsidRPr="00BF5DAF">
        <w:t xml:space="preserve"> esa investigación en su contra</w:t>
      </w:r>
      <w:r w:rsidR="00C85C9B" w:rsidRPr="00BF5DAF">
        <w:t xml:space="preserve"> y se</w:t>
      </w:r>
      <w:r w:rsidR="00D07E12" w:rsidRPr="00BF5DAF">
        <w:t xml:space="preserve"> le formuló </w:t>
      </w:r>
      <w:r w:rsidR="00C85C9B" w:rsidRPr="00BF5DAF">
        <w:t xml:space="preserve">imputación, la defensa tenía todo el tiempo para recaudar su prueba, </w:t>
      </w:r>
      <w:r w:rsidR="00BD05B2" w:rsidRPr="00BF5DAF">
        <w:t xml:space="preserve">pero nunca solicitó la práctica de </w:t>
      </w:r>
      <w:r w:rsidR="00D07E12" w:rsidRPr="00BF5DAF">
        <w:t>alguna</w:t>
      </w:r>
      <w:r w:rsidR="00C85C9B" w:rsidRPr="00BF5DAF">
        <w:t>.</w:t>
      </w:r>
    </w:p>
    <w:p w:rsidR="00C85C9B" w:rsidRPr="00BF5DAF" w:rsidRDefault="00C85C9B" w:rsidP="003E67F1">
      <w:pPr>
        <w:spacing w:line="276" w:lineRule="auto"/>
      </w:pPr>
    </w:p>
    <w:p w:rsidR="00C85C9B" w:rsidRPr="00BF5DAF" w:rsidRDefault="00C85C9B" w:rsidP="003E67F1">
      <w:pPr>
        <w:spacing w:line="276" w:lineRule="auto"/>
      </w:pPr>
      <w:r w:rsidRPr="00BF5DAF">
        <w:t>La Fiscalía intentó con las poquitas herramientas que se tiene</w:t>
      </w:r>
      <w:r w:rsidR="00C77C00" w:rsidRPr="00BF5DAF">
        <w:t>n</w:t>
      </w:r>
      <w:r w:rsidRPr="00BF5DAF">
        <w:t xml:space="preserve"> en un municipio donde no existe tránsito </w:t>
      </w:r>
      <w:r w:rsidR="00C77C00" w:rsidRPr="00BF5DAF">
        <w:t xml:space="preserve">obtener elementos </w:t>
      </w:r>
      <w:r w:rsidR="00613503" w:rsidRPr="00BF5DAF">
        <w:t>materiales</w:t>
      </w:r>
      <w:r w:rsidR="00C77C00" w:rsidRPr="00BF5DAF">
        <w:t xml:space="preserve"> </w:t>
      </w:r>
      <w:r w:rsidR="00613503" w:rsidRPr="00BF5DAF">
        <w:t>probatorios</w:t>
      </w:r>
      <w:r w:rsidR="00C77C00" w:rsidRPr="00BF5DAF">
        <w:t xml:space="preserve"> que demostraran la responsabilidad de un </w:t>
      </w:r>
      <w:r w:rsidR="00613503" w:rsidRPr="00BF5DAF">
        <w:t>hecho</w:t>
      </w:r>
      <w:r w:rsidR="00F62319" w:rsidRPr="00BF5DAF">
        <w:t xml:space="preserve"> y la existencia del mismo</w:t>
      </w:r>
      <w:r w:rsidR="00C77C00" w:rsidRPr="00BF5DAF">
        <w:t xml:space="preserve">, </w:t>
      </w:r>
      <w:r w:rsidR="00D07E12" w:rsidRPr="00BF5DAF">
        <w:t xml:space="preserve">y </w:t>
      </w:r>
      <w:r w:rsidR="00C77C00" w:rsidRPr="00BF5DAF">
        <w:t xml:space="preserve">con la </w:t>
      </w:r>
      <w:r w:rsidR="00613503" w:rsidRPr="00BF5DAF">
        <w:t>prueba</w:t>
      </w:r>
      <w:r w:rsidR="00C77C00" w:rsidRPr="00BF5DAF">
        <w:t xml:space="preserve"> </w:t>
      </w:r>
      <w:r w:rsidR="00613503" w:rsidRPr="00BF5DAF">
        <w:t>que</w:t>
      </w:r>
      <w:r w:rsidR="00C77C00" w:rsidRPr="00BF5DAF">
        <w:t xml:space="preserve"> se presentó se logró </w:t>
      </w:r>
      <w:r w:rsidR="00613503" w:rsidRPr="00BF5DAF">
        <w:t>derribar</w:t>
      </w:r>
      <w:r w:rsidR="008C4F90" w:rsidRPr="00BF5DAF">
        <w:t xml:space="preserve"> esa presunción de inocencia. Pr</w:t>
      </w:r>
      <w:r w:rsidR="00C77C00" w:rsidRPr="00BF5DAF">
        <w:t>ecisamente el acusado reconoci</w:t>
      </w:r>
      <w:r w:rsidR="00613503" w:rsidRPr="00BF5DAF">
        <w:t>ó la existencia de un pa</w:t>
      </w:r>
      <w:r w:rsidR="008C4F90" w:rsidRPr="00BF5DAF">
        <w:t>re y la víctima también,</w:t>
      </w:r>
      <w:r w:rsidR="00C77C00" w:rsidRPr="00BF5DAF">
        <w:t xml:space="preserve"> nunca se cuestionó en ese momento la falta de pare</w:t>
      </w:r>
      <w:r w:rsidR="008C4F90" w:rsidRPr="00BF5DAF">
        <w:t xml:space="preserve"> lo cual viene a hacerse en los alegatos de conclusión</w:t>
      </w:r>
      <w:r w:rsidR="00C77C00" w:rsidRPr="00BF5DAF">
        <w:t>,</w:t>
      </w:r>
      <w:r w:rsidR="00224A43" w:rsidRPr="00BF5DAF">
        <w:t xml:space="preserve"> pero</w:t>
      </w:r>
      <w:r w:rsidR="00C77C00" w:rsidRPr="00BF5DAF">
        <w:t xml:space="preserve"> el señor defensor reconoció que</w:t>
      </w:r>
      <w:r w:rsidR="00224A43" w:rsidRPr="00BF5DAF">
        <w:t xml:space="preserve"> </w:t>
      </w:r>
      <w:r w:rsidR="00564037" w:rsidRPr="00BF5DAF">
        <w:t>es una intersección complicada, por lo cual</w:t>
      </w:r>
      <w:r w:rsidR="00C77C00" w:rsidRPr="00BF5DAF">
        <w:t xml:space="preserve"> es ilógico pensar que s</w:t>
      </w:r>
      <w:r w:rsidR="00564037" w:rsidRPr="00BF5DAF">
        <w:t>i es una intersección de esa magnitud</w:t>
      </w:r>
      <w:r w:rsidR="00C77C00" w:rsidRPr="00BF5DAF">
        <w:t xml:space="preserve"> y siempre ha sido la entrada al muni</w:t>
      </w:r>
      <w:r w:rsidR="00564037" w:rsidRPr="00BF5DAF">
        <w:t>cipio hoy en día existan pares pero</w:t>
      </w:r>
      <w:r w:rsidR="00C77C00" w:rsidRPr="00BF5DAF">
        <w:t xml:space="preserve"> </w:t>
      </w:r>
      <w:r w:rsidR="002A01E5" w:rsidRPr="00BF5DAF">
        <w:t xml:space="preserve">para la época del accidente </w:t>
      </w:r>
      <w:r w:rsidR="00D07E12" w:rsidRPr="00BF5DAF">
        <w:t>no los hubiera</w:t>
      </w:r>
      <w:r w:rsidR="002A01E5" w:rsidRPr="00BF5DAF">
        <w:t>.</w:t>
      </w:r>
    </w:p>
    <w:p w:rsidR="00C77C00" w:rsidRPr="00BF5DAF" w:rsidRDefault="00C77C00" w:rsidP="003E67F1">
      <w:pPr>
        <w:spacing w:line="276" w:lineRule="auto"/>
      </w:pPr>
    </w:p>
    <w:p w:rsidR="008C4F90" w:rsidRPr="00BF5DAF" w:rsidRDefault="002A01E5" w:rsidP="003E67F1">
      <w:pPr>
        <w:spacing w:line="276" w:lineRule="auto"/>
      </w:pPr>
      <w:r w:rsidRPr="00BF5DAF">
        <w:lastRenderedPageBreak/>
        <w:t>No puede decirse</w:t>
      </w:r>
      <w:r w:rsidR="00C77C00" w:rsidRPr="00BF5DAF">
        <w:t xml:space="preserve"> que no</w:t>
      </w:r>
      <w:r w:rsidR="00A33CDA" w:rsidRPr="00BF5DAF">
        <w:t xml:space="preserve"> se violaron normas de tránsito,</w:t>
      </w:r>
      <w:r w:rsidR="008C4F90" w:rsidRPr="00BF5DAF">
        <w:t xml:space="preserve"> particularmente se quebrantaron los artículos 61, 64 y 66 de la Ley 769/02 del Código Nacional de Tránsito,</w:t>
      </w:r>
      <w:r w:rsidR="00A33CDA" w:rsidRPr="00BF5DAF">
        <w:t xml:space="preserve"> hasta el punto </w:t>
      </w:r>
      <w:r w:rsidR="008C4F90" w:rsidRPr="00BF5DAF">
        <w:t>de generar u</w:t>
      </w:r>
      <w:r w:rsidR="00A33CDA" w:rsidRPr="00BF5DAF">
        <w:t xml:space="preserve">n </w:t>
      </w:r>
      <w:r w:rsidR="00C77C00" w:rsidRPr="00BF5DAF">
        <w:t>accidente</w:t>
      </w:r>
      <w:r w:rsidR="008C4F90" w:rsidRPr="00BF5DAF">
        <w:t xml:space="preserve">. </w:t>
      </w:r>
    </w:p>
    <w:p w:rsidR="008C4F90" w:rsidRPr="00BF5DAF" w:rsidRDefault="008C4F90" w:rsidP="003E67F1">
      <w:pPr>
        <w:spacing w:line="276" w:lineRule="auto"/>
      </w:pPr>
    </w:p>
    <w:p w:rsidR="00C77C00" w:rsidRPr="00BF5DAF" w:rsidRDefault="00C77C00" w:rsidP="003E67F1">
      <w:pPr>
        <w:spacing w:line="276" w:lineRule="auto"/>
      </w:pPr>
      <w:r w:rsidRPr="00BF5DAF">
        <w:t>Cuando se habla de la violación al deber objetivo de c</w:t>
      </w:r>
      <w:r w:rsidR="00A33CDA" w:rsidRPr="00BF5DAF">
        <w:t>uidado, es claro que al transgredirse</w:t>
      </w:r>
      <w:r w:rsidRPr="00BF5DAF">
        <w:t xml:space="preserve"> una norma de tránsito se está </w:t>
      </w:r>
      <w:r w:rsidR="00A33CDA" w:rsidRPr="00BF5DAF">
        <w:t>infringiendo</w:t>
      </w:r>
      <w:r w:rsidRPr="00BF5DAF">
        <w:t xml:space="preserve"> también un principio de confianza, </w:t>
      </w:r>
      <w:r w:rsidR="00A33CDA" w:rsidRPr="00BF5DAF">
        <w:t xml:space="preserve">de acuerdo con el cual </w:t>
      </w:r>
      <w:r w:rsidRPr="00BF5DAF">
        <w:t>los demás conductores</w:t>
      </w:r>
      <w:r w:rsidR="00A33CDA" w:rsidRPr="00BF5DAF">
        <w:t xml:space="preserve"> piensan que éste  tiene su licencia de tránsito, conoce las normas y las va</w:t>
      </w:r>
      <w:r w:rsidRPr="00BF5DAF">
        <w:t xml:space="preserve"> a cumplir.</w:t>
      </w:r>
      <w:r w:rsidR="00A33CDA" w:rsidRPr="00BF5DAF">
        <w:t xml:space="preserve"> </w:t>
      </w:r>
    </w:p>
    <w:p w:rsidR="00613503" w:rsidRPr="00BF5DAF" w:rsidRDefault="00613503" w:rsidP="003E67F1">
      <w:pPr>
        <w:spacing w:line="276" w:lineRule="auto"/>
      </w:pPr>
    </w:p>
    <w:p w:rsidR="00613503" w:rsidRPr="00BF5DAF" w:rsidRDefault="00613503" w:rsidP="003E67F1">
      <w:pPr>
        <w:spacing w:line="276" w:lineRule="auto"/>
      </w:pPr>
      <w:r w:rsidRPr="00BF5DAF">
        <w:t>A pesar de que estos delitos tiene</w:t>
      </w:r>
      <w:r w:rsidR="00162EB4" w:rsidRPr="00BF5DAF">
        <w:t>n</w:t>
      </w:r>
      <w:r w:rsidRPr="00BF5DAF">
        <w:t xml:space="preserve"> una</w:t>
      </w:r>
      <w:r w:rsidR="00162EB4" w:rsidRPr="00BF5DAF">
        <w:t>s</w:t>
      </w:r>
      <w:r w:rsidRPr="00BF5DAF">
        <w:t xml:space="preserve"> penas muy bajas,</w:t>
      </w:r>
      <w:r w:rsidR="00A33CDA" w:rsidRPr="00BF5DAF">
        <w:t xml:space="preserve"> la víctima estuvo pendiente del proceso, </w:t>
      </w:r>
      <w:r w:rsidR="008C4F90" w:rsidRPr="00BF5DAF">
        <w:t xml:space="preserve">y no obstante saber que </w:t>
      </w:r>
      <w:r w:rsidRPr="00BF5DAF">
        <w:t xml:space="preserve">no </w:t>
      </w:r>
      <w:r w:rsidR="00AD71B3" w:rsidRPr="00BF5DAF">
        <w:t>v</w:t>
      </w:r>
      <w:r w:rsidR="008C4F90" w:rsidRPr="00BF5DAF">
        <w:t>a</w:t>
      </w:r>
      <w:r w:rsidR="00AD71B3" w:rsidRPr="00BF5DAF">
        <w:t xml:space="preserve"> a</w:t>
      </w:r>
      <w:r w:rsidRPr="00BF5DAF">
        <w:t xml:space="preserve"> recibir una compensación</w:t>
      </w:r>
      <w:r w:rsidR="00EE3F56" w:rsidRPr="00BF5DAF">
        <w:t xml:space="preserve"> económica, por cuanto en</w:t>
      </w:r>
      <w:r w:rsidRPr="00BF5DAF">
        <w:t xml:space="preserve"> la investigación también se pudo establecer que </w:t>
      </w:r>
      <w:r w:rsidR="00CF0026">
        <w:rPr>
          <w:b/>
          <w:sz w:val="22"/>
          <w:szCs w:val="22"/>
        </w:rPr>
        <w:t>CAGR</w:t>
      </w:r>
      <w:r w:rsidR="00162EB4" w:rsidRPr="00BF5DAF">
        <w:rPr>
          <w:b/>
          <w:sz w:val="22"/>
          <w:szCs w:val="22"/>
        </w:rPr>
        <w:t xml:space="preserve"> </w:t>
      </w:r>
      <w:r w:rsidR="00162EB4" w:rsidRPr="00BF5DAF">
        <w:t>no ti</w:t>
      </w:r>
      <w:r w:rsidRPr="00BF5DAF">
        <w:t xml:space="preserve">ene bienes </w:t>
      </w:r>
      <w:r w:rsidR="008C4F90" w:rsidRPr="00BF5DAF">
        <w:t>para responder,</w:t>
      </w:r>
      <w:r w:rsidRPr="00BF5DAF">
        <w:t xml:space="preserve"> por lo menos ha solicitado que esto no qued</w:t>
      </w:r>
      <w:r w:rsidR="00EE3F56" w:rsidRPr="00BF5DAF">
        <w:t>e impune, y fue lo que demostró</w:t>
      </w:r>
      <w:r w:rsidRPr="00BF5DAF">
        <w:t xml:space="preserve"> la Fiscalía en la audiencia de juicio oral</w:t>
      </w:r>
      <w:r w:rsidR="00AD71B3" w:rsidRPr="00BF5DAF">
        <w:t>. P</w:t>
      </w:r>
      <w:r w:rsidRPr="00BF5DAF">
        <w:t>or eso se formuló imputación y se vino a juicio.</w:t>
      </w:r>
    </w:p>
    <w:p w:rsidR="00044624" w:rsidRPr="00BF5DAF" w:rsidRDefault="00044624" w:rsidP="003E67F1">
      <w:pPr>
        <w:spacing w:line="276" w:lineRule="auto"/>
      </w:pPr>
    </w:p>
    <w:p w:rsidR="00EE4F8A" w:rsidRPr="00BF5DAF" w:rsidRDefault="009D3DE3" w:rsidP="00EE4F8A">
      <w:pPr>
        <w:spacing w:line="276" w:lineRule="auto"/>
        <w:rPr>
          <w:rStyle w:val="Algerian"/>
        </w:rPr>
      </w:pPr>
      <w:r w:rsidRPr="00BF5DAF">
        <w:rPr>
          <w:rStyle w:val="Algerian"/>
        </w:rPr>
        <w:t xml:space="preserve">3.- </w:t>
      </w:r>
      <w:r w:rsidR="007340F4" w:rsidRPr="00BF5DAF">
        <w:rPr>
          <w:rStyle w:val="Algerian"/>
          <w:rFonts w:ascii="Tahoma" w:hAnsi="Tahoma" w:cs="Tahoma"/>
          <w:sz w:val="28"/>
          <w:szCs w:val="28"/>
        </w:rPr>
        <w:t xml:space="preserve">Para resolver, </w:t>
      </w:r>
      <w:r w:rsidR="007340F4" w:rsidRPr="00BF5DAF">
        <w:rPr>
          <w:rStyle w:val="Algerian"/>
        </w:rPr>
        <w:t xml:space="preserve">se considera </w:t>
      </w:r>
    </w:p>
    <w:p w:rsidR="007340F4" w:rsidRPr="00BF5DAF" w:rsidRDefault="007340F4" w:rsidP="00EE4F8A">
      <w:pPr>
        <w:spacing w:line="276" w:lineRule="auto"/>
      </w:pPr>
    </w:p>
    <w:p w:rsidR="00287D75" w:rsidRPr="00BF5DAF" w:rsidRDefault="003F3152" w:rsidP="00FE1B89">
      <w:pPr>
        <w:spacing w:line="276" w:lineRule="auto"/>
      </w:pPr>
      <w:r w:rsidRPr="00BF5DAF">
        <w:t xml:space="preserve">La </w:t>
      </w:r>
      <w:r w:rsidR="00FE1B89" w:rsidRPr="00BF5DAF">
        <w:t xml:space="preserve">Colegiatura </w:t>
      </w:r>
      <w:r w:rsidR="00287D75" w:rsidRPr="00BF5DAF">
        <w:t xml:space="preserve">es competente para conocer el recurso de apelación interpuesto, </w:t>
      </w:r>
      <w:r w:rsidR="00FE1B89" w:rsidRPr="00BF5DAF">
        <w:t xml:space="preserve">de conformidad con los factores objetivo, territorial y funcional a voces de los artículos </w:t>
      </w:r>
      <w:r w:rsidR="00287D75" w:rsidRPr="00BF5DAF">
        <w:t xml:space="preserve">20, 34.1 y 179 de la Ley 906/04 </w:t>
      </w:r>
      <w:r w:rsidR="00FE1B89" w:rsidRPr="00BF5DAF">
        <w:rPr>
          <w:rFonts w:ascii="Verdana" w:hAnsi="Verdana"/>
          <w:sz w:val="20"/>
        </w:rPr>
        <w:t>-modificado este último por el artículo 91 de la Ley 1395/10-</w:t>
      </w:r>
    </w:p>
    <w:p w:rsidR="00FE1B89" w:rsidRPr="00BF5DAF" w:rsidRDefault="00FE1B89" w:rsidP="00FE1B89">
      <w:pPr>
        <w:spacing w:line="276" w:lineRule="auto"/>
      </w:pPr>
    </w:p>
    <w:p w:rsidR="005B0103" w:rsidRPr="00BF5DAF" w:rsidRDefault="00FE1B89" w:rsidP="001954A3">
      <w:pPr>
        <w:spacing w:line="276" w:lineRule="auto"/>
      </w:pPr>
      <w:r w:rsidRPr="00BF5DAF">
        <w:t>Sería del caso analizar</w:t>
      </w:r>
      <w:r w:rsidR="00B53825" w:rsidRPr="00BF5DAF">
        <w:t xml:space="preserve"> los argumentos expuestos por </w:t>
      </w:r>
      <w:r w:rsidR="00007AF0" w:rsidRPr="00BF5DAF">
        <w:t>el togado recurrente con miras a</w:t>
      </w:r>
      <w:r w:rsidR="00B53825" w:rsidRPr="00BF5DAF">
        <w:t xml:space="preserve"> determinar</w:t>
      </w:r>
      <w:r w:rsidRPr="00BF5DAF">
        <w:t xml:space="preserve"> si</w:t>
      </w:r>
      <w:r w:rsidRPr="00BF5DAF">
        <w:rPr>
          <w:rFonts w:cs="Tahoma"/>
          <w:lang w:val="es-ES_tradnl" w:eastAsia="es-ES"/>
        </w:rPr>
        <w:t xml:space="preserve"> </w:t>
      </w:r>
      <w:r w:rsidR="00E0653D" w:rsidRPr="00BF5DAF">
        <w:rPr>
          <w:rFonts w:cs="Tahoma"/>
          <w:lang w:val="es-ES_tradnl" w:eastAsia="es-ES"/>
        </w:rPr>
        <w:t xml:space="preserve">el fallo </w:t>
      </w:r>
      <w:r w:rsidR="00141E07" w:rsidRPr="00BF5DAF">
        <w:rPr>
          <w:rFonts w:cs="Tahoma"/>
          <w:lang w:val="es-ES_tradnl" w:eastAsia="es-ES"/>
        </w:rPr>
        <w:t>condenatorio dictado por el</w:t>
      </w:r>
      <w:r w:rsidR="00981FBF" w:rsidRPr="00BF5DAF">
        <w:rPr>
          <w:rFonts w:cs="Tahoma"/>
          <w:lang w:val="es-ES_tradnl" w:eastAsia="es-ES"/>
        </w:rPr>
        <w:t xml:space="preserve"> juez </w:t>
      </w:r>
      <w:r w:rsidR="00007AF0" w:rsidRPr="00BF5DAF">
        <w:rPr>
          <w:rFonts w:cs="Tahoma"/>
          <w:lang w:val="es-ES_tradnl" w:eastAsia="es-ES"/>
        </w:rPr>
        <w:t xml:space="preserve">a quo </w:t>
      </w:r>
      <w:r w:rsidR="00981FBF" w:rsidRPr="00BF5DAF">
        <w:rPr>
          <w:rFonts w:cs="Tahoma"/>
          <w:lang w:val="es-ES_tradnl" w:eastAsia="es-ES"/>
        </w:rPr>
        <w:t>se encuentra ajustado a derecho</w:t>
      </w:r>
      <w:r w:rsidR="000B291B" w:rsidRPr="00BF5DAF">
        <w:rPr>
          <w:rFonts w:cs="Tahoma"/>
          <w:lang w:val="es-ES_tradnl" w:eastAsia="es-ES"/>
        </w:rPr>
        <w:t>,</w:t>
      </w:r>
      <w:r w:rsidR="00B53825" w:rsidRPr="00BF5DAF">
        <w:rPr>
          <w:rFonts w:cs="Tahoma"/>
          <w:lang w:val="es-ES_tradnl" w:eastAsia="es-ES"/>
        </w:rPr>
        <w:t xml:space="preserve"> </w:t>
      </w:r>
      <w:r w:rsidR="00981FBF" w:rsidRPr="00BF5DAF">
        <w:rPr>
          <w:rFonts w:cs="Tahoma"/>
          <w:lang w:val="es-ES_tradnl" w:eastAsia="es-ES"/>
        </w:rPr>
        <w:t xml:space="preserve">de no ser porque </w:t>
      </w:r>
      <w:r w:rsidR="00141E07" w:rsidRPr="00BF5DAF">
        <w:t>se advierte que</w:t>
      </w:r>
      <w:r w:rsidR="00607EAF" w:rsidRPr="00BF5DAF">
        <w:t xml:space="preserve"> </w:t>
      </w:r>
      <w:r w:rsidR="00607EAF" w:rsidRPr="00BF5DAF">
        <w:rPr>
          <w:b/>
          <w:sz w:val="22"/>
          <w:szCs w:val="22"/>
          <w:u w:val="single"/>
        </w:rPr>
        <w:t xml:space="preserve">antes de </w:t>
      </w:r>
      <w:r w:rsidR="00141E07" w:rsidRPr="00BF5DAF">
        <w:rPr>
          <w:b/>
          <w:sz w:val="22"/>
          <w:szCs w:val="22"/>
          <w:u w:val="single"/>
        </w:rPr>
        <w:t>proferirse</w:t>
      </w:r>
      <w:r w:rsidR="00007AF0" w:rsidRPr="00BF5DAF">
        <w:rPr>
          <w:b/>
          <w:sz w:val="22"/>
          <w:szCs w:val="22"/>
          <w:u w:val="single"/>
        </w:rPr>
        <w:t xml:space="preserve"> la sentencia objeto de recurso ya</w:t>
      </w:r>
      <w:r w:rsidR="00141E07" w:rsidRPr="00BF5DAF">
        <w:rPr>
          <w:b/>
          <w:sz w:val="22"/>
          <w:szCs w:val="22"/>
          <w:u w:val="single"/>
        </w:rPr>
        <w:t xml:space="preserve"> había operado el fenómeno de la prescripción</w:t>
      </w:r>
      <w:r w:rsidR="00141E07" w:rsidRPr="00BF5DAF">
        <w:t>.</w:t>
      </w:r>
      <w:r w:rsidR="00B413B9" w:rsidRPr="00BF5DAF">
        <w:t xml:space="preserve"> Obsérvese:</w:t>
      </w:r>
    </w:p>
    <w:p w:rsidR="00B413B9" w:rsidRPr="00BF5DAF" w:rsidRDefault="00B413B9" w:rsidP="001954A3">
      <w:pPr>
        <w:spacing w:line="276" w:lineRule="auto"/>
      </w:pPr>
    </w:p>
    <w:p w:rsidR="00B413B9" w:rsidRPr="00BF5DAF" w:rsidRDefault="00B413B9" w:rsidP="00B413B9">
      <w:pPr>
        <w:spacing w:line="276" w:lineRule="auto"/>
        <w:rPr>
          <w:rFonts w:cs="Tahoma"/>
        </w:rPr>
      </w:pPr>
      <w:r w:rsidRPr="00BF5DAF">
        <w:rPr>
          <w:rFonts w:cs="Tahoma"/>
        </w:rPr>
        <w:t>La formulac</w:t>
      </w:r>
      <w:r w:rsidR="00607EAF" w:rsidRPr="00BF5DAF">
        <w:rPr>
          <w:rFonts w:cs="Tahoma"/>
        </w:rPr>
        <w:t xml:space="preserve">ión de imputación se realizó en </w:t>
      </w:r>
      <w:r w:rsidRPr="00BF5DAF">
        <w:rPr>
          <w:rFonts w:cs="Tahoma"/>
        </w:rPr>
        <w:t xml:space="preserve">septiembre 02 de 2013 por la conducta punible de lesiones personales culposas, al tenor de los artículos </w:t>
      </w:r>
      <w:r w:rsidRPr="00BF5DAF">
        <w:rPr>
          <w:rStyle w:val="Numeracinttulo"/>
          <w:b w:val="0"/>
          <w:sz w:val="26"/>
        </w:rPr>
        <w:t>111, 112 inciso 3, 113 inciso 2</w:t>
      </w:r>
      <w:r w:rsidR="008434A9" w:rsidRPr="00BF5DAF">
        <w:rPr>
          <w:rStyle w:val="Numeracinttulo"/>
          <w:b w:val="0"/>
          <w:sz w:val="26"/>
        </w:rPr>
        <w:t xml:space="preserve"> y 4</w:t>
      </w:r>
      <w:r w:rsidR="00332C20" w:rsidRPr="00BF5DAF">
        <w:rPr>
          <w:rStyle w:val="Refdenotaalpie"/>
        </w:rPr>
        <w:footnoteReference w:id="1"/>
      </w:r>
      <w:r w:rsidRPr="00BF5DAF">
        <w:rPr>
          <w:rStyle w:val="Numeracinttulo"/>
          <w:b w:val="0"/>
          <w:sz w:val="26"/>
        </w:rPr>
        <w:t>, 114 inciso 2, 116, 117 y 120 C.P.</w:t>
      </w:r>
      <w:r w:rsidRPr="00BF5DAF">
        <w:rPr>
          <w:rFonts w:cs="Tahoma"/>
        </w:rPr>
        <w:t xml:space="preserve"> De conformidad con lo establecido en el artículo 117</w:t>
      </w:r>
      <w:r w:rsidR="00444FC9" w:rsidRPr="00BF5DAF">
        <w:rPr>
          <w:rFonts w:cs="Tahoma"/>
        </w:rPr>
        <w:t xml:space="preserve"> ibídem</w:t>
      </w:r>
      <w:r w:rsidRPr="00BF5DAF">
        <w:rPr>
          <w:rFonts w:cs="Tahoma"/>
        </w:rPr>
        <w:t xml:space="preserve"> acerca de la unidad punitiva, la pena más grave es la contenida en el artículo</w:t>
      </w:r>
      <w:r w:rsidR="00315094" w:rsidRPr="00BF5DAF">
        <w:rPr>
          <w:rFonts w:cs="Tahoma"/>
        </w:rPr>
        <w:t xml:space="preserve"> </w:t>
      </w:r>
      <w:r w:rsidR="00EF42CA" w:rsidRPr="00BF5DAF">
        <w:rPr>
          <w:rFonts w:cs="Tahoma"/>
        </w:rPr>
        <w:t>116</w:t>
      </w:r>
      <w:r w:rsidR="000727A4" w:rsidRPr="00BF5DAF">
        <w:rPr>
          <w:rFonts w:cs="Tahoma"/>
        </w:rPr>
        <w:t xml:space="preserve"> </w:t>
      </w:r>
      <w:r w:rsidR="00315094" w:rsidRPr="00BF5DAF">
        <w:rPr>
          <w:rFonts w:cs="Tahoma"/>
        </w:rPr>
        <w:t>que oscila entre</w:t>
      </w:r>
      <w:r w:rsidR="00EF42CA" w:rsidRPr="00BF5DAF">
        <w:rPr>
          <w:rFonts w:cs="Tahoma"/>
        </w:rPr>
        <w:t xml:space="preserve"> 96 y 180</w:t>
      </w:r>
      <w:r w:rsidRPr="00BF5DAF">
        <w:rPr>
          <w:rFonts w:cs="Tahoma"/>
        </w:rPr>
        <w:t xml:space="preserve"> meses, los cuales deben ser disminuidos de las </w:t>
      </w:r>
      <w:r w:rsidRPr="00BF5DAF">
        <w:rPr>
          <w:rFonts w:cs="Tahoma"/>
          <w:sz w:val="24"/>
          <w:szCs w:val="24"/>
        </w:rPr>
        <w:t>4/5</w:t>
      </w:r>
      <w:r w:rsidRPr="00BF5DAF">
        <w:rPr>
          <w:rFonts w:cs="Tahoma"/>
        </w:rPr>
        <w:t xml:space="preserve"> a las </w:t>
      </w:r>
      <w:r w:rsidRPr="00BF5DAF">
        <w:rPr>
          <w:rFonts w:cs="Tahoma"/>
          <w:sz w:val="24"/>
          <w:szCs w:val="24"/>
        </w:rPr>
        <w:t>3/4</w:t>
      </w:r>
      <w:r w:rsidRPr="00BF5DAF">
        <w:rPr>
          <w:rFonts w:cs="Tahoma"/>
        </w:rPr>
        <w:t xml:space="preserve"> partes según</w:t>
      </w:r>
      <w:r w:rsidR="000727A4" w:rsidRPr="00BF5DAF">
        <w:rPr>
          <w:rFonts w:cs="Tahoma"/>
        </w:rPr>
        <w:t xml:space="preserve"> lo consagrado en el 120 ibídem</w:t>
      </w:r>
      <w:r w:rsidRPr="00BF5DAF">
        <w:rPr>
          <w:rFonts w:cs="Tahoma"/>
        </w:rPr>
        <w:t xml:space="preserve"> por tratarse de un delito culposo, </w:t>
      </w:r>
      <w:r w:rsidR="000727A4" w:rsidRPr="00BF5DAF">
        <w:rPr>
          <w:rFonts w:cs="Tahoma"/>
        </w:rPr>
        <w:t>por lo que la sanción oscilaría</w:t>
      </w:r>
      <w:r w:rsidR="00315094" w:rsidRPr="00BF5DAF">
        <w:rPr>
          <w:rFonts w:cs="Tahoma"/>
        </w:rPr>
        <w:t xml:space="preserve"> entre </w:t>
      </w:r>
      <w:r w:rsidR="00EF42CA" w:rsidRPr="00BF5DAF">
        <w:rPr>
          <w:rFonts w:cs="Tahoma"/>
        </w:rPr>
        <w:t>19.2</w:t>
      </w:r>
      <w:r w:rsidR="00315094" w:rsidRPr="00BF5DAF">
        <w:rPr>
          <w:rFonts w:cs="Tahoma"/>
        </w:rPr>
        <w:t xml:space="preserve"> meses a</w:t>
      </w:r>
      <w:r w:rsidR="00EF42CA" w:rsidRPr="00BF5DAF">
        <w:rPr>
          <w:rFonts w:cs="Tahoma"/>
        </w:rPr>
        <w:t xml:space="preserve"> 45</w:t>
      </w:r>
      <w:r w:rsidR="00315094" w:rsidRPr="00BF5DAF">
        <w:rPr>
          <w:rFonts w:cs="Tahoma"/>
        </w:rPr>
        <w:t xml:space="preserve"> </w:t>
      </w:r>
      <w:r w:rsidRPr="00BF5DAF">
        <w:rPr>
          <w:rFonts w:cs="Tahoma"/>
        </w:rPr>
        <w:t xml:space="preserve"> meses de prisión.</w:t>
      </w:r>
    </w:p>
    <w:p w:rsidR="00B413B9" w:rsidRPr="00BF5DAF" w:rsidRDefault="00B413B9" w:rsidP="00B413B9">
      <w:pPr>
        <w:spacing w:line="276" w:lineRule="auto"/>
        <w:rPr>
          <w:rFonts w:cs="Tahoma"/>
        </w:rPr>
      </w:pPr>
    </w:p>
    <w:p w:rsidR="00B413B9" w:rsidRPr="00BF5DAF" w:rsidRDefault="00B413B9" w:rsidP="00B413B9">
      <w:pPr>
        <w:widowControl w:val="0"/>
        <w:autoSpaceDE w:val="0"/>
        <w:autoSpaceDN w:val="0"/>
        <w:adjustRightInd w:val="0"/>
        <w:spacing w:line="276" w:lineRule="auto"/>
        <w:rPr>
          <w:rFonts w:cs="Tahoma"/>
          <w:color w:val="000000"/>
        </w:rPr>
      </w:pPr>
      <w:r w:rsidRPr="00BF5DAF">
        <w:rPr>
          <w:rFonts w:cs="Tahoma"/>
        </w:rPr>
        <w:t>De acuerdo con lo</w:t>
      </w:r>
      <w:r w:rsidR="00B53825" w:rsidRPr="00BF5DAF">
        <w:rPr>
          <w:rFonts w:cs="Tahoma"/>
        </w:rPr>
        <w:t xml:space="preserve"> consagrado </w:t>
      </w:r>
      <w:r w:rsidRPr="00BF5DAF">
        <w:rPr>
          <w:rFonts w:cs="Tahoma"/>
        </w:rPr>
        <w:t>en el artículo 292 de la Ley 906/04</w:t>
      </w:r>
      <w:r w:rsidR="008F2D15" w:rsidRPr="00BF5DAF">
        <w:rPr>
          <w:rFonts w:cs="Tahoma"/>
        </w:rPr>
        <w:t>,</w:t>
      </w:r>
      <w:r w:rsidRPr="00BF5DAF">
        <w:rPr>
          <w:rFonts w:cs="Tahoma"/>
        </w:rPr>
        <w:t xml:space="preserve"> ese acto de comunicación interrumpió el término de prescripción, y </w:t>
      </w:r>
      <w:r w:rsidRPr="00BF5DAF">
        <w:rPr>
          <w:rFonts w:cs="Tahoma"/>
          <w:color w:val="000000"/>
        </w:rPr>
        <w:t xml:space="preserve">empezó a correr nuevamente por un tiempo igual a la mitad del señalado en el artículo 83 C.P., </w:t>
      </w:r>
      <w:r w:rsidR="00B53825" w:rsidRPr="00BF5DAF">
        <w:rPr>
          <w:rFonts w:cs="Tahoma"/>
          <w:color w:val="000000"/>
        </w:rPr>
        <w:t xml:space="preserve"> sin que sea </w:t>
      </w:r>
      <w:r w:rsidR="0005674A" w:rsidRPr="00BF5DAF">
        <w:rPr>
          <w:rFonts w:cs="Tahoma"/>
          <w:color w:val="000000"/>
        </w:rPr>
        <w:t xml:space="preserve">inferior a </w:t>
      </w:r>
      <w:r w:rsidR="00E22A59" w:rsidRPr="00BF5DAF">
        <w:rPr>
          <w:rFonts w:cs="Tahoma"/>
          <w:color w:val="000000"/>
        </w:rPr>
        <w:t xml:space="preserve">tres (3) años. </w:t>
      </w:r>
    </w:p>
    <w:p w:rsidR="00444FC9" w:rsidRPr="00BF5DAF" w:rsidRDefault="00444FC9" w:rsidP="00B413B9">
      <w:pPr>
        <w:widowControl w:val="0"/>
        <w:autoSpaceDE w:val="0"/>
        <w:autoSpaceDN w:val="0"/>
        <w:adjustRightInd w:val="0"/>
        <w:spacing w:line="276" w:lineRule="auto"/>
        <w:rPr>
          <w:rFonts w:cs="Tahoma"/>
        </w:rPr>
      </w:pPr>
    </w:p>
    <w:p w:rsidR="00DD3FDE" w:rsidRPr="00BF5DAF" w:rsidRDefault="00444FC9" w:rsidP="00C2670E">
      <w:pPr>
        <w:widowControl w:val="0"/>
        <w:autoSpaceDE w:val="0"/>
        <w:autoSpaceDN w:val="0"/>
        <w:adjustRightInd w:val="0"/>
        <w:spacing w:line="276" w:lineRule="auto"/>
        <w:rPr>
          <w:rFonts w:ascii="Verdana" w:hAnsi="Verdana" w:cs="Arial"/>
          <w:color w:val="000000"/>
          <w:sz w:val="20"/>
        </w:rPr>
      </w:pPr>
      <w:r w:rsidRPr="00BF5DAF">
        <w:rPr>
          <w:rFonts w:cs="Tahoma"/>
          <w:color w:val="000000"/>
        </w:rPr>
        <w:t>En este caso la mitad del máximo de la pena serían 2</w:t>
      </w:r>
      <w:r w:rsidR="00EF42CA" w:rsidRPr="00BF5DAF">
        <w:rPr>
          <w:rFonts w:cs="Tahoma"/>
          <w:color w:val="000000"/>
        </w:rPr>
        <w:t>2.5</w:t>
      </w:r>
      <w:r w:rsidRPr="00BF5DAF">
        <w:rPr>
          <w:rFonts w:cs="Tahoma"/>
          <w:color w:val="000000"/>
        </w:rPr>
        <w:t xml:space="preserve"> meses, por</w:t>
      </w:r>
      <w:r w:rsidR="00387169" w:rsidRPr="00BF5DAF">
        <w:rPr>
          <w:rFonts w:cs="Tahoma"/>
          <w:color w:val="000000"/>
        </w:rPr>
        <w:t xml:space="preserve"> lo que debe aplicarse el término</w:t>
      </w:r>
      <w:r w:rsidRPr="00BF5DAF">
        <w:rPr>
          <w:rFonts w:cs="Tahoma"/>
          <w:color w:val="000000"/>
        </w:rPr>
        <w:t xml:space="preserve"> de 3 años; </w:t>
      </w:r>
      <w:r w:rsidR="00B413B9" w:rsidRPr="00BF5DAF">
        <w:rPr>
          <w:rFonts w:cs="Tahoma"/>
        </w:rPr>
        <w:t xml:space="preserve">lo que significa que </w:t>
      </w:r>
      <w:r w:rsidRPr="00BF5DAF">
        <w:rPr>
          <w:rFonts w:cs="Tahoma"/>
        </w:rPr>
        <w:t xml:space="preserve">la prescripción </w:t>
      </w:r>
      <w:r w:rsidR="00B413B9" w:rsidRPr="00BF5DAF">
        <w:rPr>
          <w:rFonts w:cs="Tahoma"/>
        </w:rPr>
        <w:t>tuvo lugar</w:t>
      </w:r>
      <w:r w:rsidR="00315094" w:rsidRPr="00BF5DAF">
        <w:rPr>
          <w:rFonts w:cs="Tahoma"/>
        </w:rPr>
        <w:t xml:space="preserve"> en septiembre 02 de 2016,</w:t>
      </w:r>
      <w:r w:rsidR="00B413B9" w:rsidRPr="00BF5DAF">
        <w:rPr>
          <w:rFonts w:cs="Tahoma"/>
        </w:rPr>
        <w:t xml:space="preserve"> esto es, </w:t>
      </w:r>
      <w:r w:rsidR="00315094" w:rsidRPr="00BF5DAF">
        <w:rPr>
          <w:rFonts w:cs="Tahoma"/>
        </w:rPr>
        <w:t xml:space="preserve">doce </w:t>
      </w:r>
      <w:r w:rsidR="00387169" w:rsidRPr="00BF5DAF">
        <w:rPr>
          <w:rFonts w:cs="Tahoma"/>
        </w:rPr>
        <w:t xml:space="preserve">(12) </w:t>
      </w:r>
      <w:r w:rsidR="00B413B9" w:rsidRPr="00BF5DAF">
        <w:rPr>
          <w:rFonts w:cs="Tahoma"/>
        </w:rPr>
        <w:t xml:space="preserve">días </w:t>
      </w:r>
      <w:r w:rsidR="00315094" w:rsidRPr="00BF5DAF">
        <w:rPr>
          <w:rFonts w:cs="Tahoma"/>
        </w:rPr>
        <w:t>antes de dictarse el fallo de primera instancia</w:t>
      </w:r>
      <w:r w:rsidR="00B413B9" w:rsidRPr="00BF5DAF">
        <w:rPr>
          <w:rFonts w:cs="Tahoma"/>
        </w:rPr>
        <w:t>.</w:t>
      </w:r>
    </w:p>
    <w:p w:rsidR="00B413B9" w:rsidRPr="00BF5DAF" w:rsidRDefault="00DD3FDE" w:rsidP="00DD3FDE">
      <w:pPr>
        <w:spacing w:line="276" w:lineRule="auto"/>
        <w:rPr>
          <w:rFonts w:cs="Tahoma"/>
          <w:lang w:val="es-CO"/>
        </w:rPr>
      </w:pPr>
      <w:r w:rsidRPr="00BF5DAF">
        <w:rPr>
          <w:rFonts w:cs="Tahoma"/>
          <w:lang w:val="es-CO"/>
        </w:rPr>
        <w:t xml:space="preserve"> </w:t>
      </w:r>
    </w:p>
    <w:p w:rsidR="00015FB5" w:rsidRPr="00BF5DAF" w:rsidRDefault="00B413B9" w:rsidP="00B413B9">
      <w:pPr>
        <w:spacing w:line="276" w:lineRule="auto"/>
        <w:rPr>
          <w:rFonts w:cs="Tahoma"/>
          <w:lang w:val="es-CO"/>
        </w:rPr>
      </w:pPr>
      <w:r w:rsidRPr="00BF5DAF">
        <w:rPr>
          <w:rFonts w:cs="Tahoma"/>
          <w:lang w:val="es-CO"/>
        </w:rPr>
        <w:t>Ante esa inevitable conclusión, lo que le corresponde a la Corporación es dar aplicación a</w:t>
      </w:r>
      <w:r w:rsidR="008434A9" w:rsidRPr="00BF5DAF">
        <w:rPr>
          <w:rFonts w:cs="Tahoma"/>
          <w:lang w:val="es-CO"/>
        </w:rPr>
        <w:t xml:space="preserve"> diferentes</w:t>
      </w:r>
      <w:r w:rsidRPr="00BF5DAF">
        <w:rPr>
          <w:rFonts w:cs="Tahoma"/>
          <w:lang w:val="es-CO"/>
        </w:rPr>
        <w:t xml:space="preserve"> precedente</w:t>
      </w:r>
      <w:r w:rsidR="00681479" w:rsidRPr="00BF5DAF">
        <w:rPr>
          <w:rFonts w:cs="Tahoma"/>
          <w:lang w:val="es-CO"/>
        </w:rPr>
        <w:t>s</w:t>
      </w:r>
      <w:r w:rsidR="005866B4" w:rsidRPr="00BF5DAF">
        <w:rPr>
          <w:rFonts w:cs="Tahoma"/>
          <w:lang w:val="es-CO"/>
        </w:rPr>
        <w:t xml:space="preserve"> de nuestro ó</w:t>
      </w:r>
      <w:r w:rsidR="008434A9" w:rsidRPr="00BF5DAF">
        <w:rPr>
          <w:rFonts w:cs="Tahoma"/>
          <w:lang w:val="es-CO"/>
        </w:rPr>
        <w:t xml:space="preserve">rgano de </w:t>
      </w:r>
      <w:r w:rsidR="00C71ABD" w:rsidRPr="00BF5DAF">
        <w:rPr>
          <w:rFonts w:cs="Tahoma"/>
          <w:lang w:val="es-CO"/>
        </w:rPr>
        <w:t>c</w:t>
      </w:r>
      <w:r w:rsidR="008434A9" w:rsidRPr="00BF5DAF">
        <w:rPr>
          <w:rFonts w:cs="Tahoma"/>
          <w:lang w:val="es-CO"/>
        </w:rPr>
        <w:t>ierre en materia penal,</w:t>
      </w:r>
      <w:r w:rsidR="00681479" w:rsidRPr="00BF5DAF">
        <w:rPr>
          <w:rFonts w:cs="Tahoma"/>
          <w:lang w:val="es-CO"/>
        </w:rPr>
        <w:t xml:space="preserve"> según los cuales</w:t>
      </w:r>
      <w:r w:rsidR="00A562DB" w:rsidRPr="00BF5DAF">
        <w:rPr>
          <w:rFonts w:cs="Tahoma"/>
          <w:lang w:val="es-CO"/>
        </w:rPr>
        <w:t>,</w:t>
      </w:r>
      <w:r w:rsidRPr="00BF5DAF">
        <w:rPr>
          <w:rFonts w:cs="Tahoma"/>
          <w:lang w:val="es-CO"/>
        </w:rPr>
        <w:t xml:space="preserve"> </w:t>
      </w:r>
      <w:r w:rsidR="00EF42CA" w:rsidRPr="00BF5DAF">
        <w:rPr>
          <w:rFonts w:cs="Tahoma"/>
          <w:lang w:val="es-CO"/>
        </w:rPr>
        <w:t xml:space="preserve">cuando la prescripción ocurre </w:t>
      </w:r>
      <w:r w:rsidR="00015FB5" w:rsidRPr="00BF5DAF">
        <w:rPr>
          <w:rFonts w:cs="Tahoma"/>
          <w:lang w:val="es-CO"/>
        </w:rPr>
        <w:t>antes de pro</w:t>
      </w:r>
      <w:r w:rsidR="005D5559" w:rsidRPr="00BF5DAF">
        <w:rPr>
          <w:rFonts w:cs="Tahoma"/>
          <w:lang w:val="es-CO"/>
        </w:rPr>
        <w:t xml:space="preserve">ferirse la sentencia de </w:t>
      </w:r>
      <w:r w:rsidR="00681479" w:rsidRPr="00BF5DAF">
        <w:rPr>
          <w:rFonts w:cs="Tahoma"/>
          <w:lang w:val="es-CO"/>
        </w:rPr>
        <w:t>segunda instancia,</w:t>
      </w:r>
      <w:r w:rsidR="00015FB5" w:rsidRPr="00BF5DAF">
        <w:rPr>
          <w:rFonts w:cs="Tahoma"/>
          <w:lang w:val="es-CO"/>
        </w:rPr>
        <w:t xml:space="preserve"> </w:t>
      </w:r>
      <w:r w:rsidR="008434A9" w:rsidRPr="00BF5DAF">
        <w:rPr>
          <w:rFonts w:cs="Tahoma"/>
          <w:lang w:val="es-CO"/>
        </w:rPr>
        <w:t xml:space="preserve">debe declararse la extinción de la acción penal por cuanto </w:t>
      </w:r>
      <w:r w:rsidR="00015FB5" w:rsidRPr="00BF5DAF">
        <w:rPr>
          <w:rFonts w:cs="Tahoma"/>
          <w:lang w:val="es-CO"/>
        </w:rPr>
        <w:t>e</w:t>
      </w:r>
      <w:r w:rsidR="008434A9" w:rsidRPr="00BF5DAF">
        <w:rPr>
          <w:rFonts w:cs="Tahoma"/>
          <w:lang w:val="es-CO"/>
        </w:rPr>
        <w:t xml:space="preserve">l Estado </w:t>
      </w:r>
      <w:r w:rsidR="00015FB5" w:rsidRPr="00BF5DAF">
        <w:rPr>
          <w:rFonts w:cs="Tahoma"/>
          <w:lang w:val="es-CO"/>
        </w:rPr>
        <w:t xml:space="preserve">ya ha perdido su </w:t>
      </w:r>
      <w:r w:rsidR="008434A9" w:rsidRPr="00BF5DAF">
        <w:rPr>
          <w:rFonts w:cs="Tahoma"/>
          <w:lang w:val="es-CO"/>
        </w:rPr>
        <w:t>potestad sancionatoria y el fallo carece de validez</w:t>
      </w:r>
      <w:r w:rsidR="00015FB5" w:rsidRPr="00BF5DAF">
        <w:rPr>
          <w:rFonts w:cs="Tahoma"/>
          <w:lang w:val="es-CO"/>
        </w:rPr>
        <w:t>. Algunos de los apartes pertinentes de dichos pronunciamientos son los siguientes:</w:t>
      </w:r>
    </w:p>
    <w:p w:rsidR="005D5559" w:rsidRPr="00BF5DAF" w:rsidRDefault="005D5559" w:rsidP="00B413B9">
      <w:pPr>
        <w:spacing w:line="276" w:lineRule="auto"/>
        <w:rPr>
          <w:lang w:val="es-CO"/>
        </w:rPr>
      </w:pPr>
    </w:p>
    <w:p w:rsidR="005D5559" w:rsidRPr="00BF5DAF" w:rsidRDefault="005D5559" w:rsidP="005D5559">
      <w:pPr>
        <w:pStyle w:val="Textonotapie"/>
        <w:rPr>
          <w:sz w:val="26"/>
          <w:szCs w:val="26"/>
        </w:rPr>
      </w:pPr>
      <w:r w:rsidRPr="00BF5DAF">
        <w:rPr>
          <w:sz w:val="26"/>
          <w:szCs w:val="26"/>
        </w:rPr>
        <w:t>CSJ SP, 21 agos. 2013, rad. 40587:</w:t>
      </w:r>
    </w:p>
    <w:p w:rsidR="005D5559" w:rsidRPr="00BF5DAF" w:rsidRDefault="005D5559" w:rsidP="005D5559">
      <w:pPr>
        <w:pStyle w:val="Textonotapie"/>
        <w:rPr>
          <w:sz w:val="26"/>
          <w:szCs w:val="26"/>
          <w:lang w:val="es-CO"/>
        </w:rPr>
      </w:pPr>
    </w:p>
    <w:p w:rsidR="005D5559" w:rsidRPr="00BF5DAF" w:rsidRDefault="005D5559" w:rsidP="005D5559">
      <w:pPr>
        <w:spacing w:line="293" w:lineRule="auto"/>
        <w:ind w:left="680" w:right="680"/>
        <w:rPr>
          <w:rFonts w:ascii="Verdana" w:hAnsi="Verdana"/>
          <w:sz w:val="20"/>
          <w:szCs w:val="20"/>
        </w:rPr>
      </w:pPr>
      <w:r w:rsidRPr="00BF5DAF">
        <w:rPr>
          <w:rFonts w:ascii="Verdana" w:hAnsi="Verdana"/>
          <w:sz w:val="20"/>
          <w:szCs w:val="20"/>
        </w:rPr>
        <w:t>“[…] Cuando la prescripción opera después de la sentencia de segunda instancia, se debe decretar directamente y cesar procedimiento con independencia del contenido de la demanda (se prescinde del juicio de admisibilidad), por haberse dictado el fallo en forma válida, en cuanto se hallaba vigente la facultad sancionadora del Estado.</w:t>
      </w:r>
    </w:p>
    <w:p w:rsidR="005D5559" w:rsidRPr="00BF5DAF" w:rsidRDefault="005D5559" w:rsidP="005D5559">
      <w:pPr>
        <w:spacing w:line="293" w:lineRule="auto"/>
        <w:ind w:left="680" w:right="680"/>
        <w:rPr>
          <w:rFonts w:ascii="Verdana" w:hAnsi="Verdana"/>
          <w:sz w:val="20"/>
          <w:szCs w:val="20"/>
        </w:rPr>
      </w:pPr>
    </w:p>
    <w:p w:rsidR="005D5559" w:rsidRPr="00BF5DAF" w:rsidRDefault="00A562DB" w:rsidP="005D5559">
      <w:pPr>
        <w:spacing w:line="293" w:lineRule="auto"/>
        <w:ind w:left="680" w:right="680"/>
        <w:rPr>
          <w:rFonts w:ascii="Verdana" w:hAnsi="Verdana"/>
          <w:sz w:val="20"/>
          <w:szCs w:val="20"/>
        </w:rPr>
      </w:pPr>
      <w:r w:rsidRPr="00BF5DAF">
        <w:rPr>
          <w:rFonts w:ascii="Verdana" w:hAnsi="Verdana"/>
          <w:b/>
          <w:sz w:val="18"/>
          <w:szCs w:val="18"/>
        </w:rPr>
        <w:t xml:space="preserve">[…] </w:t>
      </w:r>
      <w:r w:rsidR="005D5559" w:rsidRPr="00BF5DAF">
        <w:rPr>
          <w:rFonts w:ascii="Verdana" w:hAnsi="Verdana"/>
          <w:b/>
          <w:sz w:val="18"/>
          <w:szCs w:val="18"/>
        </w:rPr>
        <w:t>Cosa diferente ocurre cuando la prescripción opera antes de la sentencia de segunda instancia, evento en el cual la potestad sancionadora del Estado había decaído y, en consecuencia, el fallo carece de la condición de validez que se predica del primer evento</w:t>
      </w:r>
      <w:r w:rsidR="005D5559" w:rsidRPr="00BF5DAF">
        <w:rPr>
          <w:rFonts w:ascii="Verdana" w:hAnsi="Verdana"/>
          <w:sz w:val="20"/>
          <w:szCs w:val="20"/>
        </w:rPr>
        <w:t xml:space="preserve"> […]</w:t>
      </w:r>
      <w:r w:rsidR="00700959" w:rsidRPr="00BF5DAF">
        <w:rPr>
          <w:szCs w:val="20"/>
        </w:rPr>
        <w:t>”</w:t>
      </w:r>
      <w:r w:rsidR="005D5559" w:rsidRPr="00BF5DAF">
        <w:rPr>
          <w:rFonts w:ascii="Verdana" w:hAnsi="Verdana"/>
          <w:sz w:val="20"/>
          <w:szCs w:val="20"/>
        </w:rPr>
        <w:t>–</w:t>
      </w:r>
      <w:r w:rsidR="00700959" w:rsidRPr="00BF5DAF">
        <w:rPr>
          <w:rFonts w:ascii="Verdana" w:hAnsi="Verdana"/>
          <w:sz w:val="20"/>
          <w:szCs w:val="20"/>
        </w:rPr>
        <w:t>negrillas no originales</w:t>
      </w:r>
      <w:r w:rsidR="005D5559" w:rsidRPr="00BF5DAF">
        <w:rPr>
          <w:rFonts w:ascii="Verdana" w:hAnsi="Verdana"/>
          <w:sz w:val="20"/>
          <w:szCs w:val="20"/>
        </w:rPr>
        <w:t>-</w:t>
      </w:r>
    </w:p>
    <w:p w:rsidR="005D5559" w:rsidRPr="00BF5DAF" w:rsidRDefault="005D5559" w:rsidP="00B413B9">
      <w:pPr>
        <w:spacing w:line="276" w:lineRule="auto"/>
        <w:rPr>
          <w:lang w:val="es-CO"/>
        </w:rPr>
      </w:pPr>
    </w:p>
    <w:p w:rsidR="00015FB5" w:rsidRPr="00BF5DAF" w:rsidRDefault="00015FB5" w:rsidP="00B413B9">
      <w:pPr>
        <w:spacing w:line="276" w:lineRule="auto"/>
        <w:rPr>
          <w:rFonts w:cs="Tahoma"/>
          <w:lang w:val="es-CO"/>
        </w:rPr>
      </w:pPr>
      <w:r w:rsidRPr="00BF5DAF">
        <w:rPr>
          <w:lang w:val="es-CO"/>
        </w:rPr>
        <w:t>CSJ SP, 11 mar. 2015, rad. 42895:</w:t>
      </w:r>
    </w:p>
    <w:p w:rsidR="00681479" w:rsidRPr="00BF5DAF" w:rsidRDefault="00681479" w:rsidP="00B413B9">
      <w:pPr>
        <w:spacing w:line="276" w:lineRule="auto"/>
        <w:rPr>
          <w:rFonts w:cs="Tahoma"/>
          <w:lang w:val="es-CO"/>
        </w:rPr>
      </w:pPr>
    </w:p>
    <w:p w:rsidR="00C421D8" w:rsidRPr="00BF5DAF" w:rsidRDefault="00681479" w:rsidP="00090D97">
      <w:pPr>
        <w:spacing w:line="276" w:lineRule="auto"/>
        <w:ind w:left="680" w:right="680"/>
        <w:rPr>
          <w:rFonts w:ascii="Verdana" w:hAnsi="Verdana" w:cs="Tahoma"/>
          <w:sz w:val="20"/>
          <w:szCs w:val="20"/>
          <w:lang w:val="es-CO"/>
        </w:rPr>
      </w:pPr>
      <w:r w:rsidRPr="00BF5DAF">
        <w:rPr>
          <w:rFonts w:ascii="Verdana" w:hAnsi="Verdana" w:cs="Tahoma"/>
          <w:sz w:val="20"/>
          <w:szCs w:val="20"/>
          <w:lang w:val="es-CO"/>
        </w:rPr>
        <w:t xml:space="preserve">“[…] Por manera que, </w:t>
      </w:r>
      <w:r w:rsidRPr="00BF5DAF">
        <w:rPr>
          <w:rFonts w:ascii="Verdana" w:hAnsi="Verdana" w:cs="Tahoma"/>
          <w:b/>
          <w:sz w:val="18"/>
          <w:szCs w:val="18"/>
          <w:lang w:val="es-CO"/>
        </w:rPr>
        <w:t>ante el fenecimiento del término para ejercer la potestad punitiva, el fallador de primer grado no podía imponer condena por esas conductas punibles</w:t>
      </w:r>
      <w:r w:rsidRPr="00BF5DAF">
        <w:rPr>
          <w:rFonts w:ascii="Verdana" w:hAnsi="Verdana" w:cs="Tahoma"/>
          <w:sz w:val="20"/>
          <w:szCs w:val="20"/>
          <w:lang w:val="es-CO"/>
        </w:rPr>
        <w:t>, y el Tribunal no advirtió el desafuero al momento de conocer el asunto por vía del recurso de apelación</w:t>
      </w:r>
    </w:p>
    <w:p w:rsidR="00C421D8" w:rsidRPr="00BF5DAF" w:rsidRDefault="00C421D8" w:rsidP="00090D97">
      <w:pPr>
        <w:spacing w:line="276" w:lineRule="auto"/>
        <w:ind w:left="680" w:right="680"/>
        <w:rPr>
          <w:rFonts w:ascii="Verdana" w:hAnsi="Verdana" w:cs="Tahoma"/>
          <w:sz w:val="20"/>
          <w:szCs w:val="20"/>
          <w:lang w:val="es-CO"/>
        </w:rPr>
      </w:pPr>
    </w:p>
    <w:p w:rsidR="00B61206" w:rsidRPr="00BF5DAF" w:rsidRDefault="00C421D8" w:rsidP="00B61206">
      <w:pPr>
        <w:spacing w:line="276" w:lineRule="auto"/>
        <w:ind w:left="680" w:right="680"/>
        <w:rPr>
          <w:rFonts w:ascii="Verdana" w:hAnsi="Verdana" w:cs="Tahoma"/>
          <w:sz w:val="20"/>
          <w:szCs w:val="20"/>
          <w:lang w:val="es-CO"/>
        </w:rPr>
      </w:pPr>
      <w:r w:rsidRPr="00BF5DAF">
        <w:rPr>
          <w:rFonts w:ascii="Verdana" w:hAnsi="Verdana" w:cs="Tahoma"/>
          <w:sz w:val="20"/>
          <w:szCs w:val="20"/>
          <w:lang w:val="es-CO"/>
        </w:rPr>
        <w:t xml:space="preserve">Consecuente con lo anterior, procederá la Sala a declarar la extinción de la acción penal, disponer la preclusión de la actuación respecto de los delitos de lesiones personales culposas y realizar el ajuste punitivo correspondiente, acorde con los lineamientos fijados en las instancias.  </w:t>
      </w:r>
      <w:r w:rsidR="00681479" w:rsidRPr="00BF5DAF">
        <w:rPr>
          <w:rFonts w:ascii="Verdana" w:hAnsi="Verdana" w:cs="Tahoma"/>
          <w:sz w:val="20"/>
          <w:szCs w:val="20"/>
          <w:lang w:val="es-CO"/>
        </w:rPr>
        <w:t xml:space="preserve"> […]”</w:t>
      </w:r>
      <w:r w:rsidR="00700959" w:rsidRPr="00BF5DAF">
        <w:rPr>
          <w:rFonts w:ascii="Verdana" w:hAnsi="Verdana" w:cs="Tahoma"/>
          <w:sz w:val="20"/>
          <w:szCs w:val="20"/>
          <w:lang w:val="es-CO"/>
        </w:rPr>
        <w:t>-resalta la Sala</w:t>
      </w:r>
      <w:r w:rsidR="005D5559" w:rsidRPr="00BF5DAF">
        <w:rPr>
          <w:rFonts w:ascii="Verdana" w:hAnsi="Verdana" w:cs="Tahoma"/>
          <w:sz w:val="20"/>
          <w:szCs w:val="20"/>
          <w:lang w:val="es-CO"/>
        </w:rPr>
        <w:t>-</w:t>
      </w:r>
    </w:p>
    <w:p w:rsidR="00B61206" w:rsidRPr="00BF5DAF" w:rsidRDefault="00B61206" w:rsidP="00681479">
      <w:pPr>
        <w:pStyle w:val="Sinespaciado"/>
        <w:spacing w:line="276" w:lineRule="auto"/>
        <w:rPr>
          <w:rFonts w:ascii="Calibri" w:eastAsia="Adobe Gothic Std B" w:hAnsi="Calibri" w:cs="Microsoft Sans Serif"/>
          <w:sz w:val="26"/>
          <w:szCs w:val="26"/>
        </w:rPr>
      </w:pPr>
    </w:p>
    <w:p w:rsidR="00015FB5" w:rsidRPr="00BF5DAF" w:rsidRDefault="00015FB5" w:rsidP="00015FB5">
      <w:pPr>
        <w:pStyle w:val="Textonotapie"/>
        <w:rPr>
          <w:sz w:val="26"/>
          <w:szCs w:val="26"/>
        </w:rPr>
      </w:pPr>
      <w:r w:rsidRPr="00BF5DAF">
        <w:rPr>
          <w:sz w:val="26"/>
          <w:szCs w:val="26"/>
        </w:rPr>
        <w:t>CSJ SP, 28 oct. 2015, rad. 42628</w:t>
      </w:r>
      <w:r w:rsidR="00916A24" w:rsidRPr="00BF5DAF">
        <w:rPr>
          <w:sz w:val="26"/>
          <w:szCs w:val="26"/>
        </w:rPr>
        <w:t>:</w:t>
      </w:r>
    </w:p>
    <w:p w:rsidR="00681479" w:rsidRPr="00BF5DAF" w:rsidRDefault="00681479" w:rsidP="00681479">
      <w:pPr>
        <w:pStyle w:val="Sinespaciado"/>
        <w:spacing w:line="276" w:lineRule="auto"/>
        <w:rPr>
          <w:sz w:val="26"/>
          <w:szCs w:val="26"/>
          <w:bdr w:val="none" w:sz="0" w:space="0" w:color="auto" w:frame="1"/>
        </w:rPr>
      </w:pPr>
    </w:p>
    <w:p w:rsidR="00B61206" w:rsidRPr="00BF5DAF" w:rsidRDefault="00B61206" w:rsidP="00B61206">
      <w:pPr>
        <w:spacing w:line="276" w:lineRule="auto"/>
        <w:ind w:left="680" w:right="680"/>
        <w:rPr>
          <w:rFonts w:ascii="Verdana" w:hAnsi="Verdana"/>
          <w:sz w:val="20"/>
          <w:szCs w:val="20"/>
        </w:rPr>
      </w:pPr>
      <w:r w:rsidRPr="00BF5DAF">
        <w:rPr>
          <w:rFonts w:ascii="Verdana" w:hAnsi="Verdana"/>
          <w:sz w:val="20"/>
          <w:szCs w:val="20"/>
        </w:rPr>
        <w:t xml:space="preserve">“[…] En el presente asunto, la Sala ha podido determinar que </w:t>
      </w:r>
      <w:r w:rsidRPr="00BF5DAF">
        <w:rPr>
          <w:rFonts w:ascii="Verdana" w:hAnsi="Verdana"/>
          <w:b/>
          <w:sz w:val="18"/>
          <w:szCs w:val="18"/>
        </w:rPr>
        <w:t>la prescripción de la acción penal</w:t>
      </w:r>
      <w:r w:rsidRPr="00BF5DAF">
        <w:rPr>
          <w:rFonts w:ascii="Verdana" w:hAnsi="Verdana"/>
          <w:sz w:val="20"/>
          <w:szCs w:val="20"/>
        </w:rPr>
        <w:t xml:space="preserve"> por delito de lesiones personales culposas por el que fue condenado el procesado, </w:t>
      </w:r>
      <w:r w:rsidRPr="00BF5DAF">
        <w:rPr>
          <w:rFonts w:ascii="Verdana" w:hAnsi="Verdana"/>
          <w:b/>
          <w:sz w:val="18"/>
          <w:szCs w:val="18"/>
        </w:rPr>
        <w:t>se configuró con anterioridad a que se profiriera la sentencia de segunda instancia</w:t>
      </w:r>
      <w:r w:rsidRPr="00BF5DAF">
        <w:rPr>
          <w:rFonts w:ascii="Verdana" w:hAnsi="Verdana"/>
          <w:sz w:val="20"/>
          <w:szCs w:val="20"/>
        </w:rPr>
        <w:t xml:space="preserve">, lo que implica que tal decisión se produjo </w:t>
      </w:r>
      <w:r w:rsidRPr="00BF5DAF">
        <w:rPr>
          <w:rFonts w:ascii="Verdana" w:hAnsi="Verdana"/>
          <w:b/>
          <w:sz w:val="18"/>
          <w:szCs w:val="18"/>
        </w:rPr>
        <w:t>cuando el Estado ya había perdido su potestad sancionatoria, por extinción de la acción penal</w:t>
      </w:r>
      <w:r w:rsidRPr="00BF5DAF">
        <w:rPr>
          <w:rFonts w:ascii="Verdana" w:hAnsi="Verdana"/>
          <w:sz w:val="20"/>
          <w:szCs w:val="20"/>
        </w:rPr>
        <w:t>, momento para el cual se hallaba en la obligación de declarar el fenómeno prescriptivo, pues en caso contrario se incurriría en la violación de los derechos anteriormente relacionados, como ciertamente ocurrió.</w:t>
      </w:r>
    </w:p>
    <w:p w:rsidR="00B61206" w:rsidRPr="00BF5DAF" w:rsidRDefault="00B61206" w:rsidP="00B61206">
      <w:pPr>
        <w:spacing w:line="276" w:lineRule="auto"/>
        <w:ind w:left="680" w:right="680"/>
        <w:rPr>
          <w:rFonts w:ascii="Verdana" w:hAnsi="Verdana"/>
          <w:sz w:val="20"/>
          <w:szCs w:val="20"/>
        </w:rPr>
      </w:pPr>
    </w:p>
    <w:p w:rsidR="00681479" w:rsidRPr="00BF5DAF" w:rsidRDefault="00681479" w:rsidP="00B61206">
      <w:pPr>
        <w:spacing w:line="276" w:lineRule="auto"/>
        <w:ind w:left="680" w:right="680"/>
        <w:rPr>
          <w:rFonts w:ascii="Verdana" w:hAnsi="Verdana" w:cs="Tahoma"/>
          <w:sz w:val="20"/>
          <w:szCs w:val="20"/>
          <w:lang w:val="es-CO"/>
        </w:rPr>
      </w:pPr>
      <w:r w:rsidRPr="00BF5DAF">
        <w:rPr>
          <w:rFonts w:ascii="Verdana" w:hAnsi="Verdana"/>
          <w:sz w:val="20"/>
          <w:szCs w:val="20"/>
        </w:rPr>
        <w:t xml:space="preserve">De manera, que ante el decaimiento de la facultad sancionadora del Estado, conforme con lo normado por los artículos 83 y 86 de la Ley 599 de 2000 y 292 de la Ley 906 de 2004, </w:t>
      </w:r>
      <w:r w:rsidRPr="00BF5DAF">
        <w:rPr>
          <w:rFonts w:ascii="Verdana" w:hAnsi="Verdana"/>
          <w:b/>
          <w:sz w:val="18"/>
          <w:szCs w:val="18"/>
        </w:rPr>
        <w:t>el juzgador de segundo nivel debió declarar la prescripción y la consecuente cesación de procedimiento, de acuerdo con el precepto 331,</w:t>
      </w:r>
      <w:r w:rsidRPr="00BF5DAF">
        <w:rPr>
          <w:rFonts w:ascii="Verdana" w:hAnsi="Verdana"/>
          <w:sz w:val="20"/>
          <w:szCs w:val="20"/>
        </w:rPr>
        <w:t xml:space="preserve"> numeral 1º del Código de Procedimiento Pena</w:t>
      </w:r>
      <w:r w:rsidR="00C421D8" w:rsidRPr="00BF5DAF">
        <w:rPr>
          <w:rFonts w:ascii="Verdana" w:hAnsi="Verdana"/>
          <w:sz w:val="20"/>
          <w:szCs w:val="20"/>
        </w:rPr>
        <w:t>l por el que se rigió el asunto […]</w:t>
      </w:r>
      <w:r w:rsidRPr="00BF5DAF">
        <w:rPr>
          <w:rFonts w:ascii="Verdana" w:hAnsi="Verdana"/>
          <w:sz w:val="20"/>
          <w:szCs w:val="20"/>
        </w:rPr>
        <w:t>.”</w:t>
      </w:r>
      <w:r w:rsidR="00700959" w:rsidRPr="00BF5DAF">
        <w:rPr>
          <w:rFonts w:ascii="Verdana" w:hAnsi="Verdana"/>
          <w:sz w:val="20"/>
          <w:szCs w:val="20"/>
        </w:rPr>
        <w:t xml:space="preserve"> -enfatiza el Tribunal-</w:t>
      </w:r>
    </w:p>
    <w:p w:rsidR="00DD3FDE" w:rsidRPr="00BF5DAF" w:rsidRDefault="00DD3FDE" w:rsidP="00B413B9">
      <w:pPr>
        <w:spacing w:line="276" w:lineRule="auto"/>
        <w:rPr>
          <w:rFonts w:cs="Tahoma"/>
          <w:lang w:val="es-CO"/>
        </w:rPr>
      </w:pPr>
    </w:p>
    <w:p w:rsidR="00090D97" w:rsidRPr="00BF5DAF" w:rsidRDefault="006332D7" w:rsidP="00681479">
      <w:pPr>
        <w:pStyle w:val="Sinespaciado"/>
        <w:spacing w:line="276" w:lineRule="auto"/>
        <w:jc w:val="both"/>
        <w:rPr>
          <w:rFonts w:ascii="Tahoma" w:eastAsia="Adobe Gothic Std B" w:hAnsi="Tahoma" w:cs="Tahoma"/>
          <w:sz w:val="26"/>
          <w:szCs w:val="26"/>
        </w:rPr>
      </w:pPr>
      <w:r w:rsidRPr="00BF5DAF">
        <w:rPr>
          <w:rFonts w:ascii="Tahoma" w:hAnsi="Tahoma" w:cs="Tahoma"/>
          <w:sz w:val="26"/>
          <w:szCs w:val="26"/>
        </w:rPr>
        <w:t xml:space="preserve">Así las cosas, al Tribunal no le queda alternativa diferente </w:t>
      </w:r>
      <w:r w:rsidR="00B53825" w:rsidRPr="00BF5DAF">
        <w:rPr>
          <w:rFonts w:ascii="Tahoma" w:eastAsia="Adobe Gothic Std B" w:hAnsi="Tahoma" w:cs="Tahoma"/>
          <w:sz w:val="26"/>
          <w:szCs w:val="26"/>
        </w:rPr>
        <w:t>a</w:t>
      </w:r>
      <w:r w:rsidR="00681479" w:rsidRPr="00BF5DAF">
        <w:rPr>
          <w:rFonts w:ascii="Tahoma" w:eastAsia="Adobe Gothic Std B" w:hAnsi="Tahoma" w:cs="Tahoma"/>
          <w:sz w:val="26"/>
          <w:szCs w:val="26"/>
        </w:rPr>
        <w:t xml:space="preserve"> declarar la nulidad de la actuación procesal </w:t>
      </w:r>
      <w:r w:rsidR="00090D97" w:rsidRPr="00BF5DAF">
        <w:rPr>
          <w:rFonts w:ascii="Tahoma" w:eastAsia="Adobe Gothic Std B" w:hAnsi="Tahoma" w:cs="Tahoma"/>
          <w:sz w:val="26"/>
          <w:szCs w:val="26"/>
        </w:rPr>
        <w:t>a partir de la sentencia de primera instancia</w:t>
      </w:r>
      <w:r w:rsidR="005D5559" w:rsidRPr="00BF5DAF">
        <w:rPr>
          <w:rFonts w:ascii="Tahoma" w:eastAsia="Adobe Gothic Std B" w:hAnsi="Tahoma" w:cs="Tahoma"/>
          <w:sz w:val="26"/>
          <w:szCs w:val="26"/>
        </w:rPr>
        <w:t>, por cuanto la misma carece de validez</w:t>
      </w:r>
      <w:r w:rsidR="0028063F" w:rsidRPr="00BF5DAF">
        <w:rPr>
          <w:rFonts w:ascii="Tahoma" w:eastAsia="Adobe Gothic Std B" w:hAnsi="Tahoma" w:cs="Tahoma"/>
          <w:sz w:val="26"/>
          <w:szCs w:val="26"/>
        </w:rPr>
        <w:t>, ya</w:t>
      </w:r>
      <w:r w:rsidR="00C5645C" w:rsidRPr="00BF5DAF">
        <w:rPr>
          <w:rFonts w:ascii="Tahoma" w:eastAsia="Adobe Gothic Std B" w:hAnsi="Tahoma" w:cs="Tahoma"/>
          <w:sz w:val="26"/>
          <w:szCs w:val="26"/>
        </w:rPr>
        <w:t xml:space="preserve"> que </w:t>
      </w:r>
      <w:r w:rsidR="00E31E73" w:rsidRPr="00BF5DAF">
        <w:rPr>
          <w:rFonts w:ascii="Tahoma" w:eastAsia="Adobe Gothic Std B" w:hAnsi="Tahoma" w:cs="Tahoma"/>
          <w:sz w:val="26"/>
          <w:szCs w:val="26"/>
        </w:rPr>
        <w:t xml:space="preserve">para el </w:t>
      </w:r>
      <w:r w:rsidR="00C5645C" w:rsidRPr="00BF5DAF">
        <w:rPr>
          <w:rFonts w:ascii="Tahoma" w:eastAsia="Adobe Gothic Std B" w:hAnsi="Tahoma" w:cs="Tahoma"/>
          <w:sz w:val="26"/>
          <w:szCs w:val="26"/>
        </w:rPr>
        <w:t xml:space="preserve">momento </w:t>
      </w:r>
      <w:r w:rsidR="00E31E73" w:rsidRPr="00BF5DAF">
        <w:rPr>
          <w:rFonts w:ascii="Tahoma" w:eastAsia="Adobe Gothic Std B" w:hAnsi="Tahoma" w:cs="Tahoma"/>
          <w:sz w:val="26"/>
          <w:szCs w:val="26"/>
        </w:rPr>
        <w:t>en que fue emitida había fenecido la facultad sancionadora del Estado, lo que le impedía al fallador</w:t>
      </w:r>
      <w:r w:rsidR="00D459FB" w:rsidRPr="00BF5DAF">
        <w:rPr>
          <w:rFonts w:ascii="Tahoma" w:eastAsia="Adobe Gothic Std B" w:hAnsi="Tahoma" w:cs="Tahoma"/>
          <w:sz w:val="26"/>
          <w:szCs w:val="26"/>
        </w:rPr>
        <w:t xml:space="preserve"> </w:t>
      </w:r>
      <w:r w:rsidR="00C5645C" w:rsidRPr="00BF5DAF">
        <w:rPr>
          <w:rFonts w:ascii="Tahoma" w:eastAsia="Adobe Gothic Std B" w:hAnsi="Tahoma" w:cs="Tahoma"/>
          <w:sz w:val="26"/>
          <w:szCs w:val="26"/>
        </w:rPr>
        <w:t xml:space="preserve">pronunciarse de fondo sobre el asunto, </w:t>
      </w:r>
      <w:r w:rsidR="00D459FB" w:rsidRPr="00BF5DAF">
        <w:rPr>
          <w:rFonts w:ascii="Tahoma" w:eastAsia="Adobe Gothic Std B" w:hAnsi="Tahoma" w:cs="Tahoma"/>
          <w:sz w:val="26"/>
          <w:szCs w:val="26"/>
        </w:rPr>
        <w:t xml:space="preserve">irregularidad que afectó el debido proceso en su núcleo esencial, </w:t>
      </w:r>
      <w:r w:rsidR="00EF42CA" w:rsidRPr="00BF5DAF">
        <w:rPr>
          <w:rFonts w:ascii="Tahoma" w:eastAsia="Adobe Gothic Std B" w:hAnsi="Tahoma" w:cs="Tahoma"/>
          <w:sz w:val="26"/>
          <w:szCs w:val="26"/>
        </w:rPr>
        <w:t xml:space="preserve">en consideración a que </w:t>
      </w:r>
      <w:r w:rsidR="00D459FB" w:rsidRPr="00BF5DAF">
        <w:rPr>
          <w:rFonts w:ascii="Tahoma" w:eastAsia="Adobe Gothic Std B" w:hAnsi="Tahoma" w:cs="Tahoma"/>
          <w:sz w:val="26"/>
          <w:szCs w:val="26"/>
        </w:rPr>
        <w:t>lo que procedía era d</w:t>
      </w:r>
      <w:r w:rsidR="00C5645C" w:rsidRPr="00BF5DAF">
        <w:rPr>
          <w:rFonts w:ascii="Tahoma" w:eastAsia="Adobe Gothic Std B" w:hAnsi="Tahoma" w:cs="Tahoma"/>
          <w:sz w:val="26"/>
          <w:szCs w:val="26"/>
        </w:rPr>
        <w:t>eclarar la prescripción de la actuación</w:t>
      </w:r>
      <w:r w:rsidR="005D5559" w:rsidRPr="00BF5DAF">
        <w:rPr>
          <w:rFonts w:ascii="Tahoma" w:eastAsia="Adobe Gothic Std B" w:hAnsi="Tahoma" w:cs="Tahoma"/>
          <w:sz w:val="26"/>
          <w:szCs w:val="26"/>
        </w:rPr>
        <w:t xml:space="preserve">; </w:t>
      </w:r>
      <w:r w:rsidR="00090D97" w:rsidRPr="00BF5DAF">
        <w:rPr>
          <w:rFonts w:ascii="Tahoma" w:eastAsia="Adobe Gothic Std B" w:hAnsi="Tahoma" w:cs="Tahoma"/>
          <w:sz w:val="26"/>
          <w:szCs w:val="26"/>
        </w:rPr>
        <w:t xml:space="preserve">en consecuencia, </w:t>
      </w:r>
      <w:r w:rsidR="00681479" w:rsidRPr="00BF5DAF">
        <w:rPr>
          <w:rFonts w:ascii="Tahoma" w:eastAsia="Adobe Gothic Std B" w:hAnsi="Tahoma" w:cs="Tahoma"/>
          <w:sz w:val="26"/>
          <w:szCs w:val="26"/>
        </w:rPr>
        <w:t>se dictará la correspondie</w:t>
      </w:r>
      <w:r w:rsidR="00217A94" w:rsidRPr="00BF5DAF">
        <w:rPr>
          <w:rFonts w:ascii="Tahoma" w:eastAsia="Adobe Gothic Std B" w:hAnsi="Tahoma" w:cs="Tahoma"/>
          <w:sz w:val="26"/>
          <w:szCs w:val="26"/>
        </w:rPr>
        <w:t>nte preclusión</w:t>
      </w:r>
      <w:r w:rsidR="00A562DB" w:rsidRPr="00BF5DAF">
        <w:rPr>
          <w:rFonts w:ascii="Tahoma" w:eastAsia="Adobe Gothic Std B" w:hAnsi="Tahoma" w:cs="Tahoma"/>
          <w:sz w:val="26"/>
          <w:szCs w:val="26"/>
        </w:rPr>
        <w:t xml:space="preserve"> a</w:t>
      </w:r>
      <w:r w:rsidR="00681479" w:rsidRPr="00BF5DAF">
        <w:rPr>
          <w:rFonts w:ascii="Tahoma" w:eastAsia="Adobe Gothic Std B" w:hAnsi="Tahoma" w:cs="Tahoma"/>
          <w:sz w:val="26"/>
          <w:szCs w:val="26"/>
        </w:rPr>
        <w:t xml:space="preserve"> favor del procesado</w:t>
      </w:r>
      <w:r w:rsidR="00090D97" w:rsidRPr="00BF5DAF">
        <w:rPr>
          <w:rFonts w:ascii="Tahoma" w:eastAsia="Adobe Gothic Std B" w:hAnsi="Tahoma" w:cs="Tahoma"/>
          <w:sz w:val="26"/>
          <w:szCs w:val="26"/>
        </w:rPr>
        <w:t>, y se dispondrá el archivo de la actuación una vez</w:t>
      </w:r>
      <w:r w:rsidR="00700959" w:rsidRPr="00BF5DAF">
        <w:rPr>
          <w:rFonts w:ascii="Tahoma" w:eastAsia="Adobe Gothic Std B" w:hAnsi="Tahoma" w:cs="Tahoma"/>
          <w:sz w:val="26"/>
          <w:szCs w:val="26"/>
        </w:rPr>
        <w:t xml:space="preserve"> se encuentre</w:t>
      </w:r>
      <w:r w:rsidR="00090D97" w:rsidRPr="00BF5DAF">
        <w:rPr>
          <w:rFonts w:ascii="Tahoma" w:eastAsia="Adobe Gothic Std B" w:hAnsi="Tahoma" w:cs="Tahoma"/>
          <w:sz w:val="26"/>
          <w:szCs w:val="26"/>
        </w:rPr>
        <w:t xml:space="preserve"> en firme esta decisión. </w:t>
      </w:r>
    </w:p>
    <w:p w:rsidR="00090D97" w:rsidRPr="00BF5DAF" w:rsidRDefault="00090D97" w:rsidP="00681479">
      <w:pPr>
        <w:pStyle w:val="Sinespaciado"/>
        <w:spacing w:line="276" w:lineRule="auto"/>
        <w:jc w:val="both"/>
        <w:rPr>
          <w:rFonts w:ascii="Tahoma" w:hAnsi="Tahoma" w:cs="Tahoma"/>
          <w:sz w:val="26"/>
          <w:szCs w:val="26"/>
        </w:rPr>
      </w:pPr>
    </w:p>
    <w:p w:rsidR="006332D7" w:rsidRPr="00BF5DAF" w:rsidRDefault="00090D97" w:rsidP="00D54C02">
      <w:pPr>
        <w:pStyle w:val="Sinespaciado"/>
        <w:spacing w:line="276" w:lineRule="auto"/>
        <w:jc w:val="both"/>
        <w:rPr>
          <w:rFonts w:ascii="Tahoma" w:hAnsi="Tahoma" w:cs="Tahoma"/>
          <w:sz w:val="26"/>
          <w:szCs w:val="26"/>
        </w:rPr>
      </w:pPr>
      <w:r w:rsidRPr="00BF5DAF">
        <w:rPr>
          <w:rFonts w:ascii="Tahoma" w:hAnsi="Tahoma" w:cs="Tahoma"/>
          <w:sz w:val="26"/>
          <w:szCs w:val="26"/>
        </w:rPr>
        <w:t xml:space="preserve">Se aclara que </w:t>
      </w:r>
      <w:r w:rsidR="006332D7" w:rsidRPr="00BF5DAF">
        <w:rPr>
          <w:rFonts w:ascii="Tahoma" w:hAnsi="Tahoma" w:cs="Tahoma"/>
          <w:sz w:val="26"/>
          <w:szCs w:val="26"/>
        </w:rPr>
        <w:t>el apoderado de la víctima tiene abierta la posibilidad de demandar los perjuicios derivados del hecho ante la jurisdicción civil, de conformidad con lo indicado en sentencia de casación penal de enero</w:t>
      </w:r>
      <w:r w:rsidR="00A3201B" w:rsidRPr="00BF5DAF">
        <w:rPr>
          <w:rFonts w:ascii="Tahoma" w:hAnsi="Tahoma" w:cs="Tahoma"/>
          <w:sz w:val="26"/>
          <w:szCs w:val="26"/>
        </w:rPr>
        <w:t xml:space="preserve"> 18 de 2012</w:t>
      </w:r>
      <w:r w:rsidR="00A562DB" w:rsidRPr="00BF5DAF">
        <w:rPr>
          <w:rFonts w:ascii="Tahoma" w:hAnsi="Tahoma" w:cs="Tahoma"/>
          <w:sz w:val="26"/>
          <w:szCs w:val="26"/>
        </w:rPr>
        <w:t xml:space="preserve"> con</w:t>
      </w:r>
      <w:r w:rsidR="006332D7" w:rsidRPr="00BF5DAF">
        <w:rPr>
          <w:rFonts w:ascii="Tahoma" w:hAnsi="Tahoma" w:cs="Tahoma"/>
          <w:sz w:val="26"/>
          <w:szCs w:val="26"/>
        </w:rPr>
        <w:t xml:space="preserve"> radicado 36.841. </w:t>
      </w:r>
    </w:p>
    <w:p w:rsidR="00DA70D3" w:rsidRPr="00BF5DAF" w:rsidRDefault="00DA70D3" w:rsidP="00D54C02">
      <w:pPr>
        <w:pStyle w:val="Sinespaciado"/>
        <w:spacing w:line="276" w:lineRule="auto"/>
        <w:jc w:val="both"/>
        <w:rPr>
          <w:rFonts w:ascii="Tahoma" w:hAnsi="Tahoma" w:cs="Tahoma"/>
          <w:sz w:val="26"/>
          <w:szCs w:val="26"/>
        </w:rPr>
      </w:pPr>
    </w:p>
    <w:p w:rsidR="00DA70D3" w:rsidRPr="00BF5DAF" w:rsidRDefault="00DA70D3" w:rsidP="00D54C02">
      <w:pPr>
        <w:pStyle w:val="Sinespaciado"/>
        <w:spacing w:line="276" w:lineRule="auto"/>
        <w:jc w:val="both"/>
        <w:rPr>
          <w:rFonts w:ascii="Tahoma" w:hAnsi="Tahoma" w:cs="Tahoma"/>
          <w:sz w:val="26"/>
          <w:szCs w:val="26"/>
        </w:rPr>
      </w:pPr>
      <w:r w:rsidRPr="00BF5DAF">
        <w:rPr>
          <w:rFonts w:ascii="Tahoma" w:hAnsi="Tahoma" w:cs="Tahoma"/>
          <w:sz w:val="26"/>
          <w:szCs w:val="26"/>
        </w:rPr>
        <w:t>ANOTACIÓN FINAL</w:t>
      </w:r>
    </w:p>
    <w:p w:rsidR="00DA70D3" w:rsidRPr="00BF5DAF" w:rsidRDefault="00DA70D3" w:rsidP="00D54C02">
      <w:pPr>
        <w:pStyle w:val="Sinespaciado"/>
        <w:spacing w:line="276" w:lineRule="auto"/>
        <w:jc w:val="both"/>
        <w:rPr>
          <w:rFonts w:ascii="Tahoma" w:hAnsi="Tahoma" w:cs="Tahoma"/>
          <w:sz w:val="26"/>
          <w:szCs w:val="26"/>
        </w:rPr>
      </w:pPr>
    </w:p>
    <w:p w:rsidR="00CB5007" w:rsidRPr="00BF5DAF" w:rsidRDefault="00DA70D3" w:rsidP="00D54C02">
      <w:pPr>
        <w:pStyle w:val="Sinespaciado"/>
        <w:spacing w:line="276" w:lineRule="auto"/>
        <w:jc w:val="both"/>
        <w:rPr>
          <w:rFonts w:ascii="Tahoma" w:hAnsi="Tahoma" w:cs="Tahoma"/>
          <w:sz w:val="26"/>
          <w:szCs w:val="26"/>
        </w:rPr>
      </w:pPr>
      <w:r w:rsidRPr="00BF5DAF">
        <w:rPr>
          <w:rFonts w:ascii="Tahoma" w:hAnsi="Tahoma" w:cs="Tahoma"/>
          <w:sz w:val="26"/>
          <w:szCs w:val="26"/>
        </w:rPr>
        <w:t>El Tribunal h</w:t>
      </w:r>
      <w:r w:rsidR="005E1ED7" w:rsidRPr="00BF5DAF">
        <w:rPr>
          <w:rFonts w:ascii="Tahoma" w:hAnsi="Tahoma" w:cs="Tahoma"/>
          <w:sz w:val="26"/>
          <w:szCs w:val="26"/>
        </w:rPr>
        <w:t>a efectuado un examen respecto a</w:t>
      </w:r>
      <w:r w:rsidRPr="00BF5DAF">
        <w:rPr>
          <w:rFonts w:ascii="Tahoma" w:hAnsi="Tahoma" w:cs="Tahoma"/>
          <w:sz w:val="26"/>
          <w:szCs w:val="26"/>
        </w:rPr>
        <w:t xml:space="preserve"> los aplazamientos de las audiencias en el presente asunto con </w:t>
      </w:r>
      <w:r w:rsidR="008B4E97" w:rsidRPr="00BF5DAF">
        <w:rPr>
          <w:rFonts w:ascii="Tahoma" w:hAnsi="Tahoma" w:cs="Tahoma"/>
          <w:sz w:val="26"/>
          <w:szCs w:val="26"/>
        </w:rPr>
        <w:t>miras a determinar si se justifica</w:t>
      </w:r>
      <w:r w:rsidRPr="00BF5DAF">
        <w:rPr>
          <w:rFonts w:ascii="Tahoma" w:hAnsi="Tahoma" w:cs="Tahoma"/>
          <w:sz w:val="26"/>
          <w:szCs w:val="26"/>
        </w:rPr>
        <w:t xml:space="preserve"> o no la compulsa de copias disciplinarias en el caso concreto, habida consideración a que esa fue la razón sustancial para que operara la prescripción de la acción penal</w:t>
      </w:r>
      <w:r w:rsidR="005E1ED7" w:rsidRPr="00BF5DAF">
        <w:rPr>
          <w:rFonts w:ascii="Tahoma" w:hAnsi="Tahoma" w:cs="Tahoma"/>
          <w:sz w:val="26"/>
          <w:szCs w:val="26"/>
        </w:rPr>
        <w:t>. Y en esa dirección</w:t>
      </w:r>
      <w:r w:rsidRPr="00BF5DAF">
        <w:rPr>
          <w:rFonts w:ascii="Tahoma" w:hAnsi="Tahoma" w:cs="Tahoma"/>
          <w:sz w:val="26"/>
          <w:szCs w:val="26"/>
        </w:rPr>
        <w:t xml:space="preserve"> encuentra</w:t>
      </w:r>
      <w:r w:rsidR="00CB5007" w:rsidRPr="00BF5DAF">
        <w:rPr>
          <w:rFonts w:ascii="Tahoma" w:hAnsi="Tahoma" w:cs="Tahoma"/>
          <w:sz w:val="26"/>
          <w:szCs w:val="26"/>
        </w:rPr>
        <w:t xml:space="preserve"> la Sala</w:t>
      </w:r>
      <w:r w:rsidRPr="00BF5DAF">
        <w:rPr>
          <w:rFonts w:ascii="Tahoma" w:hAnsi="Tahoma" w:cs="Tahoma"/>
          <w:sz w:val="26"/>
          <w:szCs w:val="26"/>
        </w:rPr>
        <w:t xml:space="preserve"> que el asunto amerita una explicación</w:t>
      </w:r>
      <w:r w:rsidR="001008A2" w:rsidRPr="00BF5DAF">
        <w:rPr>
          <w:rFonts w:ascii="Tahoma" w:hAnsi="Tahoma" w:cs="Tahoma"/>
          <w:sz w:val="26"/>
          <w:szCs w:val="26"/>
        </w:rPr>
        <w:t xml:space="preserve">, </w:t>
      </w:r>
      <w:r w:rsidRPr="00BF5DAF">
        <w:rPr>
          <w:rFonts w:ascii="Tahoma" w:hAnsi="Tahoma" w:cs="Tahoma"/>
          <w:sz w:val="26"/>
          <w:szCs w:val="26"/>
        </w:rPr>
        <w:t xml:space="preserve">en particular en lo atinente </w:t>
      </w:r>
      <w:r w:rsidR="00CB5007" w:rsidRPr="00BF5DAF">
        <w:rPr>
          <w:rFonts w:ascii="Tahoma" w:hAnsi="Tahoma" w:cs="Tahoma"/>
          <w:sz w:val="26"/>
          <w:szCs w:val="26"/>
        </w:rPr>
        <w:t xml:space="preserve">al juicio oral, como quiera que </w:t>
      </w:r>
      <w:r w:rsidR="005E1ED7" w:rsidRPr="00BF5DAF">
        <w:rPr>
          <w:rFonts w:ascii="Tahoma" w:hAnsi="Tahoma" w:cs="Tahoma"/>
          <w:sz w:val="26"/>
          <w:szCs w:val="26"/>
        </w:rPr>
        <w:t>fue reprogramado en diversas ocasiones, varias de ellas</w:t>
      </w:r>
      <w:r w:rsidRPr="00BF5DAF">
        <w:rPr>
          <w:rFonts w:ascii="Tahoma" w:hAnsi="Tahoma" w:cs="Tahoma"/>
          <w:sz w:val="26"/>
          <w:szCs w:val="26"/>
        </w:rPr>
        <w:t xml:space="preserve"> sin qu</w:t>
      </w:r>
      <w:r w:rsidR="005E1ED7" w:rsidRPr="00BF5DAF">
        <w:rPr>
          <w:rFonts w:ascii="Tahoma" w:hAnsi="Tahoma" w:cs="Tahoma"/>
          <w:sz w:val="26"/>
          <w:szCs w:val="26"/>
        </w:rPr>
        <w:t>e se indic</w:t>
      </w:r>
      <w:r w:rsidR="00BF5DAF">
        <w:rPr>
          <w:rFonts w:ascii="Tahoma" w:hAnsi="Tahoma" w:cs="Tahoma"/>
          <w:sz w:val="26"/>
          <w:szCs w:val="26"/>
        </w:rPr>
        <w:t>ara el motivo</w:t>
      </w:r>
      <w:r w:rsidR="005E1ED7" w:rsidRPr="00BF5DAF">
        <w:rPr>
          <w:rFonts w:ascii="Tahoma" w:hAnsi="Tahoma" w:cs="Tahoma"/>
          <w:sz w:val="26"/>
          <w:szCs w:val="26"/>
        </w:rPr>
        <w:t xml:space="preserve"> para obrar de esa manera, y </w:t>
      </w:r>
      <w:r w:rsidR="0079018B" w:rsidRPr="00BF5DAF">
        <w:rPr>
          <w:rFonts w:ascii="Tahoma" w:hAnsi="Tahoma" w:cs="Tahoma"/>
          <w:sz w:val="26"/>
          <w:szCs w:val="26"/>
        </w:rPr>
        <w:t xml:space="preserve">en </w:t>
      </w:r>
      <w:r w:rsidR="005E1ED7" w:rsidRPr="00BF5DAF">
        <w:rPr>
          <w:rFonts w:ascii="Tahoma" w:hAnsi="Tahoma" w:cs="Tahoma"/>
          <w:sz w:val="26"/>
          <w:szCs w:val="26"/>
        </w:rPr>
        <w:t>otras se posterg</w:t>
      </w:r>
      <w:r w:rsidR="0079018B" w:rsidRPr="00BF5DAF">
        <w:rPr>
          <w:rFonts w:ascii="Tahoma" w:hAnsi="Tahoma" w:cs="Tahoma"/>
          <w:sz w:val="26"/>
          <w:szCs w:val="26"/>
        </w:rPr>
        <w:t>ó</w:t>
      </w:r>
      <w:r w:rsidR="00AB1D6F" w:rsidRPr="00BF5DAF">
        <w:rPr>
          <w:rFonts w:ascii="Tahoma" w:hAnsi="Tahoma" w:cs="Tahoma"/>
          <w:sz w:val="26"/>
          <w:szCs w:val="26"/>
        </w:rPr>
        <w:t xml:space="preserve"> por circunstancias</w:t>
      </w:r>
      <w:r w:rsidR="005E1ED7" w:rsidRPr="00BF5DAF">
        <w:rPr>
          <w:rFonts w:ascii="Tahoma" w:hAnsi="Tahoma" w:cs="Tahoma"/>
          <w:sz w:val="26"/>
          <w:szCs w:val="26"/>
        </w:rPr>
        <w:t xml:space="preserve"> que </w:t>
      </w:r>
      <w:r w:rsidR="006F4B48" w:rsidRPr="00BF5DAF">
        <w:rPr>
          <w:rFonts w:ascii="Tahoma" w:hAnsi="Tahoma" w:cs="Tahoma"/>
          <w:sz w:val="26"/>
          <w:szCs w:val="26"/>
        </w:rPr>
        <w:t>requerían</w:t>
      </w:r>
      <w:r w:rsidR="005E1ED7" w:rsidRPr="00BF5DAF">
        <w:rPr>
          <w:rFonts w:ascii="Tahoma" w:hAnsi="Tahoma" w:cs="Tahoma"/>
          <w:sz w:val="26"/>
          <w:szCs w:val="26"/>
        </w:rPr>
        <w:t xml:space="preserve"> una mejor justificación</w:t>
      </w:r>
      <w:r w:rsidR="0079018B" w:rsidRPr="00BF5DAF">
        <w:rPr>
          <w:rFonts w:ascii="Tahoma" w:hAnsi="Tahoma" w:cs="Tahoma"/>
          <w:sz w:val="26"/>
          <w:szCs w:val="26"/>
        </w:rPr>
        <w:t xml:space="preserve"> de cada</w:t>
      </w:r>
      <w:r w:rsidR="005E1ED7" w:rsidRPr="00BF5DAF">
        <w:rPr>
          <w:rFonts w:ascii="Tahoma" w:hAnsi="Tahoma" w:cs="Tahoma"/>
          <w:sz w:val="26"/>
          <w:szCs w:val="26"/>
        </w:rPr>
        <w:t xml:space="preserve"> parte, a consecuencia de lo cual se</w:t>
      </w:r>
      <w:r w:rsidR="00F0361F" w:rsidRPr="00BF5DAF">
        <w:rPr>
          <w:rFonts w:ascii="Tahoma" w:hAnsi="Tahoma" w:cs="Tahoma"/>
          <w:sz w:val="26"/>
          <w:szCs w:val="26"/>
        </w:rPr>
        <w:t xml:space="preserve"> volvieron a fijar nuevas fechas pero</w:t>
      </w:r>
      <w:r w:rsidR="005E1ED7" w:rsidRPr="00BF5DAF">
        <w:rPr>
          <w:rFonts w:ascii="Tahoma" w:hAnsi="Tahoma" w:cs="Tahoma"/>
          <w:sz w:val="26"/>
          <w:szCs w:val="26"/>
        </w:rPr>
        <w:t xml:space="preserve"> con unos plazos excesivos,</w:t>
      </w:r>
      <w:r w:rsidR="00AB1D6F" w:rsidRPr="00BF5DAF">
        <w:rPr>
          <w:rFonts w:ascii="Tahoma" w:hAnsi="Tahoma" w:cs="Tahoma"/>
          <w:sz w:val="26"/>
          <w:szCs w:val="26"/>
        </w:rPr>
        <w:t xml:space="preserve"> los </w:t>
      </w:r>
      <w:r w:rsidR="005E1ED7" w:rsidRPr="00BF5DAF">
        <w:rPr>
          <w:rFonts w:ascii="Tahoma" w:hAnsi="Tahoma" w:cs="Tahoma"/>
          <w:sz w:val="26"/>
          <w:szCs w:val="26"/>
        </w:rPr>
        <w:t>que</w:t>
      </w:r>
      <w:r w:rsidR="006C5CBD" w:rsidRPr="00BF5DAF">
        <w:rPr>
          <w:rFonts w:ascii="Tahoma" w:hAnsi="Tahoma" w:cs="Tahoma"/>
          <w:sz w:val="26"/>
          <w:szCs w:val="26"/>
        </w:rPr>
        <w:t xml:space="preserve"> por supuesto al final dieron </w:t>
      </w:r>
      <w:r w:rsidR="005E1ED7" w:rsidRPr="00BF5DAF">
        <w:rPr>
          <w:rFonts w:ascii="Tahoma" w:hAnsi="Tahoma" w:cs="Tahoma"/>
          <w:sz w:val="26"/>
          <w:szCs w:val="26"/>
        </w:rPr>
        <w:t xml:space="preserve">al traste con la posibilidad de proferir un fallo </w:t>
      </w:r>
      <w:r w:rsidR="006C5CBD" w:rsidRPr="00BF5DAF">
        <w:rPr>
          <w:rFonts w:ascii="Tahoma" w:hAnsi="Tahoma" w:cs="Tahoma"/>
          <w:sz w:val="26"/>
          <w:szCs w:val="26"/>
        </w:rPr>
        <w:lastRenderedPageBreak/>
        <w:t xml:space="preserve">de mérito </w:t>
      </w:r>
      <w:r w:rsidR="005E1ED7" w:rsidRPr="00BF5DAF">
        <w:rPr>
          <w:rFonts w:ascii="Tahoma" w:hAnsi="Tahoma" w:cs="Tahoma"/>
          <w:sz w:val="26"/>
          <w:szCs w:val="26"/>
        </w:rPr>
        <w:t>dentro de los términos legales.</w:t>
      </w:r>
      <w:r w:rsidR="005E6B97" w:rsidRPr="00BF5DAF">
        <w:rPr>
          <w:rFonts w:ascii="Tahoma" w:hAnsi="Tahoma" w:cs="Tahoma"/>
          <w:sz w:val="26"/>
          <w:szCs w:val="26"/>
        </w:rPr>
        <w:t xml:space="preserve"> En consecuencia, se estima necesario disponer que por la Secretaría de la Sala se compulsen las copias con destino a </w:t>
      </w:r>
      <w:r w:rsidR="00AB1D6F" w:rsidRPr="00BF5DAF">
        <w:rPr>
          <w:rFonts w:ascii="Tahoma" w:hAnsi="Tahoma" w:cs="Tahoma"/>
          <w:sz w:val="26"/>
          <w:szCs w:val="26"/>
        </w:rPr>
        <w:t xml:space="preserve">la </w:t>
      </w:r>
      <w:r w:rsidR="0030536A" w:rsidRPr="00BF5DAF">
        <w:rPr>
          <w:rFonts w:ascii="Tahoma" w:hAnsi="Tahoma" w:cs="Tahoma"/>
          <w:sz w:val="26"/>
          <w:szCs w:val="26"/>
        </w:rPr>
        <w:t xml:space="preserve">Comisión Seccional de Disciplina Judicial Risaralda con sede en esta capital, para los fines </w:t>
      </w:r>
      <w:r w:rsidR="00EA369A" w:rsidRPr="00BF5DAF">
        <w:rPr>
          <w:rFonts w:ascii="Tahoma" w:hAnsi="Tahoma" w:cs="Tahoma"/>
          <w:sz w:val="26"/>
          <w:szCs w:val="26"/>
        </w:rPr>
        <w:t>pertinentes.</w:t>
      </w:r>
    </w:p>
    <w:p w:rsidR="00CB5007" w:rsidRPr="00BF5DAF" w:rsidRDefault="00CB5007" w:rsidP="00D54C02">
      <w:pPr>
        <w:pStyle w:val="Sinespaciado"/>
        <w:spacing w:line="276" w:lineRule="auto"/>
        <w:jc w:val="both"/>
        <w:rPr>
          <w:rFonts w:ascii="Tahoma" w:hAnsi="Tahoma" w:cs="Tahoma"/>
          <w:sz w:val="26"/>
          <w:szCs w:val="26"/>
        </w:rPr>
      </w:pPr>
    </w:p>
    <w:p w:rsidR="001954A3" w:rsidRPr="00BF5DAF" w:rsidRDefault="006C5CBD" w:rsidP="001954A3">
      <w:pPr>
        <w:spacing w:line="276" w:lineRule="auto"/>
      </w:pPr>
      <w:r w:rsidRPr="00BF5DAF">
        <w:t>En virtud</w:t>
      </w:r>
      <w:r w:rsidR="001954A3" w:rsidRPr="00BF5DAF">
        <w:t xml:space="preserve"> de lo expuesto, el Tribunal Superior del Distrito Judicial de Pereira (Rda.), Sala de Decisión Penal,</w:t>
      </w:r>
      <w:r w:rsidR="00D54C02" w:rsidRPr="00BF5DAF">
        <w:t xml:space="preserve"> administrando justicia en nombre de la República y por autoridad de la ley,</w:t>
      </w:r>
    </w:p>
    <w:p w:rsidR="001954A3" w:rsidRPr="00BF5DAF" w:rsidRDefault="001954A3" w:rsidP="001954A3">
      <w:pPr>
        <w:spacing w:line="276" w:lineRule="auto"/>
      </w:pPr>
    </w:p>
    <w:p w:rsidR="001954A3" w:rsidRPr="00BF5DAF" w:rsidRDefault="001954A3" w:rsidP="001954A3">
      <w:pPr>
        <w:spacing w:line="276" w:lineRule="auto"/>
        <w:rPr>
          <w:rFonts w:ascii="Algerian" w:hAnsi="Algerian"/>
          <w:sz w:val="30"/>
          <w:szCs w:val="30"/>
        </w:rPr>
      </w:pPr>
      <w:r w:rsidRPr="00BF5DAF">
        <w:rPr>
          <w:rFonts w:ascii="Algerian" w:hAnsi="Algerian"/>
          <w:sz w:val="30"/>
          <w:szCs w:val="30"/>
        </w:rPr>
        <w:t xml:space="preserve">RESUELVE </w:t>
      </w:r>
    </w:p>
    <w:p w:rsidR="001954A3" w:rsidRPr="00BF5DAF" w:rsidRDefault="001954A3" w:rsidP="001954A3">
      <w:pPr>
        <w:spacing w:line="276" w:lineRule="auto"/>
      </w:pPr>
    </w:p>
    <w:p w:rsidR="001954A3" w:rsidRPr="00BF5DAF" w:rsidRDefault="001954A3" w:rsidP="00FB6AB7">
      <w:pPr>
        <w:spacing w:line="276" w:lineRule="auto"/>
      </w:pPr>
      <w:r w:rsidRPr="00BF5DAF">
        <w:rPr>
          <w:b/>
          <w:sz w:val="22"/>
          <w:szCs w:val="22"/>
        </w:rPr>
        <w:t xml:space="preserve">PRIMERO: SE DECRETA </w:t>
      </w:r>
      <w:r w:rsidRPr="00BF5DAF">
        <w:t>la NULIDAD de la actuación procesal a partir de la sentencia de primera instancia emitida en septiembre 14 de 2016</w:t>
      </w:r>
      <w:r w:rsidR="00FB6AB7" w:rsidRPr="00BF5DAF">
        <w:t>.</w:t>
      </w:r>
    </w:p>
    <w:p w:rsidR="001954A3" w:rsidRPr="00BF5DAF" w:rsidRDefault="001954A3" w:rsidP="001954A3">
      <w:pPr>
        <w:spacing w:line="276" w:lineRule="auto"/>
      </w:pPr>
    </w:p>
    <w:p w:rsidR="00FB6AB7" w:rsidRPr="00BF5DAF" w:rsidRDefault="00FB6AB7" w:rsidP="00FB6AB7">
      <w:pPr>
        <w:spacing w:line="276" w:lineRule="auto"/>
      </w:pPr>
      <w:r w:rsidRPr="00BF5DAF">
        <w:rPr>
          <w:b/>
          <w:sz w:val="22"/>
          <w:szCs w:val="22"/>
        </w:rPr>
        <w:t xml:space="preserve">SEGUNDO: SE DECLARA </w:t>
      </w:r>
      <w:r w:rsidRPr="00BF5DAF">
        <w:t>la EXTINCIÓN de la acción penal por haberse presentado el fenómeno de la prescripci</w:t>
      </w:r>
      <w:r w:rsidR="00D54C02" w:rsidRPr="00BF5DAF">
        <w:t>ón;</w:t>
      </w:r>
      <w:r w:rsidR="006332D7" w:rsidRPr="00BF5DAF">
        <w:t xml:space="preserve"> y</w:t>
      </w:r>
      <w:r w:rsidR="007E22EB" w:rsidRPr="00BF5DAF">
        <w:t>,</w:t>
      </w:r>
      <w:r w:rsidR="006332D7" w:rsidRPr="00BF5DAF">
        <w:t xml:space="preserve"> en consecuencia, </w:t>
      </w:r>
      <w:r w:rsidR="00217A94" w:rsidRPr="00BF5DAF">
        <w:t>la preclusión</w:t>
      </w:r>
      <w:r w:rsidRPr="00BF5DAF">
        <w:t xml:space="preserve"> a favor del procesado </w:t>
      </w:r>
      <w:r w:rsidR="00CF0026">
        <w:rPr>
          <w:b/>
          <w:sz w:val="22"/>
          <w:szCs w:val="22"/>
        </w:rPr>
        <w:t>CAGR</w:t>
      </w:r>
      <w:r w:rsidRPr="00BF5DAF">
        <w:t>.</w:t>
      </w:r>
    </w:p>
    <w:p w:rsidR="00FB6AB7" w:rsidRPr="00BF5DAF" w:rsidRDefault="00FB6AB7" w:rsidP="00FB6AB7">
      <w:pPr>
        <w:spacing w:line="276" w:lineRule="auto"/>
      </w:pPr>
    </w:p>
    <w:p w:rsidR="006332D7" w:rsidRPr="00BF5DAF" w:rsidRDefault="006332D7" w:rsidP="006332D7">
      <w:pPr>
        <w:spacing w:line="276" w:lineRule="auto"/>
      </w:pPr>
      <w:r w:rsidRPr="00BF5DAF">
        <w:rPr>
          <w:b/>
          <w:sz w:val="22"/>
          <w:szCs w:val="22"/>
        </w:rPr>
        <w:t xml:space="preserve">TERCERO: </w:t>
      </w:r>
      <w:r w:rsidRPr="00BF5DAF">
        <w:t>En firme esta determinación la actuación pasará al archivo definitivo, sin perjuicio que el apoderado de la víctima pueda intentar el cobro de los perjuicios causados ante la jurisdicción civil, acorde con lo indicado en el cuerpo motivo de esta providencia.</w:t>
      </w:r>
    </w:p>
    <w:p w:rsidR="00280C00" w:rsidRPr="00BF5DAF" w:rsidRDefault="00280C00" w:rsidP="006332D7">
      <w:pPr>
        <w:spacing w:line="276" w:lineRule="auto"/>
      </w:pPr>
    </w:p>
    <w:p w:rsidR="00280C00" w:rsidRPr="00BF5DAF" w:rsidRDefault="00280C00" w:rsidP="006332D7">
      <w:pPr>
        <w:spacing w:line="276" w:lineRule="auto"/>
        <w:rPr>
          <w:rFonts w:ascii="Arial Narrow" w:hAnsi="Arial Narrow"/>
          <w:b/>
          <w:sz w:val="22"/>
          <w:szCs w:val="22"/>
        </w:rPr>
      </w:pPr>
      <w:r w:rsidRPr="00BF5DAF">
        <w:rPr>
          <w:b/>
          <w:sz w:val="22"/>
          <w:szCs w:val="22"/>
        </w:rPr>
        <w:t>CUARTO:</w:t>
      </w:r>
      <w:r w:rsidRPr="00BF5DAF">
        <w:rPr>
          <w:rFonts w:cs="Tahoma"/>
        </w:rPr>
        <w:t xml:space="preserve"> </w:t>
      </w:r>
      <w:r w:rsidRPr="00BF5DAF">
        <w:rPr>
          <w:rFonts w:cs="Tahoma"/>
          <w:b/>
          <w:sz w:val="22"/>
          <w:szCs w:val="22"/>
        </w:rPr>
        <w:t>SE DISPONE</w:t>
      </w:r>
      <w:r w:rsidRPr="00BF5DAF">
        <w:rPr>
          <w:rFonts w:cs="Tahoma"/>
        </w:rPr>
        <w:t xml:space="preserve"> que por Secretaría de la Sala se compulsen las copias pertinentes con destino a</w:t>
      </w:r>
      <w:r w:rsidR="00AB1D6F" w:rsidRPr="00BF5DAF">
        <w:rPr>
          <w:rFonts w:cs="Tahoma"/>
        </w:rPr>
        <w:t xml:space="preserve"> la</w:t>
      </w:r>
      <w:r w:rsidRPr="00BF5DAF">
        <w:rPr>
          <w:rFonts w:cs="Tahoma"/>
        </w:rPr>
        <w:t xml:space="preserve"> Comisión Seccional de Disciplina Judicial Risaralda con sede en esta capital, para los fines pertinentes.</w:t>
      </w:r>
    </w:p>
    <w:p w:rsidR="001954A3" w:rsidRPr="00BF5DAF" w:rsidRDefault="001954A3" w:rsidP="001954A3">
      <w:pPr>
        <w:spacing w:line="276" w:lineRule="auto"/>
      </w:pPr>
    </w:p>
    <w:p w:rsidR="00FE1B89" w:rsidRPr="00BF5DAF" w:rsidRDefault="00FE1B89" w:rsidP="00FE1B89">
      <w:pPr>
        <w:spacing w:line="276" w:lineRule="auto"/>
      </w:pPr>
      <w:r w:rsidRPr="00BF5DAF">
        <w:t>Esta determinación queda noti</w:t>
      </w:r>
      <w:r w:rsidR="000D2FD6" w:rsidRPr="00BF5DAF">
        <w:t>ficada en estrados y contra ella procede el recurso de reposición que de interponerse habrá de hacerse dentro del término legal</w:t>
      </w:r>
      <w:r w:rsidRPr="00BF5DAF">
        <w:t>.</w:t>
      </w:r>
    </w:p>
    <w:p w:rsidR="00FE1B89" w:rsidRPr="00BF5DAF" w:rsidRDefault="00FE1B89" w:rsidP="00FE1B89">
      <w:pPr>
        <w:spacing w:line="276" w:lineRule="auto"/>
        <w:rPr>
          <w:lang w:val="es-ES_tradnl"/>
        </w:rPr>
      </w:pPr>
    </w:p>
    <w:p w:rsidR="00B01B87" w:rsidRPr="00BF5DAF" w:rsidRDefault="00B01B87" w:rsidP="008848CA">
      <w:pPr>
        <w:spacing w:line="276" w:lineRule="auto"/>
      </w:pPr>
      <w:r w:rsidRPr="00BF5DAF">
        <w:t xml:space="preserve">Los Magistrados, </w:t>
      </w:r>
    </w:p>
    <w:p w:rsidR="00B01B87" w:rsidRPr="00BF5DAF" w:rsidRDefault="00B01B87" w:rsidP="008848CA">
      <w:pPr>
        <w:spacing w:line="276" w:lineRule="auto"/>
        <w:rPr>
          <w:lang w:val="es-ES_tradnl"/>
        </w:rPr>
      </w:pPr>
    </w:p>
    <w:p w:rsidR="00393436" w:rsidRPr="00BF5DAF" w:rsidRDefault="00393436" w:rsidP="008848CA">
      <w:pPr>
        <w:spacing w:line="276" w:lineRule="auto"/>
        <w:rPr>
          <w:lang w:val="es-ES_tradnl"/>
        </w:rPr>
      </w:pPr>
    </w:p>
    <w:p w:rsidR="0089624D" w:rsidRPr="00BF5DAF" w:rsidRDefault="0089624D" w:rsidP="008848CA">
      <w:pPr>
        <w:spacing w:line="276" w:lineRule="auto"/>
        <w:rPr>
          <w:lang w:val="es-ES_tradnl"/>
        </w:rPr>
      </w:pPr>
    </w:p>
    <w:p w:rsidR="00A05C39" w:rsidRPr="00BF5DAF" w:rsidRDefault="00A05C39" w:rsidP="008848CA">
      <w:pPr>
        <w:spacing w:line="276" w:lineRule="auto"/>
        <w:rPr>
          <w:lang w:val="es-ES_tradnl"/>
        </w:rPr>
      </w:pPr>
      <w:r w:rsidRPr="00BF5DAF">
        <w:rPr>
          <w:lang w:val="es-ES_tradnl"/>
        </w:rPr>
        <w:t>JORGE ARTURO CASTAÑO DUQUE</w:t>
      </w:r>
      <w:r w:rsidRPr="00BF5DAF">
        <w:rPr>
          <w:lang w:val="es-ES_tradnl"/>
        </w:rPr>
        <w:tab/>
      </w:r>
      <w:r w:rsidRPr="00BF5DAF">
        <w:rPr>
          <w:lang w:val="es-ES_tradnl"/>
        </w:rPr>
        <w:tab/>
        <w:t>JAIRO ERNESTO ESCOBAR SANZ</w:t>
      </w:r>
    </w:p>
    <w:p w:rsidR="00A05C39" w:rsidRPr="00BF5DAF" w:rsidRDefault="00A05C39" w:rsidP="008848CA">
      <w:pPr>
        <w:spacing w:line="276" w:lineRule="auto"/>
        <w:rPr>
          <w:lang w:val="es-ES_tradnl"/>
        </w:rPr>
      </w:pPr>
    </w:p>
    <w:p w:rsidR="00393436" w:rsidRPr="00BF5DAF" w:rsidRDefault="00393436" w:rsidP="008848CA">
      <w:pPr>
        <w:spacing w:line="276" w:lineRule="auto"/>
        <w:rPr>
          <w:lang w:val="es-ES_tradnl"/>
        </w:rPr>
      </w:pPr>
    </w:p>
    <w:p w:rsidR="00A05C39" w:rsidRPr="00BF5DAF" w:rsidRDefault="00A05C39" w:rsidP="008848CA">
      <w:pPr>
        <w:spacing w:line="276" w:lineRule="auto"/>
        <w:jc w:val="center"/>
        <w:rPr>
          <w:lang w:val="es-ES_tradnl"/>
        </w:rPr>
      </w:pPr>
    </w:p>
    <w:p w:rsidR="00B01B87" w:rsidRPr="00BF5DAF" w:rsidRDefault="00571F62" w:rsidP="008848CA">
      <w:pPr>
        <w:spacing w:line="276" w:lineRule="auto"/>
        <w:jc w:val="center"/>
        <w:rPr>
          <w:lang w:val="es-ES_tradnl"/>
        </w:rPr>
      </w:pPr>
      <w:r w:rsidRPr="00BF5DAF">
        <w:rPr>
          <w:lang w:val="es-ES_tradnl"/>
        </w:rPr>
        <w:t>MANUEL YARZAGARAY BANDERA</w:t>
      </w:r>
    </w:p>
    <w:p w:rsidR="004A5984" w:rsidRPr="00BF5DAF" w:rsidRDefault="004A5984" w:rsidP="008848CA">
      <w:pPr>
        <w:spacing w:line="276" w:lineRule="auto"/>
        <w:rPr>
          <w:lang w:val="es-ES_tradnl"/>
        </w:rPr>
      </w:pPr>
    </w:p>
    <w:p w:rsidR="00393436" w:rsidRPr="00BF5DAF" w:rsidRDefault="004A5984" w:rsidP="008848CA">
      <w:pPr>
        <w:spacing w:line="276" w:lineRule="auto"/>
      </w:pPr>
      <w:r w:rsidRPr="00BF5DAF">
        <w:t>La Secretaria</w:t>
      </w:r>
      <w:r w:rsidR="001140D0" w:rsidRPr="00BF5DAF">
        <w:t xml:space="preserve"> de </w:t>
      </w:r>
      <w:smartTag w:uri="urn:schemas-microsoft-com:office:smarttags" w:element="PersonName">
        <w:smartTagPr>
          <w:attr w:name="ProductID" w:val="la Sala"/>
        </w:smartTagPr>
        <w:r w:rsidR="001140D0" w:rsidRPr="00BF5DAF">
          <w:t>la Sala</w:t>
        </w:r>
      </w:smartTag>
      <w:r w:rsidR="001140D0" w:rsidRPr="00BF5DAF">
        <w:t>,</w:t>
      </w:r>
    </w:p>
    <w:p w:rsidR="00700959" w:rsidRPr="00BF5DAF" w:rsidRDefault="00700959" w:rsidP="008848CA">
      <w:pPr>
        <w:spacing w:line="276" w:lineRule="auto"/>
      </w:pPr>
    </w:p>
    <w:p w:rsidR="001140D0" w:rsidRPr="00BF5DAF" w:rsidRDefault="001140D0" w:rsidP="008848CA">
      <w:pPr>
        <w:spacing w:line="276" w:lineRule="auto"/>
        <w:rPr>
          <w:lang w:val="es-ES_tradnl"/>
        </w:rPr>
      </w:pPr>
    </w:p>
    <w:p w:rsidR="004A4006" w:rsidRPr="00BF5DAF" w:rsidRDefault="004A5984" w:rsidP="00A8336B">
      <w:pPr>
        <w:spacing w:line="276" w:lineRule="auto"/>
        <w:jc w:val="center"/>
      </w:pPr>
      <w:r w:rsidRPr="00BF5DAF">
        <w:rPr>
          <w:lang w:val="es-ES_tradnl"/>
        </w:rPr>
        <w:t>MARÍA ELENA RÍOS VÁSQUEZ</w:t>
      </w:r>
    </w:p>
    <w:sectPr w:rsidR="004A4006" w:rsidRPr="00BF5DAF" w:rsidSect="00BF5DAF">
      <w:headerReference w:type="default" r:id="rId9"/>
      <w:footerReference w:type="default" r:id="rId10"/>
      <w:pgSz w:w="12242" w:h="18722" w:code="124"/>
      <w:pgMar w:top="1985" w:right="1644" w:bottom="1418" w:left="1644" w:header="851" w:footer="851"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5D7" w:rsidRDefault="00B945D7">
      <w:r>
        <w:separator/>
      </w:r>
    </w:p>
    <w:p w:rsidR="00B945D7" w:rsidRDefault="00B945D7"/>
  </w:endnote>
  <w:endnote w:type="continuationSeparator" w:id="0">
    <w:p w:rsidR="00B945D7" w:rsidRDefault="00B945D7">
      <w:r>
        <w:continuationSeparator/>
      </w:r>
    </w:p>
    <w:p w:rsidR="00B945D7" w:rsidRDefault="00B945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altName w:val=" 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3D" w:rsidRDefault="00E32A3D">
    <w:pPr>
      <w:pStyle w:val="Piedepgina"/>
    </w:pPr>
    <w:r>
      <w:t xml:space="preserve">Página </w:t>
    </w:r>
    <w:r>
      <w:fldChar w:fldCharType="begin"/>
    </w:r>
    <w:r>
      <w:instrText xml:space="preserve"> PAGE </w:instrText>
    </w:r>
    <w:r>
      <w:fldChar w:fldCharType="separate"/>
    </w:r>
    <w:r w:rsidR="008B2CB2">
      <w:rPr>
        <w:noProof/>
      </w:rPr>
      <w:t>3</w:t>
    </w:r>
    <w:r>
      <w:fldChar w:fldCharType="end"/>
    </w:r>
    <w:r>
      <w:t xml:space="preserve"> de </w:t>
    </w:r>
    <w:fldSimple w:instr=" NUMPAGES ">
      <w:r w:rsidR="008B2CB2">
        <w:rPr>
          <w:noProof/>
        </w:rPr>
        <w:t>10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5D7" w:rsidRDefault="00B945D7">
      <w:r>
        <w:separator/>
      </w:r>
    </w:p>
    <w:p w:rsidR="00B945D7" w:rsidRDefault="00B945D7"/>
  </w:footnote>
  <w:footnote w:type="continuationSeparator" w:id="0">
    <w:p w:rsidR="00B945D7" w:rsidRDefault="00B945D7">
      <w:r>
        <w:continuationSeparator/>
      </w:r>
    </w:p>
    <w:p w:rsidR="00B945D7" w:rsidRDefault="00B945D7"/>
  </w:footnote>
  <w:footnote w:id="1">
    <w:p w:rsidR="00332C20" w:rsidRPr="00332C20" w:rsidRDefault="00332C20">
      <w:pPr>
        <w:pStyle w:val="Textonotapie"/>
        <w:rPr>
          <w:lang w:val="es-CO"/>
        </w:rPr>
      </w:pPr>
      <w:r>
        <w:rPr>
          <w:rStyle w:val="Refdenotaalpie"/>
        </w:rPr>
        <w:footnoteRef/>
      </w:r>
      <w:r>
        <w:t xml:space="preserve"> </w:t>
      </w:r>
      <w:r>
        <w:rPr>
          <w:lang w:val="es-CO"/>
        </w:rPr>
        <w:t xml:space="preserve">Dicho artículo fue modificado por el 2º de la Ley 1639/13, el cual no se aplica en este caso por cuanto es porterior a la fecha de ocurrencia de los hechos </w:t>
      </w:r>
      <w:r>
        <w:rPr>
          <w:rFonts w:ascii="Verdana" w:hAnsi="Verdana"/>
          <w:lang w:val="es-CO"/>
        </w:rPr>
        <w:t>(</w:t>
      </w:r>
      <w:r w:rsidRPr="00332C20">
        <w:rPr>
          <w:rFonts w:ascii="Verdana" w:hAnsi="Verdana"/>
          <w:lang w:val="es-CO"/>
        </w:rPr>
        <w:t>octubre 15 de 2008</w:t>
      </w:r>
      <w:r>
        <w:rPr>
          <w:rFonts w:ascii="Verdana" w:hAnsi="Verdana"/>
          <w:lang w:val="es-CO"/>
        </w:rPr>
        <w:t>)</w:t>
      </w:r>
      <w:r w:rsidRPr="00332C20">
        <w:rPr>
          <w:rFonts w:ascii="Verdana" w:hAnsi="Verdana"/>
          <w:lang w:val="es-CO"/>
        </w:rPr>
        <w:t>.</w:t>
      </w:r>
      <w:r>
        <w:rPr>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3D" w:rsidRPr="00F1640E" w:rsidRDefault="00E32A3D" w:rsidP="00C379F4">
    <w:pPr>
      <w:pStyle w:val="Encabezado"/>
      <w:spacing w:line="240" w:lineRule="auto"/>
      <w:jc w:val="right"/>
      <w:rPr>
        <w:rFonts w:ascii="Courier New" w:hAnsi="Courier New" w:cs="Courier New"/>
        <w:sz w:val="16"/>
        <w:szCs w:val="16"/>
        <w:lang w:val="es-MX"/>
      </w:rPr>
    </w:pPr>
    <w:r w:rsidRPr="003B4C3C">
      <w:rPr>
        <w:rFonts w:ascii="Courier New" w:hAnsi="Courier New" w:cs="Courier New"/>
        <w:sz w:val="14"/>
      </w:rPr>
      <w:t xml:space="preserve">   </w:t>
    </w:r>
    <w:r w:rsidR="00F1640E" w:rsidRPr="00F1640E">
      <w:rPr>
        <w:rFonts w:ascii="Courier New" w:hAnsi="Courier New" w:cs="Courier New"/>
        <w:sz w:val="16"/>
        <w:szCs w:val="16"/>
      </w:rPr>
      <w:t>LESIONES PERSONALES CULPOSAS</w:t>
    </w:r>
  </w:p>
  <w:p w:rsidR="00E32A3D" w:rsidRDefault="00E32A3D" w:rsidP="00C379F4">
    <w:pPr>
      <w:pStyle w:val="Encabezado"/>
      <w:spacing w:line="240" w:lineRule="auto"/>
      <w:jc w:val="right"/>
      <w:rPr>
        <w:rFonts w:ascii="Courier New" w:hAnsi="Courier New"/>
        <w:sz w:val="16"/>
        <w:lang w:val="es-MX"/>
      </w:rPr>
    </w:pPr>
    <w:r>
      <w:rPr>
        <w:rFonts w:ascii="Courier New" w:hAnsi="Courier New"/>
        <w:sz w:val="16"/>
        <w:lang w:val="es-MX"/>
      </w:rPr>
      <w:t>RADICA</w:t>
    </w:r>
    <w:r w:rsidR="00CD4185">
      <w:rPr>
        <w:rFonts w:ascii="Courier New" w:hAnsi="Courier New"/>
        <w:sz w:val="16"/>
        <w:lang w:val="es-MX"/>
      </w:rPr>
      <w:t>CIÓN:</w:t>
    </w:r>
    <w:r w:rsidR="00E44369">
      <w:rPr>
        <w:rFonts w:ascii="Courier New" w:hAnsi="Courier New"/>
        <w:sz w:val="16"/>
        <w:lang w:val="es-MX"/>
      </w:rPr>
      <w:t xml:space="preserve"> 660886000062 2008 00370 01</w:t>
    </w:r>
  </w:p>
  <w:p w:rsidR="00E44369" w:rsidRDefault="00E44369" w:rsidP="00A128E2">
    <w:pPr>
      <w:pStyle w:val="Encabezado"/>
      <w:spacing w:line="240" w:lineRule="auto"/>
      <w:jc w:val="right"/>
      <w:rPr>
        <w:rFonts w:ascii="Courier New" w:hAnsi="Courier New"/>
        <w:sz w:val="16"/>
        <w:lang w:val="es-MX"/>
      </w:rPr>
    </w:pPr>
    <w:r>
      <w:rPr>
        <w:rFonts w:ascii="Courier New" w:hAnsi="Courier New"/>
        <w:sz w:val="16"/>
        <w:lang w:val="es-MX"/>
      </w:rPr>
      <w:t>PROCESADO:  C</w:t>
    </w:r>
    <w:r w:rsidR="00CF0026">
      <w:rPr>
        <w:rFonts w:ascii="Courier New" w:hAnsi="Courier New"/>
        <w:sz w:val="16"/>
        <w:lang w:val="es-MX"/>
      </w:rPr>
      <w:t>AGR</w:t>
    </w:r>
    <w:r>
      <w:rPr>
        <w:rFonts w:ascii="Courier New" w:hAnsi="Courier New"/>
        <w:sz w:val="16"/>
        <w:lang w:val="es-MX"/>
      </w:rPr>
      <w:t>.</w:t>
    </w:r>
  </w:p>
  <w:p w:rsidR="00A128E2" w:rsidRDefault="00E44369" w:rsidP="00A128E2">
    <w:pPr>
      <w:pStyle w:val="Encabezado"/>
      <w:spacing w:line="240" w:lineRule="auto"/>
      <w:jc w:val="right"/>
      <w:rPr>
        <w:rFonts w:ascii="Courier New" w:hAnsi="Courier New"/>
        <w:sz w:val="16"/>
        <w:lang w:val="es-MX"/>
      </w:rPr>
    </w:pPr>
    <w:r>
      <w:rPr>
        <w:rFonts w:ascii="Courier New" w:hAnsi="Courier New"/>
        <w:sz w:val="16"/>
        <w:lang w:val="es-MX"/>
      </w:rPr>
      <w:t>DE</w:t>
    </w:r>
    <w:r w:rsidR="00A128E2" w:rsidRPr="00A128E2">
      <w:rPr>
        <w:rFonts w:ascii="Courier New" w:hAnsi="Courier New"/>
        <w:sz w:val="16"/>
        <w:lang w:val="es-MX"/>
      </w:rPr>
      <w:t>CRETA NULIDAD</w:t>
    </w:r>
    <w:r>
      <w:rPr>
        <w:rFonts w:ascii="Courier New" w:hAnsi="Courier New"/>
        <w:sz w:val="16"/>
        <w:lang w:val="es-MX"/>
      </w:rPr>
      <w:t xml:space="preserve"> Y DECLARA PRESCRIPCIÓN</w:t>
    </w:r>
  </w:p>
  <w:p w:rsidR="00A128E2" w:rsidRDefault="00AC67D4" w:rsidP="00A128E2">
    <w:pPr>
      <w:pStyle w:val="Encabezado"/>
      <w:spacing w:line="240" w:lineRule="auto"/>
      <w:jc w:val="right"/>
      <w:rPr>
        <w:rFonts w:ascii="Courier New" w:hAnsi="Courier New"/>
        <w:sz w:val="16"/>
        <w:lang w:val="es-MX"/>
      </w:rPr>
    </w:pPr>
    <w:r w:rsidRPr="00AC67D4">
      <w:rPr>
        <w:rFonts w:ascii="Courier New" w:hAnsi="Courier New"/>
        <w:sz w:val="16"/>
        <w:lang w:val="es-MX"/>
      </w:rPr>
      <w:t>A.N°44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A1E59"/>
    <w:multiLevelType w:val="hybridMultilevel"/>
    <w:tmpl w:val="5A9C9C7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94937A4"/>
    <w:multiLevelType w:val="hybridMultilevel"/>
    <w:tmpl w:val="C7AED35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EEF77FF"/>
    <w:multiLevelType w:val="hybridMultilevel"/>
    <w:tmpl w:val="8DB03E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87"/>
    <w:rsid w:val="00007AF0"/>
    <w:rsid w:val="00015FB5"/>
    <w:rsid w:val="0002581F"/>
    <w:rsid w:val="00025FA4"/>
    <w:rsid w:val="000276AD"/>
    <w:rsid w:val="00027D38"/>
    <w:rsid w:val="00044624"/>
    <w:rsid w:val="00052F81"/>
    <w:rsid w:val="0005674A"/>
    <w:rsid w:val="00065858"/>
    <w:rsid w:val="00071484"/>
    <w:rsid w:val="000727A4"/>
    <w:rsid w:val="00072BE6"/>
    <w:rsid w:val="000732E3"/>
    <w:rsid w:val="0008068F"/>
    <w:rsid w:val="000849CA"/>
    <w:rsid w:val="00090D97"/>
    <w:rsid w:val="00093276"/>
    <w:rsid w:val="0009433D"/>
    <w:rsid w:val="000B1F21"/>
    <w:rsid w:val="000B291B"/>
    <w:rsid w:val="000B4F67"/>
    <w:rsid w:val="000D2FD6"/>
    <w:rsid w:val="000D37E9"/>
    <w:rsid w:val="000E31AE"/>
    <w:rsid w:val="000F07F2"/>
    <w:rsid w:val="000F1A7D"/>
    <w:rsid w:val="000F54B6"/>
    <w:rsid w:val="000F744F"/>
    <w:rsid w:val="001008A2"/>
    <w:rsid w:val="00107651"/>
    <w:rsid w:val="001138C5"/>
    <w:rsid w:val="001140D0"/>
    <w:rsid w:val="001156F8"/>
    <w:rsid w:val="001220BD"/>
    <w:rsid w:val="00127FCC"/>
    <w:rsid w:val="00141E07"/>
    <w:rsid w:val="00144D44"/>
    <w:rsid w:val="001462AB"/>
    <w:rsid w:val="00152531"/>
    <w:rsid w:val="00162EB4"/>
    <w:rsid w:val="00164A16"/>
    <w:rsid w:val="00164E86"/>
    <w:rsid w:val="001773AC"/>
    <w:rsid w:val="001801C8"/>
    <w:rsid w:val="00191A50"/>
    <w:rsid w:val="001954A3"/>
    <w:rsid w:val="00197D9B"/>
    <w:rsid w:val="00197FB6"/>
    <w:rsid w:val="001A1C8A"/>
    <w:rsid w:val="001A6AFD"/>
    <w:rsid w:val="001B57B9"/>
    <w:rsid w:val="001B5B5F"/>
    <w:rsid w:val="001B7954"/>
    <w:rsid w:val="001C3463"/>
    <w:rsid w:val="001C649C"/>
    <w:rsid w:val="001D6036"/>
    <w:rsid w:val="001D6BBD"/>
    <w:rsid w:val="001E462E"/>
    <w:rsid w:val="001E7F7E"/>
    <w:rsid w:val="001F0807"/>
    <w:rsid w:val="001F59E7"/>
    <w:rsid w:val="00205145"/>
    <w:rsid w:val="00206CED"/>
    <w:rsid w:val="00213FA2"/>
    <w:rsid w:val="0021421B"/>
    <w:rsid w:val="00214FDC"/>
    <w:rsid w:val="00217A94"/>
    <w:rsid w:val="00224A43"/>
    <w:rsid w:val="00227F25"/>
    <w:rsid w:val="00245133"/>
    <w:rsid w:val="00245216"/>
    <w:rsid w:val="00254EF3"/>
    <w:rsid w:val="00255AD9"/>
    <w:rsid w:val="00270053"/>
    <w:rsid w:val="0028063F"/>
    <w:rsid w:val="00280C00"/>
    <w:rsid w:val="002823AB"/>
    <w:rsid w:val="00282B76"/>
    <w:rsid w:val="00283463"/>
    <w:rsid w:val="002849AB"/>
    <w:rsid w:val="00284B99"/>
    <w:rsid w:val="00287D75"/>
    <w:rsid w:val="00293D72"/>
    <w:rsid w:val="002A01E5"/>
    <w:rsid w:val="002A3B1E"/>
    <w:rsid w:val="002A4976"/>
    <w:rsid w:val="002A7EEB"/>
    <w:rsid w:val="002B6360"/>
    <w:rsid w:val="002C361E"/>
    <w:rsid w:val="002C54A6"/>
    <w:rsid w:val="002D16C0"/>
    <w:rsid w:val="002E0284"/>
    <w:rsid w:val="002E5F4C"/>
    <w:rsid w:val="0030536A"/>
    <w:rsid w:val="00306BE1"/>
    <w:rsid w:val="003077F7"/>
    <w:rsid w:val="00310AA0"/>
    <w:rsid w:val="003128D3"/>
    <w:rsid w:val="003141F6"/>
    <w:rsid w:val="00315094"/>
    <w:rsid w:val="003152D4"/>
    <w:rsid w:val="0032463E"/>
    <w:rsid w:val="00332C20"/>
    <w:rsid w:val="00344368"/>
    <w:rsid w:val="003677C9"/>
    <w:rsid w:val="00387169"/>
    <w:rsid w:val="00387763"/>
    <w:rsid w:val="0039145C"/>
    <w:rsid w:val="00393436"/>
    <w:rsid w:val="00393B20"/>
    <w:rsid w:val="00397E87"/>
    <w:rsid w:val="003A4B1D"/>
    <w:rsid w:val="003A7700"/>
    <w:rsid w:val="003B2445"/>
    <w:rsid w:val="003B4277"/>
    <w:rsid w:val="003B4C3C"/>
    <w:rsid w:val="003D1B47"/>
    <w:rsid w:val="003E51CA"/>
    <w:rsid w:val="003E6751"/>
    <w:rsid w:val="003E67F1"/>
    <w:rsid w:val="003F0C50"/>
    <w:rsid w:val="003F3152"/>
    <w:rsid w:val="004017EE"/>
    <w:rsid w:val="00403885"/>
    <w:rsid w:val="004255DF"/>
    <w:rsid w:val="00436F63"/>
    <w:rsid w:val="00444FC9"/>
    <w:rsid w:val="004638CB"/>
    <w:rsid w:val="00463ECF"/>
    <w:rsid w:val="0046430C"/>
    <w:rsid w:val="0046563D"/>
    <w:rsid w:val="00471CB5"/>
    <w:rsid w:val="00490330"/>
    <w:rsid w:val="00490CA0"/>
    <w:rsid w:val="0049244A"/>
    <w:rsid w:val="00493D2E"/>
    <w:rsid w:val="00495E52"/>
    <w:rsid w:val="004961A8"/>
    <w:rsid w:val="004A0952"/>
    <w:rsid w:val="004A4006"/>
    <w:rsid w:val="004A5984"/>
    <w:rsid w:val="004B243D"/>
    <w:rsid w:val="004B2B5F"/>
    <w:rsid w:val="004B6286"/>
    <w:rsid w:val="004C17D6"/>
    <w:rsid w:val="004C52AF"/>
    <w:rsid w:val="004D0676"/>
    <w:rsid w:val="004D5567"/>
    <w:rsid w:val="004D56A2"/>
    <w:rsid w:val="004E014E"/>
    <w:rsid w:val="004E1F64"/>
    <w:rsid w:val="004E3BCA"/>
    <w:rsid w:val="004F53DA"/>
    <w:rsid w:val="004F695A"/>
    <w:rsid w:val="0050289B"/>
    <w:rsid w:val="00512DAE"/>
    <w:rsid w:val="005160CA"/>
    <w:rsid w:val="005203CB"/>
    <w:rsid w:val="00522E13"/>
    <w:rsid w:val="00532D9D"/>
    <w:rsid w:val="0053374B"/>
    <w:rsid w:val="00534C79"/>
    <w:rsid w:val="005367E3"/>
    <w:rsid w:val="00540BF9"/>
    <w:rsid w:val="00541189"/>
    <w:rsid w:val="00541ED7"/>
    <w:rsid w:val="00552D7A"/>
    <w:rsid w:val="00554B24"/>
    <w:rsid w:val="005605B8"/>
    <w:rsid w:val="00564037"/>
    <w:rsid w:val="00571F62"/>
    <w:rsid w:val="00577A07"/>
    <w:rsid w:val="005866B4"/>
    <w:rsid w:val="00593482"/>
    <w:rsid w:val="005B0103"/>
    <w:rsid w:val="005C1CAA"/>
    <w:rsid w:val="005C31E6"/>
    <w:rsid w:val="005C33E6"/>
    <w:rsid w:val="005C6E0A"/>
    <w:rsid w:val="005C703B"/>
    <w:rsid w:val="005D5559"/>
    <w:rsid w:val="005E1A73"/>
    <w:rsid w:val="005E1ED7"/>
    <w:rsid w:val="005E41DB"/>
    <w:rsid w:val="005E6B97"/>
    <w:rsid w:val="005F79F7"/>
    <w:rsid w:val="006032BC"/>
    <w:rsid w:val="00607EAF"/>
    <w:rsid w:val="00613503"/>
    <w:rsid w:val="00615612"/>
    <w:rsid w:val="00630AE4"/>
    <w:rsid w:val="006332D7"/>
    <w:rsid w:val="0063408E"/>
    <w:rsid w:val="00634796"/>
    <w:rsid w:val="00640034"/>
    <w:rsid w:val="006426F7"/>
    <w:rsid w:val="00650B00"/>
    <w:rsid w:val="006541FC"/>
    <w:rsid w:val="00656D8D"/>
    <w:rsid w:val="006602C1"/>
    <w:rsid w:val="006636D0"/>
    <w:rsid w:val="00664755"/>
    <w:rsid w:val="00680802"/>
    <w:rsid w:val="00681479"/>
    <w:rsid w:val="0069135D"/>
    <w:rsid w:val="006A1D39"/>
    <w:rsid w:val="006A76D4"/>
    <w:rsid w:val="006B1308"/>
    <w:rsid w:val="006B4CD5"/>
    <w:rsid w:val="006B7E52"/>
    <w:rsid w:val="006C4BE8"/>
    <w:rsid w:val="006C5CBD"/>
    <w:rsid w:val="006D1C1A"/>
    <w:rsid w:val="006D3AE6"/>
    <w:rsid w:val="006D5CE9"/>
    <w:rsid w:val="006E15C0"/>
    <w:rsid w:val="006F4B48"/>
    <w:rsid w:val="00700959"/>
    <w:rsid w:val="00702056"/>
    <w:rsid w:val="00714848"/>
    <w:rsid w:val="00714B60"/>
    <w:rsid w:val="007166C2"/>
    <w:rsid w:val="00716F77"/>
    <w:rsid w:val="00720D0D"/>
    <w:rsid w:val="00733169"/>
    <w:rsid w:val="007340F4"/>
    <w:rsid w:val="00735867"/>
    <w:rsid w:val="0074072E"/>
    <w:rsid w:val="007471B2"/>
    <w:rsid w:val="00755078"/>
    <w:rsid w:val="0078206A"/>
    <w:rsid w:val="00784927"/>
    <w:rsid w:val="0079018B"/>
    <w:rsid w:val="007B1065"/>
    <w:rsid w:val="007B7747"/>
    <w:rsid w:val="007C214E"/>
    <w:rsid w:val="007C354A"/>
    <w:rsid w:val="007C6D8A"/>
    <w:rsid w:val="007D0E5D"/>
    <w:rsid w:val="007E22EB"/>
    <w:rsid w:val="007E4301"/>
    <w:rsid w:val="007E4EB4"/>
    <w:rsid w:val="007F4388"/>
    <w:rsid w:val="00802D84"/>
    <w:rsid w:val="0080775B"/>
    <w:rsid w:val="008245C9"/>
    <w:rsid w:val="008319BD"/>
    <w:rsid w:val="008400D5"/>
    <w:rsid w:val="008434A9"/>
    <w:rsid w:val="00847050"/>
    <w:rsid w:val="00856261"/>
    <w:rsid w:val="00861137"/>
    <w:rsid w:val="00867274"/>
    <w:rsid w:val="00880993"/>
    <w:rsid w:val="00881D6E"/>
    <w:rsid w:val="008848CA"/>
    <w:rsid w:val="00885C3E"/>
    <w:rsid w:val="00886B03"/>
    <w:rsid w:val="0089332B"/>
    <w:rsid w:val="0089624D"/>
    <w:rsid w:val="00896338"/>
    <w:rsid w:val="008972BD"/>
    <w:rsid w:val="008A41D0"/>
    <w:rsid w:val="008A529C"/>
    <w:rsid w:val="008B1E1C"/>
    <w:rsid w:val="008B2CB2"/>
    <w:rsid w:val="008B4E8D"/>
    <w:rsid w:val="008B4E97"/>
    <w:rsid w:val="008B69DE"/>
    <w:rsid w:val="008B7B8C"/>
    <w:rsid w:val="008C1944"/>
    <w:rsid w:val="008C2117"/>
    <w:rsid w:val="008C33D7"/>
    <w:rsid w:val="008C4F90"/>
    <w:rsid w:val="008C6633"/>
    <w:rsid w:val="008D1702"/>
    <w:rsid w:val="008E1995"/>
    <w:rsid w:val="008F2D15"/>
    <w:rsid w:val="008F60AD"/>
    <w:rsid w:val="00903C65"/>
    <w:rsid w:val="00903D8E"/>
    <w:rsid w:val="00906E42"/>
    <w:rsid w:val="00910ACF"/>
    <w:rsid w:val="00912336"/>
    <w:rsid w:val="00916A24"/>
    <w:rsid w:val="00924F25"/>
    <w:rsid w:val="009407A2"/>
    <w:rsid w:val="0094082D"/>
    <w:rsid w:val="009422EB"/>
    <w:rsid w:val="00946074"/>
    <w:rsid w:val="0095118C"/>
    <w:rsid w:val="009536A8"/>
    <w:rsid w:val="00965102"/>
    <w:rsid w:val="00970B32"/>
    <w:rsid w:val="00971470"/>
    <w:rsid w:val="00981FBF"/>
    <w:rsid w:val="0099610E"/>
    <w:rsid w:val="0099656E"/>
    <w:rsid w:val="009976E6"/>
    <w:rsid w:val="009A1124"/>
    <w:rsid w:val="009A47A5"/>
    <w:rsid w:val="009A5199"/>
    <w:rsid w:val="009A5AFC"/>
    <w:rsid w:val="009B2B9B"/>
    <w:rsid w:val="009C5F9A"/>
    <w:rsid w:val="009D23A2"/>
    <w:rsid w:val="009D3AF7"/>
    <w:rsid w:val="009D3DE3"/>
    <w:rsid w:val="009E20DE"/>
    <w:rsid w:val="009E3855"/>
    <w:rsid w:val="009F7460"/>
    <w:rsid w:val="00A05C39"/>
    <w:rsid w:val="00A128E2"/>
    <w:rsid w:val="00A220BE"/>
    <w:rsid w:val="00A279DF"/>
    <w:rsid w:val="00A3201B"/>
    <w:rsid w:val="00A33CDA"/>
    <w:rsid w:val="00A40340"/>
    <w:rsid w:val="00A437FE"/>
    <w:rsid w:val="00A44512"/>
    <w:rsid w:val="00A47D13"/>
    <w:rsid w:val="00A5338A"/>
    <w:rsid w:val="00A536DB"/>
    <w:rsid w:val="00A54C9E"/>
    <w:rsid w:val="00A562DB"/>
    <w:rsid w:val="00A622D2"/>
    <w:rsid w:val="00A62301"/>
    <w:rsid w:val="00A76A83"/>
    <w:rsid w:val="00A8336B"/>
    <w:rsid w:val="00A96586"/>
    <w:rsid w:val="00AA1EBF"/>
    <w:rsid w:val="00AA3A26"/>
    <w:rsid w:val="00AA5B76"/>
    <w:rsid w:val="00AA7BB1"/>
    <w:rsid w:val="00AB1D6F"/>
    <w:rsid w:val="00AC13C0"/>
    <w:rsid w:val="00AC67D4"/>
    <w:rsid w:val="00AD035E"/>
    <w:rsid w:val="00AD71B3"/>
    <w:rsid w:val="00AE3365"/>
    <w:rsid w:val="00AE45CC"/>
    <w:rsid w:val="00AF3363"/>
    <w:rsid w:val="00B0038F"/>
    <w:rsid w:val="00B01B87"/>
    <w:rsid w:val="00B03A93"/>
    <w:rsid w:val="00B1372C"/>
    <w:rsid w:val="00B22978"/>
    <w:rsid w:val="00B25DDF"/>
    <w:rsid w:val="00B30F4D"/>
    <w:rsid w:val="00B33D4A"/>
    <w:rsid w:val="00B413B9"/>
    <w:rsid w:val="00B415D9"/>
    <w:rsid w:val="00B43442"/>
    <w:rsid w:val="00B44A10"/>
    <w:rsid w:val="00B456DB"/>
    <w:rsid w:val="00B45E78"/>
    <w:rsid w:val="00B53825"/>
    <w:rsid w:val="00B53D6D"/>
    <w:rsid w:val="00B5535B"/>
    <w:rsid w:val="00B61206"/>
    <w:rsid w:val="00B61E7B"/>
    <w:rsid w:val="00B65320"/>
    <w:rsid w:val="00B74E28"/>
    <w:rsid w:val="00B83D93"/>
    <w:rsid w:val="00B91C2A"/>
    <w:rsid w:val="00B945D7"/>
    <w:rsid w:val="00BA2D78"/>
    <w:rsid w:val="00BA3006"/>
    <w:rsid w:val="00BA5AF3"/>
    <w:rsid w:val="00BB187B"/>
    <w:rsid w:val="00BB7ADA"/>
    <w:rsid w:val="00BD05B2"/>
    <w:rsid w:val="00BD1B74"/>
    <w:rsid w:val="00BD256E"/>
    <w:rsid w:val="00BD7171"/>
    <w:rsid w:val="00BD7B37"/>
    <w:rsid w:val="00BE294E"/>
    <w:rsid w:val="00BF5DAF"/>
    <w:rsid w:val="00C01831"/>
    <w:rsid w:val="00C07D60"/>
    <w:rsid w:val="00C10413"/>
    <w:rsid w:val="00C131FC"/>
    <w:rsid w:val="00C17DD5"/>
    <w:rsid w:val="00C2295E"/>
    <w:rsid w:val="00C24754"/>
    <w:rsid w:val="00C2670E"/>
    <w:rsid w:val="00C274F8"/>
    <w:rsid w:val="00C34291"/>
    <w:rsid w:val="00C379F4"/>
    <w:rsid w:val="00C421D8"/>
    <w:rsid w:val="00C44BD8"/>
    <w:rsid w:val="00C536DC"/>
    <w:rsid w:val="00C5645C"/>
    <w:rsid w:val="00C57FCC"/>
    <w:rsid w:val="00C64EF0"/>
    <w:rsid w:val="00C65511"/>
    <w:rsid w:val="00C71ABD"/>
    <w:rsid w:val="00C73D34"/>
    <w:rsid w:val="00C75BE6"/>
    <w:rsid w:val="00C77C00"/>
    <w:rsid w:val="00C85C9B"/>
    <w:rsid w:val="00C86B93"/>
    <w:rsid w:val="00C921C7"/>
    <w:rsid w:val="00CA36A7"/>
    <w:rsid w:val="00CB076F"/>
    <w:rsid w:val="00CB5007"/>
    <w:rsid w:val="00CB5B49"/>
    <w:rsid w:val="00CC682A"/>
    <w:rsid w:val="00CC7696"/>
    <w:rsid w:val="00CD218F"/>
    <w:rsid w:val="00CD4185"/>
    <w:rsid w:val="00CD4280"/>
    <w:rsid w:val="00CE3223"/>
    <w:rsid w:val="00CE5078"/>
    <w:rsid w:val="00CF0026"/>
    <w:rsid w:val="00D001F4"/>
    <w:rsid w:val="00D041BA"/>
    <w:rsid w:val="00D07B31"/>
    <w:rsid w:val="00D07E12"/>
    <w:rsid w:val="00D150F8"/>
    <w:rsid w:val="00D179BF"/>
    <w:rsid w:val="00D241AC"/>
    <w:rsid w:val="00D405C5"/>
    <w:rsid w:val="00D41100"/>
    <w:rsid w:val="00D459FB"/>
    <w:rsid w:val="00D5053F"/>
    <w:rsid w:val="00D50CFF"/>
    <w:rsid w:val="00D54C02"/>
    <w:rsid w:val="00D626DB"/>
    <w:rsid w:val="00D6516C"/>
    <w:rsid w:val="00D735AE"/>
    <w:rsid w:val="00D80CA6"/>
    <w:rsid w:val="00D80E1E"/>
    <w:rsid w:val="00D84B84"/>
    <w:rsid w:val="00D86EDA"/>
    <w:rsid w:val="00D92F72"/>
    <w:rsid w:val="00D9413E"/>
    <w:rsid w:val="00D94921"/>
    <w:rsid w:val="00D971FD"/>
    <w:rsid w:val="00D97C7A"/>
    <w:rsid w:val="00DA70D3"/>
    <w:rsid w:val="00DB245C"/>
    <w:rsid w:val="00DB438B"/>
    <w:rsid w:val="00DB6742"/>
    <w:rsid w:val="00DD34BC"/>
    <w:rsid w:val="00DD3FDE"/>
    <w:rsid w:val="00DF2393"/>
    <w:rsid w:val="00DF346F"/>
    <w:rsid w:val="00DF6193"/>
    <w:rsid w:val="00E0653D"/>
    <w:rsid w:val="00E1291F"/>
    <w:rsid w:val="00E165A3"/>
    <w:rsid w:val="00E22A59"/>
    <w:rsid w:val="00E22F85"/>
    <w:rsid w:val="00E31E73"/>
    <w:rsid w:val="00E32A3D"/>
    <w:rsid w:val="00E354E5"/>
    <w:rsid w:val="00E373B2"/>
    <w:rsid w:val="00E44369"/>
    <w:rsid w:val="00E538FE"/>
    <w:rsid w:val="00E5618A"/>
    <w:rsid w:val="00E6369E"/>
    <w:rsid w:val="00E72465"/>
    <w:rsid w:val="00E80806"/>
    <w:rsid w:val="00E85BA3"/>
    <w:rsid w:val="00E86F33"/>
    <w:rsid w:val="00E95AEE"/>
    <w:rsid w:val="00EA2F74"/>
    <w:rsid w:val="00EA369A"/>
    <w:rsid w:val="00EB0E05"/>
    <w:rsid w:val="00EB3AC3"/>
    <w:rsid w:val="00ED1588"/>
    <w:rsid w:val="00ED2D17"/>
    <w:rsid w:val="00ED57CE"/>
    <w:rsid w:val="00EE1861"/>
    <w:rsid w:val="00EE3F56"/>
    <w:rsid w:val="00EE4F8A"/>
    <w:rsid w:val="00EE5959"/>
    <w:rsid w:val="00EE5EA2"/>
    <w:rsid w:val="00EE62EB"/>
    <w:rsid w:val="00EE6C66"/>
    <w:rsid w:val="00EF42CA"/>
    <w:rsid w:val="00F01852"/>
    <w:rsid w:val="00F02000"/>
    <w:rsid w:val="00F02867"/>
    <w:rsid w:val="00F0361F"/>
    <w:rsid w:val="00F06501"/>
    <w:rsid w:val="00F07936"/>
    <w:rsid w:val="00F11CFD"/>
    <w:rsid w:val="00F13C3F"/>
    <w:rsid w:val="00F15FC5"/>
    <w:rsid w:val="00F1640E"/>
    <w:rsid w:val="00F27E8D"/>
    <w:rsid w:val="00F33E8C"/>
    <w:rsid w:val="00F35947"/>
    <w:rsid w:val="00F44539"/>
    <w:rsid w:val="00F55C8E"/>
    <w:rsid w:val="00F61856"/>
    <w:rsid w:val="00F62319"/>
    <w:rsid w:val="00F679A6"/>
    <w:rsid w:val="00F7461A"/>
    <w:rsid w:val="00F7710E"/>
    <w:rsid w:val="00F928DB"/>
    <w:rsid w:val="00FA129F"/>
    <w:rsid w:val="00FA359D"/>
    <w:rsid w:val="00FB0C6D"/>
    <w:rsid w:val="00FB4ED0"/>
    <w:rsid w:val="00FB6AB7"/>
    <w:rsid w:val="00FC1665"/>
    <w:rsid w:val="00FC4315"/>
    <w:rsid w:val="00FC6E80"/>
    <w:rsid w:val="00FD3F6A"/>
    <w:rsid w:val="00FD5E91"/>
    <w:rsid w:val="00FE1B89"/>
    <w:rsid w:val="00FE3A8F"/>
    <w:rsid w:val="00FE7AA3"/>
    <w:rsid w:val="00FE7CFE"/>
    <w:rsid w:val="00FF5420"/>
    <w:rsid w:val="00FF73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E2D01F8-879B-4A46-B789-C83CE1B2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B87"/>
    <w:pPr>
      <w:spacing w:line="360" w:lineRule="auto"/>
      <w:jc w:val="both"/>
    </w:pPr>
    <w:rPr>
      <w:rFonts w:ascii="Tahoma" w:eastAsia="Times New Roman" w:hAnsi="Tahoma"/>
      <w:sz w:val="26"/>
      <w:szCs w:val="26"/>
      <w:lang w:eastAsia="es-MX"/>
    </w:rPr>
  </w:style>
  <w:style w:type="paragraph" w:styleId="Ttulo1">
    <w:name w:val="heading 1"/>
    <w:basedOn w:val="Normal"/>
    <w:next w:val="Normal"/>
    <w:link w:val="Ttulo1Car"/>
    <w:qFormat/>
    <w:rsid w:val="000F1A7D"/>
    <w:pPr>
      <w:keepNext/>
      <w:spacing w:before="240" w:after="60"/>
      <w:outlineLvl w:val="0"/>
    </w:pPr>
    <w:rPr>
      <w:b/>
      <w:bCs/>
      <w:kern w:val="32"/>
      <w:sz w:val="24"/>
      <w:szCs w:val="32"/>
    </w:rPr>
  </w:style>
  <w:style w:type="paragraph" w:styleId="Ttulo6">
    <w:name w:val="heading 6"/>
    <w:basedOn w:val="Normal"/>
    <w:next w:val="Normal"/>
    <w:link w:val="Ttulo6Car"/>
    <w:qFormat/>
    <w:rsid w:val="00C379F4"/>
    <w:pPr>
      <w:spacing w:before="240" w:after="60"/>
      <w:outlineLvl w:val="5"/>
    </w:pPr>
    <w:rPr>
      <w:rFonts w:ascii="Calibri" w:eastAsia="Batang" w:hAnsi="Calibri"/>
      <w:b/>
      <w:bCs/>
      <w:sz w:val="22"/>
      <w:szCs w:val="22"/>
    </w:rPr>
  </w:style>
  <w:style w:type="paragraph" w:styleId="Ttulo9">
    <w:name w:val="heading 9"/>
    <w:basedOn w:val="Normal"/>
    <w:next w:val="Normal"/>
    <w:qFormat/>
    <w:rsid w:val="00B01B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autoRedefine/>
    <w:rsid w:val="00615612"/>
    <w:pPr>
      <w:tabs>
        <w:tab w:val="center" w:pos="4252"/>
        <w:tab w:val="right" w:pos="8504"/>
      </w:tabs>
      <w:overflowPunct w:val="0"/>
      <w:autoSpaceDE w:val="0"/>
      <w:autoSpaceDN w:val="0"/>
      <w:adjustRightInd w:val="0"/>
      <w:textAlignment w:val="baseline"/>
    </w:pPr>
    <w:rPr>
      <w:rFonts w:ascii="Courier New" w:eastAsia="Times New Roman" w:hAnsi="Courier New"/>
      <w:sz w:val="16"/>
    </w:rPr>
  </w:style>
  <w:style w:type="paragraph" w:styleId="Textonotapie">
    <w:name w:val="footnote text"/>
    <w:aliases w:val="Footnote Text Char Char Char Char Char,Footnote Text Char Char Char Char,Footnote reference,FA Fu,Footnote Text Char Char Char,Footnote Text Char Char Char Char Char Char Char Char,Footnote referenc,Texto nota pie Car,texto de nota al pie,C"/>
    <w:basedOn w:val="Normal"/>
    <w:link w:val="TextonotapieCar1"/>
    <w:autoRedefine/>
    <w:qFormat/>
    <w:rsid w:val="00015FB5"/>
    <w:pPr>
      <w:overflowPunct w:val="0"/>
      <w:autoSpaceDE w:val="0"/>
      <w:autoSpaceDN w:val="0"/>
      <w:adjustRightInd w:val="0"/>
      <w:spacing w:line="240" w:lineRule="auto"/>
      <w:textAlignment w:val="baseline"/>
    </w:pPr>
    <w:rPr>
      <w:rFonts w:cs="Tahoma"/>
      <w:sz w:val="20"/>
      <w:szCs w:val="20"/>
      <w:lang w:eastAsia="es-ES"/>
    </w:rPr>
  </w:style>
  <w:style w:type="paragraph" w:customStyle="1" w:styleId="Citajurisprudencial">
    <w:name w:val="Cita jurisprudencial"/>
    <w:autoRedefine/>
    <w:rsid w:val="00F15FC5"/>
    <w:pPr>
      <w:tabs>
        <w:tab w:val="left" w:pos="8460"/>
      </w:tabs>
      <w:spacing w:line="360" w:lineRule="auto"/>
      <w:ind w:left="709" w:right="709"/>
      <w:jc w:val="both"/>
    </w:pPr>
    <w:rPr>
      <w:rFonts w:ascii="Verdana" w:eastAsia="Times New Roman" w:hAnsi="Verdana"/>
      <w:szCs w:val="28"/>
    </w:rPr>
  </w:style>
  <w:style w:type="character" w:customStyle="1" w:styleId="Nombreprincipal">
    <w:name w:val="Nombre principal"/>
    <w:rsid w:val="00615612"/>
    <w:rPr>
      <w:rFonts w:ascii="Tahoma" w:hAnsi="Tahoma"/>
      <w:b/>
      <w:smallCaps/>
      <w:sz w:val="22"/>
    </w:rPr>
  </w:style>
  <w:style w:type="character" w:styleId="Refdenotaalpie">
    <w:name w:val="footnote reference"/>
    <w:aliases w:val="Texto de nota al pie,Footnotes refss,Appel note de bas de page,referencia nota al pie,Footnote number,BVI fnr,f,Ref,de nota al pie,Footnote symbol,Footnote,Ref. de nota al pie2,Nota de pie,Pie de pagina,Ref. ...,Ref1,FC,Pie de Página,F"/>
    <w:qFormat/>
    <w:rsid w:val="00214FDC"/>
    <w:rPr>
      <w:rFonts w:ascii="Verdana" w:hAnsi="Verdana"/>
      <w:sz w:val="20"/>
      <w:vertAlign w:val="superscript"/>
    </w:rPr>
  </w:style>
  <w:style w:type="character" w:customStyle="1" w:styleId="Algerian">
    <w:name w:val="Algerian"/>
    <w:rsid w:val="00C86B93"/>
    <w:rPr>
      <w:rFonts w:ascii="Algerian" w:hAnsi="Algerian"/>
      <w:sz w:val="30"/>
    </w:rPr>
  </w:style>
  <w:style w:type="paragraph" w:styleId="Encabezado">
    <w:name w:val="header"/>
    <w:basedOn w:val="Normal"/>
    <w:link w:val="EncabezadoCar"/>
    <w:rsid w:val="00B01B87"/>
    <w:pPr>
      <w:tabs>
        <w:tab w:val="center" w:pos="4252"/>
        <w:tab w:val="right" w:pos="8504"/>
      </w:tabs>
    </w:pPr>
    <w:rPr>
      <w:rFonts w:eastAsia="Batang"/>
    </w:rPr>
  </w:style>
  <w:style w:type="paragraph" w:styleId="Textoindependiente2">
    <w:name w:val="Body Text 2"/>
    <w:basedOn w:val="Normal"/>
    <w:semiHidden/>
    <w:rsid w:val="00B01B87"/>
    <w:pPr>
      <w:overflowPunct w:val="0"/>
      <w:autoSpaceDE w:val="0"/>
      <w:autoSpaceDN w:val="0"/>
      <w:adjustRightInd w:val="0"/>
    </w:pPr>
    <w:rPr>
      <w:rFonts w:ascii="Bookman Old Style" w:hAnsi="Bookman Old Style"/>
      <w:sz w:val="24"/>
      <w:lang w:val="es-CO"/>
    </w:rPr>
  </w:style>
  <w:style w:type="paragraph" w:customStyle="1" w:styleId="Tablaidentificadora">
    <w:name w:val="Tabla identificadora"/>
    <w:basedOn w:val="Normal"/>
    <w:uiPriority w:val="99"/>
    <w:rsid w:val="00B01B87"/>
    <w:pPr>
      <w:spacing w:line="240" w:lineRule="auto"/>
    </w:pPr>
    <w:rPr>
      <w:sz w:val="24"/>
    </w:rPr>
  </w:style>
  <w:style w:type="paragraph" w:styleId="Textoindependiente3">
    <w:name w:val="Body Text 3"/>
    <w:basedOn w:val="Normal"/>
    <w:link w:val="Textoindependiente3Car"/>
    <w:uiPriority w:val="99"/>
    <w:rsid w:val="00C379F4"/>
    <w:pPr>
      <w:spacing w:after="120"/>
    </w:pPr>
    <w:rPr>
      <w:sz w:val="16"/>
      <w:szCs w:val="16"/>
    </w:rPr>
  </w:style>
  <w:style w:type="character" w:customStyle="1" w:styleId="Ttulo6Car">
    <w:name w:val="Título 6 Car"/>
    <w:link w:val="Ttulo6"/>
    <w:rsid w:val="00C379F4"/>
    <w:rPr>
      <w:rFonts w:ascii="Calibri" w:hAnsi="Calibri"/>
      <w:b/>
      <w:bCs/>
      <w:sz w:val="22"/>
      <w:szCs w:val="22"/>
      <w:lang w:val="es-ES" w:eastAsia="es-MX" w:bidi="ar-SA"/>
    </w:rPr>
  </w:style>
  <w:style w:type="character" w:customStyle="1" w:styleId="EncabezadoCar">
    <w:name w:val="Encabezado Car"/>
    <w:link w:val="Encabezado"/>
    <w:rsid w:val="00C379F4"/>
    <w:rPr>
      <w:rFonts w:ascii="Tahoma" w:hAnsi="Tahoma"/>
      <w:sz w:val="26"/>
      <w:szCs w:val="26"/>
      <w:lang w:val="es-ES" w:eastAsia="es-MX" w:bidi="ar-SA"/>
    </w:rPr>
  </w:style>
  <w:style w:type="character" w:customStyle="1" w:styleId="Numeracinttulo">
    <w:name w:val="Numeración título"/>
    <w:rsid w:val="00A5338A"/>
    <w:rPr>
      <w:rFonts w:ascii="Tahoma" w:hAnsi="Tahoma"/>
      <w:b/>
      <w:sz w:val="24"/>
    </w:rPr>
  </w:style>
  <w:style w:type="paragraph" w:customStyle="1" w:styleId="AlgerianTtulo">
    <w:name w:val="Algerian Título"/>
    <w:next w:val="Normal"/>
    <w:link w:val="AlgerianTtuloCar"/>
    <w:rsid w:val="0089624D"/>
    <w:pPr>
      <w:tabs>
        <w:tab w:val="left" w:pos="1202"/>
      </w:tabs>
      <w:spacing w:line="360" w:lineRule="auto"/>
      <w:jc w:val="both"/>
    </w:pPr>
    <w:rPr>
      <w:rFonts w:ascii="Algerian" w:eastAsia="Tahoma" w:hAnsi="Algerian" w:cs="Tahoma"/>
      <w:sz w:val="30"/>
      <w:szCs w:val="26"/>
    </w:rPr>
  </w:style>
  <w:style w:type="character" w:customStyle="1" w:styleId="AlgerianTtuloCar">
    <w:name w:val="Algerian Título Car"/>
    <w:link w:val="AlgerianTtulo"/>
    <w:rsid w:val="0089624D"/>
    <w:rPr>
      <w:rFonts w:ascii="Algerian" w:eastAsia="Tahoma" w:hAnsi="Algerian" w:cs="Tahoma"/>
      <w:sz w:val="30"/>
      <w:szCs w:val="26"/>
      <w:lang w:val="es-ES" w:eastAsia="es-ES" w:bidi="ar-SA"/>
    </w:rPr>
  </w:style>
  <w:style w:type="character" w:customStyle="1" w:styleId="Ttulo1Car">
    <w:name w:val="Título 1 Car"/>
    <w:link w:val="Ttulo1"/>
    <w:rsid w:val="00197D9B"/>
    <w:rPr>
      <w:rFonts w:ascii="Tahoma" w:eastAsia="Times New Roman" w:hAnsi="Tahoma" w:cs="Arial"/>
      <w:b/>
      <w:bCs/>
      <w:kern w:val="32"/>
      <w:sz w:val="24"/>
      <w:szCs w:val="32"/>
      <w:lang w:val="es-ES" w:eastAsia="es-MX"/>
    </w:rPr>
  </w:style>
  <w:style w:type="character" w:customStyle="1" w:styleId="Textoindependiente3Car">
    <w:name w:val="Texto independiente 3 Car"/>
    <w:link w:val="Textoindependiente3"/>
    <w:uiPriority w:val="99"/>
    <w:rsid w:val="00B25DDF"/>
    <w:rPr>
      <w:rFonts w:ascii="Tahoma" w:eastAsia="Times New Roman" w:hAnsi="Tahoma"/>
      <w:sz w:val="16"/>
      <w:szCs w:val="16"/>
      <w:lang w:val="es-ES" w:eastAsia="es-MX"/>
    </w:rPr>
  </w:style>
  <w:style w:type="character" w:customStyle="1" w:styleId="TextonotapieCar1">
    <w:name w:val="Texto nota pie Car1"/>
    <w:aliases w:val="Footnote Text Char Char Char Char Char Car,Footnote Text Char Char Char Char Car,Footnote reference Car,FA Fu Car,Footnote Text Char Char Char Car,Footnote Text Char Char Char Char Char Char Char Char Car,Footnote referenc Car,ft Car"/>
    <w:link w:val="Textonotapie"/>
    <w:locked/>
    <w:rsid w:val="00015FB5"/>
    <w:rPr>
      <w:rFonts w:ascii="Tahoma" w:eastAsia="Times New Roman" w:hAnsi="Tahoma" w:cs="Tahoma"/>
      <w:lang w:val="es-ES" w:eastAsia="es-ES"/>
    </w:rPr>
  </w:style>
  <w:style w:type="character" w:customStyle="1" w:styleId="SinespaciadoCar">
    <w:name w:val="Sin espaciado Car"/>
    <w:link w:val="Sinespaciado"/>
    <w:uiPriority w:val="1"/>
    <w:locked/>
    <w:rsid w:val="00FE1B89"/>
    <w:rPr>
      <w:rFonts w:eastAsia="Times New Roman" w:cs="Calibri"/>
      <w:sz w:val="22"/>
      <w:szCs w:val="22"/>
      <w:lang w:eastAsia="en-US"/>
    </w:rPr>
  </w:style>
  <w:style w:type="paragraph" w:styleId="Sinespaciado">
    <w:name w:val="No Spacing"/>
    <w:link w:val="SinespaciadoCar"/>
    <w:uiPriority w:val="1"/>
    <w:qFormat/>
    <w:rsid w:val="00FE1B89"/>
    <w:rPr>
      <w:rFonts w:eastAsia="Times New Roman" w:cs="Calibri"/>
      <w:sz w:val="22"/>
      <w:szCs w:val="22"/>
      <w:lang w:val="es-CO" w:eastAsia="en-US"/>
    </w:rPr>
  </w:style>
  <w:style w:type="paragraph" w:styleId="Textodeglobo">
    <w:name w:val="Balloon Text"/>
    <w:basedOn w:val="Normal"/>
    <w:link w:val="TextodegloboCar"/>
    <w:rsid w:val="00393436"/>
    <w:pPr>
      <w:spacing w:line="240" w:lineRule="auto"/>
    </w:pPr>
    <w:rPr>
      <w:rFonts w:ascii="Segoe UI" w:hAnsi="Segoe UI" w:cs="Segoe UI"/>
      <w:sz w:val="18"/>
      <w:szCs w:val="18"/>
    </w:rPr>
  </w:style>
  <w:style w:type="character" w:customStyle="1" w:styleId="TextodegloboCar">
    <w:name w:val="Texto de globo Car"/>
    <w:link w:val="Textodeglobo"/>
    <w:rsid w:val="00393436"/>
    <w:rPr>
      <w:rFonts w:ascii="Segoe UI" w:eastAsia="Times New Roman" w:hAnsi="Segoe UI" w:cs="Segoe UI"/>
      <w:sz w:val="18"/>
      <w:szCs w:val="18"/>
      <w:lang w:val="es-ES" w:eastAsia="es-MX"/>
    </w:rPr>
  </w:style>
  <w:style w:type="paragraph" w:styleId="NormalWeb">
    <w:name w:val="Normal (Web)"/>
    <w:basedOn w:val="Normal"/>
    <w:uiPriority w:val="99"/>
    <w:unhideWhenUsed/>
    <w:rsid w:val="00DF6193"/>
    <w:pPr>
      <w:spacing w:before="100" w:beforeAutospacing="1" w:after="100" w:afterAutospacing="1" w:line="240" w:lineRule="auto"/>
      <w:jc w:val="left"/>
    </w:pPr>
    <w:rPr>
      <w:rFonts w:ascii="Times New Roman" w:hAnsi="Times New Roman"/>
      <w:sz w:val="24"/>
      <w:szCs w:val="24"/>
      <w:lang w:val="es-CO" w:eastAsia="es-CO"/>
    </w:rPr>
  </w:style>
  <w:style w:type="paragraph" w:customStyle="1" w:styleId="Default">
    <w:name w:val="Default"/>
    <w:rsid w:val="00DF6193"/>
    <w:pPr>
      <w:autoSpaceDE w:val="0"/>
      <w:autoSpaceDN w:val="0"/>
      <w:adjustRightInd w:val="0"/>
    </w:pPr>
    <w:rPr>
      <w:rFonts w:eastAsia="Times New Roman"/>
      <w:color w:val="00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34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1C9A4-C106-4834-BC8C-C6978C7FA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3290</Words>
  <Characters>18098</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21346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Usuario</dc:creator>
  <cp:keywords/>
  <cp:lastModifiedBy>Henry Lora Rodriguez</cp:lastModifiedBy>
  <cp:revision>2</cp:revision>
  <cp:lastPrinted>2016-10-14T15:28:00Z</cp:lastPrinted>
  <dcterms:created xsi:type="dcterms:W3CDTF">2018-02-15T14:47:00Z</dcterms:created>
  <dcterms:modified xsi:type="dcterms:W3CDTF">2018-02-15T14:47:00Z</dcterms:modified>
</cp:coreProperties>
</file>