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A6232"/>
  <w:body>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Textoindependiente"/>
        <w:spacing w:line="312" w:lineRule="auto"/>
        <w:jc w:val="center"/>
        <w:rPr>
          <w:rFonts w:ascii="Verdana" w:hAnsi="Verdana" w:cs="Arial"/>
          <w:b/>
          <w:i/>
          <w:sz w:val="26"/>
          <w:szCs w:val="26"/>
        </w:rPr>
      </w:pPr>
      <w:r>
        <w:rPr>
          <w:rFonts w:ascii="Verdana" w:hAnsi="Verdana" w:cs="Arial"/>
          <w:b/>
          <w:noProof/>
          <w:sz w:val="26"/>
          <w:szCs w:val="26"/>
          <w:lang w:val="es-ES"/>
        </w:rPr>
        <w:drawing>
          <wp:inline distT="0" distB="0" distL="0" distR="0">
            <wp:extent cx="78105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Textoindependien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86319F">
      <w:pPr>
        <w:suppressAutoHyphens/>
        <w:spacing w:line="720" w:lineRule="auto"/>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3113D9" w:rsidRPr="00F70EE0" w:rsidRDefault="003113D9"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D00A62">
        <w:rPr>
          <w:rFonts w:ascii="Verdana" w:hAnsi="Verdana" w:cs="Arial"/>
          <w:sz w:val="26"/>
          <w:szCs w:val="26"/>
        </w:rPr>
        <w:t xml:space="preserve"> </w:t>
      </w:r>
      <w:r w:rsidR="00E916FC">
        <w:rPr>
          <w:rFonts w:ascii="Verdana" w:hAnsi="Verdana" w:cs="Arial"/>
          <w:sz w:val="26"/>
          <w:szCs w:val="26"/>
        </w:rPr>
        <w:t xml:space="preserve"> </w:t>
      </w:r>
      <w:r w:rsidR="00327C77">
        <w:rPr>
          <w:rFonts w:ascii="Verdana" w:hAnsi="Verdana" w:cs="Arial"/>
          <w:sz w:val="26"/>
          <w:szCs w:val="26"/>
        </w:rPr>
        <w:t xml:space="preserve">veintisiete </w:t>
      </w:r>
      <w:r w:rsidR="00106137">
        <w:rPr>
          <w:rFonts w:ascii="Verdana" w:hAnsi="Verdana" w:cs="Arial"/>
          <w:sz w:val="26"/>
          <w:szCs w:val="26"/>
        </w:rPr>
        <w:t xml:space="preserve">de </w:t>
      </w:r>
      <w:r w:rsidR="00BE21E8">
        <w:rPr>
          <w:rFonts w:ascii="Verdana" w:hAnsi="Verdana" w:cs="Arial"/>
          <w:sz w:val="26"/>
          <w:szCs w:val="26"/>
        </w:rPr>
        <w:t>junio</w:t>
      </w:r>
      <w:r w:rsidR="00680DC7">
        <w:rPr>
          <w:rFonts w:ascii="Verdana" w:hAnsi="Verdana" w:cs="Arial"/>
          <w:sz w:val="26"/>
          <w:szCs w:val="26"/>
        </w:rPr>
        <w:t xml:space="preserve"> de dos mil dieciséis (2016</w:t>
      </w:r>
      <w:r w:rsidR="00D00A62">
        <w:rPr>
          <w:rFonts w:ascii="Verdana" w:hAnsi="Verdana" w:cs="Arial"/>
          <w:sz w:val="26"/>
          <w:szCs w:val="26"/>
        </w:rPr>
        <w:t>)</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D00A62">
        <w:rPr>
          <w:rFonts w:ascii="Verdana" w:hAnsi="Verdana" w:cs="Arial"/>
          <w:sz w:val="26"/>
          <w:szCs w:val="26"/>
        </w:rPr>
        <w:t xml:space="preserve"> </w:t>
      </w:r>
      <w:r w:rsidR="00327C77">
        <w:rPr>
          <w:rFonts w:ascii="Verdana" w:hAnsi="Verdana" w:cs="Arial"/>
          <w:sz w:val="26"/>
          <w:szCs w:val="26"/>
        </w:rPr>
        <w:t>10:55 a.m.</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D00A62">
        <w:rPr>
          <w:rFonts w:ascii="Verdana" w:hAnsi="Verdana" w:cs="Arial"/>
          <w:sz w:val="26"/>
          <w:szCs w:val="26"/>
        </w:rPr>
        <w:t xml:space="preserve"> </w:t>
      </w:r>
      <w:r w:rsidR="00327C77">
        <w:rPr>
          <w:rFonts w:ascii="Verdana" w:hAnsi="Verdana" w:cs="Arial"/>
          <w:sz w:val="26"/>
          <w:szCs w:val="26"/>
        </w:rPr>
        <w:t>567</w:t>
      </w:r>
    </w:p>
    <w:p w:rsidR="0086319F" w:rsidRDefault="0086319F" w:rsidP="0086319F">
      <w:pPr>
        <w:widowControl w:val="0"/>
        <w:autoSpaceDE w:val="0"/>
        <w:autoSpaceDN w:val="0"/>
        <w:adjustRightInd w:val="0"/>
        <w:spacing w:line="312" w:lineRule="auto"/>
        <w:jc w:val="both"/>
        <w:rPr>
          <w:rFonts w:ascii="Verdana" w:hAnsi="Verdana" w:cs="Arial"/>
          <w:bCs/>
          <w:sz w:val="26"/>
          <w:szCs w:val="26"/>
        </w:rPr>
      </w:pPr>
    </w:p>
    <w:p w:rsidR="006224A6" w:rsidRPr="00F70EE0" w:rsidRDefault="006224A6"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t>66</w:t>
      </w:r>
      <w:r w:rsidR="00743D65">
        <w:rPr>
          <w:rFonts w:ascii="Verdana" w:hAnsi="Verdana" w:cs="Arial"/>
          <w:bCs/>
          <w:i/>
          <w:sz w:val="22"/>
          <w:szCs w:val="22"/>
        </w:rPr>
        <w:t>001-31-87</w:t>
      </w:r>
      <w:r w:rsidRPr="00F70EE0">
        <w:rPr>
          <w:rFonts w:ascii="Verdana" w:hAnsi="Verdana" w:cs="Arial"/>
          <w:bCs/>
          <w:i/>
          <w:sz w:val="22"/>
          <w:szCs w:val="22"/>
        </w:rPr>
        <w:t>-00</w:t>
      </w:r>
      <w:r w:rsidR="00743D65">
        <w:rPr>
          <w:rFonts w:ascii="Verdana" w:hAnsi="Verdana" w:cs="Arial"/>
          <w:bCs/>
          <w:i/>
          <w:sz w:val="22"/>
          <w:szCs w:val="22"/>
        </w:rPr>
        <w:t>2</w:t>
      </w:r>
      <w:r w:rsidRPr="00F70EE0">
        <w:rPr>
          <w:rFonts w:ascii="Verdana" w:hAnsi="Verdana" w:cs="Arial"/>
          <w:bCs/>
          <w:i/>
          <w:sz w:val="22"/>
          <w:szCs w:val="22"/>
        </w:rPr>
        <w:t>-20</w:t>
      </w:r>
      <w:r w:rsidR="00743D65">
        <w:rPr>
          <w:rFonts w:ascii="Verdana" w:hAnsi="Verdana" w:cs="Arial"/>
          <w:bCs/>
          <w:i/>
          <w:sz w:val="22"/>
          <w:szCs w:val="22"/>
        </w:rPr>
        <w:t>10</w:t>
      </w:r>
      <w:r w:rsidRPr="00F70EE0">
        <w:rPr>
          <w:rFonts w:ascii="Verdana" w:hAnsi="Verdana" w:cs="Arial"/>
          <w:bCs/>
          <w:i/>
          <w:sz w:val="22"/>
          <w:szCs w:val="22"/>
        </w:rPr>
        <w:t>-</w:t>
      </w:r>
      <w:r w:rsidR="00743D65">
        <w:rPr>
          <w:rFonts w:ascii="Verdana" w:hAnsi="Verdana" w:cs="Arial"/>
          <w:bCs/>
          <w:i/>
          <w:sz w:val="22"/>
          <w:szCs w:val="22"/>
        </w:rPr>
        <w:t>00841</w:t>
      </w:r>
      <w:r w:rsidR="00680DC7">
        <w:rPr>
          <w:rFonts w:ascii="Verdana" w:hAnsi="Verdana" w:cs="Arial"/>
          <w:bCs/>
          <w:i/>
          <w:sz w:val="22"/>
          <w:szCs w:val="22"/>
        </w:rPr>
        <w:t>-01</w:t>
      </w:r>
    </w:p>
    <w:p w:rsidR="00E45C91" w:rsidRPr="00F70EE0" w:rsidRDefault="00F70EE0" w:rsidP="00E81295">
      <w:pPr>
        <w:widowControl w:val="0"/>
        <w:autoSpaceDE w:val="0"/>
        <w:autoSpaceDN w:val="0"/>
        <w:adjustRightInd w:val="0"/>
        <w:ind w:left="1092" w:right="51" w:firstLine="42"/>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743D65">
        <w:rPr>
          <w:rFonts w:ascii="Verdana" w:hAnsi="Verdana" w:cs="Arial"/>
          <w:bCs/>
          <w:i/>
          <w:sz w:val="22"/>
          <w:szCs w:val="22"/>
        </w:rPr>
        <w:t xml:space="preserve">Alba Lucía González Salazar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r w:rsidR="00286107">
        <w:rPr>
          <w:rFonts w:ascii="Verdana" w:hAnsi="Verdana" w:cs="Arial"/>
          <w:bCs/>
          <w:i/>
          <w:sz w:val="22"/>
          <w:szCs w:val="22"/>
        </w:rPr>
        <w:t>Nueva EPS</w:t>
      </w:r>
      <w:r w:rsidRPr="00F70EE0">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743D65">
        <w:rPr>
          <w:rFonts w:ascii="Verdana" w:hAnsi="Verdana" w:cs="Arial"/>
          <w:bCs/>
          <w:i/>
          <w:sz w:val="22"/>
          <w:szCs w:val="22"/>
        </w:rPr>
        <w:t>Segundo EJECUPENAS</w:t>
      </w:r>
      <w:r w:rsidRPr="00F70EE0">
        <w:rPr>
          <w:rFonts w:ascii="Verdana" w:hAnsi="Verdana" w:cs="Arial"/>
          <w:bCs/>
          <w:i/>
          <w:sz w:val="22"/>
          <w:szCs w:val="22"/>
        </w:rPr>
        <w:t xml:space="preserve">                               </w:t>
      </w:r>
    </w:p>
    <w:p w:rsidR="00DC0E9E" w:rsidRDefault="003113D9"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6224A6" w:rsidRPr="0086319F" w:rsidRDefault="006224A6" w:rsidP="0086319F">
      <w:pPr>
        <w:widowControl w:val="0"/>
        <w:tabs>
          <w:tab w:val="left" w:pos="2805"/>
        </w:tabs>
        <w:autoSpaceDE w:val="0"/>
        <w:autoSpaceDN w:val="0"/>
        <w:adjustRightInd w:val="0"/>
        <w:spacing w:line="312" w:lineRule="auto"/>
        <w:ind w:right="51"/>
        <w:jc w:val="both"/>
        <w:rPr>
          <w:rFonts w:ascii="Verdana" w:hAnsi="Verdana" w:cs="Arial"/>
          <w:bCs/>
          <w:i/>
          <w:sz w:val="26"/>
          <w:szCs w:val="26"/>
        </w:rPr>
      </w:pPr>
    </w:p>
    <w:p w:rsidR="003113D9" w:rsidRPr="00F70EE0" w:rsidRDefault="003113D9" w:rsidP="00E42AA4">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E42AA4">
      <w:pPr>
        <w:pStyle w:val="Textoindependiente"/>
        <w:jc w:val="both"/>
        <w:rPr>
          <w:rFonts w:ascii="Verdana" w:hAnsi="Verdana" w:cs="Arial"/>
          <w:sz w:val="26"/>
          <w:szCs w:val="26"/>
        </w:rPr>
      </w:pPr>
    </w:p>
    <w:p w:rsidR="003113D9" w:rsidRPr="00F70EE0"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743D65">
        <w:rPr>
          <w:rFonts w:ascii="Verdana" w:hAnsi="Verdana" w:cs="Arial"/>
          <w:sz w:val="26"/>
          <w:szCs w:val="26"/>
        </w:rPr>
        <w:t>7</w:t>
      </w:r>
      <w:r w:rsidR="00680DC7">
        <w:rPr>
          <w:rFonts w:ascii="Verdana" w:hAnsi="Verdana" w:cs="Arial"/>
          <w:sz w:val="26"/>
          <w:szCs w:val="26"/>
        </w:rPr>
        <w:t xml:space="preserve"> de </w:t>
      </w:r>
      <w:r w:rsidR="00743D65">
        <w:rPr>
          <w:rFonts w:ascii="Verdana" w:hAnsi="Verdana" w:cs="Arial"/>
          <w:sz w:val="26"/>
          <w:szCs w:val="26"/>
        </w:rPr>
        <w:t>jul</w:t>
      </w:r>
      <w:r w:rsidR="00E916FC">
        <w:rPr>
          <w:rFonts w:ascii="Verdana" w:hAnsi="Verdana" w:cs="Arial"/>
          <w:sz w:val="26"/>
          <w:szCs w:val="26"/>
        </w:rPr>
        <w:t>io</w:t>
      </w:r>
      <w:r w:rsidR="00680DC7">
        <w:rPr>
          <w:rFonts w:ascii="Verdana" w:hAnsi="Verdana" w:cs="Arial"/>
          <w:sz w:val="26"/>
          <w:szCs w:val="26"/>
        </w:rPr>
        <w:t xml:space="preserve"> de 2015 </w:t>
      </w:r>
      <w:r w:rsidRPr="00F70EE0">
        <w:rPr>
          <w:rFonts w:ascii="Verdana" w:hAnsi="Verdana" w:cs="Arial"/>
          <w:sz w:val="26"/>
          <w:szCs w:val="26"/>
        </w:rPr>
        <w:t xml:space="preserve">por el Juzgado </w:t>
      </w:r>
      <w:r w:rsidR="00743D65">
        <w:rPr>
          <w:rFonts w:ascii="Verdana" w:hAnsi="Verdana" w:cs="Arial"/>
          <w:sz w:val="26"/>
          <w:szCs w:val="26"/>
        </w:rPr>
        <w:t>Segundo de Ejecución de Penas y Medidas de Seguridad local</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por la</w:t>
      </w:r>
      <w:r w:rsidR="00680DC7">
        <w:rPr>
          <w:rFonts w:ascii="Verdana" w:hAnsi="Verdana" w:cs="Arial"/>
          <w:sz w:val="26"/>
          <w:szCs w:val="26"/>
        </w:rPr>
        <w:t xml:space="preserve"> señor</w:t>
      </w:r>
      <w:r w:rsidR="00E916FC">
        <w:rPr>
          <w:rFonts w:ascii="Verdana" w:hAnsi="Verdana" w:cs="Arial"/>
          <w:sz w:val="26"/>
          <w:szCs w:val="26"/>
        </w:rPr>
        <w:t>a</w:t>
      </w:r>
      <w:r w:rsidRPr="00F70EE0">
        <w:rPr>
          <w:rFonts w:ascii="Verdana" w:hAnsi="Verdana" w:cs="Arial"/>
          <w:sz w:val="26"/>
          <w:szCs w:val="26"/>
        </w:rPr>
        <w:t xml:space="preserve"> </w:t>
      </w:r>
      <w:r w:rsidR="00743D65">
        <w:rPr>
          <w:rFonts w:ascii="Verdana" w:hAnsi="Verdana" w:cs="Arial"/>
          <w:b/>
          <w:sz w:val="26"/>
          <w:szCs w:val="26"/>
        </w:rPr>
        <w:t>ALBA LUCÍA GONZÁLEZ SALAZAR</w:t>
      </w:r>
      <w:r w:rsidR="00286107">
        <w:rPr>
          <w:rFonts w:ascii="Verdana" w:hAnsi="Verdana" w:cs="Arial"/>
          <w:b/>
          <w:sz w:val="26"/>
          <w:szCs w:val="26"/>
        </w:rPr>
        <w:t xml:space="preserve"> </w:t>
      </w:r>
      <w:r w:rsidR="00286107">
        <w:rPr>
          <w:rFonts w:ascii="Verdana" w:hAnsi="Verdana" w:cs="Arial"/>
          <w:sz w:val="26"/>
          <w:szCs w:val="26"/>
        </w:rPr>
        <w:t xml:space="preserve">contra </w:t>
      </w:r>
      <w:r w:rsidR="00286107" w:rsidRPr="00286107">
        <w:rPr>
          <w:rFonts w:ascii="Verdana" w:hAnsi="Verdana" w:cs="Arial"/>
          <w:b/>
          <w:sz w:val="26"/>
          <w:szCs w:val="26"/>
        </w:rPr>
        <w:t>LA NUEVA EPS</w:t>
      </w:r>
      <w:r w:rsidR="004A26F5">
        <w:rPr>
          <w:rFonts w:ascii="Verdana" w:hAnsi="Verdana" w:cs="Arial"/>
          <w:sz w:val="26"/>
          <w:szCs w:val="26"/>
        </w:rPr>
        <w:t>.</w:t>
      </w:r>
    </w:p>
    <w:p w:rsidR="00DC0E9E" w:rsidRPr="00F70EE0" w:rsidRDefault="00DC0E9E" w:rsidP="006224A6">
      <w:pPr>
        <w:pStyle w:val="Textoindependiente"/>
        <w:spacing w:line="360" w:lineRule="auto"/>
        <w:rPr>
          <w:rFonts w:ascii="Verdana" w:hAnsi="Verdana" w:cs="Arial"/>
          <w:b/>
          <w:sz w:val="26"/>
          <w:szCs w:val="26"/>
        </w:rPr>
      </w:pPr>
    </w:p>
    <w:p w:rsidR="003113D9" w:rsidRPr="00F70EE0" w:rsidRDefault="003113D9" w:rsidP="00E42AA4">
      <w:pPr>
        <w:pStyle w:val="Textoindependiente"/>
        <w:jc w:val="center"/>
        <w:rPr>
          <w:rFonts w:ascii="Verdana" w:hAnsi="Verdana" w:cs="Arial"/>
          <w:b/>
          <w:sz w:val="26"/>
          <w:szCs w:val="26"/>
        </w:rPr>
      </w:pPr>
      <w:r w:rsidRPr="00F70EE0">
        <w:rPr>
          <w:rFonts w:ascii="Verdana" w:hAnsi="Verdana" w:cs="Arial"/>
          <w:b/>
          <w:sz w:val="26"/>
          <w:szCs w:val="26"/>
        </w:rPr>
        <w:t xml:space="preserve">ANTECEDENTES </w:t>
      </w:r>
    </w:p>
    <w:p w:rsidR="003113D9" w:rsidRPr="00F70EE0" w:rsidRDefault="003113D9" w:rsidP="002F32D3">
      <w:pPr>
        <w:pStyle w:val="Textoindependiente"/>
        <w:spacing w:line="312" w:lineRule="auto"/>
        <w:jc w:val="both"/>
        <w:rPr>
          <w:rFonts w:ascii="Verdana" w:hAnsi="Verdana" w:cs="Arial"/>
          <w:sz w:val="26"/>
          <w:szCs w:val="26"/>
        </w:rPr>
      </w:pPr>
    </w:p>
    <w:p w:rsidR="003113D9" w:rsidRPr="00F70EE0" w:rsidRDefault="008C7B75" w:rsidP="006D6F17">
      <w:pPr>
        <w:pStyle w:val="Textoindependiente"/>
        <w:spacing w:line="312" w:lineRule="auto"/>
        <w:jc w:val="both"/>
        <w:rPr>
          <w:rFonts w:ascii="Verdana" w:hAnsi="Verdana" w:cs="Arial"/>
          <w:sz w:val="26"/>
          <w:szCs w:val="26"/>
        </w:rPr>
      </w:pPr>
      <w:r>
        <w:rPr>
          <w:rFonts w:ascii="Verdana" w:hAnsi="Verdana" w:cs="Arial"/>
          <w:sz w:val="26"/>
          <w:szCs w:val="26"/>
        </w:rPr>
        <w:t xml:space="preserve">La señora </w:t>
      </w:r>
      <w:r w:rsidR="00743D65">
        <w:rPr>
          <w:rFonts w:ascii="Verdana" w:hAnsi="Verdana" w:cs="Arial"/>
          <w:sz w:val="26"/>
          <w:szCs w:val="26"/>
        </w:rPr>
        <w:t>González</w:t>
      </w:r>
      <w:r w:rsidR="00DD0D02">
        <w:rPr>
          <w:rFonts w:ascii="Verdana" w:hAnsi="Verdana" w:cs="Arial"/>
          <w:sz w:val="26"/>
          <w:szCs w:val="26"/>
        </w:rPr>
        <w:t xml:space="preserve"> actuando a nombre propio interpuso acción de tutela en contra de la Nueva EPS en busca de protección para su derecho fundamental a la salud toda vez que </w:t>
      </w:r>
      <w:r w:rsidR="006D6F17">
        <w:rPr>
          <w:rFonts w:ascii="Verdana" w:hAnsi="Verdana" w:cs="Arial"/>
          <w:sz w:val="26"/>
          <w:szCs w:val="26"/>
        </w:rPr>
        <w:t xml:space="preserve">padece de tiroides y la EPS no le brindaba la atención médica que requería de manera adecuada y oportuna. </w:t>
      </w:r>
    </w:p>
    <w:p w:rsidR="00D369A3" w:rsidRDefault="003113D9"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lastRenderedPageBreak/>
        <w:t xml:space="preserve">Mediante fallo del </w:t>
      </w:r>
      <w:r w:rsidR="006D6F17">
        <w:rPr>
          <w:rFonts w:ascii="Verdana" w:hAnsi="Verdana" w:cs="Arial"/>
          <w:sz w:val="26"/>
          <w:szCs w:val="26"/>
        </w:rPr>
        <w:t>22</w:t>
      </w:r>
      <w:r w:rsidR="006D6D1C">
        <w:rPr>
          <w:rFonts w:ascii="Verdana" w:hAnsi="Verdana" w:cs="Arial"/>
          <w:sz w:val="26"/>
          <w:szCs w:val="26"/>
        </w:rPr>
        <w:t xml:space="preserve"> de </w:t>
      </w:r>
      <w:r w:rsidR="006D6F17">
        <w:rPr>
          <w:rFonts w:ascii="Verdana" w:hAnsi="Verdana" w:cs="Arial"/>
          <w:sz w:val="26"/>
          <w:szCs w:val="26"/>
        </w:rPr>
        <w:t>diciembre del 2010</w:t>
      </w:r>
      <w:r w:rsidRPr="00F70EE0">
        <w:rPr>
          <w:rFonts w:ascii="Verdana" w:hAnsi="Verdana" w:cs="Arial"/>
          <w:sz w:val="26"/>
          <w:szCs w:val="26"/>
        </w:rPr>
        <w:t xml:space="preserve">, el </w:t>
      </w:r>
      <w:r w:rsidR="006D6F17">
        <w:rPr>
          <w:rFonts w:ascii="Verdana" w:hAnsi="Verdana" w:cs="Arial"/>
          <w:sz w:val="26"/>
          <w:szCs w:val="26"/>
        </w:rPr>
        <w:t>Juzgado Segundo de Ejecución de Penas y Medidas de Seguridad local</w:t>
      </w:r>
      <w:r w:rsidR="004278A9">
        <w:rPr>
          <w:rFonts w:ascii="Verdana" w:hAnsi="Verdana" w:cs="Arial"/>
          <w:sz w:val="26"/>
          <w:szCs w:val="26"/>
        </w:rPr>
        <w:t xml:space="preserve"> tuteló los</w:t>
      </w:r>
      <w:r w:rsidRPr="00F70EE0">
        <w:rPr>
          <w:rFonts w:ascii="Verdana" w:hAnsi="Verdana" w:cs="Arial"/>
          <w:sz w:val="26"/>
          <w:szCs w:val="26"/>
        </w:rPr>
        <w:t xml:space="preserve"> derecho</w:t>
      </w:r>
      <w:r w:rsidR="004278A9">
        <w:rPr>
          <w:rFonts w:ascii="Verdana" w:hAnsi="Verdana" w:cs="Arial"/>
          <w:sz w:val="26"/>
          <w:szCs w:val="26"/>
        </w:rPr>
        <w:t>s fundamentales</w:t>
      </w:r>
      <w:r w:rsidRPr="00F70EE0">
        <w:rPr>
          <w:rFonts w:ascii="Verdana" w:hAnsi="Verdana" w:cs="Arial"/>
          <w:sz w:val="26"/>
          <w:szCs w:val="26"/>
        </w:rPr>
        <w:t xml:space="preserve"> </w:t>
      </w:r>
      <w:r w:rsidR="00E964F5">
        <w:rPr>
          <w:rFonts w:ascii="Verdana" w:hAnsi="Verdana" w:cs="Arial"/>
          <w:sz w:val="26"/>
          <w:szCs w:val="26"/>
        </w:rPr>
        <w:t xml:space="preserve">reclamados por </w:t>
      </w:r>
      <w:r w:rsidR="006D6D1C">
        <w:rPr>
          <w:rFonts w:ascii="Verdana" w:hAnsi="Verdana" w:cs="Arial"/>
          <w:sz w:val="26"/>
          <w:szCs w:val="26"/>
        </w:rPr>
        <w:t>la señora</w:t>
      </w:r>
      <w:r w:rsidR="00E964F5">
        <w:rPr>
          <w:rFonts w:ascii="Verdana" w:hAnsi="Verdana" w:cs="Arial"/>
          <w:sz w:val="26"/>
          <w:szCs w:val="26"/>
        </w:rPr>
        <w:t xml:space="preserve"> </w:t>
      </w:r>
      <w:r w:rsidR="006D6F17">
        <w:rPr>
          <w:rFonts w:ascii="Verdana" w:hAnsi="Verdana" w:cs="Arial"/>
          <w:sz w:val="26"/>
          <w:szCs w:val="26"/>
        </w:rPr>
        <w:t>Alba Lucía</w:t>
      </w:r>
      <w:r w:rsidR="001A633A">
        <w:rPr>
          <w:rFonts w:ascii="Verdana" w:hAnsi="Verdana" w:cs="Arial"/>
          <w:sz w:val="26"/>
          <w:szCs w:val="26"/>
        </w:rPr>
        <w:t>,</w:t>
      </w:r>
      <w:r w:rsidR="00E964F5">
        <w:rPr>
          <w:rFonts w:ascii="Verdana" w:hAnsi="Verdana" w:cs="Arial"/>
          <w:sz w:val="26"/>
          <w:szCs w:val="26"/>
        </w:rPr>
        <w:t xml:space="preserve"> y</w:t>
      </w:r>
      <w:r w:rsidR="001A633A">
        <w:rPr>
          <w:rFonts w:ascii="Verdana" w:hAnsi="Verdana" w:cs="Arial"/>
          <w:sz w:val="26"/>
          <w:szCs w:val="26"/>
        </w:rPr>
        <w:t xml:space="preserve"> de esa manera le </w:t>
      </w:r>
      <w:r w:rsidRPr="00F70EE0">
        <w:rPr>
          <w:rFonts w:ascii="Verdana" w:hAnsi="Verdana" w:cs="Arial"/>
          <w:sz w:val="26"/>
          <w:szCs w:val="26"/>
        </w:rPr>
        <w:t xml:space="preserve">ordenó </w:t>
      </w:r>
      <w:r w:rsidR="00D43FE3">
        <w:rPr>
          <w:rFonts w:ascii="Verdana" w:hAnsi="Verdana" w:cs="Arial"/>
          <w:sz w:val="26"/>
          <w:szCs w:val="26"/>
        </w:rPr>
        <w:t xml:space="preserve">a </w:t>
      </w:r>
      <w:r w:rsidR="008C7B75">
        <w:rPr>
          <w:rFonts w:ascii="Verdana" w:hAnsi="Verdana" w:cs="Arial"/>
          <w:sz w:val="26"/>
          <w:szCs w:val="26"/>
        </w:rPr>
        <w:t>la Nueva EPS</w:t>
      </w:r>
      <w:r w:rsidR="0027540E">
        <w:rPr>
          <w:rFonts w:ascii="Verdana" w:hAnsi="Verdana" w:cs="Arial"/>
          <w:sz w:val="26"/>
          <w:szCs w:val="26"/>
        </w:rPr>
        <w:t>, brindarle</w:t>
      </w:r>
      <w:r w:rsidR="0008556A">
        <w:rPr>
          <w:rFonts w:ascii="Verdana" w:hAnsi="Verdana" w:cs="Arial"/>
          <w:sz w:val="26"/>
          <w:szCs w:val="26"/>
        </w:rPr>
        <w:t xml:space="preserve"> el tratamiento </w:t>
      </w:r>
      <w:r w:rsidR="00D20748">
        <w:rPr>
          <w:rFonts w:ascii="Verdana" w:hAnsi="Verdana" w:cs="Arial"/>
          <w:sz w:val="26"/>
          <w:szCs w:val="26"/>
        </w:rPr>
        <w:t xml:space="preserve">integral para </w:t>
      </w:r>
      <w:r w:rsidR="00E964F5">
        <w:rPr>
          <w:rFonts w:ascii="Verdana" w:hAnsi="Verdana" w:cs="Arial"/>
          <w:sz w:val="26"/>
          <w:szCs w:val="26"/>
        </w:rPr>
        <w:t xml:space="preserve">la atención de </w:t>
      </w:r>
      <w:r w:rsidR="006D6F17">
        <w:rPr>
          <w:rFonts w:ascii="Verdana" w:hAnsi="Verdana" w:cs="Arial"/>
          <w:sz w:val="26"/>
          <w:szCs w:val="26"/>
        </w:rPr>
        <w:t>su</w:t>
      </w:r>
      <w:r w:rsidR="00E964F5">
        <w:rPr>
          <w:rFonts w:ascii="Verdana" w:hAnsi="Verdana" w:cs="Arial"/>
          <w:sz w:val="26"/>
          <w:szCs w:val="26"/>
        </w:rPr>
        <w:t xml:space="preserve"> patología</w:t>
      </w:r>
      <w:r w:rsidR="006D6D1C">
        <w:rPr>
          <w:rFonts w:ascii="Verdana" w:hAnsi="Verdana" w:cs="Arial"/>
          <w:sz w:val="26"/>
          <w:szCs w:val="26"/>
        </w:rPr>
        <w:t>.</w:t>
      </w:r>
    </w:p>
    <w:p w:rsidR="0027540E" w:rsidRPr="00F70EE0" w:rsidRDefault="0027540E" w:rsidP="00E81295">
      <w:pPr>
        <w:pStyle w:val="Textoindependiente"/>
        <w:spacing w:line="276" w:lineRule="auto"/>
        <w:jc w:val="both"/>
        <w:rPr>
          <w:rFonts w:ascii="Verdana" w:hAnsi="Verdana" w:cs="Arial"/>
          <w:sz w:val="26"/>
          <w:szCs w:val="26"/>
        </w:rPr>
      </w:pPr>
    </w:p>
    <w:p w:rsidR="007218B3" w:rsidRDefault="00D778B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El día </w:t>
      </w:r>
      <w:r w:rsidR="00F81611">
        <w:rPr>
          <w:rFonts w:ascii="Verdana" w:hAnsi="Verdana" w:cs="Arial"/>
          <w:sz w:val="26"/>
          <w:szCs w:val="26"/>
        </w:rPr>
        <w:t>23</w:t>
      </w:r>
      <w:r w:rsidR="006D6D1C">
        <w:rPr>
          <w:rFonts w:ascii="Verdana" w:hAnsi="Verdana" w:cs="Arial"/>
          <w:sz w:val="26"/>
          <w:szCs w:val="26"/>
        </w:rPr>
        <w:t xml:space="preserve"> de </w:t>
      </w:r>
      <w:r w:rsidR="00F81611">
        <w:rPr>
          <w:rFonts w:ascii="Verdana" w:hAnsi="Verdana" w:cs="Arial"/>
          <w:sz w:val="26"/>
          <w:szCs w:val="26"/>
        </w:rPr>
        <w:t>febrero</w:t>
      </w:r>
      <w:r w:rsidR="00E964F5">
        <w:rPr>
          <w:rFonts w:ascii="Verdana" w:hAnsi="Verdana" w:cs="Arial"/>
          <w:sz w:val="26"/>
          <w:szCs w:val="26"/>
        </w:rPr>
        <w:t xml:space="preserve"> 2015</w:t>
      </w:r>
      <w:r w:rsidR="00D017BD">
        <w:rPr>
          <w:rFonts w:ascii="Verdana" w:hAnsi="Verdana" w:cs="Arial"/>
          <w:sz w:val="26"/>
          <w:szCs w:val="26"/>
        </w:rPr>
        <w:t>,</w:t>
      </w:r>
      <w:r w:rsidR="00C53DC8">
        <w:rPr>
          <w:rFonts w:ascii="Verdana" w:hAnsi="Verdana" w:cs="Arial"/>
          <w:sz w:val="26"/>
          <w:szCs w:val="26"/>
        </w:rPr>
        <w:t xml:space="preserve"> </w:t>
      </w:r>
      <w:r w:rsidR="006D6D1C">
        <w:rPr>
          <w:rFonts w:ascii="Verdana" w:hAnsi="Verdana" w:cs="Arial"/>
          <w:sz w:val="26"/>
          <w:szCs w:val="26"/>
        </w:rPr>
        <w:t xml:space="preserve">la señora </w:t>
      </w:r>
      <w:r w:rsidR="00F81611">
        <w:rPr>
          <w:rFonts w:ascii="Verdana" w:hAnsi="Verdana" w:cs="Arial"/>
          <w:sz w:val="26"/>
          <w:szCs w:val="26"/>
        </w:rPr>
        <w:t>González</w:t>
      </w:r>
      <w:r w:rsidR="00C53DC8">
        <w:rPr>
          <w:rFonts w:ascii="Verdana" w:hAnsi="Verdana" w:cs="Arial"/>
          <w:sz w:val="26"/>
          <w:szCs w:val="26"/>
        </w:rPr>
        <w:t xml:space="preserve"> presentó memorial solicitando</w:t>
      </w:r>
      <w:r w:rsidR="00546373" w:rsidRPr="00F70EE0">
        <w:rPr>
          <w:rFonts w:ascii="Verdana" w:hAnsi="Verdana" w:cs="Arial"/>
          <w:sz w:val="26"/>
          <w:szCs w:val="26"/>
        </w:rPr>
        <w:t xml:space="preserve"> se </w:t>
      </w:r>
      <w:r w:rsidR="00D017BD">
        <w:rPr>
          <w:rFonts w:ascii="Verdana" w:hAnsi="Verdana" w:cs="Arial"/>
          <w:sz w:val="26"/>
          <w:szCs w:val="26"/>
        </w:rPr>
        <w:t>iniciase</w:t>
      </w:r>
      <w:r w:rsidR="00546373" w:rsidRPr="00F70EE0">
        <w:rPr>
          <w:rFonts w:ascii="Verdana" w:hAnsi="Verdana" w:cs="Arial"/>
          <w:sz w:val="26"/>
          <w:szCs w:val="26"/>
        </w:rPr>
        <w:t xml:space="preserve"> trámite incidental de desacato </w:t>
      </w:r>
      <w:r w:rsidR="00160305">
        <w:rPr>
          <w:rFonts w:ascii="Verdana" w:hAnsi="Verdana" w:cs="Arial"/>
          <w:sz w:val="26"/>
          <w:szCs w:val="26"/>
        </w:rPr>
        <w:t xml:space="preserve">toda vez que la entidad se negaba a </w:t>
      </w:r>
      <w:r w:rsidR="00F81611">
        <w:rPr>
          <w:rFonts w:ascii="Verdana" w:hAnsi="Verdana" w:cs="Arial"/>
          <w:sz w:val="26"/>
          <w:szCs w:val="26"/>
        </w:rPr>
        <w:t>entregarle unos medicamentos que requería para el tratamiento de su patología</w:t>
      </w:r>
      <w:r w:rsidR="00546373" w:rsidRPr="00F70EE0">
        <w:rPr>
          <w:rFonts w:ascii="Verdana" w:hAnsi="Verdana" w:cs="Arial"/>
          <w:sz w:val="26"/>
          <w:szCs w:val="26"/>
        </w:rPr>
        <w:t>, razón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DA55C7">
        <w:rPr>
          <w:rFonts w:ascii="Verdana" w:hAnsi="Verdana" w:cs="Arial"/>
          <w:sz w:val="26"/>
          <w:szCs w:val="26"/>
        </w:rPr>
        <w:t xml:space="preserve">mediante auto del </w:t>
      </w:r>
      <w:r w:rsidR="00F81611">
        <w:rPr>
          <w:rFonts w:ascii="Verdana" w:hAnsi="Verdana" w:cs="Arial"/>
          <w:sz w:val="26"/>
          <w:szCs w:val="26"/>
        </w:rPr>
        <w:t>12</w:t>
      </w:r>
      <w:r w:rsidR="00160305">
        <w:rPr>
          <w:rFonts w:ascii="Verdana" w:hAnsi="Verdana" w:cs="Arial"/>
          <w:sz w:val="26"/>
          <w:szCs w:val="26"/>
        </w:rPr>
        <w:t xml:space="preserve"> de </w:t>
      </w:r>
      <w:r w:rsidR="00F81611">
        <w:rPr>
          <w:rFonts w:ascii="Verdana" w:hAnsi="Verdana" w:cs="Arial"/>
          <w:sz w:val="26"/>
          <w:szCs w:val="26"/>
        </w:rPr>
        <w:t>marzo de ese</w:t>
      </w:r>
      <w:r w:rsidR="00160305">
        <w:rPr>
          <w:rFonts w:ascii="Verdana" w:hAnsi="Verdana" w:cs="Arial"/>
          <w:sz w:val="26"/>
          <w:szCs w:val="26"/>
        </w:rPr>
        <w:t xml:space="preserve"> año</w:t>
      </w:r>
      <w:r w:rsidR="00F7475C">
        <w:rPr>
          <w:rFonts w:ascii="Verdana" w:hAnsi="Verdana" w:cs="Arial"/>
          <w:sz w:val="26"/>
          <w:szCs w:val="26"/>
        </w:rPr>
        <w:t>,</w:t>
      </w:r>
      <w:r w:rsidR="00DA55C7">
        <w:rPr>
          <w:rFonts w:ascii="Verdana" w:hAnsi="Verdana" w:cs="Arial"/>
          <w:sz w:val="26"/>
          <w:szCs w:val="26"/>
        </w:rPr>
        <w:t xml:space="preserve"> </w:t>
      </w:r>
      <w:r w:rsidR="00160305">
        <w:rPr>
          <w:rFonts w:ascii="Verdana" w:hAnsi="Verdana" w:cs="Arial"/>
          <w:sz w:val="26"/>
          <w:szCs w:val="26"/>
        </w:rPr>
        <w:t xml:space="preserve">a requerir al Representante Legal o quien hiciera sus veces, de La  Nueva EPS para que informara las razones por las cuáles se estaba incumpliendo el fallo atrás aludido. </w:t>
      </w:r>
    </w:p>
    <w:p w:rsidR="00160305" w:rsidRDefault="00160305" w:rsidP="00160305">
      <w:pPr>
        <w:pStyle w:val="Textoindependiente"/>
        <w:spacing w:line="312" w:lineRule="auto"/>
        <w:jc w:val="both"/>
        <w:rPr>
          <w:rFonts w:ascii="Verdana" w:hAnsi="Verdana" w:cs="Arial"/>
          <w:sz w:val="26"/>
          <w:szCs w:val="26"/>
        </w:rPr>
      </w:pPr>
    </w:p>
    <w:p w:rsidR="00160305" w:rsidRDefault="00F81611" w:rsidP="00160305">
      <w:pPr>
        <w:pStyle w:val="Textoindependiente"/>
        <w:spacing w:line="312" w:lineRule="auto"/>
        <w:jc w:val="both"/>
        <w:rPr>
          <w:rFonts w:ascii="Verdana" w:hAnsi="Verdana" w:cs="Arial"/>
          <w:sz w:val="26"/>
          <w:szCs w:val="26"/>
        </w:rPr>
      </w:pPr>
      <w:r>
        <w:rPr>
          <w:rFonts w:ascii="Verdana" w:hAnsi="Verdana" w:cs="Arial"/>
          <w:sz w:val="26"/>
          <w:szCs w:val="26"/>
        </w:rPr>
        <w:t xml:space="preserve">Posteriormente, el </w:t>
      </w:r>
      <w:r w:rsidR="00D500DF">
        <w:rPr>
          <w:rFonts w:ascii="Verdana" w:hAnsi="Verdana" w:cs="Arial"/>
          <w:sz w:val="26"/>
          <w:szCs w:val="26"/>
        </w:rPr>
        <w:t>25 de mayo de 2015 la accionante allegó nuevo escrito en donde ponía en conocimiento del Despacho que la entidad accionada no le había autorizado unos paraclínicos que requería. Así las cosas,</w:t>
      </w:r>
      <w:r w:rsidR="00160305">
        <w:rPr>
          <w:rFonts w:ascii="Verdana" w:hAnsi="Verdana" w:cs="Arial"/>
          <w:sz w:val="26"/>
          <w:szCs w:val="26"/>
        </w:rPr>
        <w:t xml:space="preserve"> A-quo el </w:t>
      </w:r>
      <w:r w:rsidR="00D500DF">
        <w:rPr>
          <w:rFonts w:ascii="Verdana" w:hAnsi="Verdana" w:cs="Arial"/>
          <w:sz w:val="26"/>
          <w:szCs w:val="26"/>
        </w:rPr>
        <w:t>23</w:t>
      </w:r>
      <w:r w:rsidR="00160305">
        <w:rPr>
          <w:rFonts w:ascii="Verdana" w:hAnsi="Verdana" w:cs="Arial"/>
          <w:sz w:val="26"/>
          <w:szCs w:val="26"/>
        </w:rPr>
        <w:t xml:space="preserve"> de junio de 2015 decidió dar apertura formal del incidente de desacato en contra del Director Regional o Seccional Risaralda de La Nueva EPS; igualmente ordenó requerir a la Coordinadora Jurídica para de esa misma entidad como al Presidente o Representante Legal, en su calidad de superior jerárquico del Director Regional, para que realizaran el trámite administrativo tendiente a verificar el cumplimiento de la orden constitucional. </w:t>
      </w:r>
      <w:bookmarkStart w:id="0" w:name="_GoBack"/>
      <w:bookmarkEnd w:id="0"/>
    </w:p>
    <w:p w:rsidR="00C53DC8" w:rsidRPr="00F70EE0" w:rsidRDefault="00C53DC8" w:rsidP="006224A6">
      <w:pPr>
        <w:pStyle w:val="Textoindependiente"/>
        <w:spacing w:line="360" w:lineRule="auto"/>
        <w:jc w:val="both"/>
        <w:rPr>
          <w:rFonts w:ascii="Verdana" w:hAnsi="Verdana" w:cs="Arial"/>
          <w:sz w:val="26"/>
          <w:szCs w:val="26"/>
        </w:rPr>
      </w:pPr>
    </w:p>
    <w:p w:rsidR="00661F0C" w:rsidRPr="00F70EE0" w:rsidRDefault="00661F0C" w:rsidP="00E42AA4">
      <w:pPr>
        <w:pStyle w:val="Textoindependien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Textoindependiente"/>
        <w:jc w:val="center"/>
        <w:rPr>
          <w:rFonts w:ascii="Verdana" w:hAnsi="Verdana" w:cs="Arial"/>
          <w:sz w:val="26"/>
          <w:szCs w:val="26"/>
        </w:rPr>
      </w:pPr>
    </w:p>
    <w:p w:rsidR="0086319F" w:rsidRDefault="00661F0C" w:rsidP="00E81295">
      <w:pPr>
        <w:pStyle w:val="Textoindependien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D500DF">
        <w:rPr>
          <w:rFonts w:ascii="Verdana" w:hAnsi="Verdana" w:cs="Arial"/>
          <w:sz w:val="26"/>
          <w:szCs w:val="26"/>
        </w:rPr>
        <w:t>7 de jul</w:t>
      </w:r>
      <w:r w:rsidR="004A4C5B">
        <w:rPr>
          <w:rFonts w:ascii="Verdana" w:hAnsi="Verdana" w:cs="Arial"/>
          <w:sz w:val="26"/>
          <w:szCs w:val="26"/>
        </w:rPr>
        <w:t>io</w:t>
      </w:r>
      <w:r w:rsidR="00C37264">
        <w:rPr>
          <w:rFonts w:ascii="Verdana" w:hAnsi="Verdana" w:cs="Arial"/>
          <w:sz w:val="26"/>
          <w:szCs w:val="26"/>
        </w:rPr>
        <w:t xml:space="preserve"> de 2015</w:t>
      </w:r>
      <w:r w:rsidR="008159D1">
        <w:rPr>
          <w:rFonts w:ascii="Verdana" w:hAnsi="Verdana" w:cs="Arial"/>
          <w:sz w:val="26"/>
          <w:szCs w:val="26"/>
        </w:rPr>
        <w:t xml:space="preserve">, </w:t>
      </w:r>
      <w:r w:rsidR="00D500DF">
        <w:rPr>
          <w:rFonts w:ascii="Verdana" w:hAnsi="Verdana" w:cs="Arial"/>
          <w:sz w:val="26"/>
          <w:szCs w:val="26"/>
        </w:rPr>
        <w:t>el señor</w:t>
      </w:r>
      <w:r w:rsidR="00EB3A12">
        <w:rPr>
          <w:rFonts w:ascii="Verdana" w:hAnsi="Verdana" w:cs="Arial"/>
          <w:sz w:val="26"/>
          <w:szCs w:val="26"/>
        </w:rPr>
        <w:t xml:space="preserve"> Juez</w:t>
      </w:r>
      <w:r w:rsidRPr="00F70EE0">
        <w:rPr>
          <w:rFonts w:ascii="Verdana" w:hAnsi="Verdana" w:cs="Arial"/>
          <w:sz w:val="26"/>
          <w:szCs w:val="26"/>
        </w:rPr>
        <w:t xml:space="preserve"> de instancia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EB3A12">
        <w:rPr>
          <w:rFonts w:ascii="Verdana" w:hAnsi="Verdana" w:cs="Arial"/>
          <w:sz w:val="26"/>
          <w:szCs w:val="26"/>
        </w:rPr>
        <w:t>tres</w:t>
      </w:r>
      <w:r w:rsidR="00E40DF5">
        <w:rPr>
          <w:rFonts w:ascii="Verdana" w:hAnsi="Verdana" w:cs="Arial"/>
          <w:sz w:val="26"/>
          <w:szCs w:val="26"/>
        </w:rPr>
        <w:t xml:space="preserve"> </w:t>
      </w:r>
      <w:r w:rsidR="00EB3A12">
        <w:rPr>
          <w:rFonts w:ascii="Verdana" w:hAnsi="Verdana" w:cs="Arial"/>
          <w:sz w:val="26"/>
          <w:szCs w:val="26"/>
        </w:rPr>
        <w:t>(3</w:t>
      </w:r>
      <w:r w:rsidR="0036222F">
        <w:rPr>
          <w:rFonts w:ascii="Verdana" w:hAnsi="Verdana" w:cs="Arial"/>
          <w:sz w:val="26"/>
          <w:szCs w:val="26"/>
        </w:rPr>
        <w:t>) días y</w:t>
      </w:r>
      <w:r w:rsidRPr="00F70EE0">
        <w:rPr>
          <w:rFonts w:ascii="Verdana" w:hAnsi="Verdana" w:cs="Arial"/>
          <w:sz w:val="26"/>
          <w:szCs w:val="26"/>
        </w:rPr>
        <w:t xml:space="preserve"> multa de </w:t>
      </w:r>
      <w:r w:rsidR="00D500DF">
        <w:rPr>
          <w:rFonts w:ascii="Verdana" w:hAnsi="Verdana" w:cs="Arial"/>
          <w:sz w:val="26"/>
          <w:szCs w:val="26"/>
        </w:rPr>
        <w:t>un (1</w:t>
      </w:r>
      <w:r w:rsidR="0036222F">
        <w:rPr>
          <w:rFonts w:ascii="Verdana" w:hAnsi="Verdana" w:cs="Arial"/>
          <w:sz w:val="26"/>
          <w:szCs w:val="26"/>
        </w:rPr>
        <w:t>)</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a la Doctora María Lorena Serna Montoya, Gerente de la Nueva EPS con sede en esta ciudad,</w:t>
      </w:r>
      <w:r w:rsidR="00C37264">
        <w:rPr>
          <w:rFonts w:ascii="Verdana" w:hAnsi="Verdana" w:cs="Arial"/>
          <w:sz w:val="26"/>
          <w:szCs w:val="26"/>
        </w:rPr>
        <w:t xml:space="preserve"> y al Presidente de esa misma entidad Dr. José Fernando Cardona Uribe,</w:t>
      </w:r>
      <w:r w:rsidR="00DE3CAF">
        <w:rPr>
          <w:rFonts w:ascii="Verdana" w:hAnsi="Verdana" w:cs="Arial"/>
          <w:sz w:val="26"/>
          <w:szCs w:val="26"/>
        </w:rPr>
        <w:t xml:space="preserve"> </w:t>
      </w:r>
      <w:r w:rsidRPr="00F70EE0">
        <w:rPr>
          <w:rFonts w:ascii="Verdana" w:hAnsi="Verdana" w:cs="Arial"/>
          <w:sz w:val="26"/>
          <w:szCs w:val="26"/>
        </w:rPr>
        <w:t>por desat</w:t>
      </w:r>
      <w:r w:rsidR="00B25194" w:rsidRPr="00F70EE0">
        <w:rPr>
          <w:rFonts w:ascii="Verdana" w:hAnsi="Verdana" w:cs="Arial"/>
          <w:sz w:val="26"/>
          <w:szCs w:val="26"/>
        </w:rPr>
        <w:t>ender</w:t>
      </w:r>
      <w:r w:rsidRPr="00F70EE0">
        <w:rPr>
          <w:rFonts w:ascii="Verdana" w:hAnsi="Verdana" w:cs="Arial"/>
          <w:sz w:val="26"/>
          <w:szCs w:val="26"/>
        </w:rPr>
        <w:t xml:space="preserve"> la sentencia de tutela proferida el día</w:t>
      </w:r>
      <w:r w:rsidR="000C46F0" w:rsidRPr="00F70EE0">
        <w:rPr>
          <w:rFonts w:ascii="Verdana" w:hAnsi="Verdana" w:cs="Arial"/>
          <w:sz w:val="26"/>
          <w:szCs w:val="26"/>
        </w:rPr>
        <w:t xml:space="preserve"> </w:t>
      </w:r>
      <w:r w:rsidR="00D500DF">
        <w:rPr>
          <w:rFonts w:ascii="Verdana" w:hAnsi="Verdana" w:cs="Arial"/>
          <w:sz w:val="26"/>
          <w:szCs w:val="26"/>
          <w:lang w:val="es-ES"/>
        </w:rPr>
        <w:t>22 de diciembre de 2010</w:t>
      </w:r>
      <w:r w:rsidRPr="00F70EE0">
        <w:rPr>
          <w:rFonts w:ascii="Verdana" w:hAnsi="Verdana" w:cs="Arial"/>
          <w:sz w:val="26"/>
          <w:szCs w:val="26"/>
        </w:rPr>
        <w:t xml:space="preserve"> y </w:t>
      </w:r>
      <w:r w:rsidRPr="00F70EE0">
        <w:rPr>
          <w:rFonts w:ascii="Verdana" w:hAnsi="Verdana" w:cs="Arial"/>
          <w:sz w:val="26"/>
          <w:szCs w:val="26"/>
        </w:rPr>
        <w:lastRenderedPageBreak/>
        <w:t>ordenó la consulta de la decisión que hoy ocupa la atención de la Magistratura.</w:t>
      </w:r>
    </w:p>
    <w:p w:rsidR="00DC0E9E" w:rsidRPr="00F70EE0" w:rsidRDefault="00DC0E9E" w:rsidP="006224A6">
      <w:pPr>
        <w:pStyle w:val="Textoindependiente"/>
        <w:spacing w:line="360" w:lineRule="auto"/>
        <w:jc w:val="both"/>
        <w:rPr>
          <w:rFonts w:ascii="Verdana" w:hAnsi="Verdana" w:cs="Arial"/>
          <w:sz w:val="26"/>
          <w:szCs w:val="26"/>
        </w:rPr>
      </w:pPr>
    </w:p>
    <w:p w:rsidR="00661F0C" w:rsidRPr="00F70EE0" w:rsidRDefault="00661F0C" w:rsidP="0086319F">
      <w:pPr>
        <w:pStyle w:val="Textoindependiente"/>
        <w:jc w:val="center"/>
        <w:rPr>
          <w:rFonts w:ascii="Verdana" w:hAnsi="Verdana" w:cs="Arial"/>
          <w:b/>
          <w:sz w:val="26"/>
          <w:szCs w:val="26"/>
        </w:rPr>
      </w:pPr>
      <w:r w:rsidRPr="00F70EE0">
        <w:rPr>
          <w:rFonts w:ascii="Verdana" w:hAnsi="Verdana" w:cs="Arial"/>
          <w:b/>
          <w:sz w:val="26"/>
          <w:szCs w:val="26"/>
        </w:rPr>
        <w:t xml:space="preserve">CONSIDERACIONES </w:t>
      </w:r>
    </w:p>
    <w:p w:rsidR="00661F0C" w:rsidRPr="00F70EE0" w:rsidRDefault="00661F0C" w:rsidP="0086319F">
      <w:pPr>
        <w:widowControl w:val="0"/>
        <w:tabs>
          <w:tab w:val="left" w:pos="561"/>
        </w:tabs>
        <w:autoSpaceDE w:val="0"/>
        <w:autoSpaceDN w:val="0"/>
        <w:adjustRightInd w:val="0"/>
        <w:jc w:val="both"/>
        <w:rPr>
          <w:rFonts w:ascii="Verdana" w:hAnsi="Verdana" w:cs="Arial"/>
          <w:sz w:val="26"/>
          <w:szCs w:val="26"/>
        </w:rPr>
      </w:pP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E81295">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6319F">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E81295">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6319F">
      <w:pPr>
        <w:pStyle w:val="Textoindependiente"/>
        <w:spacing w:line="312" w:lineRule="auto"/>
        <w:rPr>
          <w:rFonts w:ascii="Verdana" w:hAnsi="Verdana" w:cs="Arial"/>
          <w:sz w:val="26"/>
          <w:szCs w:val="26"/>
          <w:lang w:val="es-ES"/>
        </w:rPr>
      </w:pPr>
    </w:p>
    <w:p w:rsidR="0086319F" w:rsidRPr="0086319F" w:rsidRDefault="0086319F" w:rsidP="0086319F">
      <w:pPr>
        <w:pStyle w:val="Textoindependiente"/>
        <w:spacing w:line="312" w:lineRule="auto"/>
        <w:rPr>
          <w:rFonts w:ascii="Verdana" w:hAnsi="Verdana" w:cs="Arial"/>
          <w:b/>
          <w:sz w:val="26"/>
          <w:szCs w:val="26"/>
          <w:lang w:val="es-ES"/>
        </w:rPr>
      </w:pPr>
      <w:r w:rsidRPr="0086319F">
        <w:rPr>
          <w:rFonts w:ascii="Verdana" w:hAnsi="Verdana" w:cs="Arial"/>
          <w:b/>
          <w:sz w:val="26"/>
          <w:szCs w:val="26"/>
          <w:lang w:val="es-ES"/>
        </w:rPr>
        <w:t>3. Del caso concreto:</w:t>
      </w:r>
    </w:p>
    <w:p w:rsidR="00661F0C" w:rsidRPr="00F70EE0" w:rsidRDefault="00661F0C" w:rsidP="0086319F">
      <w:pPr>
        <w:pStyle w:val="Puesto1"/>
        <w:rPr>
          <w:rFonts w:ascii="Verdana" w:hAnsi="Verdana" w:cs="Arial"/>
          <w:sz w:val="26"/>
          <w:szCs w:val="26"/>
        </w:rPr>
      </w:pPr>
    </w:p>
    <w:p w:rsidR="00661F0C" w:rsidRDefault="00661F0C" w:rsidP="00E81295">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E81295">
      <w:pPr>
        <w:jc w:val="both"/>
        <w:rPr>
          <w:rFonts w:ascii="Verdana" w:hAnsi="Verdana" w:cs="Arial"/>
          <w:sz w:val="26"/>
          <w:szCs w:val="26"/>
        </w:rPr>
      </w:pPr>
    </w:p>
    <w:p w:rsidR="00661F0C" w:rsidRDefault="00661F0C" w:rsidP="006224A6">
      <w:pPr>
        <w:tabs>
          <w:tab w:val="left" w:pos="7854"/>
          <w:tab w:val="left" w:pos="8041"/>
        </w:tabs>
        <w:ind w:left="561" w:right="748"/>
        <w:jc w:val="both"/>
        <w:rPr>
          <w:rFonts w:ascii="Verdana" w:hAnsi="Verdana" w:cs="Arial"/>
          <w:i/>
          <w:lang w:val="es-CO"/>
        </w:rPr>
      </w:pPr>
      <w:r w:rsidRPr="0036222F">
        <w:rPr>
          <w:rFonts w:ascii="Verdana" w:hAnsi="Verdana" w:cs="Arial"/>
          <w:i/>
          <w:lang w:val="es-CO"/>
        </w:rPr>
        <w:t xml:space="preserve">“El cumplimiento de las órdenes judiciales representa uno de los aspectos centrales del Estado social de derecho porque es el pronunciamiento de la autoridad competente que por medio de la aplicación de </w:t>
      </w:r>
      <w:smartTag w:uri="urn:schemas-microsoft-com:office:smarttags" w:element="PersonName">
        <w:smartTagPr>
          <w:attr w:name="ProductID" w:val="la Constituci￳n"/>
        </w:smartTagPr>
        <w:r w:rsidRPr="0036222F">
          <w:rPr>
            <w:rFonts w:ascii="Verdana" w:hAnsi="Verdana" w:cs="Arial"/>
            <w:i/>
            <w:lang w:val="es-CO"/>
          </w:rPr>
          <w:t>la Constitución</w:t>
        </w:r>
      </w:smartTag>
      <w:r w:rsidRPr="0036222F">
        <w:rPr>
          <w:rFonts w:ascii="Verdana" w:hAnsi="Verdana" w:cs="Arial"/>
          <w:i/>
          <w:lang w:val="es-CO"/>
        </w:rPr>
        <w:t xml:space="preserve"> y </w:t>
      </w:r>
      <w:smartTag w:uri="urn:schemas-microsoft-com:office:smarttags" w:element="PersonName">
        <w:smartTagPr>
          <w:attr w:name="ProductID" w:val="la Ley"/>
        </w:smartTagPr>
        <w:r w:rsidRPr="0036222F">
          <w:rPr>
            <w:rFonts w:ascii="Verdana" w:hAnsi="Verdana" w:cs="Arial"/>
            <w:i/>
            <w:lang w:val="es-CO"/>
          </w:rPr>
          <w:t>la Ley</w:t>
        </w:r>
      </w:smartTag>
      <w:r w:rsidRPr="0036222F">
        <w:rPr>
          <w:rFonts w:ascii="Verdana" w:hAnsi="Verdana" w:cs="Arial"/>
          <w:i/>
          <w:lang w:val="es-CO"/>
        </w:rPr>
        <w:t xml:space="preserve"> define la situación jurídica en una controversia. Del cumplimiento de los fallos depende la confianza, el respeto, la convivencia pacífica y el legítimo uso de la autoridad en una sociedad democrática. Por ello, la reglamentación de la acción de </w:t>
      </w:r>
      <w:r w:rsidRPr="0036222F">
        <w:rPr>
          <w:rFonts w:ascii="Verdana" w:hAnsi="Verdana" w:cs="Arial"/>
          <w:i/>
          <w:lang w:val="es-CO"/>
        </w:rPr>
        <w:lastRenderedPageBreak/>
        <w:t xml:space="preserve">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36222F">
        <w:rPr>
          <w:rStyle w:val="Refdenotaalpie"/>
          <w:rFonts w:ascii="Verdana" w:hAnsi="Verdana" w:cs="Arial"/>
          <w:i/>
          <w:lang w:val="es-CO"/>
        </w:rPr>
        <w:footnoteReference w:id="1"/>
      </w:r>
    </w:p>
    <w:p w:rsidR="006224A6" w:rsidRPr="0036222F" w:rsidRDefault="006224A6" w:rsidP="006224A6">
      <w:pPr>
        <w:tabs>
          <w:tab w:val="left" w:pos="7854"/>
          <w:tab w:val="left" w:pos="8041"/>
        </w:tabs>
        <w:ind w:left="561" w:right="748"/>
        <w:jc w:val="both"/>
        <w:rPr>
          <w:rFonts w:ascii="Verdana" w:hAnsi="Verdana" w:cs="Arial"/>
          <w:lang w:val="es-CO"/>
        </w:rPr>
      </w:pPr>
    </w:p>
    <w:p w:rsidR="006224A6" w:rsidRDefault="00661F0C" w:rsidP="006224A6">
      <w:pPr>
        <w:pStyle w:val="NormalWeb"/>
        <w:tabs>
          <w:tab w:val="left" w:pos="7854"/>
          <w:tab w:val="left" w:pos="8041"/>
        </w:tabs>
        <w:spacing w:before="0" w:beforeAutospacing="0" w:after="0" w:afterAutospacing="0"/>
        <w:ind w:left="561" w:right="748"/>
        <w:jc w:val="both"/>
        <w:rPr>
          <w:rFonts w:ascii="Verdana" w:hAnsi="Verdana" w:cs="Arial"/>
          <w:i/>
        </w:rPr>
      </w:pPr>
      <w:r w:rsidRPr="0036222F">
        <w:rPr>
          <w:rFonts w:ascii="Verdana" w:hAnsi="Verdana" w:cs="Arial"/>
          <w:i/>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36222F">
        <w:rPr>
          <w:rStyle w:val="Refdenotaalpie"/>
          <w:rFonts w:ascii="Verdana" w:hAnsi="Verdana" w:cs="Arial"/>
          <w:i/>
        </w:rPr>
        <w:t xml:space="preserve"> </w:t>
      </w:r>
      <w:r w:rsidRPr="0036222F">
        <w:rPr>
          <w:rStyle w:val="Refdenotaalpie"/>
          <w:rFonts w:ascii="Verdana" w:hAnsi="Verdana" w:cs="Arial"/>
          <w:i/>
        </w:rPr>
        <w:footnoteReference w:id="2"/>
      </w:r>
      <w:r w:rsidRPr="0036222F">
        <w:rPr>
          <w:rFonts w:ascii="Verdana" w:hAnsi="Verdana" w:cs="Arial"/>
          <w:i/>
        </w:rPr>
        <w:t>.</w:t>
      </w:r>
    </w:p>
    <w:p w:rsidR="006224A6" w:rsidRPr="0036222F" w:rsidRDefault="006224A6" w:rsidP="006224A6">
      <w:pPr>
        <w:pStyle w:val="NormalWeb"/>
        <w:tabs>
          <w:tab w:val="left" w:pos="7854"/>
          <w:tab w:val="left" w:pos="8041"/>
        </w:tabs>
        <w:spacing w:before="0" w:beforeAutospacing="0" w:after="0" w:afterAutospacing="0" w:line="360" w:lineRule="auto"/>
        <w:ind w:left="561" w:right="748"/>
        <w:jc w:val="both"/>
        <w:rPr>
          <w:rFonts w:ascii="Verdana" w:hAnsi="Verdana" w:cs="Arial"/>
          <w:i/>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661F0C" w:rsidRPr="00F70EE0" w:rsidRDefault="00661F0C" w:rsidP="0086319F">
      <w:pPr>
        <w:jc w:val="both"/>
        <w:rPr>
          <w:rFonts w:ascii="Verdana" w:hAnsi="Verdana"/>
          <w:sz w:val="26"/>
          <w:szCs w:val="26"/>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36222F">
        <w:rPr>
          <w:rFonts w:ascii="Verdana" w:hAnsi="Verdana" w:cs="Arial"/>
          <w:i/>
        </w:rPr>
        <w:t>sí</w:t>
      </w:r>
      <w:r w:rsidRPr="0036222F">
        <w:rPr>
          <w:rFonts w:ascii="Verdana" w:hAnsi="Verdana" w:cs="Arial"/>
          <w:i/>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36222F">
        <w:rPr>
          <w:rStyle w:val="Refdenotaalpie"/>
          <w:rFonts w:ascii="Verdana" w:hAnsi="Verdana" w:cs="Arial"/>
          <w:i/>
        </w:rPr>
        <w:footnoteReference w:id="3"/>
      </w:r>
      <w:r w:rsidRPr="0036222F">
        <w:rPr>
          <w:rFonts w:ascii="Verdana" w:hAnsi="Verdana" w:cs="Arial"/>
          <w:i/>
        </w:rPr>
        <w:t xml:space="preserve">. </w:t>
      </w:r>
    </w:p>
    <w:p w:rsidR="00661F0C" w:rsidRPr="0036222F" w:rsidRDefault="00661F0C" w:rsidP="0086319F">
      <w:pPr>
        <w:tabs>
          <w:tab w:val="left" w:pos="8041"/>
        </w:tabs>
        <w:ind w:left="561" w:right="748"/>
        <w:jc w:val="both"/>
        <w:rPr>
          <w:rFonts w:ascii="Verdana" w:hAnsi="Verdana" w:cs="Arial"/>
          <w:i/>
        </w:rPr>
      </w:pP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Adicionalmente, el juez del desacato debe verificar si efectivamente se incumplió la orden impartida a través de la </w:t>
      </w:r>
      <w:r w:rsidRPr="0036222F">
        <w:rPr>
          <w:rFonts w:ascii="Verdana" w:hAnsi="Verdana" w:cs="Arial"/>
          <w:i/>
        </w:rPr>
        <w:lastRenderedPageBreak/>
        <w:t xml:space="preserve">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36222F" w:rsidRDefault="00661F0C" w:rsidP="0086319F">
      <w:pPr>
        <w:tabs>
          <w:tab w:val="left" w:pos="3706"/>
          <w:tab w:val="left" w:pos="8041"/>
        </w:tabs>
        <w:ind w:left="561" w:right="748"/>
        <w:jc w:val="both"/>
        <w:rPr>
          <w:rFonts w:ascii="Verdana" w:hAnsi="Verdana" w:cs="Arial"/>
          <w:i/>
        </w:rPr>
      </w:pPr>
      <w:r w:rsidRPr="0036222F">
        <w:rPr>
          <w:rFonts w:ascii="Verdana" w:hAnsi="Verdana" w:cs="Arial"/>
          <w:i/>
        </w:rPr>
        <w:tab/>
      </w:r>
    </w:p>
    <w:p w:rsidR="00661F0C" w:rsidRPr="0036222F" w:rsidRDefault="00661F0C" w:rsidP="0086319F">
      <w:pPr>
        <w:tabs>
          <w:tab w:val="left" w:pos="8041"/>
        </w:tabs>
        <w:ind w:left="561" w:right="748"/>
        <w:jc w:val="both"/>
        <w:rPr>
          <w:rFonts w:ascii="Verdana" w:hAnsi="Verdana" w:cs="Arial"/>
          <w:i/>
        </w:rPr>
      </w:pPr>
      <w:r w:rsidRPr="0036222F">
        <w:rPr>
          <w:rFonts w:ascii="Verdana" w:hAnsi="Verdana" w:cs="Arial"/>
          <w:i/>
        </w:rPr>
        <w:t xml:space="preserve">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w:t>
      </w:r>
      <w:smartTag w:uri="urn:schemas-microsoft-com:office:smarttags" w:element="PersonName">
        <w:smartTagPr>
          <w:attr w:name="ProductID" w:val="la Corte"/>
        </w:smartTagPr>
        <w:r w:rsidRPr="0036222F">
          <w:rPr>
            <w:rFonts w:ascii="Verdana" w:hAnsi="Verdana" w:cs="Arial"/>
            <w:i/>
          </w:rPr>
          <w:t>la Corte</w:t>
        </w:r>
      </w:smartTag>
      <w:r w:rsidRPr="0036222F">
        <w:rPr>
          <w:rFonts w:ascii="Verdana" w:hAnsi="Verdana" w:cs="Arial"/>
          <w:i/>
        </w:rPr>
        <w:t xml:space="preserv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36222F">
        <w:rPr>
          <w:rStyle w:val="Refdenotaalpie"/>
          <w:rFonts w:ascii="Verdana" w:hAnsi="Verdana" w:cs="Arial"/>
        </w:rPr>
        <w:footnoteReference w:id="4"/>
      </w:r>
    </w:p>
    <w:p w:rsidR="00661F0C" w:rsidRPr="00F70EE0" w:rsidRDefault="00661F0C" w:rsidP="0086319F">
      <w:pPr>
        <w:spacing w:line="312" w:lineRule="auto"/>
        <w:ind w:right="1372"/>
        <w:jc w:val="both"/>
        <w:rPr>
          <w:rFonts w:ascii="Verdana" w:hAnsi="Verdana"/>
          <w:sz w:val="26"/>
          <w:szCs w:val="26"/>
        </w:rPr>
      </w:pPr>
    </w:p>
    <w:p w:rsidR="00661F0C" w:rsidRDefault="00661F0C" w:rsidP="00E81295">
      <w:pPr>
        <w:spacing w:line="312" w:lineRule="auto"/>
        <w:ind w:right="51"/>
        <w:jc w:val="both"/>
        <w:rPr>
          <w:rFonts w:ascii="Verdana" w:hAnsi="Verdana" w:cs="Arial"/>
          <w:sz w:val="26"/>
          <w:szCs w:val="26"/>
        </w:rPr>
      </w:pPr>
      <w:r w:rsidRPr="00F70EE0">
        <w:rPr>
          <w:rFonts w:ascii="Verdana" w:hAnsi="Verdana" w:cs="Arial"/>
          <w:sz w:val="26"/>
          <w:szCs w:val="26"/>
        </w:rPr>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incidentado. Igualmente debe demostrarse en dicho incidente la desobediencia de la persona al cumplimiento de la sentencia, sin poderse presumir la responsabilidad.</w:t>
      </w:r>
    </w:p>
    <w:p w:rsidR="00DC0E9E" w:rsidRPr="00F70EE0" w:rsidRDefault="00DC0E9E" w:rsidP="00DC0E9E">
      <w:pPr>
        <w:spacing w:line="360" w:lineRule="auto"/>
        <w:ind w:right="51"/>
        <w:jc w:val="both"/>
        <w:rPr>
          <w:rFonts w:ascii="Verdana" w:hAnsi="Verdana" w:cs="Arial"/>
          <w:sz w:val="26"/>
          <w:szCs w:val="26"/>
        </w:rPr>
      </w:pPr>
    </w:p>
    <w:p w:rsidR="00661F0C" w:rsidRPr="00F70EE0" w:rsidRDefault="00661F0C" w:rsidP="00E81295">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E42AA4">
      <w:pPr>
        <w:spacing w:line="288" w:lineRule="auto"/>
        <w:jc w:val="both"/>
        <w:rPr>
          <w:rFonts w:ascii="Verdana" w:hAnsi="Verdana" w:cs="Arial"/>
          <w:sz w:val="26"/>
          <w:szCs w:val="26"/>
        </w:rPr>
      </w:pPr>
    </w:p>
    <w:p w:rsidR="00661F0C" w:rsidRPr="00F70EE0" w:rsidRDefault="00661F0C" w:rsidP="00E42AA4">
      <w:pPr>
        <w:spacing w:line="288"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E81295">
      <w:pPr>
        <w:ind w:left="312" w:right="358"/>
        <w:jc w:val="both"/>
        <w:rPr>
          <w:rFonts w:ascii="Verdana" w:hAnsi="Verdana"/>
          <w:i/>
          <w:sz w:val="26"/>
          <w:szCs w:val="26"/>
        </w:rPr>
      </w:pPr>
    </w:p>
    <w:p w:rsidR="00661F0C" w:rsidRPr="00A003CD" w:rsidRDefault="00661F0C" w:rsidP="0086319F">
      <w:pPr>
        <w:tabs>
          <w:tab w:val="left" w:pos="7854"/>
          <w:tab w:val="left" w:pos="8041"/>
        </w:tabs>
        <w:ind w:left="561" w:right="748"/>
        <w:jc w:val="both"/>
        <w:rPr>
          <w:rFonts w:ascii="Verdana" w:hAnsi="Verdana" w:cs="Arial"/>
          <w:i/>
        </w:rPr>
      </w:pPr>
      <w:r w:rsidRPr="00A003CD">
        <w:rPr>
          <w:rFonts w:ascii="Verdana" w:hAnsi="Verdana" w:cs="Arial"/>
          <w:i/>
        </w:rPr>
        <w:t xml:space="preserve">“(…) La correcta interpretación y alcance del artículo 52 del Decreto 2591 de 1991, parcialmente demandado de inexequibilidad,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 </w:t>
      </w:r>
      <w:r w:rsidRPr="00A003CD">
        <w:rPr>
          <w:rStyle w:val="Refdenotaalpie"/>
          <w:rFonts w:ascii="Verdana" w:hAnsi="Verdana" w:cs="Arial"/>
        </w:rPr>
        <w:footnoteReference w:id="5"/>
      </w:r>
      <w:r w:rsidRPr="00A003CD">
        <w:rPr>
          <w:rFonts w:ascii="Verdana" w:hAnsi="Verdana" w:cs="Arial"/>
        </w:rPr>
        <w:t>.</w:t>
      </w:r>
    </w:p>
    <w:p w:rsidR="00661F0C" w:rsidRPr="00F70EE0" w:rsidRDefault="00661F0C" w:rsidP="0086319F">
      <w:pPr>
        <w:spacing w:line="312" w:lineRule="auto"/>
        <w:ind w:right="1372"/>
        <w:jc w:val="both"/>
        <w:rPr>
          <w:rFonts w:ascii="Verdana" w:hAnsi="Verdana"/>
          <w:sz w:val="26"/>
          <w:szCs w:val="26"/>
        </w:rPr>
      </w:pPr>
    </w:p>
    <w:p w:rsidR="00F2439B" w:rsidRDefault="00A003CD" w:rsidP="00E81295">
      <w:pPr>
        <w:pStyle w:val="Textoindependiente"/>
        <w:spacing w:line="312" w:lineRule="auto"/>
        <w:jc w:val="both"/>
        <w:rPr>
          <w:rFonts w:ascii="Verdana" w:hAnsi="Verdana" w:cs="Arial"/>
          <w:sz w:val="26"/>
          <w:szCs w:val="26"/>
        </w:rPr>
      </w:pPr>
      <w:r>
        <w:rPr>
          <w:rFonts w:ascii="Verdana" w:hAnsi="Verdana" w:cs="Arial"/>
          <w:sz w:val="26"/>
          <w:szCs w:val="26"/>
        </w:rPr>
        <w:t xml:space="preserve">De allí, en el presente asunto se tiene que </w:t>
      </w:r>
      <w:r w:rsidR="00DA55C7">
        <w:rPr>
          <w:rFonts w:ascii="Verdana" w:hAnsi="Verdana" w:cs="Arial"/>
          <w:sz w:val="26"/>
          <w:szCs w:val="26"/>
        </w:rPr>
        <w:t>el Juez</w:t>
      </w:r>
      <w:r w:rsidR="008A169A" w:rsidRPr="00F70EE0">
        <w:rPr>
          <w:rFonts w:ascii="Verdana" w:hAnsi="Verdana" w:cs="Arial"/>
          <w:sz w:val="26"/>
          <w:szCs w:val="26"/>
        </w:rPr>
        <w:t xml:space="preserve"> de primer grado, </w:t>
      </w:r>
      <w:r>
        <w:rPr>
          <w:rFonts w:ascii="Verdana" w:hAnsi="Verdana" w:cs="Arial"/>
          <w:sz w:val="26"/>
          <w:szCs w:val="26"/>
        </w:rPr>
        <w:t xml:space="preserve">tuteló el derecho fundamental </w:t>
      </w:r>
      <w:r w:rsidR="00E40DF5">
        <w:rPr>
          <w:rFonts w:ascii="Verdana" w:hAnsi="Verdana" w:cs="Arial"/>
          <w:sz w:val="26"/>
          <w:szCs w:val="26"/>
        </w:rPr>
        <w:t>a la salud</w:t>
      </w:r>
      <w:r w:rsidR="008817D0">
        <w:rPr>
          <w:rFonts w:ascii="Verdana" w:hAnsi="Verdana" w:cs="Arial"/>
          <w:sz w:val="26"/>
          <w:szCs w:val="26"/>
        </w:rPr>
        <w:t xml:space="preserve"> </w:t>
      </w:r>
      <w:r w:rsidR="00C37264">
        <w:rPr>
          <w:rFonts w:ascii="Verdana" w:hAnsi="Verdana" w:cs="Arial"/>
          <w:sz w:val="26"/>
          <w:szCs w:val="26"/>
        </w:rPr>
        <w:t>de</w:t>
      </w:r>
      <w:r w:rsidR="004A4C5B">
        <w:rPr>
          <w:rFonts w:ascii="Verdana" w:hAnsi="Verdana" w:cs="Arial"/>
          <w:sz w:val="26"/>
          <w:szCs w:val="26"/>
        </w:rPr>
        <w:t xml:space="preserve"> </w:t>
      </w:r>
      <w:r w:rsidR="00C37264">
        <w:rPr>
          <w:rFonts w:ascii="Verdana" w:hAnsi="Verdana" w:cs="Arial"/>
          <w:sz w:val="26"/>
          <w:szCs w:val="26"/>
        </w:rPr>
        <w:t>l</w:t>
      </w:r>
      <w:r w:rsidR="004A4C5B">
        <w:rPr>
          <w:rFonts w:ascii="Verdana" w:hAnsi="Verdana" w:cs="Arial"/>
          <w:sz w:val="26"/>
          <w:szCs w:val="26"/>
        </w:rPr>
        <w:t>a</w:t>
      </w:r>
      <w:r w:rsidR="00C37264">
        <w:rPr>
          <w:rFonts w:ascii="Verdana" w:hAnsi="Verdana" w:cs="Arial"/>
          <w:sz w:val="26"/>
          <w:szCs w:val="26"/>
        </w:rPr>
        <w:t xml:space="preserve"> señor</w:t>
      </w:r>
      <w:r w:rsidR="004A4C5B">
        <w:rPr>
          <w:rFonts w:ascii="Verdana" w:hAnsi="Verdana" w:cs="Arial"/>
          <w:sz w:val="26"/>
          <w:szCs w:val="26"/>
        </w:rPr>
        <w:t>a</w:t>
      </w:r>
      <w:r w:rsidR="00DC0E9E">
        <w:rPr>
          <w:rFonts w:ascii="Verdana" w:hAnsi="Verdana" w:cs="Arial"/>
          <w:sz w:val="26"/>
          <w:szCs w:val="26"/>
        </w:rPr>
        <w:t xml:space="preserve"> </w:t>
      </w:r>
      <w:r w:rsidR="009A11B9">
        <w:rPr>
          <w:rFonts w:ascii="Verdana" w:hAnsi="Verdana" w:cs="Arial"/>
          <w:sz w:val="26"/>
          <w:szCs w:val="26"/>
        </w:rPr>
        <w:t>Alba Lucía González</w:t>
      </w:r>
      <w:r w:rsidR="00DA55C7">
        <w:rPr>
          <w:rFonts w:ascii="Verdana" w:hAnsi="Verdana" w:cs="Arial"/>
          <w:sz w:val="26"/>
          <w:szCs w:val="26"/>
        </w:rPr>
        <w:t xml:space="preserve"> </w:t>
      </w:r>
      <w:r>
        <w:rPr>
          <w:rFonts w:ascii="Verdana" w:hAnsi="Verdana" w:cs="Arial"/>
          <w:sz w:val="26"/>
          <w:szCs w:val="26"/>
        </w:rPr>
        <w:t xml:space="preserve">y en consecuencia </w:t>
      </w:r>
      <w:r w:rsidR="00F2439B">
        <w:rPr>
          <w:rFonts w:ascii="Verdana" w:hAnsi="Verdana" w:cs="Arial"/>
          <w:sz w:val="26"/>
          <w:szCs w:val="26"/>
        </w:rPr>
        <w:t xml:space="preserve">le </w:t>
      </w:r>
      <w:r w:rsidR="008159D1">
        <w:rPr>
          <w:rFonts w:ascii="Verdana" w:hAnsi="Verdana" w:cs="Arial"/>
          <w:sz w:val="26"/>
          <w:szCs w:val="26"/>
        </w:rPr>
        <w:t>ordenó a</w:t>
      </w:r>
      <w:r w:rsidR="008A169A" w:rsidRPr="00F70EE0">
        <w:rPr>
          <w:rFonts w:ascii="Verdana" w:hAnsi="Verdana" w:cs="Arial"/>
          <w:sz w:val="26"/>
          <w:szCs w:val="26"/>
        </w:rPr>
        <w:t xml:space="preserve"> </w:t>
      </w:r>
      <w:r w:rsidR="00DA55C7">
        <w:rPr>
          <w:rFonts w:ascii="Verdana" w:hAnsi="Verdana" w:cs="Arial"/>
          <w:sz w:val="26"/>
          <w:szCs w:val="26"/>
        </w:rPr>
        <w:t>la Nueva EPS</w:t>
      </w:r>
      <w:r w:rsidR="008A169A" w:rsidRPr="00F70EE0">
        <w:rPr>
          <w:rFonts w:ascii="Verdana" w:hAnsi="Verdana" w:cs="Arial"/>
          <w:sz w:val="26"/>
          <w:szCs w:val="26"/>
        </w:rPr>
        <w:t>,</w:t>
      </w:r>
      <w:r w:rsidR="00F2439B">
        <w:rPr>
          <w:rFonts w:ascii="Verdana" w:hAnsi="Verdana" w:cs="Arial"/>
          <w:sz w:val="26"/>
          <w:szCs w:val="26"/>
        </w:rPr>
        <w:t xml:space="preserve"> </w:t>
      </w:r>
      <w:r w:rsidR="00DA55C7">
        <w:rPr>
          <w:rFonts w:ascii="Verdana" w:hAnsi="Verdana" w:cs="Arial"/>
          <w:sz w:val="26"/>
          <w:szCs w:val="26"/>
        </w:rPr>
        <w:t xml:space="preserve">brindarle un tratamiento integral, eficiente y oportuno para la atención de </w:t>
      </w:r>
      <w:r w:rsidR="004A4C5B">
        <w:rPr>
          <w:rFonts w:ascii="Verdana" w:hAnsi="Verdana" w:cs="Arial"/>
          <w:sz w:val="26"/>
          <w:szCs w:val="26"/>
        </w:rPr>
        <w:t xml:space="preserve">su </w:t>
      </w:r>
      <w:r w:rsidR="009A11B9">
        <w:rPr>
          <w:rFonts w:ascii="Verdana" w:hAnsi="Verdana" w:cs="Arial"/>
          <w:sz w:val="26"/>
          <w:szCs w:val="26"/>
        </w:rPr>
        <w:t>patología, esto es tiroides</w:t>
      </w:r>
      <w:r w:rsidR="004A4C5B">
        <w:rPr>
          <w:rFonts w:ascii="Verdana" w:hAnsi="Verdana" w:cs="Arial"/>
          <w:sz w:val="26"/>
          <w:szCs w:val="26"/>
        </w:rPr>
        <w:t>.</w:t>
      </w:r>
    </w:p>
    <w:p w:rsidR="008A169A" w:rsidRPr="00F70EE0" w:rsidRDefault="008A169A" w:rsidP="002F32D3">
      <w:pPr>
        <w:spacing w:line="312" w:lineRule="auto"/>
        <w:ind w:right="-34"/>
        <w:jc w:val="both"/>
        <w:rPr>
          <w:rFonts w:ascii="Verdana" w:hAnsi="Verdana" w:cs="Arial"/>
          <w:sz w:val="26"/>
          <w:szCs w:val="26"/>
        </w:rPr>
      </w:pPr>
    </w:p>
    <w:p w:rsidR="008A169A" w:rsidRDefault="006A3599" w:rsidP="00E81295">
      <w:pPr>
        <w:spacing w:line="312" w:lineRule="auto"/>
        <w:ind w:right="-34"/>
        <w:jc w:val="both"/>
        <w:rPr>
          <w:rFonts w:ascii="Verdana" w:hAnsi="Verdana" w:cs="Arial"/>
          <w:sz w:val="26"/>
          <w:szCs w:val="26"/>
        </w:rPr>
      </w:pPr>
      <w:r>
        <w:rPr>
          <w:rFonts w:ascii="Verdana" w:hAnsi="Verdana" w:cs="Arial"/>
          <w:sz w:val="26"/>
          <w:szCs w:val="26"/>
        </w:rPr>
        <w:t>La decisión prea</w:t>
      </w:r>
      <w:r w:rsidR="009A11B9">
        <w:rPr>
          <w:rFonts w:ascii="Verdana" w:hAnsi="Verdana" w:cs="Arial"/>
          <w:sz w:val="26"/>
          <w:szCs w:val="26"/>
        </w:rPr>
        <w:t>ludida está calendada el 22</w:t>
      </w:r>
      <w:r w:rsidR="004A4C5B">
        <w:rPr>
          <w:rFonts w:ascii="Verdana" w:hAnsi="Verdana" w:cs="Arial"/>
          <w:sz w:val="26"/>
          <w:szCs w:val="26"/>
        </w:rPr>
        <w:t xml:space="preserve"> de </w:t>
      </w:r>
      <w:r w:rsidR="009A11B9">
        <w:rPr>
          <w:rFonts w:ascii="Verdana" w:hAnsi="Verdana" w:cs="Arial"/>
          <w:sz w:val="26"/>
          <w:szCs w:val="26"/>
        </w:rPr>
        <w:t>diciembre de 2010</w:t>
      </w:r>
      <w:r w:rsidR="008A169A" w:rsidRPr="00F70EE0">
        <w:rPr>
          <w:rFonts w:ascii="Verdana" w:hAnsi="Verdana" w:cs="Arial"/>
          <w:sz w:val="26"/>
          <w:szCs w:val="26"/>
        </w:rPr>
        <w:t xml:space="preserve">, pero </w:t>
      </w:r>
      <w:r w:rsidR="00C37264">
        <w:rPr>
          <w:rFonts w:ascii="Verdana" w:hAnsi="Verdana" w:cs="Arial"/>
          <w:sz w:val="26"/>
          <w:szCs w:val="26"/>
        </w:rPr>
        <w:t xml:space="preserve">a pesar de ello, </w:t>
      </w:r>
      <w:r w:rsidR="009A11B9">
        <w:rPr>
          <w:rFonts w:ascii="Verdana" w:hAnsi="Verdana" w:cs="Arial"/>
          <w:sz w:val="26"/>
          <w:szCs w:val="26"/>
        </w:rPr>
        <w:t>en el mes de febrero y luego en el mes de mayo</w:t>
      </w:r>
      <w:r w:rsidR="004A4C5B">
        <w:rPr>
          <w:rFonts w:ascii="Verdana" w:hAnsi="Verdana" w:cs="Arial"/>
          <w:sz w:val="26"/>
          <w:szCs w:val="26"/>
        </w:rPr>
        <w:t xml:space="preserve"> de 2015, esto es </w:t>
      </w:r>
      <w:r w:rsidR="009A11B9">
        <w:rPr>
          <w:rFonts w:ascii="Verdana" w:hAnsi="Verdana" w:cs="Arial"/>
          <w:sz w:val="26"/>
          <w:szCs w:val="26"/>
        </w:rPr>
        <w:t>cuatro</w:t>
      </w:r>
      <w:r w:rsidR="004A4C5B">
        <w:rPr>
          <w:rFonts w:ascii="Verdana" w:hAnsi="Verdana" w:cs="Arial"/>
          <w:sz w:val="26"/>
          <w:szCs w:val="26"/>
        </w:rPr>
        <w:t xml:space="preserve"> años después,</w:t>
      </w:r>
      <w:r w:rsidR="00C37264">
        <w:rPr>
          <w:rFonts w:ascii="Verdana" w:hAnsi="Verdana" w:cs="Arial"/>
          <w:sz w:val="26"/>
          <w:szCs w:val="26"/>
        </w:rPr>
        <w:t xml:space="preserve"> </w:t>
      </w:r>
      <w:r w:rsidR="004A4C5B">
        <w:rPr>
          <w:rFonts w:ascii="Verdana" w:hAnsi="Verdana" w:cs="Arial"/>
          <w:sz w:val="26"/>
          <w:szCs w:val="26"/>
        </w:rPr>
        <w:t>la</w:t>
      </w:r>
      <w:r w:rsidR="00C37264">
        <w:rPr>
          <w:rFonts w:ascii="Verdana" w:hAnsi="Verdana" w:cs="Arial"/>
          <w:sz w:val="26"/>
          <w:szCs w:val="26"/>
        </w:rPr>
        <w:t xml:space="preserve"> actor</w:t>
      </w:r>
      <w:r w:rsidR="004A4C5B">
        <w:rPr>
          <w:rFonts w:ascii="Verdana" w:hAnsi="Verdana" w:cs="Arial"/>
          <w:sz w:val="26"/>
          <w:szCs w:val="26"/>
        </w:rPr>
        <w:t>a</w:t>
      </w:r>
      <w:r w:rsidR="00DA55C7">
        <w:rPr>
          <w:rFonts w:ascii="Verdana" w:hAnsi="Verdana" w:cs="Arial"/>
          <w:sz w:val="26"/>
          <w:szCs w:val="26"/>
        </w:rPr>
        <w:t xml:space="preserve"> </w:t>
      </w:r>
      <w:r w:rsidR="00E40DF5">
        <w:rPr>
          <w:rFonts w:ascii="Verdana" w:hAnsi="Verdana" w:cs="Arial"/>
          <w:sz w:val="26"/>
          <w:szCs w:val="26"/>
        </w:rPr>
        <w:t xml:space="preserve">informó que </w:t>
      </w:r>
      <w:r w:rsidR="00B96FFC">
        <w:rPr>
          <w:rFonts w:ascii="Verdana" w:hAnsi="Verdana" w:cs="Arial"/>
          <w:sz w:val="26"/>
          <w:szCs w:val="26"/>
        </w:rPr>
        <w:t>la entidad de salud accio</w:t>
      </w:r>
      <w:r w:rsidR="00C37264">
        <w:rPr>
          <w:rFonts w:ascii="Verdana" w:hAnsi="Verdana" w:cs="Arial"/>
          <w:sz w:val="26"/>
          <w:szCs w:val="26"/>
        </w:rPr>
        <w:t xml:space="preserve">nada no estaba cumpliendo, puesto que </w:t>
      </w:r>
      <w:r w:rsidR="004A4C5B">
        <w:rPr>
          <w:rFonts w:ascii="Verdana" w:hAnsi="Verdana" w:cs="Arial"/>
          <w:sz w:val="26"/>
          <w:szCs w:val="26"/>
        </w:rPr>
        <w:t xml:space="preserve">no le autorizaba </w:t>
      </w:r>
      <w:r w:rsidR="00735AF5">
        <w:rPr>
          <w:rFonts w:ascii="Verdana" w:hAnsi="Verdana" w:cs="Arial"/>
          <w:sz w:val="26"/>
          <w:szCs w:val="26"/>
        </w:rPr>
        <w:t>unos medicamentos y unos exámenes necesarios los primeros para el control de su patología y los segundos para conocer el estado y avance de la enfermedad</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735AF5">
        <w:rPr>
          <w:rFonts w:ascii="Verdana" w:hAnsi="Verdana" w:cs="Arial"/>
          <w:sz w:val="26"/>
          <w:szCs w:val="26"/>
        </w:rPr>
        <w:t>el</w:t>
      </w:r>
      <w:r w:rsidR="004A4C5B">
        <w:rPr>
          <w:rFonts w:ascii="Verdana" w:hAnsi="Verdana" w:cs="Arial"/>
          <w:sz w:val="26"/>
          <w:szCs w:val="26"/>
        </w:rPr>
        <w:t xml:space="preserve"> </w:t>
      </w:r>
      <w:r w:rsidR="00B96FFC">
        <w:rPr>
          <w:rFonts w:ascii="Verdana" w:hAnsi="Verdana" w:cs="Arial"/>
          <w:sz w:val="26"/>
          <w:szCs w:val="26"/>
        </w:rPr>
        <w:t>señor</w:t>
      </w:r>
      <w:r w:rsidR="008A169A" w:rsidRPr="00F70EE0">
        <w:rPr>
          <w:rFonts w:ascii="Verdana" w:hAnsi="Verdana" w:cs="Arial"/>
          <w:sz w:val="26"/>
          <w:szCs w:val="26"/>
        </w:rPr>
        <w:t xml:space="preserve"> Juez de conocimiento decidió iniciar el respectivo incidente, </w:t>
      </w:r>
      <w:r w:rsidR="00D9793C">
        <w:rPr>
          <w:rFonts w:ascii="Verdana" w:hAnsi="Verdana" w:cs="Arial"/>
          <w:sz w:val="26"/>
          <w:szCs w:val="26"/>
        </w:rPr>
        <w:t xml:space="preserve">sin obtener explicación </w:t>
      </w:r>
      <w:r w:rsidR="00F66602">
        <w:rPr>
          <w:rFonts w:ascii="Verdana" w:hAnsi="Verdana" w:cs="Arial"/>
          <w:sz w:val="26"/>
          <w:szCs w:val="26"/>
        </w:rPr>
        <w:t>satisfactoria</w:t>
      </w:r>
      <w:r w:rsidR="00D9793C">
        <w:rPr>
          <w:rFonts w:ascii="Verdana" w:hAnsi="Verdana" w:cs="Arial"/>
          <w:sz w:val="26"/>
          <w:szCs w:val="26"/>
        </w:rPr>
        <w:t xml:space="preserve"> por parte de la entidad accionada.</w:t>
      </w:r>
    </w:p>
    <w:p w:rsidR="00C37264" w:rsidRPr="00F70EE0" w:rsidRDefault="00C37264" w:rsidP="00DC0E9E">
      <w:pPr>
        <w:spacing w:line="360" w:lineRule="auto"/>
        <w:ind w:right="-34"/>
        <w:jc w:val="both"/>
        <w:rPr>
          <w:rFonts w:ascii="Verdana" w:hAnsi="Verdana" w:cs="Arial"/>
          <w:sz w:val="26"/>
          <w:szCs w:val="26"/>
        </w:rPr>
      </w:pPr>
    </w:p>
    <w:p w:rsidR="00E42AA4" w:rsidRPr="00F70EE0" w:rsidRDefault="00D9793C" w:rsidP="00735AF5">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735AF5">
        <w:rPr>
          <w:rFonts w:ascii="Verdana" w:hAnsi="Verdana" w:cs="Arial"/>
          <w:sz w:val="26"/>
          <w:szCs w:val="26"/>
        </w:rPr>
        <w:t>7 de julio</w:t>
      </w:r>
      <w:r w:rsidR="00C37264">
        <w:rPr>
          <w:rFonts w:ascii="Verdana" w:hAnsi="Verdana" w:cs="Arial"/>
          <w:sz w:val="26"/>
          <w:szCs w:val="26"/>
        </w:rPr>
        <w:t xml:space="preserve"> de 2015</w:t>
      </w:r>
      <w:r>
        <w:rPr>
          <w:rFonts w:ascii="Verdana" w:hAnsi="Verdana" w:cs="Arial"/>
          <w:sz w:val="26"/>
          <w:szCs w:val="26"/>
        </w:rPr>
        <w:t>, el Despacho de conocimien</w:t>
      </w:r>
      <w:r w:rsidR="00B20E4F">
        <w:rPr>
          <w:rFonts w:ascii="Verdana" w:hAnsi="Verdana" w:cs="Arial"/>
          <w:sz w:val="26"/>
          <w:szCs w:val="26"/>
        </w:rPr>
        <w:t>to ordenara sancionar a</w:t>
      </w:r>
      <w:r w:rsidR="00B96FFC">
        <w:rPr>
          <w:rFonts w:ascii="Verdana" w:hAnsi="Verdana" w:cs="Arial"/>
          <w:sz w:val="26"/>
          <w:szCs w:val="26"/>
        </w:rPr>
        <w:t xml:space="preserve"> </w:t>
      </w:r>
      <w:r w:rsidR="00B20E4F">
        <w:rPr>
          <w:rFonts w:ascii="Verdana" w:hAnsi="Verdana" w:cs="Arial"/>
          <w:sz w:val="26"/>
          <w:szCs w:val="26"/>
        </w:rPr>
        <w:t>l</w:t>
      </w:r>
      <w:r w:rsidR="00B96FFC">
        <w:rPr>
          <w:rFonts w:ascii="Verdana" w:hAnsi="Verdana" w:cs="Arial"/>
          <w:sz w:val="26"/>
          <w:szCs w:val="26"/>
        </w:rPr>
        <w:t>a</w:t>
      </w:r>
      <w:r w:rsidR="00B20E4F">
        <w:rPr>
          <w:rFonts w:ascii="Verdana" w:hAnsi="Verdana" w:cs="Arial"/>
          <w:sz w:val="26"/>
          <w:szCs w:val="26"/>
        </w:rPr>
        <w:t xml:space="preserve"> </w:t>
      </w:r>
      <w:r w:rsidR="00337449">
        <w:rPr>
          <w:rFonts w:ascii="Verdana" w:hAnsi="Verdana" w:cs="Arial"/>
          <w:sz w:val="26"/>
          <w:szCs w:val="26"/>
        </w:rPr>
        <w:t>Dr</w:t>
      </w:r>
      <w:r w:rsidR="00B96FFC">
        <w:rPr>
          <w:rFonts w:ascii="Verdana" w:hAnsi="Verdana" w:cs="Arial"/>
          <w:sz w:val="26"/>
          <w:szCs w:val="26"/>
        </w:rPr>
        <w:t>a</w:t>
      </w:r>
      <w:r w:rsidR="00337449">
        <w:rPr>
          <w:rFonts w:ascii="Verdana" w:hAnsi="Verdana" w:cs="Arial"/>
          <w:sz w:val="26"/>
          <w:szCs w:val="26"/>
        </w:rPr>
        <w:t xml:space="preserve">. </w:t>
      </w:r>
      <w:r w:rsidR="00B96FFC">
        <w:rPr>
          <w:rFonts w:ascii="Verdana" w:hAnsi="Verdana" w:cs="Arial"/>
          <w:sz w:val="26"/>
          <w:szCs w:val="26"/>
        </w:rPr>
        <w:t>María Lorena Serna Montoya</w:t>
      </w:r>
      <w:r w:rsidR="00337449">
        <w:rPr>
          <w:rFonts w:ascii="Verdana" w:hAnsi="Verdana" w:cs="Arial"/>
          <w:sz w:val="26"/>
          <w:szCs w:val="26"/>
        </w:rPr>
        <w:t xml:space="preserve"> </w:t>
      </w:r>
      <w:r w:rsidR="00B96FFC">
        <w:rPr>
          <w:rFonts w:ascii="Verdana" w:hAnsi="Verdana" w:cs="Arial"/>
          <w:sz w:val="26"/>
          <w:szCs w:val="26"/>
        </w:rPr>
        <w:t>Gerente de la Nueva EPS</w:t>
      </w:r>
      <w:r w:rsidR="00B20E4F">
        <w:rPr>
          <w:rFonts w:ascii="Verdana" w:hAnsi="Verdana" w:cs="Arial"/>
          <w:sz w:val="26"/>
          <w:szCs w:val="26"/>
        </w:rPr>
        <w:t xml:space="preserve"> </w:t>
      </w:r>
      <w:r w:rsidR="00B96FFC">
        <w:rPr>
          <w:rFonts w:ascii="Verdana" w:hAnsi="Verdana" w:cs="Arial"/>
          <w:sz w:val="26"/>
          <w:szCs w:val="26"/>
        </w:rPr>
        <w:t>en la ciudad de Pereira</w:t>
      </w:r>
      <w:r w:rsidR="009F6EFF">
        <w:rPr>
          <w:rFonts w:ascii="Verdana" w:hAnsi="Verdana" w:cs="Arial"/>
          <w:sz w:val="26"/>
          <w:szCs w:val="26"/>
        </w:rPr>
        <w:t xml:space="preserve">, </w:t>
      </w:r>
      <w:r w:rsidR="00CD091D">
        <w:rPr>
          <w:rFonts w:ascii="Verdana" w:hAnsi="Verdana" w:cs="Arial"/>
          <w:sz w:val="26"/>
          <w:szCs w:val="26"/>
        </w:rPr>
        <w:t xml:space="preserve">y al Dr. José Fernando Cardona Uribe, Presidente de esa misma entidad, </w:t>
      </w:r>
      <w:r w:rsidR="009F6EFF">
        <w:rPr>
          <w:rFonts w:ascii="Verdana" w:hAnsi="Verdana" w:cs="Arial"/>
          <w:sz w:val="26"/>
          <w:szCs w:val="26"/>
        </w:rPr>
        <w:t>decisión que le</w:t>
      </w:r>
      <w:r w:rsidR="00CD091D">
        <w:rPr>
          <w:rFonts w:ascii="Verdana" w:hAnsi="Verdana" w:cs="Arial"/>
          <w:sz w:val="26"/>
          <w:szCs w:val="26"/>
        </w:rPr>
        <w:t>s</w:t>
      </w:r>
      <w:r>
        <w:rPr>
          <w:rFonts w:ascii="Verdana" w:hAnsi="Verdana" w:cs="Arial"/>
          <w:sz w:val="26"/>
          <w:szCs w:val="26"/>
        </w:rPr>
        <w:t xml:space="preserve"> fue</w:t>
      </w:r>
      <w:r w:rsidR="00622A0C">
        <w:rPr>
          <w:rFonts w:ascii="Verdana" w:hAnsi="Verdana" w:cs="Arial"/>
          <w:sz w:val="26"/>
          <w:szCs w:val="26"/>
        </w:rPr>
        <w:t>ra</w:t>
      </w:r>
      <w:r>
        <w:rPr>
          <w:rFonts w:ascii="Verdana" w:hAnsi="Verdana" w:cs="Arial"/>
          <w:sz w:val="26"/>
          <w:szCs w:val="26"/>
        </w:rPr>
        <w:t xml:space="preserve"> notificada </w:t>
      </w:r>
      <w:r w:rsidR="009F6EFF">
        <w:rPr>
          <w:rFonts w:ascii="Verdana" w:hAnsi="Verdana" w:cs="Arial"/>
          <w:sz w:val="26"/>
          <w:szCs w:val="26"/>
        </w:rPr>
        <w:t>mediante oficio</w:t>
      </w:r>
      <w:r>
        <w:rPr>
          <w:rFonts w:ascii="Verdana" w:hAnsi="Verdana" w:cs="Arial"/>
          <w:sz w:val="26"/>
          <w:szCs w:val="26"/>
        </w:rPr>
        <w:t xml:space="preserve">. </w:t>
      </w:r>
    </w:p>
    <w:p w:rsidR="00A175E4" w:rsidRDefault="00CD091D" w:rsidP="00E81295">
      <w:pPr>
        <w:spacing w:line="312" w:lineRule="auto"/>
        <w:jc w:val="both"/>
        <w:rPr>
          <w:rFonts w:ascii="Verdana" w:hAnsi="Verdana" w:cs="Arial"/>
          <w:sz w:val="26"/>
          <w:szCs w:val="26"/>
        </w:rPr>
      </w:pPr>
      <w:r>
        <w:rPr>
          <w:rFonts w:ascii="Verdana" w:hAnsi="Verdana" w:cs="Arial"/>
          <w:sz w:val="26"/>
          <w:szCs w:val="26"/>
        </w:rPr>
        <w:lastRenderedPageBreak/>
        <w:t>Finalmente</w:t>
      </w:r>
      <w:r w:rsidR="00A175E4">
        <w:rPr>
          <w:rFonts w:ascii="Verdana" w:hAnsi="Verdana" w:cs="Arial"/>
          <w:sz w:val="26"/>
          <w:szCs w:val="26"/>
        </w:rPr>
        <w:t xml:space="preserve">, la </w:t>
      </w:r>
      <w:r w:rsidR="00EF4C51">
        <w:rPr>
          <w:rFonts w:ascii="Verdana" w:hAnsi="Verdana" w:cs="Arial"/>
          <w:sz w:val="26"/>
          <w:szCs w:val="26"/>
        </w:rPr>
        <w:t>señora Alba Lucía en conversación telefónica sostenida con funcionaria judicial de este Despacho hizo saber que la entidad accionada, esto es La Nueva EPS, le ha autorizado y entregado todos los medicamentos y procedimientos que ha venido requiriendo para el control y tratamiento de la enfermedad que padece que es hipotiroidismo no especificado</w:t>
      </w:r>
      <w:r w:rsidR="00EF4C51">
        <w:rPr>
          <w:rStyle w:val="Refdenotaalpie"/>
          <w:rFonts w:ascii="Verdana" w:hAnsi="Verdana" w:cs="Arial"/>
          <w:sz w:val="26"/>
          <w:szCs w:val="26"/>
        </w:rPr>
        <w:footnoteReference w:id="6"/>
      </w:r>
      <w:r w:rsidR="004A4C5B">
        <w:rPr>
          <w:rFonts w:ascii="Verdana" w:hAnsi="Verdana" w:cs="Arial"/>
          <w:sz w:val="26"/>
          <w:szCs w:val="26"/>
        </w:rPr>
        <w:t xml:space="preserve">. </w:t>
      </w:r>
    </w:p>
    <w:p w:rsidR="00A175E4" w:rsidRDefault="00A175E4" w:rsidP="00DC0E9E">
      <w:pPr>
        <w:spacing w:line="360" w:lineRule="auto"/>
        <w:jc w:val="both"/>
        <w:rPr>
          <w:rFonts w:ascii="Verdana" w:hAnsi="Verdana" w:cs="Arial"/>
          <w:sz w:val="26"/>
          <w:szCs w:val="26"/>
        </w:rPr>
      </w:pPr>
    </w:p>
    <w:p w:rsidR="006224A6" w:rsidRDefault="008D1E41" w:rsidP="00E81295">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cuando quiera que aunque en forma tardía, se ha observado el mandamiento judicial.</w:t>
      </w:r>
      <w:r w:rsidR="00CD091D">
        <w:rPr>
          <w:rFonts w:ascii="Verdana" w:hAnsi="Verdana" w:cs="Arial"/>
          <w:sz w:val="26"/>
          <w:szCs w:val="26"/>
        </w:rPr>
        <w:t xml:space="preserve"> </w:t>
      </w:r>
    </w:p>
    <w:p w:rsidR="006224A6" w:rsidRDefault="006224A6" w:rsidP="00E81295">
      <w:pPr>
        <w:spacing w:line="312" w:lineRule="auto"/>
        <w:jc w:val="both"/>
        <w:rPr>
          <w:rFonts w:ascii="Verdana" w:hAnsi="Verdana" w:cs="Arial"/>
          <w:sz w:val="26"/>
          <w:szCs w:val="26"/>
        </w:rPr>
      </w:pPr>
    </w:p>
    <w:p w:rsidR="00DE2CB9" w:rsidRDefault="00CD091D" w:rsidP="00E81295">
      <w:pPr>
        <w:spacing w:line="312" w:lineRule="auto"/>
        <w:jc w:val="both"/>
        <w:rPr>
          <w:rFonts w:ascii="Verdana" w:hAnsi="Verdana" w:cs="Arial"/>
          <w:sz w:val="26"/>
          <w:szCs w:val="26"/>
        </w:rPr>
      </w:pPr>
      <w:r>
        <w:rPr>
          <w:rFonts w:ascii="Verdana" w:hAnsi="Verdana" w:cs="Arial"/>
          <w:sz w:val="26"/>
          <w:szCs w:val="26"/>
        </w:rPr>
        <w:t xml:space="preserve">Por tanto, </w:t>
      </w:r>
      <w:r w:rsidR="0009391C">
        <w:rPr>
          <w:rFonts w:ascii="Verdana" w:hAnsi="Verdana" w:cs="Arial"/>
          <w:sz w:val="26"/>
          <w:szCs w:val="26"/>
        </w:rPr>
        <w:t>c</w:t>
      </w:r>
      <w:r w:rsidR="00C70A2F" w:rsidRPr="00F70EE0">
        <w:rPr>
          <w:rFonts w:ascii="Verdana" w:hAnsi="Verdana" w:cs="Arial"/>
          <w:sz w:val="26"/>
          <w:szCs w:val="26"/>
        </w:rPr>
        <w:t xml:space="preserve">omo con </w:t>
      </w:r>
      <w:r>
        <w:rPr>
          <w:rFonts w:ascii="Verdana" w:hAnsi="Verdana" w:cs="Arial"/>
          <w:sz w:val="26"/>
          <w:szCs w:val="26"/>
        </w:rPr>
        <w:t xml:space="preserve">la materialización </w:t>
      </w:r>
      <w:r w:rsidR="006224A6">
        <w:rPr>
          <w:rFonts w:ascii="Verdana" w:hAnsi="Verdana" w:cs="Arial"/>
          <w:sz w:val="26"/>
          <w:szCs w:val="26"/>
        </w:rPr>
        <w:t xml:space="preserve">de </w:t>
      </w:r>
      <w:r w:rsidR="00EF4C51">
        <w:rPr>
          <w:rFonts w:ascii="Verdana" w:hAnsi="Verdana" w:cs="Arial"/>
          <w:sz w:val="26"/>
          <w:szCs w:val="26"/>
        </w:rPr>
        <w:t xml:space="preserve">la entrega de los medicamentos y la autorización y realización de los exámenes médicos </w:t>
      </w:r>
      <w:r w:rsidR="00C70A2F" w:rsidRPr="00F70EE0">
        <w:rPr>
          <w:rFonts w:ascii="Verdana" w:hAnsi="Verdana" w:cs="Arial"/>
          <w:sz w:val="26"/>
          <w:szCs w:val="26"/>
        </w:rPr>
        <w:t>por</w:t>
      </w:r>
      <w:r w:rsidR="00E42AA4">
        <w:rPr>
          <w:rFonts w:ascii="Verdana" w:hAnsi="Verdana" w:cs="Arial"/>
          <w:sz w:val="26"/>
          <w:szCs w:val="26"/>
        </w:rPr>
        <w:t xml:space="preserve"> parte</w:t>
      </w:r>
      <w:r w:rsidR="00C70A2F" w:rsidRPr="00F70EE0">
        <w:rPr>
          <w:rFonts w:ascii="Verdana" w:hAnsi="Verdana" w:cs="Arial"/>
          <w:sz w:val="26"/>
          <w:szCs w:val="26"/>
        </w:rPr>
        <w:t xml:space="preserve"> </w:t>
      </w:r>
      <w:r w:rsidR="00E42AA4">
        <w:rPr>
          <w:rFonts w:ascii="Verdana" w:hAnsi="Verdana" w:cs="Arial"/>
          <w:sz w:val="26"/>
          <w:szCs w:val="26"/>
        </w:rPr>
        <w:t>d</w:t>
      </w:r>
      <w:r w:rsidR="00C70A2F" w:rsidRPr="00F70EE0">
        <w:rPr>
          <w:rFonts w:ascii="Verdana" w:hAnsi="Verdana" w:cs="Arial"/>
          <w:sz w:val="26"/>
          <w:szCs w:val="26"/>
        </w:rPr>
        <w:t>el ente incidentado se desdibuja la figura de la desobed</w:t>
      </w:r>
      <w:r w:rsidR="003C28BF">
        <w:rPr>
          <w:rFonts w:ascii="Verdana" w:hAnsi="Verdana" w:cs="Arial"/>
          <w:sz w:val="26"/>
          <w:szCs w:val="26"/>
        </w:rPr>
        <w:t>iencia judicial</w:t>
      </w:r>
      <w:r>
        <w:rPr>
          <w:rFonts w:ascii="Verdana" w:hAnsi="Verdana" w:cs="Arial"/>
          <w:sz w:val="26"/>
          <w:szCs w:val="26"/>
        </w:rPr>
        <w:t>, en lo que respecta a ese asunto,</w:t>
      </w:r>
      <w:r w:rsidR="003C28BF">
        <w:rPr>
          <w:rFonts w:ascii="Verdana" w:hAnsi="Verdana" w:cs="Arial"/>
          <w:sz w:val="26"/>
          <w:szCs w:val="26"/>
        </w:rPr>
        <w:t xml:space="preserve"> por parte </w:t>
      </w:r>
      <w:r w:rsidR="00EF4C51">
        <w:rPr>
          <w:rFonts w:ascii="Verdana" w:hAnsi="Verdana" w:cs="Arial"/>
          <w:sz w:val="26"/>
          <w:szCs w:val="26"/>
        </w:rPr>
        <w:t>de los</w:t>
      </w:r>
      <w:r w:rsidR="00A175E4">
        <w:rPr>
          <w:rFonts w:ascii="Verdana" w:hAnsi="Verdana" w:cs="Arial"/>
          <w:sz w:val="26"/>
          <w:szCs w:val="26"/>
        </w:rPr>
        <w:t xml:space="preserve"> fun</w:t>
      </w:r>
      <w:r w:rsidR="00EF4C51">
        <w:rPr>
          <w:rFonts w:ascii="Verdana" w:hAnsi="Verdana" w:cs="Arial"/>
          <w:sz w:val="26"/>
          <w:szCs w:val="26"/>
        </w:rPr>
        <w:t xml:space="preserve">cionarios sancionados; por ello </w:t>
      </w:r>
      <w:r w:rsidR="00C70A2F" w:rsidRPr="00F70EE0">
        <w:rPr>
          <w:rFonts w:ascii="Verdana" w:hAnsi="Verdana" w:cs="Arial"/>
          <w:sz w:val="26"/>
          <w:szCs w:val="26"/>
        </w:rPr>
        <w:t>es de j</w:t>
      </w:r>
      <w:r w:rsidR="003C28BF">
        <w:rPr>
          <w:rFonts w:ascii="Verdana" w:hAnsi="Verdana" w:cs="Arial"/>
          <w:sz w:val="26"/>
          <w:szCs w:val="26"/>
        </w:rPr>
        <w:t>usticia abstenerse de imponerle</w:t>
      </w:r>
      <w:r w:rsidR="0009391C">
        <w:rPr>
          <w:rFonts w:ascii="Verdana" w:hAnsi="Verdana" w:cs="Arial"/>
          <w:sz w:val="26"/>
          <w:szCs w:val="26"/>
        </w:rPr>
        <w:t>s</w:t>
      </w:r>
      <w:r w:rsidR="00C70A2F" w:rsidRPr="00F70EE0">
        <w:rPr>
          <w:rFonts w:ascii="Verdana" w:hAnsi="Verdana" w:cs="Arial"/>
          <w:sz w:val="26"/>
          <w:szCs w:val="26"/>
        </w:rPr>
        <w:t xml:space="preserve"> cualquier tipo de sanción y por contera la decisión consultada habrá de revocarse,</w:t>
      </w:r>
      <w:r w:rsidR="008D1E41">
        <w:rPr>
          <w:rFonts w:ascii="Verdana" w:hAnsi="Verdana" w:cs="Arial"/>
          <w:sz w:val="26"/>
          <w:szCs w:val="26"/>
        </w:rPr>
        <w:t xml:space="preserve"> </w:t>
      </w:r>
      <w:r w:rsidR="00C70A2F" w:rsidRPr="00F70EE0">
        <w:rPr>
          <w:rFonts w:ascii="Verdana" w:hAnsi="Verdana" w:cs="Arial"/>
          <w:sz w:val="26"/>
          <w:szCs w:val="26"/>
        </w:rPr>
        <w:t xml:space="preserve">puesto que los fundamentos fácticos y jurídicos que dieron lugar a su expedición, fueron desnaturalizados con la actividad de la </w:t>
      </w:r>
      <w:r w:rsidR="00A175E4">
        <w:rPr>
          <w:rFonts w:ascii="Verdana" w:hAnsi="Verdana" w:cs="Arial"/>
          <w:sz w:val="26"/>
          <w:szCs w:val="26"/>
        </w:rPr>
        <w:t>Nueva EPS.</w:t>
      </w:r>
    </w:p>
    <w:p w:rsidR="0086319F" w:rsidRDefault="0086319F" w:rsidP="00DC0E9E">
      <w:pPr>
        <w:pStyle w:val="Textoindependiente"/>
        <w:spacing w:line="360" w:lineRule="auto"/>
        <w:rPr>
          <w:rFonts w:ascii="Verdana" w:hAnsi="Verdana" w:cs="Arial"/>
          <w:b/>
          <w:sz w:val="26"/>
          <w:szCs w:val="26"/>
        </w:rPr>
      </w:pPr>
    </w:p>
    <w:p w:rsidR="00E81295" w:rsidRPr="00F70EE0" w:rsidRDefault="00E81295" w:rsidP="00DC0E9E">
      <w:pPr>
        <w:pStyle w:val="Textoindependiente"/>
        <w:spacing w:line="360" w:lineRule="auto"/>
        <w:rPr>
          <w:rFonts w:ascii="Verdana" w:hAnsi="Verdana" w:cs="Arial"/>
          <w:b/>
          <w:sz w:val="26"/>
          <w:szCs w:val="26"/>
        </w:rPr>
      </w:pPr>
    </w:p>
    <w:p w:rsidR="00A175E4" w:rsidRDefault="00661F0C" w:rsidP="00E81295">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En mérito de lo discurrido, El Tribunal Superior del Distrito Judicial de Pereira, en Sala de Decisión Penal, </w:t>
      </w:r>
    </w:p>
    <w:p w:rsidR="00E81295" w:rsidRDefault="00E8129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E81295" w:rsidRPr="00F70EE0" w:rsidRDefault="00E81295" w:rsidP="00DC0E9E">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A175E4" w:rsidRPr="00F70EE0" w:rsidRDefault="00661F0C" w:rsidP="00A175E4">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EF4C51">
      <w:pPr>
        <w:widowControl w:val="0"/>
        <w:tabs>
          <w:tab w:val="left" w:pos="7920"/>
          <w:tab w:val="left" w:pos="8100"/>
          <w:tab w:val="left" w:pos="8280"/>
          <w:tab w:val="left" w:pos="8640"/>
        </w:tabs>
        <w:autoSpaceDE w:val="0"/>
        <w:autoSpaceDN w:val="0"/>
        <w:adjustRightInd w:val="0"/>
        <w:spacing w:line="360" w:lineRule="auto"/>
        <w:jc w:val="both"/>
        <w:rPr>
          <w:rFonts w:ascii="Verdana" w:hAnsi="Verdana" w:cs="Arial"/>
          <w:sz w:val="26"/>
          <w:szCs w:val="26"/>
        </w:rPr>
      </w:pPr>
    </w:p>
    <w:p w:rsidR="0086319F" w:rsidRDefault="00F7722F"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EF4C51">
        <w:rPr>
          <w:rFonts w:ascii="Verdana" w:hAnsi="Verdana" w:cs="Arial"/>
          <w:sz w:val="26"/>
          <w:szCs w:val="26"/>
        </w:rPr>
        <w:t>7 de jul</w:t>
      </w:r>
      <w:r w:rsidR="006224A6">
        <w:rPr>
          <w:rFonts w:ascii="Verdana" w:hAnsi="Verdana" w:cs="Arial"/>
          <w:sz w:val="26"/>
          <w:szCs w:val="26"/>
        </w:rPr>
        <w:t>io</w:t>
      </w:r>
      <w:r w:rsidR="00E81295">
        <w:rPr>
          <w:rFonts w:ascii="Verdana" w:hAnsi="Verdana" w:cs="Arial"/>
          <w:sz w:val="26"/>
          <w:szCs w:val="26"/>
        </w:rPr>
        <w:t xml:space="preserve"> de 2015</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EF4C51">
        <w:rPr>
          <w:rFonts w:ascii="Verdana" w:hAnsi="Verdana" w:cs="Arial"/>
          <w:sz w:val="26"/>
          <w:szCs w:val="26"/>
        </w:rPr>
        <w:t>Segundo de Ejecución de Penas y Medidas de Seguridad de Pereira</w:t>
      </w:r>
      <w:r w:rsidR="00E42AA4" w:rsidRPr="00F70EE0">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DC0E9E">
        <w:rPr>
          <w:rFonts w:ascii="Verdana" w:hAnsi="Verdana" w:cs="Arial"/>
          <w:b/>
          <w:sz w:val="26"/>
          <w:szCs w:val="26"/>
        </w:rPr>
        <w:t xml:space="preserve">DOCTORA </w:t>
      </w:r>
      <w:r w:rsidR="00DC0E9E" w:rsidRPr="00DC0E9E">
        <w:rPr>
          <w:rFonts w:ascii="Verdana" w:hAnsi="Verdana" w:cs="Arial"/>
          <w:b/>
          <w:sz w:val="26"/>
          <w:szCs w:val="26"/>
        </w:rPr>
        <w:t>MARÍA LORENA SERNA MONTOYA</w:t>
      </w:r>
      <w:r w:rsidR="00DC0E9E">
        <w:rPr>
          <w:rFonts w:ascii="Verdana" w:hAnsi="Verdana" w:cs="Arial"/>
          <w:b/>
          <w:sz w:val="26"/>
          <w:szCs w:val="26"/>
        </w:rPr>
        <w:t>,</w:t>
      </w:r>
      <w:r w:rsidR="00DC0E9E" w:rsidRPr="00DC0E9E">
        <w:rPr>
          <w:rFonts w:ascii="Verdana" w:hAnsi="Verdana" w:cs="Arial"/>
          <w:b/>
          <w:sz w:val="26"/>
          <w:szCs w:val="26"/>
        </w:rPr>
        <w:t xml:space="preserve"> GERENTE DE LA NUEVA EPS EN LA CIUDAD DE PEREIRA</w:t>
      </w:r>
      <w:r w:rsidR="00DC0E9E">
        <w:rPr>
          <w:rFonts w:ascii="Verdana" w:hAnsi="Verdana" w:cs="Arial"/>
          <w:b/>
          <w:sz w:val="26"/>
          <w:szCs w:val="26"/>
        </w:rPr>
        <w:t xml:space="preserve">, </w:t>
      </w:r>
      <w:r w:rsidR="00E81295" w:rsidRPr="00E81295">
        <w:rPr>
          <w:rFonts w:ascii="Verdana" w:hAnsi="Verdana" w:cs="Arial"/>
          <w:b/>
          <w:sz w:val="26"/>
          <w:szCs w:val="26"/>
        </w:rPr>
        <w:t xml:space="preserve">y </w:t>
      </w:r>
      <w:r w:rsidR="00E81295" w:rsidRPr="00E81295">
        <w:rPr>
          <w:rFonts w:ascii="Verdana" w:hAnsi="Verdana" w:cs="Arial"/>
          <w:b/>
          <w:sz w:val="26"/>
          <w:szCs w:val="26"/>
        </w:rPr>
        <w:lastRenderedPageBreak/>
        <w:t>al DR. JOSÉ FERNANDO CARDONA URIBE, PRESIDENTE DE ESA MISMA ENTIDAD</w:t>
      </w:r>
      <w:r w:rsidR="00E81295">
        <w:rPr>
          <w:rFonts w:ascii="Verdana" w:hAnsi="Verdana" w:cs="Arial"/>
          <w:b/>
          <w:sz w:val="26"/>
          <w:szCs w:val="26"/>
        </w:rPr>
        <w:t>,</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6224A6">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DC0E9E">
      <w:pPr>
        <w:widowControl w:val="0"/>
        <w:autoSpaceDE w:val="0"/>
        <w:autoSpaceDN w:val="0"/>
        <w:adjustRightInd w:val="0"/>
        <w:spacing w:line="360"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E81295">
      <w:pPr>
        <w:rPr>
          <w:rFonts w:ascii="Verdana" w:hAnsi="Verdana" w:cs="Arial"/>
          <w:sz w:val="26"/>
          <w:szCs w:val="26"/>
        </w:rPr>
      </w:pPr>
    </w:p>
    <w:p w:rsidR="00AD7212" w:rsidRPr="00F70EE0" w:rsidRDefault="00AD7212" w:rsidP="0086319F">
      <w:pPr>
        <w:pStyle w:val="Ttulo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D43FE3" w:rsidRDefault="00D43FE3" w:rsidP="00E42AA4">
      <w:pPr>
        <w:spacing w:line="312" w:lineRule="auto"/>
        <w:rPr>
          <w:rFonts w:ascii="Verdana" w:hAnsi="Verdana" w:cs="Arial"/>
          <w:sz w:val="26"/>
          <w:szCs w:val="26"/>
          <w:lang w:val="es-ES_tradnl"/>
        </w:rPr>
      </w:pPr>
    </w:p>
    <w:p w:rsidR="003C28BF" w:rsidRDefault="003C28BF" w:rsidP="00E81295">
      <w:pPr>
        <w:spacing w:line="312" w:lineRule="auto"/>
        <w:jc w:val="center"/>
        <w:rPr>
          <w:rFonts w:ascii="Verdana" w:hAnsi="Verdana" w:cs="Arial"/>
          <w:sz w:val="26"/>
          <w:szCs w:val="26"/>
          <w:lang w:val="es-ES_tradnl"/>
        </w:rPr>
      </w:pPr>
    </w:p>
    <w:p w:rsidR="00E81295" w:rsidRDefault="00E81295" w:rsidP="00E81295">
      <w:pPr>
        <w:spacing w:line="312" w:lineRule="auto"/>
        <w:jc w:val="center"/>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E81295" w:rsidRPr="00E50095" w:rsidRDefault="00E81295" w:rsidP="00E81295">
      <w:pPr>
        <w:spacing w:line="312" w:lineRule="auto"/>
        <w:jc w:val="center"/>
        <w:rPr>
          <w:rFonts w:ascii="Verdana" w:hAnsi="Verdana" w:cs="Arial"/>
          <w:sz w:val="26"/>
          <w:szCs w:val="26"/>
        </w:rPr>
      </w:pPr>
    </w:p>
    <w:p w:rsidR="006A3599" w:rsidRDefault="006A3599"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3C28BF" w:rsidRPr="00E50095" w:rsidRDefault="003C28BF" w:rsidP="00E81295">
      <w:pPr>
        <w:spacing w:line="312" w:lineRule="auto"/>
        <w:jc w:val="center"/>
        <w:rPr>
          <w:rFonts w:ascii="Verdana" w:hAnsi="Verdana" w:cs="Arial"/>
          <w:sz w:val="26"/>
          <w:szCs w:val="26"/>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JORGE ARTURO CASTAÑO DUQUE</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6A3599" w:rsidRDefault="006A3599" w:rsidP="00E81295">
      <w:pPr>
        <w:spacing w:line="312" w:lineRule="auto"/>
        <w:jc w:val="center"/>
        <w:rPr>
          <w:rFonts w:ascii="Verdana" w:hAnsi="Verdana" w:cs="Arial"/>
          <w:sz w:val="26"/>
          <w:szCs w:val="26"/>
        </w:rPr>
      </w:pPr>
    </w:p>
    <w:p w:rsidR="008F26C3" w:rsidRDefault="008F26C3" w:rsidP="00E81295">
      <w:pPr>
        <w:spacing w:line="312" w:lineRule="auto"/>
        <w:jc w:val="center"/>
        <w:rPr>
          <w:rFonts w:ascii="Verdana" w:hAnsi="Verdana" w:cs="Arial"/>
          <w:sz w:val="26"/>
          <w:szCs w:val="26"/>
        </w:rPr>
      </w:pPr>
    </w:p>
    <w:p w:rsidR="008F26C3" w:rsidRDefault="008F26C3" w:rsidP="00E81295">
      <w:pPr>
        <w:spacing w:line="312" w:lineRule="auto"/>
        <w:jc w:val="center"/>
        <w:rPr>
          <w:rFonts w:ascii="Verdana" w:hAnsi="Verdana" w:cs="Arial"/>
          <w:sz w:val="26"/>
          <w:szCs w:val="26"/>
        </w:rPr>
      </w:pPr>
    </w:p>
    <w:p w:rsidR="003C28BF" w:rsidRDefault="003C28BF" w:rsidP="00E81295">
      <w:pPr>
        <w:spacing w:line="312" w:lineRule="auto"/>
        <w:jc w:val="center"/>
        <w:rPr>
          <w:rFonts w:ascii="Verdana" w:hAnsi="Verdana" w:cs="Arial"/>
          <w:sz w:val="26"/>
          <w:szCs w:val="26"/>
        </w:rPr>
      </w:pPr>
    </w:p>
    <w:p w:rsidR="00E81295" w:rsidRDefault="00E81295" w:rsidP="00E81295">
      <w:pPr>
        <w:spacing w:line="312" w:lineRule="auto"/>
        <w:jc w:val="center"/>
        <w:rPr>
          <w:rFonts w:ascii="Verdana" w:hAnsi="Verdana" w:cs="Arial"/>
          <w:sz w:val="26"/>
          <w:szCs w:val="26"/>
        </w:rPr>
      </w:pPr>
    </w:p>
    <w:p w:rsidR="006224A6" w:rsidRPr="00E50095" w:rsidRDefault="006224A6" w:rsidP="00E81295">
      <w:pPr>
        <w:spacing w:line="312" w:lineRule="auto"/>
        <w:jc w:val="center"/>
        <w:rPr>
          <w:rFonts w:ascii="Verdana" w:hAnsi="Verdana" w:cs="Arial"/>
          <w:sz w:val="26"/>
          <w:szCs w:val="26"/>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AD7212" w:rsidRDefault="00AD7212"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3C28BF" w:rsidRDefault="003C28BF" w:rsidP="00E81295">
      <w:pPr>
        <w:spacing w:line="312" w:lineRule="auto"/>
        <w:jc w:val="center"/>
        <w:rPr>
          <w:rFonts w:ascii="Verdana" w:hAnsi="Verdana" w:cs="Arial"/>
          <w:b/>
          <w:sz w:val="26"/>
          <w:szCs w:val="26"/>
        </w:rPr>
      </w:pPr>
    </w:p>
    <w:p w:rsidR="00E81295" w:rsidRDefault="00E81295" w:rsidP="00E81295">
      <w:pPr>
        <w:spacing w:line="312" w:lineRule="auto"/>
        <w:jc w:val="center"/>
        <w:rPr>
          <w:rFonts w:ascii="Verdana" w:hAnsi="Verdana" w:cs="Arial"/>
          <w:b/>
          <w:sz w:val="26"/>
          <w:szCs w:val="26"/>
        </w:rPr>
      </w:pPr>
    </w:p>
    <w:p w:rsidR="00E81295" w:rsidRPr="00F70EE0" w:rsidRDefault="00E81295" w:rsidP="00E81295">
      <w:pPr>
        <w:spacing w:line="312" w:lineRule="auto"/>
        <w:jc w:val="center"/>
        <w:rPr>
          <w:rFonts w:ascii="Verdana" w:hAnsi="Verdana" w:cs="Arial"/>
          <w:b/>
          <w:sz w:val="26"/>
          <w:szCs w:val="26"/>
        </w:rPr>
      </w:pPr>
    </w:p>
    <w:p w:rsidR="00D91F3E" w:rsidRPr="00F70EE0" w:rsidRDefault="00D91F3E" w:rsidP="00E81295">
      <w:pPr>
        <w:suppressAutoHyphens/>
        <w:spacing w:line="312" w:lineRule="auto"/>
        <w:jc w:val="center"/>
        <w:rPr>
          <w:rFonts w:ascii="Verdana" w:hAnsi="Verdana" w:cs="Arial"/>
          <w:b/>
          <w:sz w:val="26"/>
          <w:szCs w:val="26"/>
        </w:rPr>
      </w:pPr>
    </w:p>
    <w:p w:rsidR="00AD7212" w:rsidRPr="00F70EE0" w:rsidRDefault="008F26C3" w:rsidP="00E81295">
      <w:pPr>
        <w:suppressAutoHyphens/>
        <w:jc w:val="center"/>
        <w:rPr>
          <w:rFonts w:ascii="Verdana" w:hAnsi="Verdana" w:cs="Arial"/>
          <w:b/>
          <w:sz w:val="26"/>
          <w:szCs w:val="26"/>
        </w:rPr>
      </w:pPr>
      <w:r>
        <w:rPr>
          <w:rFonts w:ascii="Verdana" w:hAnsi="Verdana" w:cs="Arial"/>
          <w:b/>
          <w:sz w:val="26"/>
          <w:szCs w:val="26"/>
        </w:rPr>
        <w:t>MARÍA ELENA RÍOS VÁSQUEZ</w:t>
      </w:r>
    </w:p>
    <w:p w:rsidR="00661F0C" w:rsidRPr="00F70EE0" w:rsidRDefault="008F26C3" w:rsidP="00E81295">
      <w:pPr>
        <w:suppressAutoHyphens/>
        <w:jc w:val="center"/>
        <w:rPr>
          <w:rFonts w:ascii="Verdana" w:hAnsi="Verdana" w:cs="Arial"/>
          <w:sz w:val="26"/>
          <w:szCs w:val="26"/>
        </w:rPr>
      </w:pPr>
      <w:r>
        <w:rPr>
          <w:rFonts w:ascii="Verdana" w:hAnsi="Verdana" w:cs="Arial"/>
          <w:sz w:val="26"/>
          <w:szCs w:val="26"/>
        </w:rPr>
        <w:t>Secretaria</w:t>
      </w:r>
    </w:p>
    <w:sectPr w:rsidR="00661F0C" w:rsidRPr="00F70EE0" w:rsidSect="00C13E21">
      <w:headerReference w:type="even" r:id="rId8"/>
      <w:headerReference w:type="default" r:id="rId9"/>
      <w:footerReference w:type="default" r:id="rId10"/>
      <w:headerReference w:type="first" r:id="rId11"/>
      <w:footerReference w:type="first" r:id="rId12"/>
      <w:pgSz w:w="12242" w:h="18722" w:code="121"/>
      <w:pgMar w:top="1174" w:right="1583" w:bottom="1701" w:left="187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75A" w:rsidRDefault="00B9075A">
      <w:r>
        <w:separator/>
      </w:r>
    </w:p>
  </w:endnote>
  <w:endnote w:type="continuationSeparator" w:id="0">
    <w:p w:rsidR="00B9075A" w:rsidRDefault="00B90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565F33" w:rsidRDefault="00C37353" w:rsidP="00565F33">
    <w:pPr>
      <w:pStyle w:val="Piedepgina"/>
      <w:pBdr>
        <w:top w:val="single" w:sz="4" w:space="1" w:color="auto"/>
      </w:pBdr>
      <w:jc w:val="right"/>
      <w:rPr>
        <w:rStyle w:val="Nmerodepgina"/>
        <w:rFonts w:ascii="Centaur" w:hAnsi="Centaur"/>
      </w:rPr>
    </w:pPr>
    <w:r w:rsidRPr="00565F33">
      <w:rPr>
        <w:rStyle w:val="Nmerodepgina"/>
        <w:rFonts w:ascii="Centaur" w:hAnsi="Centaur"/>
      </w:rPr>
      <w:t xml:space="preserve">Página </w:t>
    </w:r>
    <w:r w:rsidR="003919D8" w:rsidRPr="00565F33">
      <w:rPr>
        <w:rStyle w:val="Nmerodepgina"/>
        <w:rFonts w:ascii="Centaur" w:hAnsi="Centaur"/>
      </w:rPr>
      <w:fldChar w:fldCharType="begin"/>
    </w:r>
    <w:r w:rsidRPr="00565F33">
      <w:rPr>
        <w:rStyle w:val="Nmerodepgina"/>
        <w:rFonts w:ascii="Centaur" w:hAnsi="Centaur"/>
      </w:rPr>
      <w:instrText xml:space="preserve"> PAGE </w:instrText>
    </w:r>
    <w:r w:rsidR="003919D8" w:rsidRPr="00565F33">
      <w:rPr>
        <w:rStyle w:val="Nmerodepgina"/>
        <w:rFonts w:ascii="Centaur" w:hAnsi="Centaur"/>
      </w:rPr>
      <w:fldChar w:fldCharType="separate"/>
    </w:r>
    <w:r w:rsidR="00327C77">
      <w:rPr>
        <w:rStyle w:val="Nmerodepgina"/>
        <w:rFonts w:ascii="Centaur" w:hAnsi="Centaur"/>
        <w:noProof/>
      </w:rPr>
      <w:t>2</w:t>
    </w:r>
    <w:r w:rsidR="003919D8" w:rsidRPr="00565F33">
      <w:rPr>
        <w:rStyle w:val="Nmerodepgina"/>
        <w:rFonts w:ascii="Centaur" w:hAnsi="Centaur"/>
      </w:rPr>
      <w:fldChar w:fldCharType="end"/>
    </w:r>
    <w:r w:rsidRPr="00565F33">
      <w:rPr>
        <w:rStyle w:val="Nmerodepgina"/>
        <w:rFonts w:ascii="Centaur" w:hAnsi="Centaur"/>
      </w:rPr>
      <w:t xml:space="preserve"> de </w:t>
    </w:r>
    <w:r w:rsidR="003919D8" w:rsidRPr="00565F33">
      <w:rPr>
        <w:rStyle w:val="Nmerodepgina"/>
        <w:rFonts w:ascii="Centaur" w:hAnsi="Centaur"/>
      </w:rPr>
      <w:fldChar w:fldCharType="begin"/>
    </w:r>
    <w:r w:rsidRPr="00565F33">
      <w:rPr>
        <w:rStyle w:val="Nmerodepgina"/>
        <w:rFonts w:ascii="Centaur" w:hAnsi="Centaur"/>
      </w:rPr>
      <w:instrText xml:space="preserve"> NUMPAGES </w:instrText>
    </w:r>
    <w:r w:rsidR="003919D8" w:rsidRPr="00565F33">
      <w:rPr>
        <w:rStyle w:val="Nmerodepgina"/>
        <w:rFonts w:ascii="Centaur" w:hAnsi="Centaur"/>
      </w:rPr>
      <w:fldChar w:fldCharType="separate"/>
    </w:r>
    <w:r w:rsidR="00327C77">
      <w:rPr>
        <w:rStyle w:val="Nmerodepgina"/>
        <w:rFonts w:ascii="Centaur" w:hAnsi="Centaur"/>
        <w:noProof/>
      </w:rPr>
      <w:t>8</w:t>
    </w:r>
    <w:r w:rsidR="003919D8" w:rsidRPr="00565F33">
      <w:rPr>
        <w:rStyle w:val="Nmerodepgina"/>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75A" w:rsidRDefault="00B9075A">
      <w:r>
        <w:separator/>
      </w:r>
    </w:p>
  </w:footnote>
  <w:footnote w:type="continuationSeparator" w:id="0">
    <w:p w:rsidR="00B9075A" w:rsidRDefault="00B9075A">
      <w:r>
        <w:continuationSeparator/>
      </w:r>
    </w:p>
  </w:footnote>
  <w:footnote w:id="1">
    <w:p w:rsidR="00C37353" w:rsidRPr="00C37353" w:rsidRDefault="00C37353" w:rsidP="00062ACD">
      <w:pPr>
        <w:pStyle w:val="Textonotapie"/>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lang w:val="fr-FR"/>
        </w:rPr>
        <w:t xml:space="preserve"> T-190 de 2002.</w:t>
      </w:r>
    </w:p>
  </w:footnote>
  <w:footnote w:id="2">
    <w:p w:rsidR="00C37353" w:rsidRPr="00C37353" w:rsidRDefault="00C37353" w:rsidP="00062ACD">
      <w:pPr>
        <w:ind w:right="-32"/>
        <w:jc w:val="both"/>
        <w:rPr>
          <w:rFonts w:ascii="Centaur" w:hAnsi="Centaur"/>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T-763 de 1998</w:t>
      </w:r>
    </w:p>
  </w:footnote>
  <w:footnote w:id="3">
    <w:p w:rsidR="00C37353" w:rsidRPr="00A003CD" w:rsidRDefault="00C37353" w:rsidP="00062ACD">
      <w:pPr>
        <w:pStyle w:val="Textonotapie"/>
        <w:jc w:val="both"/>
        <w:rPr>
          <w:rFonts w:ascii="Arial" w:hAnsi="Arial" w:cs="Arial"/>
          <w:sz w:val="18"/>
          <w:szCs w:val="18"/>
        </w:rPr>
      </w:pPr>
      <w:r w:rsidRPr="00A003CD">
        <w:rPr>
          <w:rStyle w:val="Refdenotaalpie"/>
          <w:rFonts w:ascii="Arial" w:hAnsi="Arial" w:cs="Arial"/>
          <w:i/>
          <w:sz w:val="18"/>
          <w:szCs w:val="18"/>
        </w:rPr>
        <w:footnoteRef/>
      </w:r>
      <w:r w:rsidRPr="00A003CD">
        <w:rPr>
          <w:rFonts w:ascii="Arial" w:hAnsi="Arial" w:cs="Arial"/>
          <w:i/>
          <w:sz w:val="18"/>
          <w:szCs w:val="18"/>
        </w:rPr>
        <w:t xml:space="preserve"> </w:t>
      </w:r>
      <w:r w:rsidRPr="00A003CD">
        <w:rPr>
          <w:rFonts w:ascii="Arial" w:hAnsi="Arial" w:cs="Arial"/>
          <w:sz w:val="18"/>
          <w:szCs w:val="18"/>
        </w:rPr>
        <w:t>Sentencias T-553 de 2002 y T-368de 2005.</w:t>
      </w:r>
    </w:p>
  </w:footnote>
  <w:footnote w:id="4">
    <w:p w:rsidR="00C37353" w:rsidRPr="00A003CD" w:rsidRDefault="00C37353" w:rsidP="00062ACD">
      <w:pPr>
        <w:pStyle w:val="Textonotapie"/>
        <w:jc w:val="both"/>
        <w:rPr>
          <w:rFonts w:ascii="Arial" w:hAnsi="Arial" w:cs="Arial"/>
          <w:sz w:val="18"/>
          <w:szCs w:val="18"/>
          <w:lang w:val="es-MX"/>
        </w:rPr>
      </w:pPr>
      <w:r w:rsidRPr="00A003CD">
        <w:rPr>
          <w:rStyle w:val="Refdenotaalpie"/>
          <w:rFonts w:ascii="Arial" w:hAnsi="Arial" w:cs="Arial"/>
          <w:sz w:val="18"/>
          <w:szCs w:val="18"/>
        </w:rPr>
        <w:footnoteRef/>
      </w:r>
      <w:r w:rsidRPr="00A003CD">
        <w:rPr>
          <w:rFonts w:ascii="Arial" w:hAnsi="Arial" w:cs="Arial"/>
          <w:sz w:val="18"/>
          <w:szCs w:val="18"/>
        </w:rPr>
        <w:t xml:space="preserve"> Sentencias T-188 de 2002, T-368 de 2005 y </w:t>
      </w:r>
      <w:r w:rsidRPr="00A003CD">
        <w:rPr>
          <w:rFonts w:ascii="Arial" w:hAnsi="Arial" w:cs="Arial"/>
          <w:sz w:val="18"/>
          <w:szCs w:val="18"/>
          <w:lang w:val="es-CO"/>
        </w:rPr>
        <w:t xml:space="preserve">T-1113 de 2005. </w:t>
      </w:r>
      <w:smartTag w:uri="urn:schemas-microsoft-com:office:smarttags" w:element="PersonName">
        <w:smartTagPr>
          <w:attr w:name="ProductID" w:val="La Sala Cuarta"/>
        </w:smartTagPr>
        <w:r w:rsidRPr="00A003CD">
          <w:rPr>
            <w:rFonts w:ascii="Arial" w:hAnsi="Arial" w:cs="Arial"/>
            <w:sz w:val="18"/>
            <w:szCs w:val="18"/>
            <w:lang w:val="es-CO"/>
          </w:rPr>
          <w:t>La Sala Cuarta</w:t>
        </w:r>
      </w:smartTag>
      <w:r w:rsidRPr="00A003CD">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A003CD">
        <w:rPr>
          <w:rFonts w:ascii="Arial" w:hAnsi="Arial" w:cs="Arial"/>
          <w:i/>
          <w:sz w:val="18"/>
          <w:szCs w:val="18"/>
          <w:lang w:val="es-CO"/>
        </w:rPr>
        <w:t xml:space="preserve">“atendiendo a los criterios constitucionales </w:t>
      </w:r>
      <w:r w:rsidRPr="00A003CD">
        <w:rPr>
          <w:rFonts w:ascii="Arial" w:hAnsi="Arial" w:cs="Arial"/>
          <w:i/>
          <w:sz w:val="18"/>
          <w:szCs w:val="18"/>
        </w:rPr>
        <w:t>expuestos en la presente providencia”,</w:t>
      </w:r>
      <w:r w:rsidRPr="00A003CD">
        <w:rPr>
          <w:rFonts w:ascii="Arial" w:hAnsi="Arial" w:cs="Arial"/>
          <w:sz w:val="18"/>
          <w:szCs w:val="18"/>
        </w:rPr>
        <w:t xml:space="preserve"> sin perjuicio de su deber de hacer cumplir la decisión, de todas maneras.</w:t>
      </w:r>
    </w:p>
  </w:footnote>
  <w:footnote w:id="5">
    <w:p w:rsidR="00C37353" w:rsidRPr="00C37353" w:rsidRDefault="00C37353" w:rsidP="00062ACD">
      <w:pPr>
        <w:jc w:val="both"/>
        <w:rPr>
          <w:rFonts w:ascii="Arial" w:hAnsi="Arial" w:cs="Arial"/>
          <w:sz w:val="18"/>
          <w:szCs w:val="18"/>
        </w:rPr>
      </w:pPr>
      <w:r w:rsidRPr="00C37353">
        <w:rPr>
          <w:rStyle w:val="Refdenotaalpie"/>
          <w:rFonts w:ascii="Arial" w:hAnsi="Arial" w:cs="Arial"/>
          <w:sz w:val="18"/>
          <w:szCs w:val="18"/>
        </w:rPr>
        <w:footnoteRef/>
      </w:r>
      <w:r w:rsidRPr="00C37353">
        <w:rPr>
          <w:rFonts w:ascii="Arial" w:hAnsi="Arial" w:cs="Arial"/>
          <w:sz w:val="18"/>
          <w:szCs w:val="18"/>
        </w:rPr>
        <w:t xml:space="preserve"> Sentencia C-243 de 1996</w:t>
      </w:r>
    </w:p>
  </w:footnote>
  <w:footnote w:id="6">
    <w:p w:rsidR="00EF4C51" w:rsidRPr="00EF4C51" w:rsidRDefault="00EF4C51">
      <w:pPr>
        <w:pStyle w:val="Textonotapie"/>
        <w:rPr>
          <w:lang w:val="es-CO"/>
        </w:rPr>
      </w:pPr>
      <w:r>
        <w:rPr>
          <w:rStyle w:val="Refdenotaalpie"/>
        </w:rPr>
        <w:footnoteRef/>
      </w:r>
      <w:r>
        <w:t xml:space="preserve"> </w:t>
      </w:r>
      <w:r>
        <w:rPr>
          <w:lang w:val="es-CO"/>
        </w:rPr>
        <w:t xml:space="preserve">Folio 33 del cuaderno de desacato.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pPr>
      <w:pStyle w:val="Encabezado"/>
      <w:framePr w:wrap="around" w:vAnchor="text" w:hAnchor="margin" w:xAlign="right" w:y="1"/>
      <w:rPr>
        <w:rStyle w:val="Nmerodepgina"/>
      </w:rPr>
    </w:pPr>
  </w:p>
  <w:p w:rsidR="00C37353" w:rsidRPr="0086319F" w:rsidRDefault="00E45C91" w:rsidP="00062ACD">
    <w:pPr>
      <w:pStyle w:val="Puesto1"/>
      <w:jc w:val="right"/>
      <w:rPr>
        <w:rFonts w:ascii="Arial" w:hAnsi="Arial" w:cs="Arial"/>
        <w:sz w:val="20"/>
      </w:rPr>
    </w:pPr>
    <w:r>
      <w:rPr>
        <w:rFonts w:ascii="Arial" w:hAnsi="Arial" w:cs="Arial"/>
        <w:sz w:val="20"/>
      </w:rPr>
      <w:t>Actor</w:t>
    </w:r>
    <w:r w:rsidR="00C37353" w:rsidRPr="0086319F">
      <w:rPr>
        <w:rFonts w:ascii="Arial" w:hAnsi="Arial" w:cs="Arial"/>
        <w:sz w:val="20"/>
      </w:rPr>
      <w:t xml:space="preserve">: </w:t>
    </w:r>
    <w:r w:rsidR="00EF4C51">
      <w:rPr>
        <w:rFonts w:ascii="Arial" w:hAnsi="Arial" w:cs="Arial"/>
        <w:sz w:val="20"/>
      </w:rPr>
      <w:t xml:space="preserve">Alba Lucía González Salazar </w:t>
    </w:r>
    <w:r w:rsidR="00E81295">
      <w:rPr>
        <w:rFonts w:ascii="Arial" w:hAnsi="Arial" w:cs="Arial"/>
        <w:sz w:val="20"/>
      </w:rPr>
      <w:t xml:space="preserve"> </w:t>
    </w:r>
    <w:r w:rsidR="007A6B81">
      <w:rPr>
        <w:rFonts w:ascii="Arial" w:hAnsi="Arial" w:cs="Arial"/>
        <w:sz w:val="20"/>
      </w:rPr>
      <w:t xml:space="preserve"> </w:t>
    </w:r>
  </w:p>
  <w:p w:rsidR="00C37353" w:rsidRPr="0086319F"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r w:rsidR="00E81295">
      <w:rPr>
        <w:rFonts w:ascii="Arial" w:hAnsi="Arial" w:cs="Arial"/>
        <w:sz w:val="20"/>
      </w:rPr>
      <w:t>Nueva EPS</w:t>
    </w:r>
  </w:p>
  <w:p w:rsidR="00C37353" w:rsidRDefault="00C37353" w:rsidP="00062ACD">
    <w:pPr>
      <w:pStyle w:val="Puesto1"/>
      <w:jc w:val="right"/>
      <w:rPr>
        <w:rFonts w:ascii="Arial" w:hAnsi="Arial" w:cs="Arial"/>
        <w:sz w:val="20"/>
      </w:rPr>
    </w:pPr>
    <w:r w:rsidRPr="0086319F">
      <w:rPr>
        <w:rFonts w:ascii="Arial" w:hAnsi="Arial" w:cs="Arial"/>
        <w:sz w:val="20"/>
      </w:rPr>
      <w:t xml:space="preserve">                                                                                                   Radicado: </w:t>
    </w:r>
    <w:r w:rsidR="00EF4C51">
      <w:rPr>
        <w:rFonts w:ascii="Arial" w:hAnsi="Arial" w:cs="Arial"/>
        <w:sz w:val="20"/>
      </w:rPr>
      <w:t>2010</w:t>
    </w:r>
    <w:r w:rsidR="00E81295">
      <w:rPr>
        <w:rFonts w:ascii="Arial" w:hAnsi="Arial" w:cs="Arial"/>
        <w:sz w:val="20"/>
      </w:rPr>
      <w:t>-00</w:t>
    </w:r>
    <w:r w:rsidR="00EF4C51">
      <w:rPr>
        <w:rFonts w:ascii="Arial" w:hAnsi="Arial" w:cs="Arial"/>
        <w:sz w:val="20"/>
      </w:rPr>
      <w:t>841</w:t>
    </w:r>
    <w:r w:rsidR="00E81295">
      <w:rPr>
        <w:rFonts w:ascii="Arial" w:hAnsi="Arial" w:cs="Arial"/>
        <w:sz w:val="20"/>
      </w:rPr>
      <w:t>-01</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2"/>
  </w:compat>
  <w:rsids>
    <w:rsidRoot w:val="00661F0C"/>
    <w:rsid w:val="00003EC6"/>
    <w:rsid w:val="0000447A"/>
    <w:rsid w:val="0001439E"/>
    <w:rsid w:val="0002184F"/>
    <w:rsid w:val="00043896"/>
    <w:rsid w:val="00047D8A"/>
    <w:rsid w:val="000560AE"/>
    <w:rsid w:val="0006060A"/>
    <w:rsid w:val="00062ACD"/>
    <w:rsid w:val="00076752"/>
    <w:rsid w:val="000834F4"/>
    <w:rsid w:val="0008556A"/>
    <w:rsid w:val="0009391C"/>
    <w:rsid w:val="0009543C"/>
    <w:rsid w:val="000A590B"/>
    <w:rsid w:val="000B119E"/>
    <w:rsid w:val="000B7A9E"/>
    <w:rsid w:val="000C46F0"/>
    <w:rsid w:val="000C79FD"/>
    <w:rsid w:val="000D5BD3"/>
    <w:rsid w:val="000F370D"/>
    <w:rsid w:val="000F46FD"/>
    <w:rsid w:val="00100CCC"/>
    <w:rsid w:val="00101E0E"/>
    <w:rsid w:val="00102494"/>
    <w:rsid w:val="0010412B"/>
    <w:rsid w:val="00105C1D"/>
    <w:rsid w:val="00106137"/>
    <w:rsid w:val="00113CBE"/>
    <w:rsid w:val="001229BC"/>
    <w:rsid w:val="00126339"/>
    <w:rsid w:val="00132586"/>
    <w:rsid w:val="0014385F"/>
    <w:rsid w:val="00147B8F"/>
    <w:rsid w:val="00151F03"/>
    <w:rsid w:val="00152E70"/>
    <w:rsid w:val="00160305"/>
    <w:rsid w:val="001712BA"/>
    <w:rsid w:val="001801CC"/>
    <w:rsid w:val="00190B60"/>
    <w:rsid w:val="001A4E42"/>
    <w:rsid w:val="001A512C"/>
    <w:rsid w:val="001A633A"/>
    <w:rsid w:val="001B3E53"/>
    <w:rsid w:val="001B5D1F"/>
    <w:rsid w:val="001D28C9"/>
    <w:rsid w:val="001D4064"/>
    <w:rsid w:val="001D5C2A"/>
    <w:rsid w:val="001E1D35"/>
    <w:rsid w:val="001F1D54"/>
    <w:rsid w:val="001F414B"/>
    <w:rsid w:val="001F4763"/>
    <w:rsid w:val="001F5BEE"/>
    <w:rsid w:val="00205E39"/>
    <w:rsid w:val="00206772"/>
    <w:rsid w:val="00207EEC"/>
    <w:rsid w:val="002134C2"/>
    <w:rsid w:val="00235E65"/>
    <w:rsid w:val="00240370"/>
    <w:rsid w:val="002573DF"/>
    <w:rsid w:val="00271096"/>
    <w:rsid w:val="0027540E"/>
    <w:rsid w:val="002809F2"/>
    <w:rsid w:val="00283E0A"/>
    <w:rsid w:val="00286107"/>
    <w:rsid w:val="002A3755"/>
    <w:rsid w:val="002B118C"/>
    <w:rsid w:val="002B2793"/>
    <w:rsid w:val="002B49A7"/>
    <w:rsid w:val="002B4DBD"/>
    <w:rsid w:val="002C0628"/>
    <w:rsid w:val="002C4944"/>
    <w:rsid w:val="002E07A0"/>
    <w:rsid w:val="002E46BB"/>
    <w:rsid w:val="002F06BE"/>
    <w:rsid w:val="002F2A8A"/>
    <w:rsid w:val="002F32D3"/>
    <w:rsid w:val="0030729D"/>
    <w:rsid w:val="003113D9"/>
    <w:rsid w:val="00327C77"/>
    <w:rsid w:val="00334408"/>
    <w:rsid w:val="0033480E"/>
    <w:rsid w:val="00336F13"/>
    <w:rsid w:val="00337449"/>
    <w:rsid w:val="00337DF9"/>
    <w:rsid w:val="00345667"/>
    <w:rsid w:val="0036222F"/>
    <w:rsid w:val="003624D7"/>
    <w:rsid w:val="0036458D"/>
    <w:rsid w:val="0038266D"/>
    <w:rsid w:val="00390A18"/>
    <w:rsid w:val="003919D8"/>
    <w:rsid w:val="003B536F"/>
    <w:rsid w:val="003C1C2B"/>
    <w:rsid w:val="003C28BF"/>
    <w:rsid w:val="003C2DC1"/>
    <w:rsid w:val="003D6580"/>
    <w:rsid w:val="003F4B68"/>
    <w:rsid w:val="003F53FE"/>
    <w:rsid w:val="003F6E3D"/>
    <w:rsid w:val="00404912"/>
    <w:rsid w:val="00405787"/>
    <w:rsid w:val="004142AF"/>
    <w:rsid w:val="004230FA"/>
    <w:rsid w:val="004278A9"/>
    <w:rsid w:val="0043745F"/>
    <w:rsid w:val="004450A5"/>
    <w:rsid w:val="00465A65"/>
    <w:rsid w:val="00477BB2"/>
    <w:rsid w:val="00482124"/>
    <w:rsid w:val="004A004C"/>
    <w:rsid w:val="004A26F5"/>
    <w:rsid w:val="004A4C5B"/>
    <w:rsid w:val="004B0860"/>
    <w:rsid w:val="004B12E6"/>
    <w:rsid w:val="004B5981"/>
    <w:rsid w:val="004E3BAE"/>
    <w:rsid w:val="004F297F"/>
    <w:rsid w:val="004F45A9"/>
    <w:rsid w:val="00511B1E"/>
    <w:rsid w:val="00516960"/>
    <w:rsid w:val="00521078"/>
    <w:rsid w:val="00537008"/>
    <w:rsid w:val="00546373"/>
    <w:rsid w:val="00552632"/>
    <w:rsid w:val="00563843"/>
    <w:rsid w:val="005638A3"/>
    <w:rsid w:val="00563C83"/>
    <w:rsid w:val="00565F33"/>
    <w:rsid w:val="005858A4"/>
    <w:rsid w:val="005970CC"/>
    <w:rsid w:val="005A3373"/>
    <w:rsid w:val="005A6825"/>
    <w:rsid w:val="005A6A47"/>
    <w:rsid w:val="005B78D9"/>
    <w:rsid w:val="005C61F7"/>
    <w:rsid w:val="005D49A4"/>
    <w:rsid w:val="005E5ECD"/>
    <w:rsid w:val="005F3791"/>
    <w:rsid w:val="00602ABE"/>
    <w:rsid w:val="006224A6"/>
    <w:rsid w:val="00622A0C"/>
    <w:rsid w:val="006342D9"/>
    <w:rsid w:val="00636573"/>
    <w:rsid w:val="00661F0C"/>
    <w:rsid w:val="0066243A"/>
    <w:rsid w:val="00677ABB"/>
    <w:rsid w:val="00680DC7"/>
    <w:rsid w:val="006812D1"/>
    <w:rsid w:val="00683F01"/>
    <w:rsid w:val="00690597"/>
    <w:rsid w:val="00697D6C"/>
    <w:rsid w:val="006A3599"/>
    <w:rsid w:val="006B5808"/>
    <w:rsid w:val="006B6325"/>
    <w:rsid w:val="006C286D"/>
    <w:rsid w:val="006D6D1C"/>
    <w:rsid w:val="006D6F17"/>
    <w:rsid w:val="006E3298"/>
    <w:rsid w:val="006F75DB"/>
    <w:rsid w:val="00704E4C"/>
    <w:rsid w:val="0070544B"/>
    <w:rsid w:val="007117EA"/>
    <w:rsid w:val="007218B3"/>
    <w:rsid w:val="0072327D"/>
    <w:rsid w:val="00735AF5"/>
    <w:rsid w:val="00743D65"/>
    <w:rsid w:val="007575F8"/>
    <w:rsid w:val="00761B68"/>
    <w:rsid w:val="007858A6"/>
    <w:rsid w:val="00794CAE"/>
    <w:rsid w:val="007A2E57"/>
    <w:rsid w:val="007A6B81"/>
    <w:rsid w:val="007D4159"/>
    <w:rsid w:val="007E1EBB"/>
    <w:rsid w:val="007E58A8"/>
    <w:rsid w:val="007E601F"/>
    <w:rsid w:val="007F5F6E"/>
    <w:rsid w:val="0080501A"/>
    <w:rsid w:val="00811EB7"/>
    <w:rsid w:val="00814B6B"/>
    <w:rsid w:val="008159D1"/>
    <w:rsid w:val="00816C45"/>
    <w:rsid w:val="0081712C"/>
    <w:rsid w:val="00824DC1"/>
    <w:rsid w:val="0083061B"/>
    <w:rsid w:val="00834981"/>
    <w:rsid w:val="00847219"/>
    <w:rsid w:val="0086319F"/>
    <w:rsid w:val="00866A47"/>
    <w:rsid w:val="008762F3"/>
    <w:rsid w:val="008817D0"/>
    <w:rsid w:val="008973D1"/>
    <w:rsid w:val="008A169A"/>
    <w:rsid w:val="008C6CBF"/>
    <w:rsid w:val="008C7B75"/>
    <w:rsid w:val="008D1E41"/>
    <w:rsid w:val="008D7209"/>
    <w:rsid w:val="008E425C"/>
    <w:rsid w:val="008F26C3"/>
    <w:rsid w:val="008F2D7A"/>
    <w:rsid w:val="008F43C7"/>
    <w:rsid w:val="008F6936"/>
    <w:rsid w:val="00903E56"/>
    <w:rsid w:val="00906350"/>
    <w:rsid w:val="00921037"/>
    <w:rsid w:val="00924024"/>
    <w:rsid w:val="00940B20"/>
    <w:rsid w:val="00956DDD"/>
    <w:rsid w:val="00974561"/>
    <w:rsid w:val="00985510"/>
    <w:rsid w:val="00991BBF"/>
    <w:rsid w:val="009A03A0"/>
    <w:rsid w:val="009A11B9"/>
    <w:rsid w:val="009A5E41"/>
    <w:rsid w:val="009A5E67"/>
    <w:rsid w:val="009A6C0B"/>
    <w:rsid w:val="009B69CF"/>
    <w:rsid w:val="009D2149"/>
    <w:rsid w:val="009E49CC"/>
    <w:rsid w:val="009F4801"/>
    <w:rsid w:val="009F6EFF"/>
    <w:rsid w:val="00A003CD"/>
    <w:rsid w:val="00A03FA2"/>
    <w:rsid w:val="00A175E4"/>
    <w:rsid w:val="00A2179D"/>
    <w:rsid w:val="00A264B3"/>
    <w:rsid w:val="00A32E81"/>
    <w:rsid w:val="00A3481B"/>
    <w:rsid w:val="00A53598"/>
    <w:rsid w:val="00A538D8"/>
    <w:rsid w:val="00A62C50"/>
    <w:rsid w:val="00A67ED8"/>
    <w:rsid w:val="00A73D34"/>
    <w:rsid w:val="00A747C7"/>
    <w:rsid w:val="00A7541B"/>
    <w:rsid w:val="00A77526"/>
    <w:rsid w:val="00A862D6"/>
    <w:rsid w:val="00A8640A"/>
    <w:rsid w:val="00AC6688"/>
    <w:rsid w:val="00AD7212"/>
    <w:rsid w:val="00B20E4F"/>
    <w:rsid w:val="00B25194"/>
    <w:rsid w:val="00B321B1"/>
    <w:rsid w:val="00B37957"/>
    <w:rsid w:val="00B507B2"/>
    <w:rsid w:val="00B7096A"/>
    <w:rsid w:val="00B726A7"/>
    <w:rsid w:val="00B776DC"/>
    <w:rsid w:val="00B81836"/>
    <w:rsid w:val="00B86889"/>
    <w:rsid w:val="00B9075A"/>
    <w:rsid w:val="00B93A2E"/>
    <w:rsid w:val="00B955A7"/>
    <w:rsid w:val="00B969B7"/>
    <w:rsid w:val="00B96FFC"/>
    <w:rsid w:val="00BB063F"/>
    <w:rsid w:val="00BB7DA8"/>
    <w:rsid w:val="00BC1E7E"/>
    <w:rsid w:val="00BE0162"/>
    <w:rsid w:val="00BE1FA6"/>
    <w:rsid w:val="00BE21E8"/>
    <w:rsid w:val="00BE2A61"/>
    <w:rsid w:val="00BE76BB"/>
    <w:rsid w:val="00C05DB4"/>
    <w:rsid w:val="00C13E21"/>
    <w:rsid w:val="00C27B9E"/>
    <w:rsid w:val="00C37264"/>
    <w:rsid w:val="00C37353"/>
    <w:rsid w:val="00C43FB5"/>
    <w:rsid w:val="00C53DC8"/>
    <w:rsid w:val="00C609B2"/>
    <w:rsid w:val="00C624B2"/>
    <w:rsid w:val="00C70A2F"/>
    <w:rsid w:val="00C71878"/>
    <w:rsid w:val="00C77938"/>
    <w:rsid w:val="00C924EE"/>
    <w:rsid w:val="00C93FDD"/>
    <w:rsid w:val="00CD091D"/>
    <w:rsid w:val="00CD3E7C"/>
    <w:rsid w:val="00CD5E24"/>
    <w:rsid w:val="00CE1E36"/>
    <w:rsid w:val="00CE4971"/>
    <w:rsid w:val="00D00A62"/>
    <w:rsid w:val="00D017BD"/>
    <w:rsid w:val="00D1558A"/>
    <w:rsid w:val="00D16968"/>
    <w:rsid w:val="00D17D7D"/>
    <w:rsid w:val="00D20748"/>
    <w:rsid w:val="00D369A3"/>
    <w:rsid w:val="00D42927"/>
    <w:rsid w:val="00D43FE3"/>
    <w:rsid w:val="00D44E7A"/>
    <w:rsid w:val="00D470F5"/>
    <w:rsid w:val="00D500DF"/>
    <w:rsid w:val="00D56574"/>
    <w:rsid w:val="00D62A16"/>
    <w:rsid w:val="00D64D6B"/>
    <w:rsid w:val="00D73966"/>
    <w:rsid w:val="00D778B1"/>
    <w:rsid w:val="00D900F0"/>
    <w:rsid w:val="00D91F3E"/>
    <w:rsid w:val="00D92A1A"/>
    <w:rsid w:val="00D93A9B"/>
    <w:rsid w:val="00D9793C"/>
    <w:rsid w:val="00DA0AC0"/>
    <w:rsid w:val="00DA55C7"/>
    <w:rsid w:val="00DB0487"/>
    <w:rsid w:val="00DB772D"/>
    <w:rsid w:val="00DC0E9E"/>
    <w:rsid w:val="00DC3541"/>
    <w:rsid w:val="00DD0D02"/>
    <w:rsid w:val="00DE2CB9"/>
    <w:rsid w:val="00DE3CAF"/>
    <w:rsid w:val="00DE54ED"/>
    <w:rsid w:val="00E25BC5"/>
    <w:rsid w:val="00E36BF9"/>
    <w:rsid w:val="00E40DF5"/>
    <w:rsid w:val="00E42AA4"/>
    <w:rsid w:val="00E45C91"/>
    <w:rsid w:val="00E539EB"/>
    <w:rsid w:val="00E57310"/>
    <w:rsid w:val="00E6750F"/>
    <w:rsid w:val="00E7043E"/>
    <w:rsid w:val="00E73974"/>
    <w:rsid w:val="00E81295"/>
    <w:rsid w:val="00E916FC"/>
    <w:rsid w:val="00E93ABA"/>
    <w:rsid w:val="00E964F5"/>
    <w:rsid w:val="00EA6386"/>
    <w:rsid w:val="00EB3A12"/>
    <w:rsid w:val="00EB49A8"/>
    <w:rsid w:val="00EB4CE4"/>
    <w:rsid w:val="00EC6671"/>
    <w:rsid w:val="00ED1397"/>
    <w:rsid w:val="00ED17FE"/>
    <w:rsid w:val="00EE1B3B"/>
    <w:rsid w:val="00EE6A85"/>
    <w:rsid w:val="00EF08AD"/>
    <w:rsid w:val="00EF38B4"/>
    <w:rsid w:val="00EF41F9"/>
    <w:rsid w:val="00EF4C51"/>
    <w:rsid w:val="00EF580B"/>
    <w:rsid w:val="00F07238"/>
    <w:rsid w:val="00F12443"/>
    <w:rsid w:val="00F2439B"/>
    <w:rsid w:val="00F246C1"/>
    <w:rsid w:val="00F310B8"/>
    <w:rsid w:val="00F429A9"/>
    <w:rsid w:val="00F66602"/>
    <w:rsid w:val="00F70154"/>
    <w:rsid w:val="00F70EE0"/>
    <w:rsid w:val="00F714C0"/>
    <w:rsid w:val="00F72247"/>
    <w:rsid w:val="00F7475C"/>
    <w:rsid w:val="00F7722F"/>
    <w:rsid w:val="00F81611"/>
    <w:rsid w:val="00F91FFD"/>
    <w:rsid w:val="00FB1EE2"/>
    <w:rsid w:val="00FD35EA"/>
    <w:rsid w:val="00FD66F5"/>
    <w:rsid w:val="00FE3D72"/>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15:docId w15:val="{74E72C4B-BB3A-4FA0-B68C-E9551C69A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rPr>
  </w:style>
  <w:style w:type="paragraph" w:styleId="Ttulo1">
    <w:name w:val="heading 1"/>
    <w:basedOn w:val="Normal"/>
    <w:next w:val="Normal"/>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rsid w:val="00661F0C"/>
    <w:rPr>
      <w:sz w:val="28"/>
      <w:szCs w:val="20"/>
      <w:lang w:val="es-MX"/>
    </w:rPr>
  </w:style>
  <w:style w:type="paragraph" w:styleId="Textonotapie">
    <w:name w:val="footnote text"/>
    <w:aliases w:val="Texto nota pie Car"/>
    <w:basedOn w:val="Normal"/>
    <w:semiHidden/>
    <w:rsid w:val="00661F0C"/>
    <w:rPr>
      <w:sz w:val="20"/>
      <w:szCs w:val="20"/>
    </w:rPr>
  </w:style>
  <w:style w:type="character" w:styleId="Refdenotaalpie">
    <w:name w:val="footnote reference"/>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7A27-6045-49A9-B061-8A425C30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3872</TotalTime>
  <Pages>8</Pages>
  <Words>2030</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Temporal Sala Penal</cp:lastModifiedBy>
  <cp:revision>42</cp:revision>
  <cp:lastPrinted>2016-06-27T16:29:00Z</cp:lastPrinted>
  <dcterms:created xsi:type="dcterms:W3CDTF">2015-02-27T19:47:00Z</dcterms:created>
  <dcterms:modified xsi:type="dcterms:W3CDTF">2016-06-27T16:31:00Z</dcterms:modified>
</cp:coreProperties>
</file>