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0A4A84" w:rsidRPr="000A4A84" w:rsidRDefault="000A4A84" w:rsidP="000A4A84">
      <w:pPr>
        <w:spacing w:line="312" w:lineRule="auto"/>
        <w:ind w:right="-34"/>
        <w:jc w:val="both"/>
        <w:rPr>
          <w:rFonts w:asciiTheme="minorHAnsi" w:hAnsiTheme="minorHAnsi" w:cs="Arial"/>
          <w:sz w:val="18"/>
          <w:szCs w:val="18"/>
        </w:rPr>
      </w:pPr>
      <w:r w:rsidRPr="000A4A84">
        <w:rPr>
          <w:rFonts w:asciiTheme="minorHAnsi" w:hAnsiTheme="minorHAnsi"/>
          <w:b/>
          <w:sz w:val="18"/>
          <w:szCs w:val="18"/>
        </w:rPr>
        <w:t>DESACATO / FINALIDAD / CUMPLIMIENTO DE LA ORDEN JUDICIAL / REQUERIMIENTO PREVIO DE CUMPLIMIENTO / REVOCA SANCIÓN /</w:t>
      </w:r>
      <w:r w:rsidRPr="000A4A84">
        <w:rPr>
          <w:rFonts w:asciiTheme="minorHAnsi" w:hAnsiTheme="minorHAnsi"/>
          <w:sz w:val="18"/>
          <w:szCs w:val="18"/>
        </w:rPr>
        <w:t xml:space="preserve"> </w:t>
      </w:r>
      <w:r w:rsidRPr="000A4A84">
        <w:rPr>
          <w:rFonts w:asciiTheme="minorHAnsi" w:hAnsiTheme="minorHAnsi" w:cs="Arial"/>
          <w:b/>
          <w:sz w:val="18"/>
          <w:szCs w:val="18"/>
        </w:rPr>
        <w:t>C</w:t>
      </w:r>
      <w:r w:rsidRPr="000A4A84">
        <w:rPr>
          <w:rFonts w:asciiTheme="minorHAnsi" w:hAnsiTheme="minorHAnsi" w:cs="Arial"/>
          <w:b/>
          <w:sz w:val="18"/>
          <w:szCs w:val="18"/>
        </w:rPr>
        <w:t>opia del acto administrativo por medio del cual se le negó el reconocimiento de la reparación por víctima</w:t>
      </w:r>
      <w:r w:rsidRPr="000A4A84">
        <w:rPr>
          <w:rFonts w:asciiTheme="minorHAnsi" w:hAnsiTheme="minorHAnsi" w:cs="Arial"/>
          <w:b/>
          <w:sz w:val="18"/>
          <w:szCs w:val="18"/>
        </w:rPr>
        <w:t>. /</w:t>
      </w:r>
      <w:r w:rsidRPr="000A4A84">
        <w:rPr>
          <w:rFonts w:asciiTheme="minorHAnsi" w:hAnsiTheme="minorHAnsi" w:cs="Arial"/>
          <w:sz w:val="18"/>
          <w:szCs w:val="18"/>
        </w:rPr>
        <w:t xml:space="preserve"> </w:t>
      </w:r>
      <w:r w:rsidRPr="000A4A84">
        <w:rPr>
          <w:rFonts w:asciiTheme="minorHAnsi" w:hAnsiTheme="minorHAnsi"/>
          <w:sz w:val="18"/>
          <w:szCs w:val="18"/>
        </w:rPr>
        <w:t>“</w:t>
      </w:r>
      <w:r w:rsidRPr="000A4A84">
        <w:rPr>
          <w:rFonts w:asciiTheme="minorHAnsi" w:hAnsiTheme="minorHAnsi" w:cs="Arial"/>
          <w:sz w:val="18"/>
          <w:szCs w:val="18"/>
        </w:rPr>
        <w:t xml:space="preserve">Finalmente, el 20 de Septiembre de 2016 se realizó comunicación telefónica con el accionante </w:t>
      </w:r>
      <w:proofErr w:type="spellStart"/>
      <w:r w:rsidRPr="000A4A84">
        <w:rPr>
          <w:rFonts w:asciiTheme="minorHAnsi" w:hAnsiTheme="minorHAnsi" w:cs="Arial"/>
          <w:sz w:val="18"/>
          <w:szCs w:val="18"/>
        </w:rPr>
        <w:t>AGOBARDO</w:t>
      </w:r>
      <w:proofErr w:type="spellEnd"/>
      <w:r w:rsidRPr="000A4A84">
        <w:rPr>
          <w:rFonts w:asciiTheme="minorHAnsi" w:hAnsiTheme="minorHAnsi" w:cs="Arial"/>
          <w:sz w:val="18"/>
          <w:szCs w:val="18"/>
        </w:rPr>
        <w:t xml:space="preserve"> STEVEN </w:t>
      </w:r>
      <w:proofErr w:type="spellStart"/>
      <w:r w:rsidRPr="000A4A84">
        <w:rPr>
          <w:rFonts w:asciiTheme="minorHAnsi" w:hAnsiTheme="minorHAnsi" w:cs="Arial"/>
          <w:sz w:val="18"/>
          <w:szCs w:val="18"/>
        </w:rPr>
        <w:t>QUERAGAMA</w:t>
      </w:r>
      <w:proofErr w:type="spellEnd"/>
      <w:r w:rsidRPr="000A4A84">
        <w:rPr>
          <w:rFonts w:asciiTheme="minorHAnsi" w:hAnsiTheme="minorHAnsi" w:cs="Arial"/>
          <w:sz w:val="18"/>
          <w:szCs w:val="18"/>
        </w:rPr>
        <w:t xml:space="preserve">, el cual manifestó que la </w:t>
      </w:r>
      <w:proofErr w:type="spellStart"/>
      <w:r w:rsidRPr="000A4A84">
        <w:rPr>
          <w:rFonts w:asciiTheme="minorHAnsi" w:hAnsiTheme="minorHAnsi" w:cs="Arial"/>
          <w:sz w:val="18"/>
          <w:szCs w:val="18"/>
        </w:rPr>
        <w:t>U</w:t>
      </w:r>
      <w:bookmarkStart w:id="0" w:name="_GoBack"/>
      <w:bookmarkEnd w:id="0"/>
      <w:r w:rsidRPr="000A4A84">
        <w:rPr>
          <w:rFonts w:asciiTheme="minorHAnsi" w:hAnsiTheme="minorHAnsi" w:cs="Arial"/>
          <w:sz w:val="18"/>
          <w:szCs w:val="18"/>
        </w:rPr>
        <w:t>ARIV</w:t>
      </w:r>
      <w:proofErr w:type="spellEnd"/>
      <w:r w:rsidRPr="000A4A84">
        <w:rPr>
          <w:rFonts w:asciiTheme="minorHAnsi" w:hAnsiTheme="minorHAnsi" w:cs="Arial"/>
          <w:sz w:val="18"/>
          <w:szCs w:val="18"/>
        </w:rPr>
        <w:t xml:space="preserve"> si le había expedido y remitido copia del acto administrativo, acorde con lo ordenado por la sentencia de tutela del 23 de Noviembre del 2015. En concordancia con lo anterior se elevó constancia (</w:t>
      </w:r>
      <w:proofErr w:type="spellStart"/>
      <w:r w:rsidRPr="000A4A84">
        <w:rPr>
          <w:rFonts w:asciiTheme="minorHAnsi" w:hAnsiTheme="minorHAnsi" w:cs="Arial"/>
          <w:sz w:val="18"/>
          <w:szCs w:val="18"/>
        </w:rPr>
        <w:t>Fl</w:t>
      </w:r>
      <w:proofErr w:type="spellEnd"/>
      <w:r w:rsidRPr="000A4A84">
        <w:rPr>
          <w:rFonts w:asciiTheme="minorHAnsi" w:hAnsiTheme="minorHAnsi" w:cs="Arial"/>
          <w:sz w:val="18"/>
          <w:szCs w:val="18"/>
        </w:rPr>
        <w:t>. 36)</w:t>
      </w:r>
      <w:r w:rsidRPr="000A4A84">
        <w:rPr>
          <w:rFonts w:asciiTheme="minorHAnsi" w:hAnsiTheme="minorHAnsi"/>
          <w:sz w:val="18"/>
          <w:szCs w:val="18"/>
        </w:rPr>
        <w:t>.”</w:t>
      </w:r>
    </w:p>
    <w:p w:rsidR="000A4A84" w:rsidRPr="00D14E52" w:rsidRDefault="000A4A84" w:rsidP="000A4A84">
      <w:pPr>
        <w:jc w:val="both"/>
        <w:rPr>
          <w:rFonts w:asciiTheme="minorHAnsi" w:hAnsiTheme="minorHAnsi"/>
          <w:sz w:val="18"/>
          <w:szCs w:val="18"/>
        </w:rPr>
      </w:pPr>
    </w:p>
    <w:p w:rsidR="000A4A84" w:rsidRPr="00D14E52" w:rsidRDefault="000A4A84" w:rsidP="000A4A84">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0A4A84" w:rsidRDefault="000A4A84" w:rsidP="000A4A84">
      <w:pPr>
        <w:pStyle w:val="Textoindependiente"/>
        <w:spacing w:line="312" w:lineRule="auto"/>
        <w:jc w:val="center"/>
        <w:rPr>
          <w:rFonts w:ascii="Verdana" w:hAnsi="Verdana" w:cs="Arial"/>
          <w:b/>
          <w:sz w:val="26"/>
          <w:szCs w:val="26"/>
        </w:rPr>
      </w:pPr>
    </w:p>
    <w:p w:rsidR="000A4A84" w:rsidRDefault="000A4A84" w:rsidP="000A4A84">
      <w:pPr>
        <w:pStyle w:val="Textoindependiente"/>
        <w:spacing w:line="312" w:lineRule="auto"/>
        <w:jc w:val="center"/>
        <w:rPr>
          <w:rFonts w:ascii="Verdana" w:hAnsi="Verdana" w:cs="Arial"/>
          <w:b/>
          <w:sz w:val="26"/>
          <w:szCs w:val="26"/>
        </w:rPr>
      </w:pPr>
      <w:r>
        <w:rPr>
          <w:rFonts w:ascii="Verdana" w:hAnsi="Verdana" w:cs="Arial"/>
          <w:b/>
          <w:sz w:val="26"/>
          <w:szCs w:val="26"/>
        </w:rPr>
        <w:t>---------------------------------------------------------------------</w:t>
      </w:r>
    </w:p>
    <w:p w:rsidR="000A4A84" w:rsidRDefault="000A4A84" w:rsidP="000A4A84">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510A7B" w:rsidRDefault="000D5BD3" w:rsidP="00E81295">
      <w:pPr>
        <w:widowControl w:val="0"/>
        <w:autoSpaceDE w:val="0"/>
        <w:autoSpaceDN w:val="0"/>
        <w:adjustRightInd w:val="0"/>
        <w:spacing w:line="276" w:lineRule="auto"/>
        <w:jc w:val="both"/>
        <w:rPr>
          <w:rFonts w:ascii="Verdana" w:hAnsi="Verdana" w:cs="Arial"/>
          <w:sz w:val="23"/>
          <w:szCs w:val="23"/>
        </w:rPr>
      </w:pPr>
      <w:r w:rsidRPr="00510A7B">
        <w:rPr>
          <w:rFonts w:ascii="Verdana" w:hAnsi="Verdana" w:cs="Arial"/>
          <w:sz w:val="23"/>
          <w:szCs w:val="23"/>
        </w:rPr>
        <w:t>Pereira,</w:t>
      </w:r>
      <w:r w:rsidR="00510A7B" w:rsidRPr="00510A7B">
        <w:rPr>
          <w:rFonts w:ascii="Verdana" w:hAnsi="Verdana" w:cs="Arial"/>
          <w:sz w:val="23"/>
          <w:szCs w:val="23"/>
        </w:rPr>
        <w:t xml:space="preserve"> </w:t>
      </w:r>
      <w:r w:rsidR="005D3F41">
        <w:rPr>
          <w:rFonts w:ascii="Verdana" w:hAnsi="Verdana" w:cs="Arial"/>
          <w:sz w:val="23"/>
          <w:szCs w:val="23"/>
        </w:rPr>
        <w:t>veintinueve (29) de septiembre de dos mil dieciséis (2016)</w:t>
      </w:r>
    </w:p>
    <w:p w:rsidR="003113D9" w:rsidRPr="00510A7B" w:rsidRDefault="003113D9" w:rsidP="00E81295">
      <w:pPr>
        <w:widowControl w:val="0"/>
        <w:autoSpaceDE w:val="0"/>
        <w:autoSpaceDN w:val="0"/>
        <w:adjustRightInd w:val="0"/>
        <w:spacing w:line="276" w:lineRule="auto"/>
        <w:jc w:val="both"/>
        <w:rPr>
          <w:rFonts w:ascii="Verdana" w:hAnsi="Verdana" w:cs="Arial"/>
          <w:sz w:val="23"/>
          <w:szCs w:val="23"/>
        </w:rPr>
      </w:pPr>
      <w:r w:rsidRPr="00510A7B">
        <w:rPr>
          <w:rFonts w:ascii="Verdana" w:hAnsi="Verdana" w:cs="Arial"/>
          <w:sz w:val="23"/>
          <w:szCs w:val="23"/>
        </w:rPr>
        <w:t>Hora:</w:t>
      </w:r>
      <w:r w:rsidR="005D3F41">
        <w:rPr>
          <w:rFonts w:ascii="Verdana" w:hAnsi="Verdana" w:cs="Arial"/>
          <w:sz w:val="23"/>
          <w:szCs w:val="23"/>
        </w:rPr>
        <w:t xml:space="preserve"> 2:55 p.m.</w:t>
      </w:r>
    </w:p>
    <w:p w:rsidR="003113D9" w:rsidRPr="00510A7B" w:rsidRDefault="005D3F41" w:rsidP="00E81295">
      <w:pPr>
        <w:widowControl w:val="0"/>
        <w:autoSpaceDE w:val="0"/>
        <w:autoSpaceDN w:val="0"/>
        <w:adjustRightInd w:val="0"/>
        <w:spacing w:line="276" w:lineRule="auto"/>
        <w:jc w:val="both"/>
        <w:rPr>
          <w:rFonts w:ascii="Verdana" w:hAnsi="Verdana" w:cs="Arial"/>
          <w:i/>
          <w:sz w:val="23"/>
          <w:szCs w:val="23"/>
        </w:rPr>
      </w:pPr>
      <w:r>
        <w:rPr>
          <w:rFonts w:ascii="Verdana" w:hAnsi="Verdana" w:cs="Arial"/>
          <w:sz w:val="23"/>
          <w:szCs w:val="23"/>
        </w:rPr>
        <w:t>Aprobado por</w:t>
      </w:r>
      <w:r w:rsidR="003113D9" w:rsidRPr="00510A7B">
        <w:rPr>
          <w:rFonts w:ascii="Verdana" w:hAnsi="Verdana" w:cs="Arial"/>
          <w:sz w:val="23"/>
          <w:szCs w:val="23"/>
        </w:rPr>
        <w:t xml:space="preserve"> Acta No.</w:t>
      </w:r>
      <w:r>
        <w:rPr>
          <w:rFonts w:ascii="Verdana" w:hAnsi="Verdana" w:cs="Arial"/>
          <w:sz w:val="23"/>
          <w:szCs w:val="23"/>
        </w:rPr>
        <w:t xml:space="preserve"> 885</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4139E1">
        <w:rPr>
          <w:rFonts w:ascii="Verdana" w:hAnsi="Verdana" w:cs="Arial"/>
          <w:bCs/>
          <w:i/>
          <w:sz w:val="22"/>
          <w:szCs w:val="22"/>
        </w:rPr>
        <w:t>045</w:t>
      </w:r>
      <w:r w:rsidRPr="00F70EE0">
        <w:rPr>
          <w:rFonts w:ascii="Verdana" w:hAnsi="Verdana" w:cs="Arial"/>
          <w:bCs/>
          <w:i/>
          <w:sz w:val="22"/>
          <w:szCs w:val="22"/>
        </w:rPr>
        <w:t>-31-</w:t>
      </w:r>
      <w:r w:rsidR="004139E1">
        <w:rPr>
          <w:rFonts w:ascii="Verdana" w:hAnsi="Verdana" w:cs="Arial"/>
          <w:bCs/>
          <w:i/>
          <w:sz w:val="22"/>
          <w:szCs w:val="22"/>
        </w:rPr>
        <w:t>89</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F136AC">
        <w:rPr>
          <w:rFonts w:ascii="Verdana" w:hAnsi="Verdana" w:cs="Arial"/>
          <w:bCs/>
          <w:i/>
          <w:sz w:val="22"/>
          <w:szCs w:val="22"/>
        </w:rPr>
        <w:t>15</w:t>
      </w:r>
      <w:r w:rsidRPr="00F70EE0">
        <w:rPr>
          <w:rFonts w:ascii="Verdana" w:hAnsi="Verdana" w:cs="Arial"/>
          <w:bCs/>
          <w:i/>
          <w:sz w:val="22"/>
          <w:szCs w:val="22"/>
        </w:rPr>
        <w:t>-</w:t>
      </w:r>
      <w:r w:rsidR="004139E1">
        <w:rPr>
          <w:rFonts w:ascii="Verdana" w:hAnsi="Verdana" w:cs="Arial"/>
          <w:bCs/>
          <w:i/>
          <w:sz w:val="22"/>
          <w:szCs w:val="22"/>
        </w:rPr>
        <w:t>00203</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proofErr w:type="spellStart"/>
      <w:r w:rsidR="004139E1">
        <w:rPr>
          <w:rFonts w:ascii="Verdana" w:hAnsi="Verdana" w:cs="Arial"/>
          <w:bCs/>
          <w:i/>
          <w:sz w:val="22"/>
          <w:szCs w:val="22"/>
        </w:rPr>
        <w:t>Agobardo</w:t>
      </w:r>
      <w:proofErr w:type="spellEnd"/>
      <w:r w:rsidR="004139E1">
        <w:rPr>
          <w:rFonts w:ascii="Verdana" w:hAnsi="Verdana" w:cs="Arial"/>
          <w:bCs/>
          <w:i/>
          <w:sz w:val="22"/>
          <w:szCs w:val="22"/>
        </w:rPr>
        <w:t xml:space="preserve"> Steven </w:t>
      </w:r>
      <w:proofErr w:type="spellStart"/>
      <w:r w:rsidR="004139E1">
        <w:rPr>
          <w:rFonts w:ascii="Verdana" w:hAnsi="Verdana" w:cs="Arial"/>
          <w:bCs/>
          <w:i/>
          <w:sz w:val="22"/>
          <w:szCs w:val="22"/>
        </w:rPr>
        <w:t>Queragama</w:t>
      </w:r>
      <w:proofErr w:type="spellEnd"/>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100AC6">
        <w:rPr>
          <w:rFonts w:ascii="Verdana" w:hAnsi="Verdana" w:cs="Arial"/>
          <w:bCs/>
          <w:i/>
          <w:sz w:val="22"/>
          <w:szCs w:val="22"/>
        </w:rPr>
        <w:t>UARIV</w:t>
      </w:r>
      <w:proofErr w:type="spellEnd"/>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100AC6">
        <w:rPr>
          <w:rFonts w:ascii="Verdana" w:hAnsi="Verdana" w:cs="Arial"/>
          <w:bCs/>
          <w:i/>
          <w:sz w:val="22"/>
          <w:szCs w:val="22"/>
        </w:rPr>
        <w:t xml:space="preserve"> </w:t>
      </w:r>
      <w:r w:rsidR="00100AC6">
        <w:rPr>
          <w:rFonts w:ascii="Verdana" w:hAnsi="Verdana" w:cs="Arial"/>
          <w:bCs/>
          <w:i/>
          <w:sz w:val="22"/>
          <w:szCs w:val="22"/>
        </w:rPr>
        <w:tab/>
        <w:t xml:space="preserve">Juzgado </w:t>
      </w:r>
      <w:r w:rsidR="004139E1">
        <w:rPr>
          <w:rFonts w:ascii="Verdana" w:hAnsi="Verdana" w:cs="Arial"/>
          <w:bCs/>
          <w:i/>
          <w:sz w:val="22"/>
          <w:szCs w:val="22"/>
        </w:rPr>
        <w:t>Promiscuo del Circuito de Apia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BF031F">
        <w:rPr>
          <w:rFonts w:ascii="Verdana" w:hAnsi="Verdana" w:cs="Arial"/>
          <w:sz w:val="26"/>
          <w:szCs w:val="26"/>
        </w:rPr>
        <w:t xml:space="preserve">28 de </w:t>
      </w:r>
      <w:proofErr w:type="gramStart"/>
      <w:r w:rsidR="00BF031F">
        <w:rPr>
          <w:rFonts w:ascii="Verdana" w:hAnsi="Verdana" w:cs="Arial"/>
          <w:sz w:val="26"/>
          <w:szCs w:val="26"/>
        </w:rPr>
        <w:t>Marzo</w:t>
      </w:r>
      <w:proofErr w:type="gramEnd"/>
      <w:r w:rsidR="00BF031F">
        <w:rPr>
          <w:rFonts w:ascii="Verdana" w:hAnsi="Verdana" w:cs="Arial"/>
          <w:sz w:val="26"/>
          <w:szCs w:val="26"/>
        </w:rPr>
        <w:t xml:space="preserve"> de 2016</w:t>
      </w:r>
      <w:r w:rsidR="00680DC7">
        <w:rPr>
          <w:rFonts w:ascii="Verdana" w:hAnsi="Verdana" w:cs="Arial"/>
          <w:sz w:val="26"/>
          <w:szCs w:val="26"/>
        </w:rPr>
        <w:t xml:space="preserve"> </w:t>
      </w:r>
      <w:r w:rsidRPr="00F70EE0">
        <w:rPr>
          <w:rFonts w:ascii="Verdana" w:hAnsi="Verdana" w:cs="Arial"/>
          <w:sz w:val="26"/>
          <w:szCs w:val="26"/>
        </w:rPr>
        <w:t>por el Juzgado</w:t>
      </w:r>
      <w:r w:rsidR="009A00F3">
        <w:rPr>
          <w:rFonts w:ascii="Verdana" w:hAnsi="Verdana" w:cs="Arial"/>
          <w:sz w:val="26"/>
          <w:szCs w:val="26"/>
        </w:rPr>
        <w:t xml:space="preserve"> </w:t>
      </w:r>
      <w:r w:rsidR="00BF031F">
        <w:rPr>
          <w:rFonts w:ascii="Verdana" w:hAnsi="Verdana" w:cs="Arial"/>
          <w:sz w:val="26"/>
          <w:szCs w:val="26"/>
        </w:rPr>
        <w:t>Promiscuo del Circuito de Apia</w:t>
      </w:r>
      <w:r w:rsidRPr="00F70EE0">
        <w:rPr>
          <w:rFonts w:ascii="Verdana" w:hAnsi="Verdana" w:cs="Arial"/>
          <w:sz w:val="26"/>
          <w:szCs w:val="26"/>
        </w:rPr>
        <w:t xml:space="preserve">, en el trámite del incidente de desacato solicitado </w:t>
      </w:r>
      <w:r w:rsidR="009A00F3">
        <w:rPr>
          <w:rFonts w:ascii="Verdana" w:hAnsi="Verdana" w:cs="Arial"/>
          <w:sz w:val="26"/>
          <w:szCs w:val="26"/>
        </w:rPr>
        <w:t>por el Sr.</w:t>
      </w:r>
      <w:r w:rsidRPr="00F70EE0">
        <w:rPr>
          <w:rFonts w:ascii="Verdana" w:hAnsi="Verdana" w:cs="Arial"/>
          <w:sz w:val="26"/>
          <w:szCs w:val="26"/>
        </w:rPr>
        <w:t xml:space="preserve"> </w:t>
      </w:r>
      <w:proofErr w:type="spellStart"/>
      <w:r w:rsidR="00BF031F">
        <w:rPr>
          <w:rFonts w:ascii="Verdana" w:hAnsi="Verdana" w:cs="Arial"/>
          <w:b/>
          <w:sz w:val="26"/>
          <w:szCs w:val="26"/>
        </w:rPr>
        <w:t>AGOBARDO</w:t>
      </w:r>
      <w:proofErr w:type="spellEnd"/>
      <w:r w:rsidR="00BF031F">
        <w:rPr>
          <w:rFonts w:ascii="Verdana" w:hAnsi="Verdana" w:cs="Arial"/>
          <w:b/>
          <w:sz w:val="26"/>
          <w:szCs w:val="26"/>
        </w:rPr>
        <w:t xml:space="preserve"> STEVEN </w:t>
      </w:r>
      <w:proofErr w:type="spellStart"/>
      <w:r w:rsidR="00BF031F">
        <w:rPr>
          <w:rFonts w:ascii="Verdana" w:hAnsi="Verdana" w:cs="Arial"/>
          <w:b/>
          <w:sz w:val="26"/>
          <w:szCs w:val="26"/>
        </w:rPr>
        <w:t>QUERAGAMA</w:t>
      </w:r>
      <w:proofErr w:type="spellEnd"/>
      <w:r w:rsidR="00286107">
        <w:rPr>
          <w:rFonts w:ascii="Verdana" w:hAnsi="Verdana" w:cs="Arial"/>
          <w:b/>
          <w:sz w:val="26"/>
          <w:szCs w:val="26"/>
        </w:rPr>
        <w:t xml:space="preserve"> </w:t>
      </w:r>
      <w:r w:rsidR="00286107">
        <w:rPr>
          <w:rFonts w:ascii="Verdana" w:hAnsi="Verdana" w:cs="Arial"/>
          <w:sz w:val="26"/>
          <w:szCs w:val="26"/>
        </w:rPr>
        <w:t xml:space="preserve">contra </w:t>
      </w:r>
      <w:proofErr w:type="spellStart"/>
      <w:r w:rsidR="009A00F3">
        <w:rPr>
          <w:rFonts w:ascii="Verdana" w:hAnsi="Verdana" w:cs="Arial"/>
          <w:b/>
          <w:sz w:val="26"/>
          <w:szCs w:val="26"/>
        </w:rPr>
        <w:t>UARIV</w:t>
      </w:r>
      <w:proofErr w:type="spellEnd"/>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BF0553" w:rsidRDefault="00AF0824" w:rsidP="000C7D7F">
      <w:pPr>
        <w:pStyle w:val="Textoindependiente"/>
        <w:spacing w:line="312" w:lineRule="auto"/>
        <w:jc w:val="both"/>
        <w:rPr>
          <w:rFonts w:ascii="Verdana" w:hAnsi="Verdana" w:cs="Arial"/>
          <w:sz w:val="26"/>
          <w:szCs w:val="26"/>
        </w:rPr>
      </w:pPr>
      <w:r>
        <w:rPr>
          <w:rFonts w:ascii="Verdana" w:hAnsi="Verdana" w:cs="Arial"/>
          <w:sz w:val="26"/>
          <w:szCs w:val="26"/>
        </w:rPr>
        <w:lastRenderedPageBreak/>
        <w:t xml:space="preserve">El Sr. </w:t>
      </w:r>
      <w:proofErr w:type="spellStart"/>
      <w:r w:rsidR="00960048">
        <w:rPr>
          <w:rFonts w:ascii="Verdana" w:hAnsi="Verdana" w:cs="Arial"/>
          <w:sz w:val="26"/>
          <w:szCs w:val="26"/>
        </w:rPr>
        <w:t>AGOBARDO</w:t>
      </w:r>
      <w:proofErr w:type="spellEnd"/>
      <w:r w:rsidR="00960048">
        <w:rPr>
          <w:rFonts w:ascii="Verdana" w:hAnsi="Verdana" w:cs="Arial"/>
          <w:sz w:val="26"/>
          <w:szCs w:val="26"/>
        </w:rPr>
        <w:t xml:space="preserve"> </w:t>
      </w:r>
      <w:r w:rsidR="00960048" w:rsidRPr="00BF0553">
        <w:rPr>
          <w:rFonts w:ascii="Verdana" w:hAnsi="Verdana" w:cs="Arial"/>
          <w:sz w:val="26"/>
          <w:szCs w:val="26"/>
        </w:rPr>
        <w:t xml:space="preserve">STEVEN </w:t>
      </w:r>
      <w:proofErr w:type="spellStart"/>
      <w:r w:rsidR="00960048" w:rsidRPr="00BF0553">
        <w:rPr>
          <w:rFonts w:ascii="Verdana" w:hAnsi="Verdana" w:cs="Arial"/>
          <w:sz w:val="26"/>
          <w:szCs w:val="26"/>
        </w:rPr>
        <w:t>QUERAGAMA</w:t>
      </w:r>
      <w:proofErr w:type="spellEnd"/>
      <w:r>
        <w:rPr>
          <w:rFonts w:ascii="Verdana" w:hAnsi="Verdana" w:cs="Arial"/>
          <w:sz w:val="26"/>
          <w:szCs w:val="26"/>
        </w:rPr>
        <w:t xml:space="preserve"> </w:t>
      </w:r>
      <w:r w:rsidR="00DD0D02">
        <w:rPr>
          <w:rFonts w:ascii="Verdana" w:hAnsi="Verdana" w:cs="Arial"/>
          <w:sz w:val="26"/>
          <w:szCs w:val="26"/>
        </w:rPr>
        <w:t xml:space="preserve">interpuso acción de </w:t>
      </w:r>
      <w:proofErr w:type="gramStart"/>
      <w:r w:rsidR="00DD0D02">
        <w:rPr>
          <w:rFonts w:ascii="Verdana" w:hAnsi="Verdana" w:cs="Arial"/>
          <w:sz w:val="26"/>
          <w:szCs w:val="26"/>
        </w:rPr>
        <w:t xml:space="preserve">tutela </w:t>
      </w:r>
      <w:r w:rsidR="00D272D2">
        <w:rPr>
          <w:rFonts w:ascii="Verdana" w:hAnsi="Verdana" w:cs="Arial"/>
          <w:sz w:val="26"/>
          <w:szCs w:val="26"/>
        </w:rPr>
        <w:t xml:space="preserve"> </w:t>
      </w:r>
      <w:r w:rsidR="00222A97">
        <w:rPr>
          <w:rFonts w:ascii="Verdana" w:hAnsi="Verdana" w:cs="Arial"/>
          <w:sz w:val="26"/>
          <w:szCs w:val="26"/>
        </w:rPr>
        <w:t>en</w:t>
      </w:r>
      <w:proofErr w:type="gramEnd"/>
      <w:r w:rsidR="00222A97">
        <w:rPr>
          <w:rFonts w:ascii="Verdana" w:hAnsi="Verdana" w:cs="Arial"/>
          <w:sz w:val="26"/>
          <w:szCs w:val="26"/>
        </w:rPr>
        <w:t xml:space="preserve"> contra de la </w:t>
      </w:r>
      <w:proofErr w:type="spellStart"/>
      <w:r>
        <w:rPr>
          <w:rFonts w:ascii="Verdana" w:hAnsi="Verdana" w:cs="Arial"/>
          <w:sz w:val="26"/>
          <w:szCs w:val="26"/>
        </w:rPr>
        <w:t>UARIV</w:t>
      </w:r>
      <w:proofErr w:type="spellEnd"/>
      <w:r w:rsidR="00DD0D02">
        <w:rPr>
          <w:rFonts w:ascii="Verdana" w:hAnsi="Verdana" w:cs="Arial"/>
          <w:sz w:val="26"/>
          <w:szCs w:val="26"/>
        </w:rPr>
        <w:t xml:space="preserve"> en busca de</w:t>
      </w:r>
      <w:r w:rsidR="00B74F62">
        <w:rPr>
          <w:rFonts w:ascii="Verdana" w:hAnsi="Verdana" w:cs="Arial"/>
          <w:sz w:val="26"/>
          <w:szCs w:val="26"/>
        </w:rPr>
        <w:t xml:space="preserve"> la protección de</w:t>
      </w:r>
      <w:r w:rsidR="00DD0D02">
        <w:rPr>
          <w:rFonts w:ascii="Verdana" w:hAnsi="Verdana" w:cs="Arial"/>
          <w:sz w:val="26"/>
          <w:szCs w:val="26"/>
        </w:rPr>
        <w:t xml:space="preserve"> su derecho fundamental</w:t>
      </w:r>
      <w:r>
        <w:rPr>
          <w:rFonts w:ascii="Verdana" w:hAnsi="Verdana" w:cs="Arial"/>
          <w:sz w:val="26"/>
          <w:szCs w:val="26"/>
        </w:rPr>
        <w:t xml:space="preserve"> de petición</w:t>
      </w:r>
      <w:r w:rsidR="004602A2">
        <w:rPr>
          <w:rFonts w:ascii="Verdana" w:hAnsi="Verdana" w:cs="Arial"/>
          <w:sz w:val="26"/>
          <w:szCs w:val="26"/>
        </w:rPr>
        <w:t>,</w:t>
      </w:r>
      <w:r w:rsidR="00DD0D02">
        <w:rPr>
          <w:rFonts w:ascii="Verdana" w:hAnsi="Verdana" w:cs="Arial"/>
          <w:sz w:val="26"/>
          <w:szCs w:val="26"/>
        </w:rPr>
        <w:t xml:space="preserve"> toda vez</w:t>
      </w:r>
      <w:r w:rsidR="00AB3EBA">
        <w:rPr>
          <w:rFonts w:ascii="Verdana" w:hAnsi="Verdana" w:cs="Arial"/>
          <w:sz w:val="26"/>
          <w:szCs w:val="26"/>
        </w:rPr>
        <w:t xml:space="preserve"> que</w:t>
      </w:r>
      <w:r>
        <w:rPr>
          <w:rFonts w:ascii="Verdana" w:hAnsi="Verdana" w:cs="Arial"/>
          <w:sz w:val="26"/>
          <w:szCs w:val="26"/>
        </w:rPr>
        <w:t xml:space="preserve"> elev</w:t>
      </w:r>
      <w:r w:rsidR="0012175B">
        <w:rPr>
          <w:rFonts w:ascii="Verdana" w:hAnsi="Verdana" w:cs="Arial"/>
          <w:sz w:val="26"/>
          <w:szCs w:val="26"/>
        </w:rPr>
        <w:t xml:space="preserve">ó una </w:t>
      </w:r>
      <w:r w:rsidR="002B4CB3">
        <w:rPr>
          <w:rFonts w:ascii="Verdana" w:hAnsi="Verdana" w:cs="Arial"/>
          <w:sz w:val="26"/>
          <w:szCs w:val="26"/>
        </w:rPr>
        <w:t xml:space="preserve">solicitud </w:t>
      </w:r>
      <w:r>
        <w:rPr>
          <w:rFonts w:ascii="Verdana" w:hAnsi="Verdana" w:cs="Arial"/>
          <w:sz w:val="26"/>
          <w:szCs w:val="26"/>
        </w:rPr>
        <w:t>ante la mencionada entidad</w:t>
      </w:r>
      <w:r w:rsidR="00A54395">
        <w:rPr>
          <w:rFonts w:ascii="Verdana" w:hAnsi="Verdana" w:cs="Arial"/>
          <w:sz w:val="26"/>
          <w:szCs w:val="26"/>
        </w:rPr>
        <w:t xml:space="preserve"> </w:t>
      </w:r>
      <w:r w:rsidR="002B4CB3">
        <w:rPr>
          <w:rFonts w:ascii="Verdana" w:hAnsi="Verdana" w:cs="Arial"/>
          <w:sz w:val="26"/>
          <w:szCs w:val="26"/>
        </w:rPr>
        <w:t>pidiendo</w:t>
      </w:r>
      <w:r w:rsidR="00A54395">
        <w:rPr>
          <w:rFonts w:ascii="Verdana" w:hAnsi="Verdana" w:cs="Arial"/>
          <w:sz w:val="26"/>
          <w:szCs w:val="26"/>
        </w:rPr>
        <w:t xml:space="preserve"> </w:t>
      </w:r>
      <w:r w:rsidR="00BF0553">
        <w:rPr>
          <w:rFonts w:ascii="Verdana" w:hAnsi="Verdana" w:cs="Arial"/>
          <w:sz w:val="26"/>
          <w:szCs w:val="26"/>
        </w:rPr>
        <w:t xml:space="preserve">una copia del acto </w:t>
      </w:r>
      <w:r w:rsidR="002B4CB3">
        <w:rPr>
          <w:rFonts w:ascii="Verdana" w:hAnsi="Verdana" w:cs="Arial"/>
          <w:sz w:val="26"/>
          <w:szCs w:val="26"/>
        </w:rPr>
        <w:t xml:space="preserve">administrativo por medio del cual se le negó el reconocimiento de </w:t>
      </w:r>
      <w:r w:rsidR="00BF0553">
        <w:rPr>
          <w:rFonts w:ascii="Verdana" w:hAnsi="Verdana" w:cs="Arial"/>
          <w:sz w:val="26"/>
          <w:szCs w:val="26"/>
        </w:rPr>
        <w:t>la reparación por víctima, según el amparo del Decreto 1290 del 2008, de la cual no se le ha emitido respuesta alguna.</w:t>
      </w:r>
    </w:p>
    <w:p w:rsidR="0012175B" w:rsidRDefault="0012175B" w:rsidP="00E81295">
      <w:pPr>
        <w:pStyle w:val="Textoindependiente"/>
        <w:spacing w:line="312" w:lineRule="auto"/>
        <w:jc w:val="both"/>
        <w:rPr>
          <w:rFonts w:ascii="Verdana" w:hAnsi="Verdana" w:cs="Arial"/>
          <w:sz w:val="26"/>
          <w:szCs w:val="26"/>
        </w:rPr>
      </w:pPr>
    </w:p>
    <w:p w:rsidR="00F82701" w:rsidRDefault="003113D9" w:rsidP="00E81295">
      <w:pPr>
        <w:pStyle w:val="Textoindependiente"/>
        <w:spacing w:line="312" w:lineRule="auto"/>
        <w:jc w:val="both"/>
        <w:rPr>
          <w:rFonts w:ascii="Verdana" w:hAnsi="Verdana" w:cs="Arial"/>
          <w:sz w:val="26"/>
          <w:szCs w:val="26"/>
        </w:rPr>
      </w:pPr>
      <w:r w:rsidRPr="008151E4">
        <w:rPr>
          <w:rFonts w:ascii="Verdana" w:hAnsi="Verdana" w:cs="Arial"/>
          <w:sz w:val="26"/>
          <w:szCs w:val="26"/>
        </w:rPr>
        <w:t>Mediante fallo</w:t>
      </w:r>
      <w:r w:rsidRPr="00F70EE0">
        <w:rPr>
          <w:rFonts w:ascii="Verdana" w:hAnsi="Verdana" w:cs="Arial"/>
          <w:sz w:val="26"/>
          <w:szCs w:val="26"/>
        </w:rPr>
        <w:t xml:space="preserve"> </w:t>
      </w:r>
      <w:r w:rsidR="00EC070F">
        <w:rPr>
          <w:rFonts w:ascii="Verdana" w:hAnsi="Verdana" w:cs="Arial"/>
          <w:sz w:val="26"/>
          <w:szCs w:val="26"/>
        </w:rPr>
        <w:t xml:space="preserve">de tutela </w:t>
      </w:r>
      <w:r w:rsidRPr="00F70EE0">
        <w:rPr>
          <w:rFonts w:ascii="Verdana" w:hAnsi="Verdana" w:cs="Arial"/>
          <w:sz w:val="26"/>
          <w:szCs w:val="26"/>
        </w:rPr>
        <w:t xml:space="preserve">del </w:t>
      </w:r>
      <w:r w:rsidR="008151E4">
        <w:rPr>
          <w:rFonts w:ascii="Verdana" w:hAnsi="Verdana" w:cs="Arial"/>
          <w:sz w:val="26"/>
          <w:szCs w:val="26"/>
        </w:rPr>
        <w:t>23</w:t>
      </w:r>
      <w:r w:rsidR="006D6D1C">
        <w:rPr>
          <w:rFonts w:ascii="Verdana" w:hAnsi="Verdana" w:cs="Arial"/>
          <w:sz w:val="26"/>
          <w:szCs w:val="26"/>
        </w:rPr>
        <w:t xml:space="preserve"> de </w:t>
      </w:r>
      <w:r w:rsidR="008151E4">
        <w:rPr>
          <w:rFonts w:ascii="Verdana" w:hAnsi="Verdana" w:cs="Arial"/>
          <w:sz w:val="26"/>
          <w:szCs w:val="26"/>
        </w:rPr>
        <w:t>Noviembre</w:t>
      </w:r>
      <w:r w:rsidR="005C24B5">
        <w:rPr>
          <w:rFonts w:ascii="Verdana" w:hAnsi="Verdana" w:cs="Arial"/>
          <w:sz w:val="26"/>
          <w:szCs w:val="26"/>
        </w:rPr>
        <w:t xml:space="preserve"> del 2015</w:t>
      </w:r>
      <w:r w:rsidR="001C17CD">
        <w:rPr>
          <w:rFonts w:ascii="Verdana" w:hAnsi="Verdana" w:cs="Arial"/>
          <w:sz w:val="26"/>
          <w:szCs w:val="26"/>
        </w:rPr>
        <w:t>, el Juez</w:t>
      </w:r>
      <w:r w:rsidR="005C24B5">
        <w:rPr>
          <w:rFonts w:ascii="Verdana" w:hAnsi="Verdana" w:cs="Arial"/>
          <w:sz w:val="26"/>
          <w:szCs w:val="26"/>
        </w:rPr>
        <w:t xml:space="preserve"> </w:t>
      </w:r>
      <w:r w:rsidR="008151E4">
        <w:rPr>
          <w:rFonts w:ascii="Verdana" w:hAnsi="Verdana" w:cs="Arial"/>
          <w:sz w:val="26"/>
          <w:szCs w:val="26"/>
        </w:rPr>
        <w:t xml:space="preserve">Promiscuo del Circuito de </w:t>
      </w:r>
      <w:r w:rsidR="007D6858">
        <w:rPr>
          <w:rFonts w:ascii="Verdana" w:hAnsi="Verdana" w:cs="Arial"/>
          <w:sz w:val="26"/>
          <w:szCs w:val="26"/>
        </w:rPr>
        <w:t>Apia</w:t>
      </w:r>
      <w:r w:rsidR="0041594B">
        <w:rPr>
          <w:rFonts w:ascii="Verdana" w:hAnsi="Verdana" w:cs="Arial"/>
          <w:sz w:val="26"/>
          <w:szCs w:val="26"/>
        </w:rPr>
        <w:t xml:space="preserve"> </w:t>
      </w:r>
      <w:r w:rsidR="001C17CD">
        <w:rPr>
          <w:rFonts w:ascii="Verdana" w:hAnsi="Verdana" w:cs="Arial"/>
          <w:sz w:val="26"/>
          <w:szCs w:val="26"/>
        </w:rPr>
        <w:t xml:space="preserve">tuteló </w:t>
      </w:r>
      <w:r w:rsidR="005C24B5">
        <w:rPr>
          <w:rFonts w:ascii="Verdana" w:hAnsi="Verdana" w:cs="Arial"/>
          <w:sz w:val="26"/>
          <w:szCs w:val="26"/>
        </w:rPr>
        <w:t>el</w:t>
      </w:r>
      <w:r w:rsidRPr="00F70EE0">
        <w:rPr>
          <w:rFonts w:ascii="Verdana" w:hAnsi="Verdana" w:cs="Arial"/>
          <w:sz w:val="26"/>
          <w:szCs w:val="26"/>
        </w:rPr>
        <w:t xml:space="preserve"> derecho</w:t>
      </w:r>
      <w:r w:rsidR="006B52EA">
        <w:rPr>
          <w:rFonts w:ascii="Verdana" w:hAnsi="Verdana" w:cs="Arial"/>
          <w:sz w:val="26"/>
          <w:szCs w:val="26"/>
        </w:rPr>
        <w:t xml:space="preserve"> fundamental</w:t>
      </w:r>
      <w:r w:rsidRPr="00F70EE0">
        <w:rPr>
          <w:rFonts w:ascii="Verdana" w:hAnsi="Verdana" w:cs="Arial"/>
          <w:sz w:val="26"/>
          <w:szCs w:val="26"/>
        </w:rPr>
        <w:t xml:space="preserve"> </w:t>
      </w:r>
      <w:r w:rsidR="005C24B5">
        <w:rPr>
          <w:rFonts w:ascii="Verdana" w:hAnsi="Verdana" w:cs="Arial"/>
          <w:sz w:val="26"/>
          <w:szCs w:val="26"/>
        </w:rPr>
        <w:t>de petición</w:t>
      </w:r>
      <w:r w:rsidR="00A06AC7">
        <w:rPr>
          <w:rFonts w:ascii="Verdana" w:hAnsi="Verdana" w:cs="Arial"/>
          <w:sz w:val="26"/>
          <w:szCs w:val="26"/>
        </w:rPr>
        <w:t xml:space="preserve"> del cual es titular </w:t>
      </w:r>
      <w:r w:rsidR="00F973DB">
        <w:rPr>
          <w:rFonts w:ascii="Verdana" w:hAnsi="Verdana" w:cs="Arial"/>
          <w:sz w:val="26"/>
          <w:szCs w:val="26"/>
        </w:rPr>
        <w:t>el</w:t>
      </w:r>
      <w:r w:rsidR="006B52EA">
        <w:rPr>
          <w:rFonts w:ascii="Verdana" w:hAnsi="Verdana" w:cs="Arial"/>
          <w:sz w:val="26"/>
          <w:szCs w:val="26"/>
        </w:rPr>
        <w:t xml:space="preserve"> </w:t>
      </w:r>
      <w:r w:rsidR="00F973DB">
        <w:rPr>
          <w:rFonts w:ascii="Verdana" w:hAnsi="Verdana" w:cs="Arial"/>
          <w:sz w:val="26"/>
          <w:szCs w:val="26"/>
        </w:rPr>
        <w:t>Sr.</w:t>
      </w:r>
      <w:r w:rsidR="000F0133">
        <w:rPr>
          <w:rFonts w:ascii="Verdana" w:hAnsi="Verdana" w:cs="Arial"/>
          <w:sz w:val="26"/>
          <w:szCs w:val="26"/>
        </w:rPr>
        <w:t xml:space="preserve"> </w:t>
      </w:r>
      <w:proofErr w:type="spellStart"/>
      <w:r w:rsidR="007D6858">
        <w:rPr>
          <w:rFonts w:ascii="Verdana" w:hAnsi="Verdana" w:cs="Arial"/>
          <w:sz w:val="26"/>
          <w:szCs w:val="26"/>
        </w:rPr>
        <w:t>AGOBARDO</w:t>
      </w:r>
      <w:proofErr w:type="spellEnd"/>
      <w:r w:rsidR="007D6858">
        <w:rPr>
          <w:rFonts w:ascii="Verdana" w:hAnsi="Verdana" w:cs="Arial"/>
          <w:sz w:val="26"/>
          <w:szCs w:val="26"/>
        </w:rPr>
        <w:t xml:space="preserve"> STEVEN </w:t>
      </w:r>
      <w:proofErr w:type="spellStart"/>
      <w:r w:rsidR="007D6858">
        <w:rPr>
          <w:rFonts w:ascii="Verdana" w:hAnsi="Verdana" w:cs="Arial"/>
          <w:sz w:val="26"/>
          <w:szCs w:val="26"/>
        </w:rPr>
        <w:t>QUERAGAMA</w:t>
      </w:r>
      <w:proofErr w:type="spellEnd"/>
      <w:proofErr w:type="gramStart"/>
      <w:r w:rsidR="00A2414C">
        <w:rPr>
          <w:rFonts w:ascii="Verdana" w:hAnsi="Verdana" w:cs="Arial"/>
          <w:sz w:val="26"/>
          <w:szCs w:val="26"/>
        </w:rPr>
        <w:t xml:space="preserve">, </w:t>
      </w:r>
      <w:r w:rsidR="001A633A">
        <w:rPr>
          <w:rFonts w:ascii="Verdana" w:hAnsi="Verdana" w:cs="Arial"/>
          <w:sz w:val="26"/>
          <w:szCs w:val="26"/>
        </w:rPr>
        <w:t xml:space="preserve"> de</w:t>
      </w:r>
      <w:proofErr w:type="gramEnd"/>
      <w:r w:rsidR="001A633A">
        <w:rPr>
          <w:rFonts w:ascii="Verdana" w:hAnsi="Verdana" w:cs="Arial"/>
          <w:sz w:val="26"/>
          <w:szCs w:val="26"/>
        </w:rPr>
        <w:t xml:space="preserve"> esa manera le </w:t>
      </w:r>
      <w:r w:rsidRPr="00F70EE0">
        <w:rPr>
          <w:rFonts w:ascii="Verdana" w:hAnsi="Verdana" w:cs="Arial"/>
          <w:sz w:val="26"/>
          <w:szCs w:val="26"/>
        </w:rPr>
        <w:t xml:space="preserve">ordenó </w:t>
      </w:r>
      <w:r w:rsidR="00F82701">
        <w:rPr>
          <w:rFonts w:ascii="Verdana" w:hAnsi="Verdana" w:cs="Arial"/>
          <w:sz w:val="26"/>
          <w:szCs w:val="26"/>
        </w:rPr>
        <w:t xml:space="preserve">a la Dra. GLADYS </w:t>
      </w:r>
      <w:proofErr w:type="spellStart"/>
      <w:r w:rsidR="00F82701">
        <w:rPr>
          <w:rFonts w:ascii="Verdana" w:hAnsi="Verdana" w:cs="Arial"/>
          <w:sz w:val="26"/>
          <w:szCs w:val="26"/>
        </w:rPr>
        <w:t>CELEIDE</w:t>
      </w:r>
      <w:proofErr w:type="spellEnd"/>
      <w:r w:rsidR="00F82701">
        <w:rPr>
          <w:rFonts w:ascii="Verdana" w:hAnsi="Verdana" w:cs="Arial"/>
          <w:sz w:val="26"/>
          <w:szCs w:val="26"/>
        </w:rPr>
        <w:t xml:space="preserve"> PRADA PARDO en su calidad de Directora Técnica</w:t>
      </w:r>
      <w:r w:rsidR="0024344F">
        <w:rPr>
          <w:rFonts w:ascii="Verdana" w:hAnsi="Verdana" w:cs="Arial"/>
          <w:sz w:val="26"/>
          <w:szCs w:val="26"/>
        </w:rPr>
        <w:t xml:space="preserve"> de R</w:t>
      </w:r>
      <w:r w:rsidR="00F82701">
        <w:rPr>
          <w:rFonts w:ascii="Verdana" w:hAnsi="Verdana" w:cs="Arial"/>
          <w:sz w:val="26"/>
          <w:szCs w:val="26"/>
        </w:rPr>
        <w:t>egistro y Gestión de la Información</w:t>
      </w:r>
      <w:r w:rsidR="00C71BE7">
        <w:rPr>
          <w:rFonts w:ascii="Verdana" w:hAnsi="Verdana" w:cs="Arial"/>
          <w:sz w:val="26"/>
          <w:szCs w:val="26"/>
        </w:rPr>
        <w:t xml:space="preserve"> de la </w:t>
      </w:r>
      <w:proofErr w:type="spellStart"/>
      <w:r w:rsidR="00C71BE7">
        <w:rPr>
          <w:rFonts w:ascii="Verdana" w:hAnsi="Verdana" w:cs="Arial"/>
          <w:sz w:val="26"/>
          <w:szCs w:val="26"/>
        </w:rPr>
        <w:t>UARIV</w:t>
      </w:r>
      <w:proofErr w:type="spellEnd"/>
      <w:r w:rsidR="00F82701">
        <w:rPr>
          <w:rFonts w:ascii="Verdana" w:hAnsi="Verdana" w:cs="Arial"/>
          <w:sz w:val="26"/>
          <w:szCs w:val="26"/>
        </w:rPr>
        <w:t xml:space="preserve"> </w:t>
      </w:r>
      <w:r w:rsidR="0024344F">
        <w:rPr>
          <w:rFonts w:ascii="Verdana" w:hAnsi="Verdana" w:cs="Arial"/>
          <w:sz w:val="26"/>
          <w:szCs w:val="26"/>
        </w:rPr>
        <w:t>que en el término de las 48 horas siguientes a la notificación del fallo, ordenara la expedición y remitiera al accionante la copia del acto administrativo mediante el cual se neg</w:t>
      </w:r>
      <w:r w:rsidR="00B25F40">
        <w:rPr>
          <w:rFonts w:ascii="Verdana" w:hAnsi="Verdana" w:cs="Arial"/>
          <w:sz w:val="26"/>
          <w:szCs w:val="26"/>
        </w:rPr>
        <w:t>ó su</w:t>
      </w:r>
      <w:r w:rsidR="0024344F">
        <w:rPr>
          <w:rFonts w:ascii="Verdana" w:hAnsi="Verdana" w:cs="Arial"/>
          <w:sz w:val="26"/>
          <w:szCs w:val="26"/>
        </w:rPr>
        <w:t xml:space="preserve"> reconocimiento de inclusión</w:t>
      </w:r>
      <w:r w:rsidR="00B25F40">
        <w:rPr>
          <w:rFonts w:ascii="Verdana" w:hAnsi="Verdana" w:cs="Arial"/>
          <w:sz w:val="26"/>
          <w:szCs w:val="26"/>
        </w:rPr>
        <w:t>.</w:t>
      </w:r>
    </w:p>
    <w:p w:rsidR="0027540E" w:rsidRPr="00F70EE0" w:rsidRDefault="0027540E" w:rsidP="00E81295">
      <w:pPr>
        <w:pStyle w:val="Textoindependiente"/>
        <w:spacing w:line="276" w:lineRule="auto"/>
        <w:jc w:val="both"/>
        <w:rPr>
          <w:rFonts w:ascii="Verdana" w:hAnsi="Verdana" w:cs="Arial"/>
          <w:sz w:val="26"/>
          <w:szCs w:val="26"/>
        </w:rPr>
      </w:pPr>
    </w:p>
    <w:p w:rsidR="00763DE7"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C71BE7">
        <w:rPr>
          <w:rFonts w:ascii="Verdana" w:hAnsi="Verdana" w:cs="Arial"/>
          <w:sz w:val="26"/>
          <w:szCs w:val="26"/>
        </w:rPr>
        <w:t xml:space="preserve">11 de </w:t>
      </w:r>
      <w:proofErr w:type="gramStart"/>
      <w:r w:rsidR="00C71BE7">
        <w:rPr>
          <w:rFonts w:ascii="Verdana" w:hAnsi="Verdana" w:cs="Arial"/>
          <w:sz w:val="26"/>
          <w:szCs w:val="26"/>
        </w:rPr>
        <w:t>Febrero</w:t>
      </w:r>
      <w:proofErr w:type="gramEnd"/>
      <w:r w:rsidR="00264FDE">
        <w:rPr>
          <w:rFonts w:ascii="Verdana" w:hAnsi="Verdana" w:cs="Arial"/>
          <w:sz w:val="26"/>
          <w:szCs w:val="26"/>
        </w:rPr>
        <w:t xml:space="preserve"> de 20</w:t>
      </w:r>
      <w:r w:rsidR="00C71BE7">
        <w:rPr>
          <w:rFonts w:ascii="Verdana" w:hAnsi="Verdana" w:cs="Arial"/>
          <w:sz w:val="26"/>
          <w:szCs w:val="26"/>
        </w:rPr>
        <w:t>16</w:t>
      </w:r>
      <w:r w:rsidR="00D017BD">
        <w:rPr>
          <w:rFonts w:ascii="Verdana" w:hAnsi="Verdana" w:cs="Arial"/>
          <w:sz w:val="26"/>
          <w:szCs w:val="26"/>
        </w:rPr>
        <w:t>,</w:t>
      </w:r>
      <w:r w:rsidR="00C53DC8">
        <w:rPr>
          <w:rFonts w:ascii="Verdana" w:hAnsi="Verdana" w:cs="Arial"/>
          <w:sz w:val="26"/>
          <w:szCs w:val="26"/>
        </w:rPr>
        <w:t xml:space="preserve"> </w:t>
      </w:r>
      <w:r w:rsidR="0041594B">
        <w:rPr>
          <w:rFonts w:ascii="Verdana" w:hAnsi="Verdana" w:cs="Arial"/>
          <w:sz w:val="26"/>
          <w:szCs w:val="26"/>
        </w:rPr>
        <w:t>e</w:t>
      </w:r>
      <w:r w:rsidR="00C71BE7">
        <w:rPr>
          <w:rFonts w:ascii="Verdana" w:hAnsi="Verdana" w:cs="Arial"/>
          <w:sz w:val="26"/>
          <w:szCs w:val="26"/>
        </w:rPr>
        <w:t xml:space="preserve">l Sr. </w:t>
      </w:r>
      <w:proofErr w:type="spellStart"/>
      <w:r w:rsidR="00C71BE7">
        <w:rPr>
          <w:rFonts w:ascii="Verdana" w:hAnsi="Verdana" w:cs="Arial"/>
          <w:sz w:val="26"/>
          <w:szCs w:val="26"/>
        </w:rPr>
        <w:t>ABOGARDO</w:t>
      </w:r>
      <w:proofErr w:type="spellEnd"/>
      <w:r w:rsidR="00C71BE7">
        <w:rPr>
          <w:rFonts w:ascii="Verdana" w:hAnsi="Verdana" w:cs="Arial"/>
          <w:sz w:val="26"/>
          <w:szCs w:val="26"/>
        </w:rPr>
        <w:t xml:space="preserve"> STEVEN </w:t>
      </w:r>
      <w:proofErr w:type="spellStart"/>
      <w:r w:rsidR="00C71BE7">
        <w:rPr>
          <w:rFonts w:ascii="Verdana" w:hAnsi="Verdana" w:cs="Arial"/>
          <w:sz w:val="26"/>
          <w:szCs w:val="26"/>
        </w:rPr>
        <w:t>QUERAGAMA</w:t>
      </w:r>
      <w:proofErr w:type="spellEnd"/>
      <w:r w:rsidR="00D82EBA">
        <w:rPr>
          <w:rFonts w:ascii="Verdana" w:hAnsi="Verdana" w:cs="Arial"/>
          <w:sz w:val="26"/>
          <w:szCs w:val="26"/>
        </w:rPr>
        <w:t xml:space="preserve"> </w:t>
      </w:r>
      <w:r w:rsidR="002B4CB3">
        <w:rPr>
          <w:rFonts w:ascii="Verdana" w:hAnsi="Verdana" w:cs="Arial"/>
          <w:sz w:val="26"/>
          <w:szCs w:val="26"/>
        </w:rPr>
        <w:t>solicitó</w:t>
      </w:r>
      <w:r w:rsidR="00A14566">
        <w:rPr>
          <w:rFonts w:ascii="Verdana" w:hAnsi="Verdana" w:cs="Arial"/>
          <w:sz w:val="26"/>
          <w:szCs w:val="26"/>
        </w:rPr>
        <w:t xml:space="preserve"> se iniciase</w:t>
      </w:r>
      <w:r w:rsidR="00D82EBA">
        <w:rPr>
          <w:rFonts w:ascii="Verdana" w:hAnsi="Verdana" w:cs="Arial"/>
          <w:sz w:val="26"/>
          <w:szCs w:val="26"/>
        </w:rPr>
        <w:t xml:space="preserve"> incidente de desacato, por cuanto la entidad accionada no estaba dando cumplimiento a la sentencia de tu</w:t>
      </w:r>
      <w:r w:rsidR="00C71BE7">
        <w:rPr>
          <w:rFonts w:ascii="Verdana" w:hAnsi="Verdana" w:cs="Arial"/>
          <w:sz w:val="26"/>
          <w:szCs w:val="26"/>
        </w:rPr>
        <w:t>tela emitida el 23 de Noviembre</w:t>
      </w:r>
      <w:r w:rsidR="00412AF7">
        <w:rPr>
          <w:rFonts w:ascii="Verdana" w:hAnsi="Verdana" w:cs="Arial"/>
          <w:sz w:val="26"/>
          <w:szCs w:val="26"/>
        </w:rPr>
        <w:t xml:space="preserve"> del 2015</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C71BE7">
        <w:rPr>
          <w:rFonts w:ascii="Verdana" w:hAnsi="Verdana" w:cs="Arial"/>
          <w:sz w:val="26"/>
          <w:szCs w:val="26"/>
        </w:rPr>
        <w:t xml:space="preserve">mediante auto del mismo día </w:t>
      </w:r>
      <w:r w:rsidR="00A14566">
        <w:rPr>
          <w:rFonts w:ascii="Verdana" w:hAnsi="Verdana" w:cs="Arial"/>
          <w:sz w:val="26"/>
          <w:szCs w:val="26"/>
        </w:rPr>
        <w:t xml:space="preserve">emitió Requerimiento Previo a la Dra. </w:t>
      </w:r>
      <w:r w:rsidR="00C71BE7">
        <w:rPr>
          <w:rFonts w:ascii="Verdana" w:hAnsi="Verdana" w:cs="Arial"/>
          <w:sz w:val="26"/>
          <w:szCs w:val="26"/>
        </w:rPr>
        <w:t xml:space="preserve">GLADYS </w:t>
      </w:r>
      <w:proofErr w:type="spellStart"/>
      <w:r w:rsidR="00C71BE7">
        <w:rPr>
          <w:rFonts w:ascii="Verdana" w:hAnsi="Verdana" w:cs="Arial"/>
          <w:sz w:val="26"/>
          <w:szCs w:val="26"/>
        </w:rPr>
        <w:t>CELEIDE</w:t>
      </w:r>
      <w:proofErr w:type="spellEnd"/>
      <w:r w:rsidR="00C71BE7">
        <w:rPr>
          <w:rFonts w:ascii="Verdana" w:hAnsi="Verdana" w:cs="Arial"/>
          <w:sz w:val="26"/>
          <w:szCs w:val="26"/>
        </w:rPr>
        <w:t xml:space="preserve"> PRADA PARDO</w:t>
      </w:r>
      <w:r w:rsidR="00A14566">
        <w:rPr>
          <w:rFonts w:ascii="Verdana" w:hAnsi="Verdana" w:cs="Arial"/>
          <w:sz w:val="26"/>
          <w:szCs w:val="26"/>
        </w:rPr>
        <w:t xml:space="preserve"> en su calidad de </w:t>
      </w:r>
      <w:r w:rsidR="0045206E">
        <w:rPr>
          <w:rFonts w:ascii="Verdana" w:hAnsi="Verdana" w:cs="Arial"/>
          <w:sz w:val="26"/>
          <w:szCs w:val="26"/>
        </w:rPr>
        <w:t xml:space="preserve">Directora Técnica de Registro y Gestión de la Información </w:t>
      </w:r>
      <w:r w:rsidR="00A14566">
        <w:rPr>
          <w:rFonts w:ascii="Verdana" w:hAnsi="Verdana" w:cs="Arial"/>
          <w:sz w:val="26"/>
          <w:szCs w:val="26"/>
        </w:rPr>
        <w:t xml:space="preserve">de la </w:t>
      </w:r>
      <w:proofErr w:type="spellStart"/>
      <w:r w:rsidR="00A14566">
        <w:rPr>
          <w:rFonts w:ascii="Verdana" w:hAnsi="Verdana" w:cs="Arial"/>
          <w:sz w:val="26"/>
          <w:szCs w:val="26"/>
        </w:rPr>
        <w:t>UARIV</w:t>
      </w:r>
      <w:proofErr w:type="spellEnd"/>
      <w:r w:rsidR="00A14566">
        <w:rPr>
          <w:rFonts w:ascii="Verdana" w:hAnsi="Verdana" w:cs="Arial"/>
          <w:sz w:val="26"/>
          <w:szCs w:val="26"/>
        </w:rPr>
        <w:t xml:space="preserve"> para que informara sobre el acatamiento del fallo.</w:t>
      </w:r>
      <w:r w:rsidR="00763DE7">
        <w:rPr>
          <w:rFonts w:ascii="Verdana" w:hAnsi="Verdana" w:cs="Arial"/>
          <w:sz w:val="26"/>
          <w:szCs w:val="26"/>
        </w:rPr>
        <w:t xml:space="preserve">  </w:t>
      </w:r>
    </w:p>
    <w:p w:rsidR="00763DE7" w:rsidRDefault="00763DE7" w:rsidP="00160305">
      <w:pPr>
        <w:pStyle w:val="Textoindependiente"/>
        <w:spacing w:line="312" w:lineRule="auto"/>
        <w:jc w:val="both"/>
        <w:rPr>
          <w:rFonts w:ascii="Verdana" w:hAnsi="Verdana" w:cs="Arial"/>
          <w:sz w:val="26"/>
          <w:szCs w:val="26"/>
        </w:rPr>
      </w:pPr>
    </w:p>
    <w:p w:rsidR="00ED1FE7" w:rsidRDefault="004A4CC8" w:rsidP="00160305">
      <w:pPr>
        <w:pStyle w:val="Textoindependiente"/>
        <w:spacing w:line="312" w:lineRule="auto"/>
        <w:jc w:val="both"/>
        <w:rPr>
          <w:rFonts w:ascii="Verdana" w:hAnsi="Verdana" w:cs="Arial"/>
          <w:sz w:val="26"/>
          <w:szCs w:val="26"/>
        </w:rPr>
      </w:pPr>
      <w:r>
        <w:rPr>
          <w:rFonts w:ascii="Verdana" w:hAnsi="Verdana" w:cs="Arial"/>
          <w:sz w:val="26"/>
          <w:szCs w:val="26"/>
        </w:rPr>
        <w:t>El 25 de Febrero</w:t>
      </w:r>
      <w:r w:rsidR="0057386F">
        <w:rPr>
          <w:rFonts w:ascii="Verdana" w:hAnsi="Verdana" w:cs="Arial"/>
          <w:sz w:val="26"/>
          <w:szCs w:val="26"/>
        </w:rPr>
        <w:t xml:space="preserve"> d</w:t>
      </w:r>
      <w:r>
        <w:rPr>
          <w:rFonts w:ascii="Verdana" w:hAnsi="Verdana" w:cs="Arial"/>
          <w:sz w:val="26"/>
          <w:szCs w:val="26"/>
        </w:rPr>
        <w:t xml:space="preserve">el 2016 el Juez Promiscuo del Circuito de </w:t>
      </w:r>
      <w:proofErr w:type="spellStart"/>
      <w:r>
        <w:rPr>
          <w:rFonts w:ascii="Verdana" w:hAnsi="Verdana" w:cs="Arial"/>
          <w:sz w:val="26"/>
          <w:szCs w:val="26"/>
        </w:rPr>
        <w:t>Apía</w:t>
      </w:r>
      <w:proofErr w:type="spellEnd"/>
      <w:r w:rsidR="0057386F">
        <w:rPr>
          <w:rFonts w:ascii="Verdana" w:hAnsi="Verdana" w:cs="Arial"/>
          <w:sz w:val="26"/>
          <w:szCs w:val="26"/>
        </w:rPr>
        <w:t xml:space="preserve"> acogiéndose a lo dispuesto por el artículo 27 del Decreto 2591 de 1991, dispuso emitir Requerimiento al Superior Jerárquico de la funcionaria requerida previamente, esto es, a la Dra. PAULA </w:t>
      </w:r>
      <w:proofErr w:type="spellStart"/>
      <w:r w:rsidR="0057386F">
        <w:rPr>
          <w:rFonts w:ascii="Verdana" w:hAnsi="Verdana" w:cs="Arial"/>
          <w:sz w:val="26"/>
          <w:szCs w:val="26"/>
        </w:rPr>
        <w:t>GAVÍRIA</w:t>
      </w:r>
      <w:proofErr w:type="spellEnd"/>
      <w:r w:rsidR="0057386F">
        <w:rPr>
          <w:rFonts w:ascii="Verdana" w:hAnsi="Verdana" w:cs="Arial"/>
          <w:sz w:val="26"/>
          <w:szCs w:val="26"/>
        </w:rPr>
        <w:t xml:space="preserve"> BETANCUR en su calidad de Directora General de la </w:t>
      </w:r>
      <w:proofErr w:type="spellStart"/>
      <w:r w:rsidR="0057386F">
        <w:rPr>
          <w:rFonts w:ascii="Verdana" w:hAnsi="Verdana" w:cs="Arial"/>
          <w:sz w:val="26"/>
          <w:szCs w:val="26"/>
        </w:rPr>
        <w:t>UARIV</w:t>
      </w:r>
      <w:proofErr w:type="spellEnd"/>
      <w:r w:rsidR="0057386F">
        <w:rPr>
          <w:rFonts w:ascii="Verdana" w:hAnsi="Verdana" w:cs="Arial"/>
          <w:sz w:val="26"/>
          <w:szCs w:val="26"/>
        </w:rPr>
        <w:t xml:space="preserve"> para que hiciese cumplir</w:t>
      </w:r>
      <w:r w:rsidR="00CC04D4">
        <w:rPr>
          <w:rFonts w:ascii="Verdana" w:hAnsi="Verdana" w:cs="Arial"/>
          <w:sz w:val="26"/>
          <w:szCs w:val="26"/>
        </w:rPr>
        <w:t xml:space="preserve"> la sentencia de tutela.</w:t>
      </w:r>
    </w:p>
    <w:p w:rsidR="00CC04D4" w:rsidRDefault="00CC04D4" w:rsidP="00160305">
      <w:pPr>
        <w:pStyle w:val="Textoindependiente"/>
        <w:spacing w:line="312" w:lineRule="auto"/>
        <w:jc w:val="both"/>
        <w:rPr>
          <w:rFonts w:ascii="Verdana" w:hAnsi="Verdana" w:cs="Arial"/>
          <w:sz w:val="26"/>
          <w:szCs w:val="26"/>
        </w:rPr>
      </w:pPr>
    </w:p>
    <w:p w:rsidR="0057386F" w:rsidRDefault="00A14B5D" w:rsidP="00160305">
      <w:pPr>
        <w:pStyle w:val="Textoindependiente"/>
        <w:spacing w:line="312" w:lineRule="auto"/>
        <w:jc w:val="both"/>
        <w:rPr>
          <w:rFonts w:ascii="Verdana" w:hAnsi="Verdana" w:cs="Arial"/>
          <w:sz w:val="26"/>
          <w:szCs w:val="26"/>
        </w:rPr>
      </w:pPr>
      <w:r>
        <w:rPr>
          <w:rFonts w:ascii="Verdana" w:hAnsi="Verdana" w:cs="Arial"/>
          <w:sz w:val="26"/>
          <w:szCs w:val="26"/>
        </w:rPr>
        <w:lastRenderedPageBreak/>
        <w:t>En vista de que las</w:t>
      </w:r>
      <w:r w:rsidR="00CC04D4">
        <w:rPr>
          <w:rFonts w:ascii="Verdana" w:hAnsi="Verdana" w:cs="Arial"/>
          <w:sz w:val="26"/>
          <w:szCs w:val="26"/>
        </w:rPr>
        <w:t xml:space="preserve"> funcionar</w:t>
      </w:r>
      <w:r>
        <w:rPr>
          <w:rFonts w:ascii="Verdana" w:hAnsi="Verdana" w:cs="Arial"/>
          <w:sz w:val="26"/>
          <w:szCs w:val="26"/>
        </w:rPr>
        <w:t>ias vinculada</w:t>
      </w:r>
      <w:r w:rsidR="00CC04D4">
        <w:rPr>
          <w:rFonts w:ascii="Verdana" w:hAnsi="Verdana" w:cs="Arial"/>
          <w:sz w:val="26"/>
          <w:szCs w:val="26"/>
        </w:rPr>
        <w:t>s para dar e</w:t>
      </w:r>
      <w:r w:rsidR="006850BE">
        <w:rPr>
          <w:rFonts w:ascii="Verdana" w:hAnsi="Verdana" w:cs="Arial"/>
          <w:sz w:val="26"/>
          <w:szCs w:val="26"/>
        </w:rPr>
        <w:t>fectivo cumplimiento al fallo d</w:t>
      </w:r>
      <w:r w:rsidR="00CC04D4">
        <w:rPr>
          <w:rFonts w:ascii="Verdana" w:hAnsi="Verdana" w:cs="Arial"/>
          <w:sz w:val="26"/>
          <w:szCs w:val="26"/>
        </w:rPr>
        <w:t>e</w:t>
      </w:r>
      <w:r w:rsidR="006850BE">
        <w:rPr>
          <w:rFonts w:ascii="Verdana" w:hAnsi="Verdana" w:cs="Arial"/>
          <w:sz w:val="26"/>
          <w:szCs w:val="26"/>
        </w:rPr>
        <w:t xml:space="preserve"> tutela no </w:t>
      </w:r>
      <w:proofErr w:type="gramStart"/>
      <w:r w:rsidR="006850BE">
        <w:rPr>
          <w:rFonts w:ascii="Verdana" w:hAnsi="Verdana" w:cs="Arial"/>
          <w:sz w:val="26"/>
          <w:szCs w:val="26"/>
        </w:rPr>
        <w:t xml:space="preserve">dispusieron </w:t>
      </w:r>
      <w:r w:rsidR="00CC04D4">
        <w:rPr>
          <w:rFonts w:ascii="Verdana" w:hAnsi="Verdana" w:cs="Arial"/>
          <w:sz w:val="26"/>
          <w:szCs w:val="26"/>
        </w:rPr>
        <w:t xml:space="preserve"> </w:t>
      </w:r>
      <w:r w:rsidR="006850BE">
        <w:rPr>
          <w:rFonts w:ascii="Verdana" w:hAnsi="Verdana" w:cs="Arial"/>
          <w:sz w:val="26"/>
          <w:szCs w:val="26"/>
        </w:rPr>
        <w:t>información</w:t>
      </w:r>
      <w:proofErr w:type="gramEnd"/>
      <w:r w:rsidR="00CC04D4">
        <w:rPr>
          <w:rFonts w:ascii="Verdana" w:hAnsi="Verdana" w:cs="Arial"/>
          <w:sz w:val="26"/>
          <w:szCs w:val="26"/>
        </w:rPr>
        <w:t xml:space="preserve"> </w:t>
      </w:r>
      <w:r w:rsidR="002B4CB3">
        <w:rPr>
          <w:rFonts w:ascii="Verdana" w:hAnsi="Verdana" w:cs="Arial"/>
          <w:sz w:val="26"/>
          <w:szCs w:val="26"/>
        </w:rPr>
        <w:t>al</w:t>
      </w:r>
      <w:r w:rsidR="00CC04D4">
        <w:rPr>
          <w:rFonts w:ascii="Verdana" w:hAnsi="Verdana" w:cs="Arial"/>
          <w:sz w:val="26"/>
          <w:szCs w:val="26"/>
        </w:rPr>
        <w:t>guna que permitiese verificar el cumplimiento</w:t>
      </w:r>
      <w:r w:rsidR="004A4CC8">
        <w:rPr>
          <w:rFonts w:ascii="Verdana" w:hAnsi="Verdana" w:cs="Arial"/>
          <w:sz w:val="26"/>
          <w:szCs w:val="26"/>
        </w:rPr>
        <w:t xml:space="preserve"> del mismo, mediante auto del 3 de Marzo del 2016</w:t>
      </w:r>
      <w:r w:rsidR="00CC04D4">
        <w:rPr>
          <w:rFonts w:ascii="Verdana" w:hAnsi="Verdana" w:cs="Arial"/>
          <w:sz w:val="26"/>
          <w:szCs w:val="26"/>
        </w:rPr>
        <w:t xml:space="preserve"> el Juez de Conocimiento dio Apertura Formal al Incidente de Desacato en contra de la Dra. </w:t>
      </w:r>
      <w:r w:rsidR="004A4CC8">
        <w:rPr>
          <w:rFonts w:ascii="Verdana" w:hAnsi="Verdana" w:cs="Arial"/>
          <w:sz w:val="26"/>
          <w:szCs w:val="26"/>
        </w:rPr>
        <w:t xml:space="preserve">GLADYS </w:t>
      </w:r>
      <w:proofErr w:type="spellStart"/>
      <w:r w:rsidR="004A4CC8">
        <w:rPr>
          <w:rFonts w:ascii="Verdana" w:hAnsi="Verdana" w:cs="Arial"/>
          <w:sz w:val="26"/>
          <w:szCs w:val="26"/>
        </w:rPr>
        <w:t>CELEIDE</w:t>
      </w:r>
      <w:proofErr w:type="spellEnd"/>
      <w:r w:rsidR="004A4CC8">
        <w:rPr>
          <w:rFonts w:ascii="Verdana" w:hAnsi="Verdana" w:cs="Arial"/>
          <w:sz w:val="26"/>
          <w:szCs w:val="26"/>
        </w:rPr>
        <w:t xml:space="preserve"> PRADA PARDO</w:t>
      </w:r>
      <w:r w:rsidR="00CC04D4">
        <w:rPr>
          <w:rFonts w:ascii="Verdana" w:hAnsi="Verdana" w:cs="Arial"/>
          <w:sz w:val="26"/>
          <w:szCs w:val="26"/>
        </w:rPr>
        <w:t xml:space="preserve"> en su calidad de</w:t>
      </w:r>
      <w:r w:rsidR="004A4CC8">
        <w:rPr>
          <w:rFonts w:ascii="Verdana" w:hAnsi="Verdana" w:cs="Arial"/>
          <w:sz w:val="26"/>
          <w:szCs w:val="26"/>
        </w:rPr>
        <w:t xml:space="preserve"> Directora Técnica de Registro y Gestión de la Información</w:t>
      </w:r>
      <w:r w:rsidR="00CC04D4">
        <w:rPr>
          <w:rFonts w:ascii="Verdana" w:hAnsi="Verdana" w:cs="Arial"/>
          <w:sz w:val="26"/>
          <w:szCs w:val="26"/>
        </w:rPr>
        <w:t xml:space="preserve"> y</w:t>
      </w:r>
      <w:r w:rsidR="00CC73D7">
        <w:rPr>
          <w:rFonts w:ascii="Verdana" w:hAnsi="Verdana" w:cs="Arial"/>
          <w:sz w:val="26"/>
          <w:szCs w:val="26"/>
        </w:rPr>
        <w:t xml:space="preserve"> a su superior jerárquico,</w:t>
      </w:r>
      <w:r w:rsidR="00CC04D4">
        <w:rPr>
          <w:rFonts w:ascii="Verdana" w:hAnsi="Verdana" w:cs="Arial"/>
          <w:sz w:val="26"/>
          <w:szCs w:val="26"/>
        </w:rPr>
        <w:t xml:space="preserve"> Dra. PAULA GAVIRIA BETANCUR en su calidad de Directora General, </w:t>
      </w:r>
      <w:r w:rsidR="00EE663F">
        <w:rPr>
          <w:rFonts w:ascii="Verdana" w:hAnsi="Verdana" w:cs="Arial"/>
          <w:sz w:val="26"/>
          <w:szCs w:val="26"/>
        </w:rPr>
        <w:t xml:space="preserve">ambas funcionarias de la </w:t>
      </w:r>
      <w:proofErr w:type="spellStart"/>
      <w:r w:rsidR="00EE663F">
        <w:rPr>
          <w:rFonts w:ascii="Verdana" w:hAnsi="Verdana" w:cs="Arial"/>
          <w:sz w:val="26"/>
          <w:szCs w:val="26"/>
        </w:rPr>
        <w:t>UARIV</w:t>
      </w:r>
      <w:proofErr w:type="spellEnd"/>
      <w:r w:rsidR="00EE663F">
        <w:rPr>
          <w:rFonts w:ascii="Verdana" w:hAnsi="Verdana" w:cs="Arial"/>
          <w:sz w:val="26"/>
          <w:szCs w:val="26"/>
        </w:rPr>
        <w:t>.</w:t>
      </w: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5A2DB6" w:rsidP="00E81295">
      <w:pPr>
        <w:pStyle w:val="Textoindependiente"/>
        <w:spacing w:line="312" w:lineRule="auto"/>
        <w:jc w:val="both"/>
        <w:rPr>
          <w:rFonts w:ascii="Verdana" w:hAnsi="Verdana" w:cs="Arial"/>
          <w:sz w:val="26"/>
          <w:szCs w:val="26"/>
        </w:rPr>
      </w:pPr>
      <w:r>
        <w:rPr>
          <w:rFonts w:ascii="Verdana" w:hAnsi="Verdana" w:cs="Arial"/>
          <w:sz w:val="26"/>
          <w:szCs w:val="26"/>
        </w:rPr>
        <w:t>M</w:t>
      </w:r>
      <w:r w:rsidR="008159D1">
        <w:rPr>
          <w:rFonts w:ascii="Verdana" w:hAnsi="Verdana" w:cs="Arial"/>
          <w:sz w:val="26"/>
          <w:szCs w:val="26"/>
        </w:rPr>
        <w:t xml:space="preserve">ediante auto del </w:t>
      </w:r>
      <w:r w:rsidR="009618CD">
        <w:rPr>
          <w:rFonts w:ascii="Verdana" w:hAnsi="Verdana" w:cs="Arial"/>
          <w:sz w:val="26"/>
          <w:szCs w:val="26"/>
        </w:rPr>
        <w:t>28</w:t>
      </w:r>
      <w:r w:rsidR="004A4C5B">
        <w:rPr>
          <w:rFonts w:ascii="Verdana" w:hAnsi="Verdana" w:cs="Arial"/>
          <w:sz w:val="26"/>
          <w:szCs w:val="26"/>
        </w:rPr>
        <w:t xml:space="preserve"> de </w:t>
      </w:r>
      <w:r w:rsidR="002B4CB3">
        <w:rPr>
          <w:rFonts w:ascii="Verdana" w:hAnsi="Verdana" w:cs="Arial"/>
          <w:sz w:val="26"/>
          <w:szCs w:val="26"/>
        </w:rPr>
        <w:t>m</w:t>
      </w:r>
      <w:r w:rsidR="009618CD">
        <w:rPr>
          <w:rFonts w:ascii="Verdana" w:hAnsi="Verdana" w:cs="Arial"/>
          <w:sz w:val="26"/>
          <w:szCs w:val="26"/>
        </w:rPr>
        <w:t>arzo</w:t>
      </w:r>
      <w:r w:rsidR="00C37264">
        <w:rPr>
          <w:rFonts w:ascii="Verdana" w:hAnsi="Verdana" w:cs="Arial"/>
          <w:sz w:val="26"/>
          <w:szCs w:val="26"/>
        </w:rPr>
        <w:t xml:space="preserve"> de</w:t>
      </w:r>
      <w:r w:rsidR="00CC73D7">
        <w:rPr>
          <w:rFonts w:ascii="Verdana" w:hAnsi="Verdana" w:cs="Arial"/>
          <w:sz w:val="26"/>
          <w:szCs w:val="26"/>
        </w:rPr>
        <w:t>l</w:t>
      </w:r>
      <w:r w:rsidR="00C37264">
        <w:rPr>
          <w:rFonts w:ascii="Verdana" w:hAnsi="Verdana" w:cs="Arial"/>
          <w:sz w:val="26"/>
          <w:szCs w:val="26"/>
        </w:rPr>
        <w:t xml:space="preserve"> 2</w:t>
      </w:r>
      <w:r w:rsidR="009618CD">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00661F0C"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00661F0C" w:rsidRPr="00F70EE0">
        <w:rPr>
          <w:rFonts w:ascii="Verdana" w:hAnsi="Verdana" w:cs="Arial"/>
          <w:sz w:val="26"/>
          <w:szCs w:val="26"/>
        </w:rPr>
        <w:t xml:space="preserve"> multa de </w:t>
      </w:r>
      <w:r w:rsidR="00835D0C">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00661F0C"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w:t>
      </w:r>
      <w:r w:rsidR="00AB4F97">
        <w:rPr>
          <w:rFonts w:ascii="Verdana" w:hAnsi="Verdana" w:cs="Arial"/>
          <w:sz w:val="26"/>
          <w:szCs w:val="26"/>
        </w:rPr>
        <w:t xml:space="preserve">la </w:t>
      </w:r>
      <w:r w:rsidR="003409D5">
        <w:rPr>
          <w:rFonts w:ascii="Verdana" w:hAnsi="Verdana" w:cs="Arial"/>
          <w:sz w:val="26"/>
          <w:szCs w:val="26"/>
        </w:rPr>
        <w:t xml:space="preserve">Dra. </w:t>
      </w:r>
      <w:r w:rsidR="007B1CEF">
        <w:rPr>
          <w:rFonts w:ascii="Verdana" w:hAnsi="Verdana" w:cs="Arial"/>
          <w:sz w:val="26"/>
          <w:szCs w:val="26"/>
        </w:rPr>
        <w:t xml:space="preserve">GLADYS </w:t>
      </w:r>
      <w:proofErr w:type="spellStart"/>
      <w:r w:rsidR="007B1CEF">
        <w:rPr>
          <w:rFonts w:ascii="Verdana" w:hAnsi="Verdana" w:cs="Arial"/>
          <w:sz w:val="26"/>
          <w:szCs w:val="26"/>
        </w:rPr>
        <w:t>CELEIDE</w:t>
      </w:r>
      <w:proofErr w:type="spellEnd"/>
      <w:r w:rsidR="007B1CEF">
        <w:rPr>
          <w:rFonts w:ascii="Verdana" w:hAnsi="Verdana" w:cs="Arial"/>
          <w:sz w:val="26"/>
          <w:szCs w:val="26"/>
        </w:rPr>
        <w:t xml:space="preserve"> PRADA PARDO</w:t>
      </w:r>
      <w:r w:rsidR="003409D5">
        <w:rPr>
          <w:rFonts w:ascii="Verdana" w:hAnsi="Verdana" w:cs="Arial"/>
          <w:sz w:val="26"/>
          <w:szCs w:val="26"/>
        </w:rPr>
        <w:t xml:space="preserve"> en su calidad de</w:t>
      </w:r>
      <w:r w:rsidR="00844B2C">
        <w:rPr>
          <w:rFonts w:ascii="Verdana" w:hAnsi="Verdana" w:cs="Arial"/>
          <w:sz w:val="26"/>
          <w:szCs w:val="26"/>
        </w:rPr>
        <w:t xml:space="preserve"> Directora Técnica de Registro y Gestión de la Información</w:t>
      </w:r>
      <w:r w:rsidR="003409D5">
        <w:rPr>
          <w:rFonts w:ascii="Verdana" w:hAnsi="Verdana" w:cs="Arial"/>
          <w:sz w:val="26"/>
          <w:szCs w:val="26"/>
        </w:rPr>
        <w:t xml:space="preserve"> y a su superior jerárquico, Dra. PAULA GAVIRIA BETANCUR en su calidad de Directora General, ambas funcionarias de la </w:t>
      </w:r>
      <w:proofErr w:type="spellStart"/>
      <w:r w:rsidR="003409D5">
        <w:rPr>
          <w:rFonts w:ascii="Verdana" w:hAnsi="Verdana" w:cs="Arial"/>
          <w:sz w:val="26"/>
          <w:szCs w:val="26"/>
        </w:rPr>
        <w:t>UARIV</w:t>
      </w:r>
      <w:proofErr w:type="spellEnd"/>
      <w:r>
        <w:rPr>
          <w:rFonts w:ascii="Verdana" w:hAnsi="Verdana" w:cs="Arial"/>
          <w:sz w:val="26"/>
          <w:szCs w:val="26"/>
        </w:rPr>
        <w:t xml:space="preserve">, </w:t>
      </w:r>
      <w:r w:rsidR="00844B2C">
        <w:rPr>
          <w:rFonts w:ascii="Verdana" w:hAnsi="Verdana" w:cs="Arial"/>
          <w:sz w:val="26"/>
          <w:szCs w:val="26"/>
        </w:rPr>
        <w:t xml:space="preserve">la primera </w:t>
      </w:r>
      <w:r w:rsidR="00AB4F97">
        <w:rPr>
          <w:rFonts w:ascii="Verdana" w:hAnsi="Verdana" w:cs="Arial"/>
          <w:sz w:val="26"/>
          <w:szCs w:val="26"/>
        </w:rPr>
        <w:t>por su desacato a la sentencia de tute</w:t>
      </w:r>
      <w:r>
        <w:rPr>
          <w:rFonts w:ascii="Verdana" w:hAnsi="Verdana" w:cs="Arial"/>
          <w:sz w:val="26"/>
          <w:szCs w:val="26"/>
        </w:rPr>
        <w:t>la pro</w:t>
      </w:r>
      <w:r w:rsidR="00844B2C">
        <w:rPr>
          <w:rFonts w:ascii="Verdana" w:hAnsi="Verdana" w:cs="Arial"/>
          <w:sz w:val="26"/>
          <w:szCs w:val="26"/>
        </w:rPr>
        <w:t>ferida el 23 de Noviembre</w:t>
      </w:r>
      <w:r w:rsidR="00341168">
        <w:rPr>
          <w:rFonts w:ascii="Verdana" w:hAnsi="Verdana" w:cs="Arial"/>
          <w:sz w:val="26"/>
          <w:szCs w:val="26"/>
        </w:rPr>
        <w:t xml:space="preserve"> del</w:t>
      </w:r>
      <w:r w:rsidR="00AB4F97">
        <w:rPr>
          <w:rFonts w:ascii="Verdana" w:hAnsi="Verdana" w:cs="Arial"/>
          <w:sz w:val="26"/>
          <w:szCs w:val="26"/>
        </w:rPr>
        <w:t xml:space="preserve"> </w:t>
      </w:r>
      <w:r>
        <w:rPr>
          <w:rFonts w:ascii="Verdana" w:hAnsi="Verdana" w:cs="Arial"/>
          <w:sz w:val="26"/>
          <w:szCs w:val="26"/>
        </w:rPr>
        <w:t>2015</w:t>
      </w:r>
      <w:r w:rsidR="00AB4F97">
        <w:rPr>
          <w:rFonts w:ascii="Verdana" w:hAnsi="Verdana" w:cs="Arial"/>
          <w:sz w:val="26"/>
          <w:szCs w:val="26"/>
        </w:rPr>
        <w:t xml:space="preserve"> </w:t>
      </w:r>
      <w:r w:rsidR="00661F0C" w:rsidRPr="00F70EE0">
        <w:rPr>
          <w:rFonts w:ascii="Verdana" w:hAnsi="Verdana" w:cs="Arial"/>
          <w:sz w:val="26"/>
          <w:szCs w:val="26"/>
        </w:rPr>
        <w:t xml:space="preserve">y </w:t>
      </w:r>
      <w:r w:rsidR="00844B2C">
        <w:rPr>
          <w:rFonts w:ascii="Verdana" w:hAnsi="Verdana" w:cs="Arial"/>
          <w:sz w:val="26"/>
          <w:szCs w:val="26"/>
        </w:rPr>
        <w:t xml:space="preserve">la segunda por adoptar las medidas necesarias para el cumplimiento del citado fallo, finalmente </w:t>
      </w:r>
      <w:r w:rsidR="00BC46EB">
        <w:rPr>
          <w:rFonts w:ascii="Verdana" w:hAnsi="Verdana" w:cs="Arial"/>
          <w:sz w:val="26"/>
          <w:szCs w:val="26"/>
        </w:rPr>
        <w:t xml:space="preserve">se </w:t>
      </w:r>
      <w:r w:rsidR="00661F0C" w:rsidRPr="00F70EE0">
        <w:rPr>
          <w:rFonts w:ascii="Verdana" w:hAnsi="Verdana" w:cs="Arial"/>
          <w:sz w:val="26"/>
          <w:szCs w:val="26"/>
        </w:rPr>
        <w:t>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lastRenderedPageBreak/>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lastRenderedPageBreak/>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lastRenderedPageBreak/>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9E3D92" w:rsidRPr="00FC166A" w:rsidRDefault="00A003CD" w:rsidP="00EF6084">
      <w:pPr>
        <w:pStyle w:val="Textoindependiente"/>
        <w:spacing w:line="312"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DA55C7" w:rsidRPr="009E3D92">
        <w:rPr>
          <w:rFonts w:ascii="Verdana" w:hAnsi="Verdana" w:cs="Arial"/>
          <w:color w:val="000000" w:themeColor="text1"/>
          <w:sz w:val="26"/>
          <w:szCs w:val="26"/>
        </w:rPr>
        <w:t>el Juez</w:t>
      </w:r>
      <w:r w:rsidR="008A169A" w:rsidRPr="009E3D92">
        <w:rPr>
          <w:rFonts w:ascii="Verdana" w:hAnsi="Verdana" w:cs="Arial"/>
          <w:color w:val="000000" w:themeColor="text1"/>
          <w:sz w:val="26"/>
          <w:szCs w:val="26"/>
        </w:rPr>
        <w:t xml:space="preserve"> de primer grado</w:t>
      </w:r>
      <w:r w:rsidR="00EF6084">
        <w:rPr>
          <w:rFonts w:ascii="Verdana" w:hAnsi="Verdana" w:cs="Arial"/>
          <w:color w:val="000000" w:themeColor="text1"/>
          <w:sz w:val="26"/>
          <w:szCs w:val="26"/>
        </w:rPr>
        <w:t xml:space="preserve"> </w:t>
      </w:r>
      <w:r w:rsidR="006B635F">
        <w:rPr>
          <w:rFonts w:ascii="Verdana" w:hAnsi="Verdana" w:cs="Arial"/>
          <w:color w:val="000000" w:themeColor="text1"/>
          <w:sz w:val="26"/>
          <w:szCs w:val="26"/>
        </w:rPr>
        <w:t xml:space="preserve">tuteló el derecho fundamental de petición </w:t>
      </w:r>
      <w:r w:rsidR="00EF6084">
        <w:rPr>
          <w:rFonts w:ascii="Verdana" w:hAnsi="Verdana" w:cs="Arial"/>
          <w:sz w:val="26"/>
          <w:szCs w:val="26"/>
        </w:rPr>
        <w:t>d</w:t>
      </w:r>
      <w:r w:rsidR="004028AC">
        <w:rPr>
          <w:rFonts w:ascii="Verdana" w:hAnsi="Verdana" w:cs="Arial"/>
          <w:sz w:val="26"/>
          <w:szCs w:val="26"/>
        </w:rPr>
        <w:t xml:space="preserve">el Sr. </w:t>
      </w:r>
      <w:proofErr w:type="spellStart"/>
      <w:r w:rsidR="0016529D">
        <w:rPr>
          <w:rFonts w:ascii="Verdana" w:hAnsi="Verdana" w:cs="Arial"/>
          <w:sz w:val="26"/>
          <w:szCs w:val="26"/>
        </w:rPr>
        <w:t>AGOBARDO</w:t>
      </w:r>
      <w:proofErr w:type="spellEnd"/>
      <w:r w:rsidR="0016529D">
        <w:rPr>
          <w:rFonts w:ascii="Verdana" w:hAnsi="Verdana" w:cs="Arial"/>
          <w:sz w:val="26"/>
          <w:szCs w:val="26"/>
        </w:rPr>
        <w:t xml:space="preserve"> STEVEN </w:t>
      </w:r>
      <w:proofErr w:type="spellStart"/>
      <w:r w:rsidR="0016529D">
        <w:rPr>
          <w:rFonts w:ascii="Verdana" w:hAnsi="Verdana" w:cs="Arial"/>
          <w:sz w:val="26"/>
          <w:szCs w:val="26"/>
        </w:rPr>
        <w:t>QUERAGAMA</w:t>
      </w:r>
      <w:proofErr w:type="spellEnd"/>
      <w:r w:rsidR="006B635F">
        <w:rPr>
          <w:rFonts w:ascii="Verdana" w:hAnsi="Verdana" w:cs="Arial"/>
          <w:sz w:val="26"/>
          <w:szCs w:val="26"/>
        </w:rPr>
        <w:t xml:space="preserve"> y</w:t>
      </w:r>
      <w:r w:rsidR="009E3D92">
        <w:rPr>
          <w:rFonts w:ascii="Verdana" w:hAnsi="Verdana" w:cs="Arial"/>
          <w:sz w:val="26"/>
          <w:szCs w:val="26"/>
        </w:rPr>
        <w:t xml:space="preserve"> </w:t>
      </w:r>
      <w:r w:rsidR="009E3D92" w:rsidRPr="00F70EE0">
        <w:rPr>
          <w:rFonts w:ascii="Verdana" w:hAnsi="Verdana" w:cs="Arial"/>
          <w:sz w:val="26"/>
          <w:szCs w:val="26"/>
        </w:rPr>
        <w:t xml:space="preserve">ordenó </w:t>
      </w:r>
      <w:r w:rsidR="006B635F">
        <w:rPr>
          <w:rFonts w:ascii="Verdana" w:hAnsi="Verdana" w:cs="Arial"/>
          <w:sz w:val="26"/>
          <w:szCs w:val="26"/>
        </w:rPr>
        <w:t xml:space="preserve">a la </w:t>
      </w:r>
      <w:proofErr w:type="spellStart"/>
      <w:r w:rsidR="006B635F">
        <w:rPr>
          <w:rFonts w:ascii="Verdana" w:hAnsi="Verdana" w:cs="Arial"/>
          <w:sz w:val="26"/>
          <w:szCs w:val="26"/>
        </w:rPr>
        <w:t>UARIV</w:t>
      </w:r>
      <w:proofErr w:type="spellEnd"/>
      <w:r w:rsidR="00EF6084">
        <w:rPr>
          <w:rFonts w:ascii="Verdana" w:hAnsi="Verdana" w:cs="Arial"/>
          <w:sz w:val="26"/>
          <w:szCs w:val="26"/>
        </w:rPr>
        <w:t xml:space="preserve"> </w:t>
      </w:r>
      <w:r w:rsidR="004028AC">
        <w:rPr>
          <w:rFonts w:ascii="Verdana" w:hAnsi="Verdana" w:cs="Arial"/>
          <w:sz w:val="26"/>
          <w:szCs w:val="26"/>
        </w:rPr>
        <w:t xml:space="preserve">a través de </w:t>
      </w:r>
      <w:r w:rsidR="0016529D">
        <w:rPr>
          <w:rFonts w:ascii="Verdana" w:hAnsi="Verdana" w:cs="Arial"/>
          <w:sz w:val="26"/>
          <w:szCs w:val="26"/>
        </w:rPr>
        <w:t xml:space="preserve">LA Dra. GLADYS </w:t>
      </w:r>
      <w:proofErr w:type="spellStart"/>
      <w:r w:rsidR="0016529D">
        <w:rPr>
          <w:rFonts w:ascii="Verdana" w:hAnsi="Verdana" w:cs="Arial"/>
          <w:sz w:val="26"/>
          <w:szCs w:val="26"/>
        </w:rPr>
        <w:t>CELEIDE</w:t>
      </w:r>
      <w:proofErr w:type="spellEnd"/>
      <w:r w:rsidR="0016529D">
        <w:rPr>
          <w:rFonts w:ascii="Verdana" w:hAnsi="Verdana" w:cs="Arial"/>
          <w:sz w:val="26"/>
          <w:szCs w:val="26"/>
        </w:rPr>
        <w:t xml:space="preserve"> PRADA PARDO en </w:t>
      </w:r>
      <w:r w:rsidR="004028AC">
        <w:rPr>
          <w:rFonts w:ascii="Verdana" w:hAnsi="Verdana" w:cs="Arial"/>
          <w:sz w:val="26"/>
          <w:szCs w:val="26"/>
        </w:rPr>
        <w:t xml:space="preserve">su </w:t>
      </w:r>
      <w:r w:rsidR="0016529D">
        <w:rPr>
          <w:rFonts w:ascii="Verdana" w:hAnsi="Verdana" w:cs="Arial"/>
          <w:sz w:val="26"/>
          <w:szCs w:val="26"/>
        </w:rPr>
        <w:t xml:space="preserve">calidad de </w:t>
      </w:r>
      <w:r w:rsidR="004028AC">
        <w:rPr>
          <w:rFonts w:ascii="Verdana" w:hAnsi="Verdana" w:cs="Arial"/>
          <w:sz w:val="26"/>
          <w:szCs w:val="26"/>
        </w:rPr>
        <w:t>Director</w:t>
      </w:r>
      <w:r w:rsidR="0016529D">
        <w:rPr>
          <w:rFonts w:ascii="Verdana" w:hAnsi="Verdana" w:cs="Arial"/>
          <w:sz w:val="26"/>
          <w:szCs w:val="26"/>
        </w:rPr>
        <w:t xml:space="preserve">a Técnica de Registro y Gestión de la Información de la </w:t>
      </w:r>
      <w:proofErr w:type="spellStart"/>
      <w:r w:rsidR="0016529D">
        <w:rPr>
          <w:rFonts w:ascii="Verdana" w:hAnsi="Verdana" w:cs="Arial"/>
          <w:sz w:val="26"/>
          <w:szCs w:val="26"/>
        </w:rPr>
        <w:t>UARIV</w:t>
      </w:r>
      <w:proofErr w:type="spellEnd"/>
      <w:r w:rsidR="0016529D">
        <w:rPr>
          <w:rFonts w:ascii="Verdana" w:hAnsi="Verdana" w:cs="Arial"/>
          <w:sz w:val="26"/>
          <w:szCs w:val="26"/>
        </w:rPr>
        <w:t xml:space="preserve"> </w:t>
      </w:r>
      <w:r w:rsidR="002B4CB3">
        <w:rPr>
          <w:rFonts w:ascii="Verdana" w:hAnsi="Verdana" w:cs="Arial"/>
          <w:sz w:val="26"/>
          <w:szCs w:val="26"/>
        </w:rPr>
        <w:t xml:space="preserve">que </w:t>
      </w:r>
      <w:r w:rsidR="0016529D">
        <w:rPr>
          <w:rFonts w:ascii="Verdana" w:hAnsi="Verdana" w:cs="Arial"/>
          <w:sz w:val="26"/>
          <w:szCs w:val="26"/>
        </w:rPr>
        <w:t xml:space="preserve">dentro de </w:t>
      </w:r>
      <w:r w:rsidR="0016529D">
        <w:rPr>
          <w:rFonts w:ascii="Verdana" w:hAnsi="Verdana" w:cs="Arial"/>
          <w:sz w:val="26"/>
          <w:szCs w:val="26"/>
        </w:rPr>
        <w:lastRenderedPageBreak/>
        <w:t>las 48 horas</w:t>
      </w:r>
      <w:r w:rsidR="004028AC">
        <w:rPr>
          <w:rFonts w:ascii="Verdana" w:hAnsi="Verdana" w:cs="Arial"/>
          <w:sz w:val="26"/>
          <w:szCs w:val="26"/>
        </w:rPr>
        <w:t xml:space="preserve"> siguientes a la notificación de</w:t>
      </w:r>
      <w:r w:rsidR="00FC166A">
        <w:rPr>
          <w:rFonts w:ascii="Verdana" w:hAnsi="Verdana" w:cs="Arial"/>
          <w:sz w:val="26"/>
          <w:szCs w:val="26"/>
        </w:rPr>
        <w:t>l</w:t>
      </w:r>
      <w:r w:rsidR="004028AC">
        <w:rPr>
          <w:rFonts w:ascii="Verdana" w:hAnsi="Verdana" w:cs="Arial"/>
          <w:sz w:val="26"/>
          <w:szCs w:val="26"/>
        </w:rPr>
        <w:t xml:space="preserve"> fallo, </w:t>
      </w:r>
      <w:r w:rsidR="0016529D">
        <w:rPr>
          <w:rFonts w:ascii="Verdana" w:hAnsi="Verdana" w:cs="Arial"/>
          <w:sz w:val="26"/>
          <w:szCs w:val="26"/>
        </w:rPr>
        <w:t xml:space="preserve">ordenara la expedición y </w:t>
      </w:r>
      <w:r w:rsidR="002B4CB3">
        <w:rPr>
          <w:rFonts w:ascii="Verdana" w:hAnsi="Verdana" w:cs="Arial"/>
          <w:sz w:val="26"/>
          <w:szCs w:val="26"/>
        </w:rPr>
        <w:t>remisión</w:t>
      </w:r>
      <w:r w:rsidR="0016529D">
        <w:rPr>
          <w:rFonts w:ascii="Verdana" w:hAnsi="Verdana" w:cs="Arial"/>
          <w:sz w:val="26"/>
          <w:szCs w:val="26"/>
        </w:rPr>
        <w:t xml:space="preserve"> al accionante </w:t>
      </w:r>
      <w:r w:rsidR="002B4CB3">
        <w:rPr>
          <w:rFonts w:ascii="Verdana" w:hAnsi="Verdana" w:cs="Arial"/>
          <w:sz w:val="26"/>
          <w:szCs w:val="26"/>
        </w:rPr>
        <w:t xml:space="preserve">de </w:t>
      </w:r>
      <w:r w:rsidR="0016529D">
        <w:rPr>
          <w:rFonts w:ascii="Verdana" w:hAnsi="Verdana" w:cs="Arial"/>
          <w:sz w:val="26"/>
          <w:szCs w:val="26"/>
        </w:rPr>
        <w:t xml:space="preserve">la copia del acto administrativo </w:t>
      </w:r>
      <w:r w:rsidR="002B4CB3">
        <w:rPr>
          <w:rFonts w:ascii="Verdana" w:hAnsi="Verdana" w:cs="Arial"/>
          <w:sz w:val="26"/>
          <w:szCs w:val="26"/>
        </w:rPr>
        <w:t xml:space="preserve">por él solicitado. </w:t>
      </w:r>
    </w:p>
    <w:p w:rsidR="00133657" w:rsidRDefault="00133657" w:rsidP="00E81295">
      <w:pPr>
        <w:spacing w:line="312" w:lineRule="auto"/>
        <w:ind w:right="-34"/>
        <w:jc w:val="both"/>
        <w:rPr>
          <w:rFonts w:ascii="Verdana" w:hAnsi="Verdana" w:cs="Arial"/>
          <w:sz w:val="26"/>
          <w:szCs w:val="26"/>
        </w:rPr>
      </w:pPr>
    </w:p>
    <w:p w:rsidR="008A169A" w:rsidRDefault="002B4CB3" w:rsidP="00E81295">
      <w:pPr>
        <w:spacing w:line="312" w:lineRule="auto"/>
        <w:ind w:right="-34"/>
        <w:jc w:val="both"/>
        <w:rPr>
          <w:rFonts w:ascii="Verdana" w:hAnsi="Verdana" w:cs="Arial"/>
          <w:sz w:val="26"/>
          <w:szCs w:val="26"/>
        </w:rPr>
      </w:pPr>
      <w:r>
        <w:rPr>
          <w:rFonts w:ascii="Verdana" w:hAnsi="Verdana" w:cs="Arial"/>
          <w:sz w:val="26"/>
          <w:szCs w:val="26"/>
        </w:rPr>
        <w:t>El 11 de f</w:t>
      </w:r>
      <w:r w:rsidR="00472556">
        <w:rPr>
          <w:rFonts w:ascii="Verdana" w:hAnsi="Verdana" w:cs="Arial"/>
          <w:sz w:val="26"/>
          <w:szCs w:val="26"/>
        </w:rPr>
        <w:t>ebrero del 2016</w:t>
      </w:r>
      <w:r w:rsidR="009248AA">
        <w:rPr>
          <w:rFonts w:ascii="Verdana" w:hAnsi="Verdana" w:cs="Arial"/>
          <w:sz w:val="26"/>
          <w:szCs w:val="26"/>
        </w:rPr>
        <w:t xml:space="preserve"> </w:t>
      </w:r>
      <w:r w:rsidR="004A59D2">
        <w:rPr>
          <w:rFonts w:ascii="Verdana" w:hAnsi="Verdana" w:cs="Arial"/>
          <w:sz w:val="26"/>
          <w:szCs w:val="26"/>
        </w:rPr>
        <w:t>el Sr</w:t>
      </w:r>
      <w:r w:rsidR="003F01F7">
        <w:rPr>
          <w:rFonts w:ascii="Verdana" w:hAnsi="Verdana" w:cs="Arial"/>
          <w:sz w:val="26"/>
          <w:szCs w:val="26"/>
        </w:rPr>
        <w:t xml:space="preserve">. </w:t>
      </w:r>
      <w:proofErr w:type="spellStart"/>
      <w:r w:rsidR="00472556">
        <w:rPr>
          <w:rFonts w:ascii="Verdana" w:hAnsi="Verdana" w:cs="Arial"/>
          <w:sz w:val="26"/>
          <w:szCs w:val="26"/>
        </w:rPr>
        <w:t>AGOBARDO</w:t>
      </w:r>
      <w:proofErr w:type="spellEnd"/>
      <w:r w:rsidR="00472556">
        <w:rPr>
          <w:rFonts w:ascii="Verdana" w:hAnsi="Verdana" w:cs="Arial"/>
          <w:sz w:val="26"/>
          <w:szCs w:val="26"/>
        </w:rPr>
        <w:t xml:space="preserve"> STEVEN </w:t>
      </w:r>
      <w:proofErr w:type="spellStart"/>
      <w:r w:rsidR="00472556">
        <w:rPr>
          <w:rFonts w:ascii="Verdana" w:hAnsi="Verdana" w:cs="Arial"/>
          <w:sz w:val="26"/>
          <w:szCs w:val="26"/>
        </w:rPr>
        <w:t>QUERAGAMA</w:t>
      </w:r>
      <w:proofErr w:type="spellEnd"/>
      <w:r w:rsidR="009248AA">
        <w:rPr>
          <w:rFonts w:ascii="Verdana" w:hAnsi="Verdana" w:cs="Arial"/>
          <w:sz w:val="26"/>
          <w:szCs w:val="26"/>
        </w:rPr>
        <w:t xml:space="preserve"> </w:t>
      </w:r>
      <w:r w:rsidR="003F01F7">
        <w:rPr>
          <w:rFonts w:ascii="Verdana" w:hAnsi="Verdana" w:cs="Arial"/>
          <w:sz w:val="26"/>
          <w:szCs w:val="26"/>
        </w:rPr>
        <w:t>solicitó mediante escrito se iniciase un incidente de desacato, por encontrarse la entidad accionada en estado de indiferencia frente a lo ordenado en la sentencia de tutel</w:t>
      </w:r>
      <w:r>
        <w:rPr>
          <w:rFonts w:ascii="Verdana" w:hAnsi="Verdana" w:cs="Arial"/>
          <w:sz w:val="26"/>
          <w:szCs w:val="26"/>
        </w:rPr>
        <w:t>a del 23 de n</w:t>
      </w:r>
      <w:r w:rsidR="00472556">
        <w:rPr>
          <w:rFonts w:ascii="Verdana" w:hAnsi="Verdana" w:cs="Arial"/>
          <w:sz w:val="26"/>
          <w:szCs w:val="26"/>
        </w:rPr>
        <w:t>oviembre</w:t>
      </w:r>
      <w:r w:rsidR="000D1062">
        <w:rPr>
          <w:rFonts w:ascii="Verdana" w:hAnsi="Verdana" w:cs="Arial"/>
          <w:sz w:val="26"/>
          <w:szCs w:val="26"/>
        </w:rPr>
        <w:t xml:space="preserve"> del 2015</w:t>
      </w:r>
      <w:r w:rsidR="003F01F7">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sidR="003F01F7">
        <w:rPr>
          <w:rFonts w:ascii="Verdana" w:hAnsi="Verdana" w:cs="Arial"/>
          <w:sz w:val="26"/>
          <w:szCs w:val="26"/>
        </w:rPr>
        <w:t>emitir lo</w:t>
      </w:r>
      <w:r w:rsidR="00E56E04">
        <w:rPr>
          <w:rFonts w:ascii="Verdana" w:hAnsi="Verdana" w:cs="Arial"/>
          <w:sz w:val="26"/>
          <w:szCs w:val="26"/>
        </w:rPr>
        <w:t>s</w:t>
      </w:r>
      <w:r w:rsidR="003F01F7">
        <w:rPr>
          <w:rFonts w:ascii="Verdana" w:hAnsi="Verdana" w:cs="Arial"/>
          <w:sz w:val="26"/>
          <w:szCs w:val="26"/>
        </w:rPr>
        <w:t xml:space="preserve"> respectivos requerimientos a los funcionarios de la entidad accionada.</w:t>
      </w:r>
    </w:p>
    <w:p w:rsidR="00C37264" w:rsidRPr="00F70EE0" w:rsidRDefault="00C37264" w:rsidP="00DC0E9E">
      <w:pPr>
        <w:spacing w:line="360" w:lineRule="auto"/>
        <w:ind w:right="-34"/>
        <w:jc w:val="both"/>
        <w:rPr>
          <w:rFonts w:ascii="Verdana" w:hAnsi="Verdana" w:cs="Arial"/>
          <w:sz w:val="26"/>
          <w:szCs w:val="26"/>
        </w:rPr>
      </w:pPr>
    </w:p>
    <w:p w:rsidR="00FF6879" w:rsidRDefault="00D9793C" w:rsidP="00336A8F">
      <w:pPr>
        <w:spacing w:line="312" w:lineRule="auto"/>
        <w:ind w:right="-34"/>
        <w:jc w:val="both"/>
        <w:rPr>
          <w:rFonts w:ascii="Verdana" w:hAnsi="Verdana" w:cs="Arial"/>
          <w:sz w:val="26"/>
          <w:szCs w:val="26"/>
        </w:rPr>
      </w:pPr>
      <w:r w:rsidRPr="00772237">
        <w:rPr>
          <w:rFonts w:ascii="Verdana" w:hAnsi="Verdana" w:cs="Arial"/>
          <w:sz w:val="26"/>
          <w:szCs w:val="26"/>
        </w:rPr>
        <w:t>Situación que desencadenó en que medi</w:t>
      </w:r>
      <w:r w:rsidR="00B20E4F" w:rsidRPr="00772237">
        <w:rPr>
          <w:rFonts w:ascii="Verdana" w:hAnsi="Verdana" w:cs="Arial"/>
          <w:sz w:val="26"/>
          <w:szCs w:val="26"/>
        </w:rPr>
        <w:t xml:space="preserve">ante auto interlocutorio </w:t>
      </w:r>
      <w:r w:rsidR="00622A0C" w:rsidRPr="00772237">
        <w:rPr>
          <w:rFonts w:ascii="Verdana" w:hAnsi="Verdana" w:cs="Arial"/>
          <w:sz w:val="26"/>
          <w:szCs w:val="26"/>
        </w:rPr>
        <w:t xml:space="preserve">del </w:t>
      </w:r>
      <w:r w:rsidR="002B4CB3">
        <w:rPr>
          <w:rFonts w:ascii="Verdana" w:hAnsi="Verdana" w:cs="Arial"/>
          <w:sz w:val="26"/>
          <w:szCs w:val="26"/>
        </w:rPr>
        <w:t>28 de m</w:t>
      </w:r>
      <w:r w:rsidR="00472556">
        <w:rPr>
          <w:rFonts w:ascii="Verdana" w:hAnsi="Verdana" w:cs="Arial"/>
          <w:sz w:val="26"/>
          <w:szCs w:val="26"/>
        </w:rPr>
        <w:t>arzo de 2016</w:t>
      </w:r>
      <w:r w:rsidRPr="00772237">
        <w:rPr>
          <w:rFonts w:ascii="Verdana" w:hAnsi="Verdana" w:cs="Arial"/>
          <w:sz w:val="26"/>
          <w:szCs w:val="26"/>
        </w:rPr>
        <w:t>, el Despacho de conocimien</w:t>
      </w:r>
      <w:r w:rsidR="00B20E4F" w:rsidRPr="00772237">
        <w:rPr>
          <w:rFonts w:ascii="Verdana" w:hAnsi="Verdana" w:cs="Arial"/>
          <w:sz w:val="26"/>
          <w:szCs w:val="26"/>
        </w:rPr>
        <w:t>to ordenara sancionar a</w:t>
      </w:r>
      <w:r w:rsidR="003F01F7" w:rsidRPr="00772237">
        <w:rPr>
          <w:rFonts w:ascii="Verdana" w:hAnsi="Verdana" w:cs="Arial"/>
          <w:sz w:val="26"/>
          <w:szCs w:val="26"/>
        </w:rPr>
        <w:t xml:space="preserve"> la </w:t>
      </w:r>
      <w:r w:rsidR="00FF6879">
        <w:rPr>
          <w:rFonts w:ascii="Verdana" w:hAnsi="Verdana" w:cs="Arial"/>
          <w:sz w:val="26"/>
          <w:szCs w:val="26"/>
        </w:rPr>
        <w:t xml:space="preserve">Dra. GLADYS </w:t>
      </w:r>
      <w:proofErr w:type="spellStart"/>
      <w:r w:rsidR="00FF6879">
        <w:rPr>
          <w:rFonts w:ascii="Verdana" w:hAnsi="Verdana" w:cs="Arial"/>
          <w:sz w:val="26"/>
          <w:szCs w:val="26"/>
        </w:rPr>
        <w:t>CELEIDE</w:t>
      </w:r>
      <w:proofErr w:type="spellEnd"/>
      <w:r w:rsidR="00FF6879">
        <w:rPr>
          <w:rFonts w:ascii="Verdana" w:hAnsi="Verdana" w:cs="Arial"/>
          <w:sz w:val="26"/>
          <w:szCs w:val="26"/>
        </w:rPr>
        <w:t xml:space="preserve"> PRADA PARDO en su calidad de Directora Técnica de Registro y Gestión de la Información y a su superior jerárquico, Dra. PAULA GAVIRIA BETANCUR en su calidad de Directora General, ambas funcionarias de la </w:t>
      </w:r>
      <w:proofErr w:type="spellStart"/>
      <w:r w:rsidR="00FF6879">
        <w:rPr>
          <w:rFonts w:ascii="Verdana" w:hAnsi="Verdana" w:cs="Arial"/>
          <w:sz w:val="26"/>
          <w:szCs w:val="26"/>
        </w:rPr>
        <w:t>UARIV</w:t>
      </w:r>
      <w:proofErr w:type="spellEnd"/>
      <w:r w:rsidR="00FF6879">
        <w:rPr>
          <w:rFonts w:ascii="Verdana" w:hAnsi="Verdana" w:cs="Arial"/>
          <w:sz w:val="26"/>
          <w:szCs w:val="26"/>
        </w:rPr>
        <w:t>, la primera por su desacato a la sentenci</w:t>
      </w:r>
      <w:r w:rsidR="002B4CB3">
        <w:rPr>
          <w:rFonts w:ascii="Verdana" w:hAnsi="Verdana" w:cs="Arial"/>
          <w:sz w:val="26"/>
          <w:szCs w:val="26"/>
        </w:rPr>
        <w:t>a de tutela proferida el 23 de n</w:t>
      </w:r>
      <w:r w:rsidR="00FF6879">
        <w:rPr>
          <w:rFonts w:ascii="Verdana" w:hAnsi="Verdana" w:cs="Arial"/>
          <w:sz w:val="26"/>
          <w:szCs w:val="26"/>
        </w:rPr>
        <w:t xml:space="preserve">oviembre del 2015 </w:t>
      </w:r>
      <w:r w:rsidR="00FF6879" w:rsidRPr="00F70EE0">
        <w:rPr>
          <w:rFonts w:ascii="Verdana" w:hAnsi="Verdana" w:cs="Arial"/>
          <w:sz w:val="26"/>
          <w:szCs w:val="26"/>
        </w:rPr>
        <w:t xml:space="preserve">y </w:t>
      </w:r>
      <w:r w:rsidR="00FF6879">
        <w:rPr>
          <w:rFonts w:ascii="Verdana" w:hAnsi="Verdana" w:cs="Arial"/>
          <w:sz w:val="26"/>
          <w:szCs w:val="26"/>
        </w:rPr>
        <w:t>la segunda por adoptar las medidas necesarias para el cumplimiento del citado fallo</w:t>
      </w:r>
    </w:p>
    <w:p w:rsidR="00103E7C" w:rsidRDefault="00103E7C" w:rsidP="00206E85">
      <w:pPr>
        <w:spacing w:line="312" w:lineRule="auto"/>
        <w:jc w:val="both"/>
        <w:rPr>
          <w:rFonts w:ascii="Verdana" w:hAnsi="Verdana" w:cs="Arial"/>
          <w:sz w:val="26"/>
          <w:szCs w:val="26"/>
        </w:rPr>
      </w:pPr>
    </w:p>
    <w:p w:rsidR="00995904" w:rsidRDefault="00254BD2" w:rsidP="00103E7C">
      <w:pPr>
        <w:spacing w:line="312" w:lineRule="auto"/>
        <w:ind w:right="-34"/>
        <w:jc w:val="both"/>
        <w:rPr>
          <w:rFonts w:ascii="Verdana" w:hAnsi="Verdana" w:cs="Arial"/>
          <w:sz w:val="26"/>
          <w:szCs w:val="26"/>
        </w:rPr>
      </w:pPr>
      <w:r>
        <w:rPr>
          <w:rFonts w:ascii="Verdana" w:hAnsi="Verdana" w:cs="Arial"/>
          <w:sz w:val="26"/>
          <w:szCs w:val="26"/>
        </w:rPr>
        <w:t>Finalmente, el 2</w:t>
      </w:r>
      <w:r w:rsidR="00995904">
        <w:rPr>
          <w:rFonts w:ascii="Verdana" w:hAnsi="Verdana" w:cs="Arial"/>
          <w:sz w:val="26"/>
          <w:szCs w:val="26"/>
        </w:rPr>
        <w:t>0 de Septiembre</w:t>
      </w:r>
      <w:r w:rsidR="00103E7C">
        <w:rPr>
          <w:rFonts w:ascii="Verdana" w:hAnsi="Verdana" w:cs="Arial"/>
          <w:sz w:val="26"/>
          <w:szCs w:val="26"/>
        </w:rPr>
        <w:t xml:space="preserve"> de</w:t>
      </w:r>
      <w:r w:rsidR="00995904">
        <w:rPr>
          <w:rFonts w:ascii="Verdana" w:hAnsi="Verdana" w:cs="Arial"/>
          <w:sz w:val="26"/>
          <w:szCs w:val="26"/>
        </w:rPr>
        <w:t xml:space="preserve"> 2016 se realizó comunicación telef</w:t>
      </w:r>
      <w:r w:rsidR="000679A3">
        <w:rPr>
          <w:rFonts w:ascii="Verdana" w:hAnsi="Verdana" w:cs="Arial"/>
          <w:sz w:val="26"/>
          <w:szCs w:val="26"/>
        </w:rPr>
        <w:t xml:space="preserve">ónica con el accionante </w:t>
      </w:r>
      <w:proofErr w:type="spellStart"/>
      <w:r w:rsidR="000679A3">
        <w:rPr>
          <w:rFonts w:ascii="Verdana" w:hAnsi="Verdana" w:cs="Arial"/>
          <w:sz w:val="26"/>
          <w:szCs w:val="26"/>
        </w:rPr>
        <w:t>AGOBARDO</w:t>
      </w:r>
      <w:proofErr w:type="spellEnd"/>
      <w:r w:rsidR="00995904">
        <w:rPr>
          <w:rFonts w:ascii="Verdana" w:hAnsi="Verdana" w:cs="Arial"/>
          <w:sz w:val="26"/>
          <w:szCs w:val="26"/>
        </w:rPr>
        <w:t xml:space="preserve"> STEVEN </w:t>
      </w:r>
      <w:proofErr w:type="spellStart"/>
      <w:r w:rsidR="00995904">
        <w:rPr>
          <w:rFonts w:ascii="Verdana" w:hAnsi="Verdana" w:cs="Arial"/>
          <w:sz w:val="26"/>
          <w:szCs w:val="26"/>
        </w:rPr>
        <w:t>QUERAGAMA</w:t>
      </w:r>
      <w:proofErr w:type="spellEnd"/>
      <w:r w:rsidR="000679A3">
        <w:rPr>
          <w:rFonts w:ascii="Verdana" w:hAnsi="Verdana" w:cs="Arial"/>
          <w:sz w:val="26"/>
          <w:szCs w:val="26"/>
        </w:rPr>
        <w:t xml:space="preserve">, el cual manifestó que la </w:t>
      </w:r>
      <w:proofErr w:type="spellStart"/>
      <w:r w:rsidR="000679A3">
        <w:rPr>
          <w:rFonts w:ascii="Verdana" w:hAnsi="Verdana" w:cs="Arial"/>
          <w:sz w:val="26"/>
          <w:szCs w:val="26"/>
        </w:rPr>
        <w:t>UARIV</w:t>
      </w:r>
      <w:proofErr w:type="spellEnd"/>
      <w:r w:rsidR="000679A3">
        <w:rPr>
          <w:rFonts w:ascii="Verdana" w:hAnsi="Verdana" w:cs="Arial"/>
          <w:sz w:val="26"/>
          <w:szCs w:val="26"/>
        </w:rPr>
        <w:t xml:space="preserve"> si le había expedido y remitido copia del acto administrativo, acorde con lo ordenado por la sentencia de tutela del 23 de Noviembre del 2015.</w:t>
      </w:r>
      <w:r w:rsidR="00090754">
        <w:rPr>
          <w:rFonts w:ascii="Verdana" w:hAnsi="Verdana" w:cs="Arial"/>
          <w:sz w:val="26"/>
          <w:szCs w:val="26"/>
        </w:rPr>
        <w:t xml:space="preserve"> </w:t>
      </w:r>
      <w:r w:rsidR="000679A3">
        <w:rPr>
          <w:rFonts w:ascii="Verdana" w:hAnsi="Verdana" w:cs="Arial"/>
          <w:sz w:val="26"/>
          <w:szCs w:val="26"/>
        </w:rPr>
        <w:t>En concordancia con lo anterior se elevó constancia (</w:t>
      </w:r>
      <w:proofErr w:type="spellStart"/>
      <w:r w:rsidR="000679A3">
        <w:rPr>
          <w:rFonts w:ascii="Verdana" w:hAnsi="Verdana" w:cs="Arial"/>
          <w:sz w:val="26"/>
          <w:szCs w:val="26"/>
        </w:rPr>
        <w:t>Fl</w:t>
      </w:r>
      <w:proofErr w:type="spellEnd"/>
      <w:r w:rsidR="000679A3">
        <w:rPr>
          <w:rFonts w:ascii="Verdana" w:hAnsi="Verdana" w:cs="Arial"/>
          <w:sz w:val="26"/>
          <w:szCs w:val="26"/>
        </w:rPr>
        <w:t>. 36)</w:t>
      </w:r>
      <w:r w:rsidR="00464217">
        <w:rPr>
          <w:rFonts w:ascii="Verdana" w:hAnsi="Verdana" w:cs="Arial"/>
          <w:sz w:val="26"/>
          <w:szCs w:val="26"/>
        </w:rPr>
        <w:t>.</w:t>
      </w:r>
    </w:p>
    <w:p w:rsidR="00A175E4" w:rsidRDefault="00A175E4" w:rsidP="00DC0E9E">
      <w:pPr>
        <w:spacing w:line="360" w:lineRule="auto"/>
        <w:jc w:val="both"/>
        <w:rPr>
          <w:rFonts w:ascii="Verdana" w:hAnsi="Verdana" w:cs="Arial"/>
          <w:sz w:val="26"/>
          <w:szCs w:val="26"/>
        </w:rPr>
      </w:pPr>
    </w:p>
    <w:p w:rsidR="006224A6" w:rsidRDefault="008D1E41" w:rsidP="0060616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lastRenderedPageBreak/>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EF0CAA" w:rsidRPr="00EF0CAA" w:rsidRDefault="00EF0CAA" w:rsidP="00EF0CAA">
      <w:pPr>
        <w:spacing w:line="312" w:lineRule="auto"/>
        <w:jc w:val="both"/>
        <w:rPr>
          <w:rFonts w:ascii="Verdana" w:hAnsi="Verdana" w:cs="Arial"/>
          <w:sz w:val="26"/>
          <w:szCs w:val="26"/>
        </w:rPr>
      </w:pPr>
    </w:p>
    <w:p w:rsidR="003E45EB" w:rsidRPr="00F10A0A" w:rsidRDefault="00661F0C" w:rsidP="00F10A0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F775D">
      <w:pPr>
        <w:pStyle w:val="Textoindependiente"/>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F10A0A">
        <w:rPr>
          <w:rFonts w:ascii="Verdana" w:hAnsi="Verdana" w:cs="Arial"/>
          <w:sz w:val="26"/>
          <w:szCs w:val="26"/>
        </w:rPr>
        <w:t>28 de m</w:t>
      </w:r>
      <w:r w:rsidR="00686B65">
        <w:rPr>
          <w:rFonts w:ascii="Verdana" w:hAnsi="Verdana" w:cs="Arial"/>
          <w:sz w:val="26"/>
          <w:szCs w:val="26"/>
        </w:rPr>
        <w:t>arzo de 2016</w:t>
      </w:r>
      <w:r w:rsidR="008F26C3">
        <w:rPr>
          <w:rFonts w:ascii="Verdana" w:hAnsi="Verdana" w:cs="Arial"/>
          <w:sz w:val="26"/>
          <w:szCs w:val="26"/>
        </w:rPr>
        <w:t xml:space="preserve"> </w:t>
      </w:r>
      <w:r w:rsidR="00250CEA">
        <w:rPr>
          <w:rFonts w:ascii="Verdana" w:hAnsi="Verdana" w:cs="Arial"/>
          <w:sz w:val="26"/>
          <w:szCs w:val="26"/>
        </w:rPr>
        <w:t xml:space="preserve">por el Juzgado </w:t>
      </w:r>
      <w:r w:rsidR="00686B65">
        <w:rPr>
          <w:rFonts w:ascii="Verdana" w:hAnsi="Verdana" w:cs="Arial"/>
          <w:sz w:val="26"/>
          <w:szCs w:val="26"/>
        </w:rPr>
        <w:t xml:space="preserve">Promiscuo del Circuito de </w:t>
      </w:r>
      <w:proofErr w:type="spellStart"/>
      <w:r w:rsidR="00686B65">
        <w:rPr>
          <w:rFonts w:ascii="Verdana" w:hAnsi="Verdana" w:cs="Arial"/>
          <w:sz w:val="26"/>
          <w:szCs w:val="26"/>
        </w:rPr>
        <w:t>Apía</w:t>
      </w:r>
      <w:proofErr w:type="spellEnd"/>
      <w:r w:rsidR="00EB3771">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250CEA">
        <w:rPr>
          <w:rFonts w:ascii="Verdana" w:hAnsi="Verdana" w:cs="Arial"/>
          <w:sz w:val="26"/>
          <w:szCs w:val="26"/>
        </w:rPr>
        <w:t xml:space="preserve"> </w:t>
      </w:r>
      <w:r w:rsidR="006F775D">
        <w:rPr>
          <w:rFonts w:ascii="Verdana" w:hAnsi="Verdana" w:cs="Arial"/>
          <w:sz w:val="26"/>
          <w:szCs w:val="26"/>
        </w:rPr>
        <w:t xml:space="preserve">Dra. </w:t>
      </w:r>
      <w:r w:rsidR="00686B65">
        <w:rPr>
          <w:rFonts w:ascii="Verdana" w:hAnsi="Verdana" w:cs="Arial"/>
          <w:b/>
          <w:sz w:val="26"/>
          <w:szCs w:val="26"/>
        </w:rPr>
        <w:t xml:space="preserve">GLADYS </w:t>
      </w:r>
      <w:proofErr w:type="spellStart"/>
      <w:r w:rsidR="00686B65">
        <w:rPr>
          <w:rFonts w:ascii="Verdana" w:hAnsi="Verdana" w:cs="Arial"/>
          <w:b/>
          <w:sz w:val="26"/>
          <w:szCs w:val="26"/>
        </w:rPr>
        <w:t>CELEIDE</w:t>
      </w:r>
      <w:proofErr w:type="spellEnd"/>
      <w:r w:rsidR="008445F6">
        <w:rPr>
          <w:rFonts w:ascii="Verdana" w:hAnsi="Verdana" w:cs="Arial"/>
          <w:b/>
          <w:sz w:val="26"/>
          <w:szCs w:val="26"/>
        </w:rPr>
        <w:t xml:space="preserve"> PRADA PARDO</w:t>
      </w:r>
      <w:r w:rsidR="006F775D">
        <w:rPr>
          <w:rFonts w:ascii="Verdana" w:hAnsi="Verdana" w:cs="Arial"/>
          <w:sz w:val="26"/>
          <w:szCs w:val="26"/>
        </w:rPr>
        <w:t xml:space="preserve"> en su calidad de</w:t>
      </w:r>
      <w:r w:rsidR="008445F6">
        <w:rPr>
          <w:rFonts w:ascii="Verdana" w:hAnsi="Verdana" w:cs="Arial"/>
          <w:sz w:val="26"/>
          <w:szCs w:val="26"/>
        </w:rPr>
        <w:t xml:space="preserve"> Directora Técnica de Registro y Gestión de la Información</w:t>
      </w:r>
      <w:r w:rsidR="006F775D">
        <w:rPr>
          <w:rFonts w:ascii="Verdana" w:hAnsi="Verdana" w:cs="Arial"/>
          <w:sz w:val="26"/>
          <w:szCs w:val="26"/>
        </w:rPr>
        <w:t xml:space="preserve"> </w:t>
      </w:r>
      <w:r w:rsidR="00F10A0A">
        <w:rPr>
          <w:rFonts w:ascii="Verdana" w:hAnsi="Verdana" w:cs="Arial"/>
          <w:sz w:val="26"/>
          <w:szCs w:val="26"/>
        </w:rPr>
        <w:t xml:space="preserve">de la </w:t>
      </w:r>
      <w:proofErr w:type="spellStart"/>
      <w:r w:rsidR="00F10A0A">
        <w:rPr>
          <w:rFonts w:ascii="Verdana" w:hAnsi="Verdana" w:cs="Arial"/>
          <w:sz w:val="26"/>
          <w:szCs w:val="26"/>
        </w:rPr>
        <w:t>UARIV</w:t>
      </w:r>
      <w:proofErr w:type="spellEnd"/>
      <w:r w:rsidR="00F10A0A">
        <w:rPr>
          <w:rFonts w:ascii="Verdana" w:hAnsi="Verdana" w:cs="Arial"/>
          <w:sz w:val="26"/>
          <w:szCs w:val="26"/>
        </w:rPr>
        <w:t xml:space="preserve"> </w:t>
      </w:r>
      <w:r w:rsidR="006F775D">
        <w:rPr>
          <w:rFonts w:ascii="Verdana" w:hAnsi="Verdana" w:cs="Arial"/>
          <w:sz w:val="26"/>
          <w:szCs w:val="26"/>
        </w:rPr>
        <w:t xml:space="preserve">y a su superior jerárquico, Dra. </w:t>
      </w:r>
      <w:r w:rsidR="006F775D" w:rsidRPr="00CB3ED2">
        <w:rPr>
          <w:rFonts w:ascii="Verdana" w:hAnsi="Verdana" w:cs="Arial"/>
          <w:b/>
          <w:sz w:val="26"/>
          <w:szCs w:val="26"/>
        </w:rPr>
        <w:t>PAULA GAVIRIA BETANCUR</w:t>
      </w:r>
      <w:r w:rsidR="00F10A0A">
        <w:rPr>
          <w:rFonts w:ascii="Verdana" w:hAnsi="Verdana" w:cs="Arial"/>
          <w:sz w:val="26"/>
          <w:szCs w:val="26"/>
        </w:rPr>
        <w:t xml:space="preserve"> quien para esa época fungía como Directora General de esa misma entidad</w:t>
      </w:r>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3C28BF" w:rsidRPr="00F70EE0" w:rsidRDefault="003C28BF" w:rsidP="00F10A0A">
      <w:pPr>
        <w:spacing w:line="312" w:lineRule="auto"/>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E81295" w:rsidRDefault="00E81295" w:rsidP="00EF0CAA">
      <w:pPr>
        <w:spacing w:line="312" w:lineRule="auto"/>
        <w:rPr>
          <w:rFonts w:ascii="Verdana" w:hAnsi="Verdana" w:cs="Arial"/>
          <w:b/>
          <w:sz w:val="26"/>
          <w:szCs w:val="26"/>
        </w:rPr>
      </w:pPr>
    </w:p>
    <w:p w:rsidR="00F10A0A" w:rsidRPr="00F70EE0" w:rsidRDefault="00F10A0A"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E7" w:rsidRDefault="00EC71E7">
      <w:r>
        <w:separator/>
      </w:r>
    </w:p>
  </w:endnote>
  <w:endnote w:type="continuationSeparator" w:id="0">
    <w:p w:rsidR="00EC71E7" w:rsidRDefault="00EC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0A4A84">
      <w:rPr>
        <w:rStyle w:val="Nmerodepgina"/>
        <w:rFonts w:ascii="Centaur" w:hAnsi="Centaur"/>
        <w:noProof/>
      </w:rPr>
      <w:t>2</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0A4A84">
      <w:rPr>
        <w:rStyle w:val="Nmerodepgina"/>
        <w:rFonts w:ascii="Centaur" w:hAnsi="Centaur"/>
        <w:noProof/>
      </w:rPr>
      <w:t>9</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E7" w:rsidRDefault="00EC71E7">
      <w:r>
        <w:separator/>
      </w:r>
    </w:p>
  </w:footnote>
  <w:footnote w:type="continuationSeparator" w:id="0">
    <w:p w:rsidR="00EC71E7" w:rsidRDefault="00EC71E7">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proofErr w:type="spellStart"/>
    <w:r w:rsidR="00C23D19">
      <w:rPr>
        <w:rFonts w:ascii="Arial" w:hAnsi="Arial" w:cs="Arial"/>
        <w:sz w:val="20"/>
      </w:rPr>
      <w:t>Agobardo</w:t>
    </w:r>
    <w:proofErr w:type="spellEnd"/>
    <w:r w:rsidR="00C23D19">
      <w:rPr>
        <w:rFonts w:ascii="Arial" w:hAnsi="Arial" w:cs="Arial"/>
        <w:sz w:val="20"/>
      </w:rPr>
      <w:t xml:space="preserve"> Steven </w:t>
    </w:r>
    <w:proofErr w:type="spellStart"/>
    <w:r w:rsidR="00C23D19">
      <w:rPr>
        <w:rFonts w:ascii="Arial" w:hAnsi="Arial" w:cs="Arial"/>
        <w:sz w:val="20"/>
      </w:rPr>
      <w:t>Queragama</w:t>
    </w:r>
    <w:proofErr w:type="spellEnd"/>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proofErr w:type="spellStart"/>
    <w:r w:rsidR="0012175B">
      <w:rPr>
        <w:rFonts w:ascii="Arial" w:hAnsi="Arial" w:cs="Arial"/>
        <w:sz w:val="20"/>
      </w:rPr>
      <w:t>UARIV</w:t>
    </w:r>
    <w:proofErr w:type="spellEnd"/>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12175B">
      <w:rPr>
        <w:rFonts w:ascii="Arial" w:hAnsi="Arial" w:cs="Arial"/>
        <w:sz w:val="20"/>
      </w:rPr>
      <w:t>2015</w:t>
    </w:r>
    <w:r w:rsidR="00E81295">
      <w:rPr>
        <w:rFonts w:ascii="Arial" w:hAnsi="Arial" w:cs="Arial"/>
        <w:sz w:val="20"/>
      </w:rPr>
      <w:t>-00</w:t>
    </w:r>
    <w:r w:rsidR="00C23D19">
      <w:rPr>
        <w:rFonts w:ascii="Arial" w:hAnsi="Arial" w:cs="Arial"/>
        <w:sz w:val="20"/>
      </w:rPr>
      <w:t>203</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07283"/>
    <w:rsid w:val="0001439E"/>
    <w:rsid w:val="000158E9"/>
    <w:rsid w:val="00016C83"/>
    <w:rsid w:val="0002184F"/>
    <w:rsid w:val="00023496"/>
    <w:rsid w:val="0003116C"/>
    <w:rsid w:val="00033877"/>
    <w:rsid w:val="00041605"/>
    <w:rsid w:val="00043896"/>
    <w:rsid w:val="00047D8A"/>
    <w:rsid w:val="000560AE"/>
    <w:rsid w:val="0006060A"/>
    <w:rsid w:val="00062ACD"/>
    <w:rsid w:val="00063C64"/>
    <w:rsid w:val="00063FEB"/>
    <w:rsid w:val="000679A3"/>
    <w:rsid w:val="00076752"/>
    <w:rsid w:val="000834F4"/>
    <w:rsid w:val="0008556A"/>
    <w:rsid w:val="00090754"/>
    <w:rsid w:val="0009391C"/>
    <w:rsid w:val="000946F7"/>
    <w:rsid w:val="0009543C"/>
    <w:rsid w:val="000A4A84"/>
    <w:rsid w:val="000A590B"/>
    <w:rsid w:val="000A69E3"/>
    <w:rsid w:val="000B119E"/>
    <w:rsid w:val="000B3903"/>
    <w:rsid w:val="000B5695"/>
    <w:rsid w:val="000B7A9E"/>
    <w:rsid w:val="000C46F0"/>
    <w:rsid w:val="000C79FD"/>
    <w:rsid w:val="000C7D7F"/>
    <w:rsid w:val="000D1062"/>
    <w:rsid w:val="000D16BB"/>
    <w:rsid w:val="000D5BD3"/>
    <w:rsid w:val="000F0133"/>
    <w:rsid w:val="000F2B52"/>
    <w:rsid w:val="000F370D"/>
    <w:rsid w:val="000F46FD"/>
    <w:rsid w:val="00100AC6"/>
    <w:rsid w:val="00100CCC"/>
    <w:rsid w:val="00101E0E"/>
    <w:rsid w:val="00102494"/>
    <w:rsid w:val="00103E7C"/>
    <w:rsid w:val="0010412B"/>
    <w:rsid w:val="00105C1D"/>
    <w:rsid w:val="00106137"/>
    <w:rsid w:val="00113CBE"/>
    <w:rsid w:val="0012175B"/>
    <w:rsid w:val="001229BC"/>
    <w:rsid w:val="001233B3"/>
    <w:rsid w:val="00126339"/>
    <w:rsid w:val="00132586"/>
    <w:rsid w:val="00133657"/>
    <w:rsid w:val="001431C0"/>
    <w:rsid w:val="0014385F"/>
    <w:rsid w:val="00147B8F"/>
    <w:rsid w:val="00151F03"/>
    <w:rsid w:val="00152E70"/>
    <w:rsid w:val="001547F6"/>
    <w:rsid w:val="00160305"/>
    <w:rsid w:val="0016529D"/>
    <w:rsid w:val="001712BA"/>
    <w:rsid w:val="001722FA"/>
    <w:rsid w:val="00172AB7"/>
    <w:rsid w:val="001801CC"/>
    <w:rsid w:val="00190B60"/>
    <w:rsid w:val="001A0B51"/>
    <w:rsid w:val="001A4E42"/>
    <w:rsid w:val="001A512C"/>
    <w:rsid w:val="001A633A"/>
    <w:rsid w:val="001B3520"/>
    <w:rsid w:val="001B3E53"/>
    <w:rsid w:val="001B5D1F"/>
    <w:rsid w:val="001C17CD"/>
    <w:rsid w:val="001D28C9"/>
    <w:rsid w:val="001D4064"/>
    <w:rsid w:val="001D5C2A"/>
    <w:rsid w:val="001E1D35"/>
    <w:rsid w:val="001F1D54"/>
    <w:rsid w:val="001F414B"/>
    <w:rsid w:val="001F4763"/>
    <w:rsid w:val="001F5BEE"/>
    <w:rsid w:val="00205E39"/>
    <w:rsid w:val="00206772"/>
    <w:rsid w:val="00206E85"/>
    <w:rsid w:val="00207EEC"/>
    <w:rsid w:val="002134C2"/>
    <w:rsid w:val="002167C0"/>
    <w:rsid w:val="00222A97"/>
    <w:rsid w:val="00235E65"/>
    <w:rsid w:val="00240370"/>
    <w:rsid w:val="0024344F"/>
    <w:rsid w:val="00250CEA"/>
    <w:rsid w:val="00254BD2"/>
    <w:rsid w:val="002573DF"/>
    <w:rsid w:val="00262918"/>
    <w:rsid w:val="00264FDE"/>
    <w:rsid w:val="0026686F"/>
    <w:rsid w:val="00271096"/>
    <w:rsid w:val="0027540E"/>
    <w:rsid w:val="002809F2"/>
    <w:rsid w:val="00283E0A"/>
    <w:rsid w:val="00286107"/>
    <w:rsid w:val="002A42DB"/>
    <w:rsid w:val="002A6732"/>
    <w:rsid w:val="002B118C"/>
    <w:rsid w:val="002B1E35"/>
    <w:rsid w:val="002B2793"/>
    <w:rsid w:val="002B49A7"/>
    <w:rsid w:val="002B4CB3"/>
    <w:rsid w:val="002B4DBD"/>
    <w:rsid w:val="002C0628"/>
    <w:rsid w:val="002C4944"/>
    <w:rsid w:val="002E036B"/>
    <w:rsid w:val="002E07A0"/>
    <w:rsid w:val="002E46BB"/>
    <w:rsid w:val="002F06BE"/>
    <w:rsid w:val="002F2A8A"/>
    <w:rsid w:val="002F32D3"/>
    <w:rsid w:val="0030729D"/>
    <w:rsid w:val="00307CE9"/>
    <w:rsid w:val="003113D9"/>
    <w:rsid w:val="00321920"/>
    <w:rsid w:val="0033401A"/>
    <w:rsid w:val="00334408"/>
    <w:rsid w:val="0033480E"/>
    <w:rsid w:val="00336A8F"/>
    <w:rsid w:val="00336F13"/>
    <w:rsid w:val="00337449"/>
    <w:rsid w:val="00337DF9"/>
    <w:rsid w:val="003409D5"/>
    <w:rsid w:val="00341168"/>
    <w:rsid w:val="00345667"/>
    <w:rsid w:val="0036222F"/>
    <w:rsid w:val="003624D7"/>
    <w:rsid w:val="0036458D"/>
    <w:rsid w:val="00380C36"/>
    <w:rsid w:val="0038266D"/>
    <w:rsid w:val="003855AB"/>
    <w:rsid w:val="00390A18"/>
    <w:rsid w:val="003919D8"/>
    <w:rsid w:val="003A46E5"/>
    <w:rsid w:val="003B536F"/>
    <w:rsid w:val="003C1C2B"/>
    <w:rsid w:val="003C1D12"/>
    <w:rsid w:val="003C28BF"/>
    <w:rsid w:val="003C2DC1"/>
    <w:rsid w:val="003C3BA6"/>
    <w:rsid w:val="003C4762"/>
    <w:rsid w:val="003C4D8A"/>
    <w:rsid w:val="003C50CD"/>
    <w:rsid w:val="003D6580"/>
    <w:rsid w:val="003E45EB"/>
    <w:rsid w:val="003F01F7"/>
    <w:rsid w:val="003F4B68"/>
    <w:rsid w:val="003F53FE"/>
    <w:rsid w:val="003F6E3D"/>
    <w:rsid w:val="004028AC"/>
    <w:rsid w:val="00404912"/>
    <w:rsid w:val="00405787"/>
    <w:rsid w:val="00412AF7"/>
    <w:rsid w:val="004139E1"/>
    <w:rsid w:val="004142AF"/>
    <w:rsid w:val="0041594B"/>
    <w:rsid w:val="004230FA"/>
    <w:rsid w:val="004278A9"/>
    <w:rsid w:val="0043616F"/>
    <w:rsid w:val="0043745F"/>
    <w:rsid w:val="00443DF0"/>
    <w:rsid w:val="004450A5"/>
    <w:rsid w:val="0045206E"/>
    <w:rsid w:val="00457156"/>
    <w:rsid w:val="004602A2"/>
    <w:rsid w:val="00464217"/>
    <w:rsid w:val="00465A65"/>
    <w:rsid w:val="0047042B"/>
    <w:rsid w:val="00472556"/>
    <w:rsid w:val="00477BB2"/>
    <w:rsid w:val="00480D32"/>
    <w:rsid w:val="00482124"/>
    <w:rsid w:val="00487E46"/>
    <w:rsid w:val="004A004C"/>
    <w:rsid w:val="004A26F5"/>
    <w:rsid w:val="004A4C5B"/>
    <w:rsid w:val="004A4CC8"/>
    <w:rsid w:val="004A59D2"/>
    <w:rsid w:val="004A5A11"/>
    <w:rsid w:val="004B0860"/>
    <w:rsid w:val="004B12E6"/>
    <w:rsid w:val="004B5981"/>
    <w:rsid w:val="004E3BAE"/>
    <w:rsid w:val="004F297F"/>
    <w:rsid w:val="004F45A9"/>
    <w:rsid w:val="004F6C44"/>
    <w:rsid w:val="00510A7B"/>
    <w:rsid w:val="00511B1E"/>
    <w:rsid w:val="00516960"/>
    <w:rsid w:val="00521078"/>
    <w:rsid w:val="00530591"/>
    <w:rsid w:val="00537008"/>
    <w:rsid w:val="00542CA5"/>
    <w:rsid w:val="00546373"/>
    <w:rsid w:val="00552632"/>
    <w:rsid w:val="00563843"/>
    <w:rsid w:val="005638A3"/>
    <w:rsid w:val="00563C83"/>
    <w:rsid w:val="00565F33"/>
    <w:rsid w:val="0057386F"/>
    <w:rsid w:val="005858A4"/>
    <w:rsid w:val="005934BD"/>
    <w:rsid w:val="005970CC"/>
    <w:rsid w:val="005A2DB6"/>
    <w:rsid w:val="005A3373"/>
    <w:rsid w:val="005A6825"/>
    <w:rsid w:val="005A6A47"/>
    <w:rsid w:val="005B3E8A"/>
    <w:rsid w:val="005B44B9"/>
    <w:rsid w:val="005C24B5"/>
    <w:rsid w:val="005C4A61"/>
    <w:rsid w:val="005C61F7"/>
    <w:rsid w:val="005D0F43"/>
    <w:rsid w:val="005D3F41"/>
    <w:rsid w:val="005D49A4"/>
    <w:rsid w:val="005E11A7"/>
    <w:rsid w:val="005E181C"/>
    <w:rsid w:val="005E5ECD"/>
    <w:rsid w:val="005F3791"/>
    <w:rsid w:val="005F51B3"/>
    <w:rsid w:val="005F5714"/>
    <w:rsid w:val="00602ABE"/>
    <w:rsid w:val="00606167"/>
    <w:rsid w:val="00613FB0"/>
    <w:rsid w:val="006150F8"/>
    <w:rsid w:val="00616AD4"/>
    <w:rsid w:val="006224A6"/>
    <w:rsid w:val="00622A0C"/>
    <w:rsid w:val="006341D7"/>
    <w:rsid w:val="006342D9"/>
    <w:rsid w:val="00636573"/>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3038"/>
    <w:rsid w:val="006A3599"/>
    <w:rsid w:val="006A408D"/>
    <w:rsid w:val="006B52EA"/>
    <w:rsid w:val="006B5808"/>
    <w:rsid w:val="006B6325"/>
    <w:rsid w:val="006B635F"/>
    <w:rsid w:val="006C286D"/>
    <w:rsid w:val="006D6D1C"/>
    <w:rsid w:val="006E3298"/>
    <w:rsid w:val="006E37F6"/>
    <w:rsid w:val="006F1C91"/>
    <w:rsid w:val="006F75DB"/>
    <w:rsid w:val="006F775D"/>
    <w:rsid w:val="00704E4C"/>
    <w:rsid w:val="0070544B"/>
    <w:rsid w:val="007117EA"/>
    <w:rsid w:val="007218B3"/>
    <w:rsid w:val="0072327D"/>
    <w:rsid w:val="00756FF6"/>
    <w:rsid w:val="007575F8"/>
    <w:rsid w:val="00761B68"/>
    <w:rsid w:val="00763DE7"/>
    <w:rsid w:val="00772237"/>
    <w:rsid w:val="0077307E"/>
    <w:rsid w:val="007858A6"/>
    <w:rsid w:val="00794CAE"/>
    <w:rsid w:val="007963FA"/>
    <w:rsid w:val="007A2E57"/>
    <w:rsid w:val="007A6B81"/>
    <w:rsid w:val="007A7E59"/>
    <w:rsid w:val="007B1CEF"/>
    <w:rsid w:val="007D4159"/>
    <w:rsid w:val="007D6858"/>
    <w:rsid w:val="007E1EBB"/>
    <w:rsid w:val="007E58A8"/>
    <w:rsid w:val="007E601F"/>
    <w:rsid w:val="007F5F6E"/>
    <w:rsid w:val="007F6B9B"/>
    <w:rsid w:val="0080501A"/>
    <w:rsid w:val="00811EB7"/>
    <w:rsid w:val="00814B6B"/>
    <w:rsid w:val="008151E4"/>
    <w:rsid w:val="008159D1"/>
    <w:rsid w:val="00816C45"/>
    <w:rsid w:val="0081712C"/>
    <w:rsid w:val="00822F18"/>
    <w:rsid w:val="00824DC1"/>
    <w:rsid w:val="00827D59"/>
    <w:rsid w:val="0083061B"/>
    <w:rsid w:val="00834981"/>
    <w:rsid w:val="00835D0C"/>
    <w:rsid w:val="00837BE9"/>
    <w:rsid w:val="0084031E"/>
    <w:rsid w:val="008445F6"/>
    <w:rsid w:val="00844B2C"/>
    <w:rsid w:val="00847219"/>
    <w:rsid w:val="0086319F"/>
    <w:rsid w:val="00866A47"/>
    <w:rsid w:val="0087078B"/>
    <w:rsid w:val="008719DE"/>
    <w:rsid w:val="008762F3"/>
    <w:rsid w:val="008817D0"/>
    <w:rsid w:val="00892893"/>
    <w:rsid w:val="008973D1"/>
    <w:rsid w:val="008A0DB7"/>
    <w:rsid w:val="008A169A"/>
    <w:rsid w:val="008A79C9"/>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20C0"/>
    <w:rsid w:val="00906350"/>
    <w:rsid w:val="00921037"/>
    <w:rsid w:val="00924024"/>
    <w:rsid w:val="009248AA"/>
    <w:rsid w:val="00930F56"/>
    <w:rsid w:val="009317F4"/>
    <w:rsid w:val="009344E1"/>
    <w:rsid w:val="00940AAA"/>
    <w:rsid w:val="00940B20"/>
    <w:rsid w:val="00950401"/>
    <w:rsid w:val="00956DDD"/>
    <w:rsid w:val="00960048"/>
    <w:rsid w:val="009618CD"/>
    <w:rsid w:val="009704C1"/>
    <w:rsid w:val="00974561"/>
    <w:rsid w:val="00985510"/>
    <w:rsid w:val="00991BBF"/>
    <w:rsid w:val="00992B5C"/>
    <w:rsid w:val="00995904"/>
    <w:rsid w:val="009A00F3"/>
    <w:rsid w:val="009A03A0"/>
    <w:rsid w:val="009A58CF"/>
    <w:rsid w:val="009A5E41"/>
    <w:rsid w:val="009A5E67"/>
    <w:rsid w:val="009A6C0B"/>
    <w:rsid w:val="009B69CF"/>
    <w:rsid w:val="009B7DEB"/>
    <w:rsid w:val="009D2149"/>
    <w:rsid w:val="009D32EA"/>
    <w:rsid w:val="009D3C37"/>
    <w:rsid w:val="009E2B5D"/>
    <w:rsid w:val="009E3D92"/>
    <w:rsid w:val="009E49CC"/>
    <w:rsid w:val="009E4A6D"/>
    <w:rsid w:val="009E57EE"/>
    <w:rsid w:val="009E63E1"/>
    <w:rsid w:val="009E6A4F"/>
    <w:rsid w:val="009F4801"/>
    <w:rsid w:val="009F64B1"/>
    <w:rsid w:val="009F6EFF"/>
    <w:rsid w:val="00A003CD"/>
    <w:rsid w:val="00A03FA2"/>
    <w:rsid w:val="00A06AC7"/>
    <w:rsid w:val="00A14566"/>
    <w:rsid w:val="00A14B5D"/>
    <w:rsid w:val="00A175E4"/>
    <w:rsid w:val="00A2179D"/>
    <w:rsid w:val="00A2414C"/>
    <w:rsid w:val="00A264B3"/>
    <w:rsid w:val="00A32E81"/>
    <w:rsid w:val="00A3481B"/>
    <w:rsid w:val="00A41573"/>
    <w:rsid w:val="00A53598"/>
    <w:rsid w:val="00A538D8"/>
    <w:rsid w:val="00A54395"/>
    <w:rsid w:val="00A62C50"/>
    <w:rsid w:val="00A67ED8"/>
    <w:rsid w:val="00A71904"/>
    <w:rsid w:val="00A73D34"/>
    <w:rsid w:val="00A747C7"/>
    <w:rsid w:val="00A7541B"/>
    <w:rsid w:val="00A77526"/>
    <w:rsid w:val="00A808E0"/>
    <w:rsid w:val="00A862D6"/>
    <w:rsid w:val="00A8640A"/>
    <w:rsid w:val="00A867E2"/>
    <w:rsid w:val="00A955F4"/>
    <w:rsid w:val="00A97D09"/>
    <w:rsid w:val="00AB3EBA"/>
    <w:rsid w:val="00AB4F97"/>
    <w:rsid w:val="00AB5079"/>
    <w:rsid w:val="00AC6688"/>
    <w:rsid w:val="00AD7212"/>
    <w:rsid w:val="00AF0824"/>
    <w:rsid w:val="00AF6FCC"/>
    <w:rsid w:val="00B20E4F"/>
    <w:rsid w:val="00B25194"/>
    <w:rsid w:val="00B25F40"/>
    <w:rsid w:val="00B321B1"/>
    <w:rsid w:val="00B3450C"/>
    <w:rsid w:val="00B37957"/>
    <w:rsid w:val="00B507B2"/>
    <w:rsid w:val="00B54FB6"/>
    <w:rsid w:val="00B63F6C"/>
    <w:rsid w:val="00B7096A"/>
    <w:rsid w:val="00B726A7"/>
    <w:rsid w:val="00B74F62"/>
    <w:rsid w:val="00B75776"/>
    <w:rsid w:val="00B768D2"/>
    <w:rsid w:val="00B776DC"/>
    <w:rsid w:val="00B779E5"/>
    <w:rsid w:val="00B81836"/>
    <w:rsid w:val="00B85433"/>
    <w:rsid w:val="00B86889"/>
    <w:rsid w:val="00B93A2E"/>
    <w:rsid w:val="00B95131"/>
    <w:rsid w:val="00B955A7"/>
    <w:rsid w:val="00B969B7"/>
    <w:rsid w:val="00B96FFC"/>
    <w:rsid w:val="00BA2611"/>
    <w:rsid w:val="00BA4E8F"/>
    <w:rsid w:val="00BB063F"/>
    <w:rsid w:val="00BB241B"/>
    <w:rsid w:val="00BB392F"/>
    <w:rsid w:val="00BB7DA8"/>
    <w:rsid w:val="00BC1E7E"/>
    <w:rsid w:val="00BC46EB"/>
    <w:rsid w:val="00BD71C4"/>
    <w:rsid w:val="00BE0162"/>
    <w:rsid w:val="00BE1FA6"/>
    <w:rsid w:val="00BE21E8"/>
    <w:rsid w:val="00BE2A61"/>
    <w:rsid w:val="00BE76BB"/>
    <w:rsid w:val="00BF031F"/>
    <w:rsid w:val="00BF0553"/>
    <w:rsid w:val="00C02AD7"/>
    <w:rsid w:val="00C05DB4"/>
    <w:rsid w:val="00C06332"/>
    <w:rsid w:val="00C069A7"/>
    <w:rsid w:val="00C13CD5"/>
    <w:rsid w:val="00C13E21"/>
    <w:rsid w:val="00C1649A"/>
    <w:rsid w:val="00C23D19"/>
    <w:rsid w:val="00C27B9E"/>
    <w:rsid w:val="00C333FC"/>
    <w:rsid w:val="00C37264"/>
    <w:rsid w:val="00C37353"/>
    <w:rsid w:val="00C43FB5"/>
    <w:rsid w:val="00C53DC8"/>
    <w:rsid w:val="00C609B2"/>
    <w:rsid w:val="00C624B2"/>
    <w:rsid w:val="00C662C0"/>
    <w:rsid w:val="00C70A2F"/>
    <w:rsid w:val="00C71878"/>
    <w:rsid w:val="00C71BE7"/>
    <w:rsid w:val="00C77938"/>
    <w:rsid w:val="00C924EE"/>
    <w:rsid w:val="00C93FDD"/>
    <w:rsid w:val="00C95ED2"/>
    <w:rsid w:val="00C96147"/>
    <w:rsid w:val="00CB3ED2"/>
    <w:rsid w:val="00CB502F"/>
    <w:rsid w:val="00CC04D4"/>
    <w:rsid w:val="00CC73D7"/>
    <w:rsid w:val="00CD091D"/>
    <w:rsid w:val="00CD3E7C"/>
    <w:rsid w:val="00CD5E24"/>
    <w:rsid w:val="00CE1E36"/>
    <w:rsid w:val="00CE4971"/>
    <w:rsid w:val="00CE4B97"/>
    <w:rsid w:val="00CF26E2"/>
    <w:rsid w:val="00CF6AA2"/>
    <w:rsid w:val="00D00A62"/>
    <w:rsid w:val="00D017BD"/>
    <w:rsid w:val="00D1558A"/>
    <w:rsid w:val="00D16968"/>
    <w:rsid w:val="00D17D7D"/>
    <w:rsid w:val="00D20748"/>
    <w:rsid w:val="00D2622E"/>
    <w:rsid w:val="00D272D2"/>
    <w:rsid w:val="00D369A3"/>
    <w:rsid w:val="00D42927"/>
    <w:rsid w:val="00D43FE3"/>
    <w:rsid w:val="00D44E7A"/>
    <w:rsid w:val="00D470F5"/>
    <w:rsid w:val="00D56574"/>
    <w:rsid w:val="00D62A16"/>
    <w:rsid w:val="00D64D6B"/>
    <w:rsid w:val="00D73966"/>
    <w:rsid w:val="00D744E8"/>
    <w:rsid w:val="00D778B1"/>
    <w:rsid w:val="00D82EBA"/>
    <w:rsid w:val="00D900F0"/>
    <w:rsid w:val="00D91F3E"/>
    <w:rsid w:val="00D92A1A"/>
    <w:rsid w:val="00D93A9B"/>
    <w:rsid w:val="00D9793C"/>
    <w:rsid w:val="00DA0AC0"/>
    <w:rsid w:val="00DA55C7"/>
    <w:rsid w:val="00DB0487"/>
    <w:rsid w:val="00DB38E2"/>
    <w:rsid w:val="00DB772D"/>
    <w:rsid w:val="00DC0E9E"/>
    <w:rsid w:val="00DC3541"/>
    <w:rsid w:val="00DD0D02"/>
    <w:rsid w:val="00DE2CB9"/>
    <w:rsid w:val="00DE3CAF"/>
    <w:rsid w:val="00DE54ED"/>
    <w:rsid w:val="00E13CEB"/>
    <w:rsid w:val="00E25BC5"/>
    <w:rsid w:val="00E40DF5"/>
    <w:rsid w:val="00E42AA4"/>
    <w:rsid w:val="00E45C91"/>
    <w:rsid w:val="00E518D5"/>
    <w:rsid w:val="00E539EB"/>
    <w:rsid w:val="00E56E04"/>
    <w:rsid w:val="00E57310"/>
    <w:rsid w:val="00E6750F"/>
    <w:rsid w:val="00E701C2"/>
    <w:rsid w:val="00E7043E"/>
    <w:rsid w:val="00E73974"/>
    <w:rsid w:val="00E80BAD"/>
    <w:rsid w:val="00E81295"/>
    <w:rsid w:val="00E916FC"/>
    <w:rsid w:val="00E92652"/>
    <w:rsid w:val="00E93ABA"/>
    <w:rsid w:val="00E95436"/>
    <w:rsid w:val="00E964F5"/>
    <w:rsid w:val="00EA442E"/>
    <w:rsid w:val="00EA4812"/>
    <w:rsid w:val="00EA6386"/>
    <w:rsid w:val="00EB3771"/>
    <w:rsid w:val="00EB3A12"/>
    <w:rsid w:val="00EB49A8"/>
    <w:rsid w:val="00EB4CE4"/>
    <w:rsid w:val="00EC070F"/>
    <w:rsid w:val="00EC20BE"/>
    <w:rsid w:val="00EC2CF2"/>
    <w:rsid w:val="00EC6671"/>
    <w:rsid w:val="00EC71E7"/>
    <w:rsid w:val="00ED1397"/>
    <w:rsid w:val="00ED17FE"/>
    <w:rsid w:val="00ED1FE7"/>
    <w:rsid w:val="00EE1582"/>
    <w:rsid w:val="00EE1B3B"/>
    <w:rsid w:val="00EE258F"/>
    <w:rsid w:val="00EE663F"/>
    <w:rsid w:val="00EE6A85"/>
    <w:rsid w:val="00EF08AD"/>
    <w:rsid w:val="00EF0CAA"/>
    <w:rsid w:val="00EF38B4"/>
    <w:rsid w:val="00EF41F9"/>
    <w:rsid w:val="00EF580B"/>
    <w:rsid w:val="00EF6084"/>
    <w:rsid w:val="00EF6EA6"/>
    <w:rsid w:val="00F00DC6"/>
    <w:rsid w:val="00F03E2B"/>
    <w:rsid w:val="00F07238"/>
    <w:rsid w:val="00F10A0A"/>
    <w:rsid w:val="00F12443"/>
    <w:rsid w:val="00F136AC"/>
    <w:rsid w:val="00F165FB"/>
    <w:rsid w:val="00F2439B"/>
    <w:rsid w:val="00F246C1"/>
    <w:rsid w:val="00F310B8"/>
    <w:rsid w:val="00F429A9"/>
    <w:rsid w:val="00F66602"/>
    <w:rsid w:val="00F70154"/>
    <w:rsid w:val="00F70EE0"/>
    <w:rsid w:val="00F714C0"/>
    <w:rsid w:val="00F72247"/>
    <w:rsid w:val="00F7475C"/>
    <w:rsid w:val="00F7722F"/>
    <w:rsid w:val="00F8166B"/>
    <w:rsid w:val="00F81FAB"/>
    <w:rsid w:val="00F8267F"/>
    <w:rsid w:val="00F82701"/>
    <w:rsid w:val="00F91FFD"/>
    <w:rsid w:val="00F95FEB"/>
    <w:rsid w:val="00F973DB"/>
    <w:rsid w:val="00F979EE"/>
    <w:rsid w:val="00FB1EE2"/>
    <w:rsid w:val="00FC166A"/>
    <w:rsid w:val="00FD35EA"/>
    <w:rsid w:val="00FD66F5"/>
    <w:rsid w:val="00FE3D72"/>
    <w:rsid w:val="00FE3EF4"/>
    <w:rsid w:val="00FE6681"/>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0A4A84"/>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3E70-970B-4892-B2A0-40FF33B8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2276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26</cp:revision>
  <cp:lastPrinted>2016-09-29T22:47:00Z</cp:lastPrinted>
  <dcterms:created xsi:type="dcterms:W3CDTF">2016-09-20T20:51:00Z</dcterms:created>
  <dcterms:modified xsi:type="dcterms:W3CDTF">2016-11-22T19:55:00Z</dcterms:modified>
</cp:coreProperties>
</file>