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F5" w:rsidRPr="002040F5" w:rsidRDefault="002040F5" w:rsidP="002040F5">
      <w:pPr>
        <w:pStyle w:val="Sinespaciado"/>
        <w:jc w:val="both"/>
        <w:rPr>
          <w:rFonts w:ascii="Calibri" w:hAnsi="Calibri"/>
          <w:sz w:val="18"/>
          <w:szCs w:val="18"/>
        </w:rPr>
      </w:pPr>
      <w:r w:rsidRPr="002040F5">
        <w:rPr>
          <w:rFonts w:ascii="Calibri" w:hAnsi="Calibri"/>
          <w:b/>
          <w:sz w:val="18"/>
          <w:szCs w:val="18"/>
        </w:rPr>
        <w:t xml:space="preserve">PROCEDENCIA RECURSO APELACIÓN / </w:t>
      </w:r>
      <w:bookmarkStart w:id="0" w:name="_GoBack"/>
      <w:r w:rsidRPr="002040F5">
        <w:rPr>
          <w:rFonts w:ascii="Calibri" w:hAnsi="Calibri"/>
          <w:b/>
          <w:sz w:val="18"/>
          <w:szCs w:val="18"/>
        </w:rPr>
        <w:t xml:space="preserve">Desconocimiento sentencias </w:t>
      </w:r>
      <w:r w:rsidRPr="002040F5">
        <w:rPr>
          <w:rFonts w:ascii="Calibri" w:hAnsi="Calibri" w:cs="Microsoft Sans Serif"/>
          <w:b/>
          <w:bCs/>
          <w:sz w:val="18"/>
          <w:szCs w:val="18"/>
        </w:rPr>
        <w:t xml:space="preserve">C-792 de 2014, como en la </w:t>
      </w:r>
      <w:r w:rsidRPr="002040F5">
        <w:rPr>
          <w:rFonts w:ascii="Calibri" w:hAnsi="Calibri" w:cs="Arial"/>
          <w:b/>
          <w:sz w:val="18"/>
          <w:szCs w:val="18"/>
        </w:rPr>
        <w:t>SU-215 de 2016</w:t>
      </w:r>
      <w:bookmarkEnd w:id="0"/>
      <w:r w:rsidRPr="002040F5">
        <w:rPr>
          <w:rFonts w:ascii="Calibri" w:hAnsi="Calibri" w:cs="Arial"/>
          <w:b/>
          <w:sz w:val="18"/>
          <w:szCs w:val="18"/>
        </w:rPr>
        <w:t>. /</w:t>
      </w:r>
      <w:r w:rsidRPr="002040F5">
        <w:rPr>
          <w:rFonts w:ascii="Calibri" w:hAnsi="Calibri" w:cs="Arial"/>
          <w:sz w:val="18"/>
          <w:szCs w:val="18"/>
        </w:rPr>
        <w:t xml:space="preserve"> “</w:t>
      </w:r>
      <w:r w:rsidRPr="002040F5">
        <w:rPr>
          <w:rFonts w:ascii="Calibri" w:hAnsi="Calibri" w:cs="Arial"/>
          <w:sz w:val="18"/>
          <w:szCs w:val="18"/>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w:t>
      </w:r>
      <w:r w:rsidRPr="002040F5">
        <w:rPr>
          <w:rFonts w:ascii="Calibri" w:hAnsi="Calibri" w:cs="Arial"/>
          <w:sz w:val="18"/>
          <w:szCs w:val="18"/>
          <w:lang w:val="es-ES"/>
        </w:rPr>
        <w:t>…”</w:t>
      </w:r>
    </w:p>
    <w:p w:rsidR="002040F5" w:rsidRPr="002040F5" w:rsidRDefault="002040F5" w:rsidP="002040F5">
      <w:pPr>
        <w:rPr>
          <w:rFonts w:ascii="Calibri" w:hAnsi="Calibri"/>
          <w:sz w:val="18"/>
          <w:szCs w:val="18"/>
        </w:rPr>
      </w:pPr>
    </w:p>
    <w:p w:rsidR="002040F5" w:rsidRPr="002040F5" w:rsidRDefault="002040F5" w:rsidP="002040F5">
      <w:pPr>
        <w:jc w:val="both"/>
        <w:rPr>
          <w:rFonts w:ascii="Calibri" w:hAnsi="Calibri"/>
          <w:sz w:val="18"/>
          <w:szCs w:val="18"/>
        </w:rPr>
      </w:pPr>
      <w:r w:rsidRPr="002040F5">
        <w:rPr>
          <w:rFonts w:ascii="Calibri" w:hAnsi="Calibri"/>
          <w:b/>
          <w:sz w:val="18"/>
          <w:szCs w:val="18"/>
        </w:rPr>
        <w:t>Citación jurisprudencial:</w:t>
      </w:r>
      <w:r w:rsidRPr="002040F5">
        <w:rPr>
          <w:rFonts w:ascii="Calibri" w:hAnsi="Calibri"/>
          <w:sz w:val="18"/>
          <w:szCs w:val="18"/>
        </w:rPr>
        <w:t xml:space="preserve"> Sentencias C-792 de 2014, como en la SU-215 de 2016</w:t>
      </w:r>
      <w:r>
        <w:rPr>
          <w:rFonts w:ascii="Calibri" w:hAnsi="Calibri"/>
          <w:sz w:val="18"/>
          <w:szCs w:val="18"/>
        </w:rPr>
        <w:t>.</w:t>
      </w:r>
    </w:p>
    <w:p w:rsidR="002040F5" w:rsidRPr="002040F5" w:rsidRDefault="002040F5" w:rsidP="002040F5">
      <w:pPr>
        <w:jc w:val="both"/>
        <w:rPr>
          <w:rFonts w:ascii="Calibri" w:hAnsi="Calibri"/>
          <w:sz w:val="18"/>
          <w:szCs w:val="18"/>
        </w:rPr>
      </w:pPr>
      <w:r w:rsidRPr="002040F5">
        <w:rPr>
          <w:rFonts w:ascii="Calibri" w:hAnsi="Calibri"/>
          <w:sz w:val="18"/>
          <w:szCs w:val="18"/>
        </w:rPr>
        <w:t xml:space="preserve">Corte Suprema de Justicia, Sala de Casación Penal: Providencia del veintisiete (27) julio de 2016. AP4810-2016. Radicado # 48442. </w:t>
      </w:r>
      <w:proofErr w:type="spellStart"/>
      <w:r w:rsidRPr="002040F5">
        <w:rPr>
          <w:rFonts w:ascii="Calibri" w:hAnsi="Calibri"/>
          <w:sz w:val="18"/>
          <w:szCs w:val="18"/>
        </w:rPr>
        <w:t>M.P</w:t>
      </w:r>
      <w:proofErr w:type="spellEnd"/>
      <w:r w:rsidRPr="002040F5">
        <w:rPr>
          <w:rFonts w:ascii="Calibri" w:hAnsi="Calibri"/>
          <w:sz w:val="18"/>
          <w:szCs w:val="18"/>
        </w:rPr>
        <w:t>. GUSTAVO ENRIQUE MALO FERNÁNDEZ.</w:t>
      </w:r>
    </w:p>
    <w:p w:rsidR="002040F5" w:rsidRDefault="002040F5" w:rsidP="002040F5">
      <w:pPr>
        <w:rPr>
          <w:rFonts w:ascii="Calibri" w:hAnsi="Calibri"/>
          <w:sz w:val="18"/>
          <w:szCs w:val="18"/>
        </w:rPr>
      </w:pPr>
    </w:p>
    <w:p w:rsidR="002040F5" w:rsidRPr="002040F5" w:rsidRDefault="002040F5" w:rsidP="002040F5">
      <w:pPr>
        <w:rPr>
          <w:rFonts w:ascii="Calibri" w:hAnsi="Calibri"/>
          <w:sz w:val="18"/>
          <w:szCs w:val="18"/>
        </w:rPr>
      </w:pPr>
      <w:r>
        <w:rPr>
          <w:rFonts w:ascii="Calibri" w:hAnsi="Calibri"/>
          <w:sz w:val="18"/>
          <w:szCs w:val="18"/>
        </w:rPr>
        <w:t>----------------------------------------------------------------------------------------------------------------------------------------------------------------</w:t>
      </w:r>
    </w:p>
    <w:p w:rsidR="002040F5" w:rsidRPr="002040F5" w:rsidRDefault="002040F5" w:rsidP="002040F5">
      <w:pPr>
        <w:rPr>
          <w:rFonts w:ascii="Calibri" w:hAnsi="Calibri"/>
          <w:sz w:val="18"/>
          <w:szCs w:val="18"/>
        </w:rPr>
      </w:pPr>
    </w:p>
    <w:p w:rsidR="000A3DD4" w:rsidRPr="004B6B41" w:rsidRDefault="000A3DD4" w:rsidP="000A3DD4">
      <w:pPr>
        <w:pStyle w:val="Sinespaciado"/>
        <w:spacing w:line="276" w:lineRule="auto"/>
        <w:jc w:val="both"/>
        <w:rPr>
          <w:rFonts w:cs="Microsoft Sans Serif"/>
        </w:rPr>
      </w:pPr>
      <w:r w:rsidRPr="004B6B41">
        <w:rPr>
          <w:rFonts w:cs="Microsoft Sans Serif"/>
        </w:rPr>
        <w:t xml:space="preserve">Por medio de la presente expresó las razones o motivos por las cuales, a pesar de fungir como magistrado ponente, me he visto en la necesidad de aclarar mi voto en el presente asunto, las cuales se deben a la </w:t>
      </w:r>
      <w:r>
        <w:rPr>
          <w:rFonts w:cs="Microsoft Sans Serif"/>
        </w:rPr>
        <w:t xml:space="preserve">aptitud asumida por parte </w:t>
      </w:r>
      <w:r w:rsidRPr="004B6B41">
        <w:rPr>
          <w:rFonts w:cs="Microsoft Sans Serif"/>
        </w:rPr>
        <w:t xml:space="preserve">de la Sala mayoritaria </w:t>
      </w:r>
      <w:r>
        <w:rPr>
          <w:rFonts w:cs="Microsoft Sans Serif"/>
        </w:rPr>
        <w:t>en el sentido de establecer que en contra de lo resuelto y decidido en sede de 2ª instancia procedía el recurso de casación y no el de apelación, como inicialmente se consignó en el proyecto que fue puesto a consideración de la Sala.</w:t>
      </w:r>
    </w:p>
    <w:p w:rsidR="000A3DD4" w:rsidRPr="000A3DD4" w:rsidRDefault="000A3DD4" w:rsidP="000A3DD4">
      <w:pPr>
        <w:spacing w:line="276" w:lineRule="auto"/>
        <w:jc w:val="both"/>
        <w:rPr>
          <w:rFonts w:cs="Microsoft Sans Serif"/>
          <w:bCs/>
        </w:rPr>
      </w:pPr>
    </w:p>
    <w:p w:rsidR="000A3DD4" w:rsidRPr="000A3DD4" w:rsidRDefault="000A3DD4" w:rsidP="000A3DD4">
      <w:pPr>
        <w:spacing w:line="276" w:lineRule="auto"/>
        <w:jc w:val="both"/>
        <w:rPr>
          <w:rFonts w:cs="Microsoft Sans Serif"/>
        </w:rPr>
      </w:pPr>
      <w:r>
        <w:rPr>
          <w:rFonts w:cs="Microsoft Sans Serif"/>
          <w:bCs/>
        </w:rPr>
        <w:t>El suscrito es de la opinión que e</w:t>
      </w:r>
      <w:r w:rsidRPr="000A3DD4">
        <w:rPr>
          <w:rFonts w:cs="Microsoft Sans Serif"/>
          <w:bCs/>
        </w:rPr>
        <w:t xml:space="preserve">n lo que tiene que ver con los eventuales recursos que procederían en contra de lo resuelto </w:t>
      </w:r>
      <w:r>
        <w:rPr>
          <w:rFonts w:cs="Microsoft Sans Serif"/>
          <w:bCs/>
        </w:rPr>
        <w:t xml:space="preserve">en el caso </w:t>
      </w:r>
      <w:r>
        <w:rPr>
          <w:rFonts w:cs="Microsoft Sans Serif"/>
          <w:bCs/>
          <w:i/>
        </w:rPr>
        <w:t>sub examine</w:t>
      </w:r>
      <w:r w:rsidR="00142861">
        <w:rPr>
          <w:rFonts w:cs="Microsoft Sans Serif"/>
          <w:bCs/>
          <w:i/>
        </w:rPr>
        <w:t xml:space="preserve"> </w:t>
      </w:r>
      <w:r w:rsidRPr="000A3DD4">
        <w:rPr>
          <w:rFonts w:cs="Microsoft Sans Serif"/>
          <w:bCs/>
        </w:rPr>
        <w:t xml:space="preserve">en sede de 2ª instancia, </w:t>
      </w:r>
      <w:r w:rsidR="00142861">
        <w:rPr>
          <w:rFonts w:cs="Microsoft Sans Serif"/>
          <w:bCs/>
        </w:rPr>
        <w:t xml:space="preserve">procedía el recurso de apelación, lo que vendría siendo una consecuencia de acatar </w:t>
      </w:r>
      <w:r w:rsidRPr="000A3DD4">
        <w:rPr>
          <w:rFonts w:cs="Microsoft Sans Serif"/>
          <w:bCs/>
        </w:rPr>
        <w:t xml:space="preserve">lo decidido por la Corte Constitucional en tanto en la sentencia # C-792 de 2014, como en la </w:t>
      </w:r>
      <w:r w:rsidRPr="000A3DD4">
        <w:rPr>
          <w:rFonts w:cs="Arial"/>
        </w:rPr>
        <w:t>SU-215 de 2016</w:t>
      </w:r>
      <w:r w:rsidRPr="000A3DD4">
        <w:rPr>
          <w:rFonts w:cs="Microsoft Sans Serif"/>
          <w:bCs/>
        </w:rPr>
        <w:t xml:space="preserve">, en la cual se declaró la </w:t>
      </w:r>
      <w:r w:rsidRPr="000A3DD4">
        <w:rPr>
          <w:rFonts w:cs="Microsoft Sans Serif"/>
        </w:rPr>
        <w:t>inconstitucionalidad con efectos diferidos</w:t>
      </w:r>
      <w:r w:rsidRPr="000A3DD4">
        <w:rPr>
          <w:rFonts w:cs="Microsoft Sans Serif"/>
          <w:b/>
        </w:rPr>
        <w:t xml:space="preserve"> </w:t>
      </w:r>
      <w:r w:rsidRPr="000A3DD4">
        <w:rPr>
          <w:rFonts w:cs="Microsoft Sans Serif"/>
        </w:rPr>
        <w:t xml:space="preserve">de las expresiones demandadas contenidas en los artículos 20, 32, 161, 176, 179, 179B, 194 y 481 del C.P.P. y como quiera que en la actualidad se encuentra vencido el plazo de 1 año que se le concedió al Congreso de la Republica para que legislará sobre esos tópicos, </w:t>
      </w:r>
      <w:r w:rsidR="00142861">
        <w:rPr>
          <w:rFonts w:cs="Microsoft Sans Serif"/>
        </w:rPr>
        <w:t xml:space="preserve">reiteramos </w:t>
      </w:r>
      <w:r w:rsidRPr="000A3DD4">
        <w:rPr>
          <w:rFonts w:cs="Microsoft Sans Serif"/>
        </w:rPr>
        <w:t>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0A3DD4" w:rsidRPr="000A3DD4" w:rsidRDefault="000A3DD4" w:rsidP="000A3DD4">
      <w:pPr>
        <w:spacing w:line="276" w:lineRule="auto"/>
        <w:jc w:val="both"/>
        <w:rPr>
          <w:rFonts w:cs="Microsoft Sans Serif"/>
        </w:rPr>
      </w:pPr>
    </w:p>
    <w:p w:rsidR="000A3DD4" w:rsidRPr="000A3DD4" w:rsidRDefault="000A3DD4" w:rsidP="000A3DD4">
      <w:pPr>
        <w:spacing w:line="276" w:lineRule="auto"/>
        <w:jc w:val="both"/>
        <w:rPr>
          <w:rFonts w:eastAsia="Arial Unicode MS" w:cs="Arial"/>
        </w:rPr>
      </w:pPr>
      <w:r w:rsidRPr="000A3DD4">
        <w:rPr>
          <w:rFonts w:cs="Microsoft Sans Serif"/>
        </w:rPr>
        <w:t xml:space="preserve">Ahora bien, no se desconoce la </w:t>
      </w:r>
      <w:r w:rsidRPr="000A3DD4">
        <w:rPr>
          <w:rFonts w:cs="Arial"/>
        </w:rPr>
        <w:t xml:space="preserve">posición asumida por la Sala de Casación Penal de la Corte Suprema de Justicia </w:t>
      </w:r>
      <w:r w:rsidRPr="000A3DD4">
        <w:rPr>
          <w:rFonts w:eastAsia="Arial Unicode MS" w:cs="Arial"/>
        </w:rPr>
        <w:t xml:space="preserve">en la providencia del </w:t>
      </w:r>
      <w:r w:rsidRPr="000A3DD4">
        <w:rPr>
          <w:rFonts w:cs="Arial"/>
        </w:rPr>
        <w:t xml:space="preserve">27 de julio 2016, Radicado # 48442, la cual, a </w:t>
      </w:r>
      <w:r w:rsidRPr="000A3DD4">
        <w:rPr>
          <w:rFonts w:cs="Arial"/>
        </w:rPr>
        <w:lastRenderedPageBreak/>
        <w:t>fin de hacerle el esquince al derecho que le asiste a los Procesados para impugnar de manera excepcional el primer fallo de condena, expuso lo siguiente:</w:t>
      </w:r>
    </w:p>
    <w:p w:rsidR="000A3DD4" w:rsidRPr="000A3DD4" w:rsidRDefault="000A3DD4" w:rsidP="000A3DD4">
      <w:pPr>
        <w:spacing w:line="276" w:lineRule="auto"/>
        <w:jc w:val="both"/>
        <w:rPr>
          <w:rFonts w:eastAsia="Arial Unicode MS" w:cs="Arial"/>
        </w:rPr>
      </w:pPr>
    </w:p>
    <w:p w:rsidR="000A3DD4" w:rsidRPr="000A3DD4" w:rsidRDefault="000A3DD4" w:rsidP="000A3DD4">
      <w:pPr>
        <w:spacing w:line="276" w:lineRule="auto"/>
        <w:ind w:left="567" w:right="902"/>
        <w:jc w:val="both"/>
        <w:rPr>
          <w:rFonts w:cs="Arial"/>
          <w:sz w:val="24"/>
          <w:szCs w:val="24"/>
        </w:rPr>
      </w:pPr>
      <w:r w:rsidRPr="000A3DD4">
        <w:rPr>
          <w:rFonts w:eastAsia="Arial Unicode MS" w:cs="Arial"/>
        </w:rPr>
        <w:t xml:space="preserve"> </w:t>
      </w:r>
      <w:r w:rsidRPr="000A3DD4">
        <w:rPr>
          <w:rFonts w:cs="Arial"/>
          <w:sz w:val="24"/>
          <w:szCs w:val="24"/>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0A3DD4" w:rsidRPr="000A3DD4" w:rsidRDefault="000A3DD4" w:rsidP="000A3DD4">
      <w:pPr>
        <w:spacing w:line="276" w:lineRule="auto"/>
        <w:ind w:left="567" w:right="902"/>
        <w:jc w:val="both"/>
        <w:rPr>
          <w:rFonts w:cs="Arial"/>
          <w:sz w:val="24"/>
          <w:szCs w:val="24"/>
        </w:rPr>
      </w:pPr>
    </w:p>
    <w:p w:rsidR="000A3DD4" w:rsidRPr="000A3DD4" w:rsidRDefault="000A3DD4" w:rsidP="000A3DD4">
      <w:pPr>
        <w:spacing w:line="276" w:lineRule="auto"/>
        <w:ind w:left="567" w:right="902"/>
        <w:jc w:val="both"/>
        <w:rPr>
          <w:rFonts w:cs="Arial"/>
          <w:sz w:val="24"/>
          <w:szCs w:val="24"/>
        </w:rPr>
      </w:pPr>
      <w:r w:rsidRPr="000A3DD4">
        <w:rPr>
          <w:rFonts w:cs="Arial"/>
          <w:sz w:val="24"/>
          <w:szCs w:val="24"/>
        </w:rPr>
        <w:t xml:space="preserve">Y si bien, como se anota en la justificación surtida por el Ad quem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exequibilidad, la Corte Constitucional signifique que procede la dicha impugnación incluso para el caso en que se desatendiera, como sucedió, su exhorto al legislativo. </w:t>
      </w:r>
    </w:p>
    <w:p w:rsidR="000A3DD4" w:rsidRPr="000A3DD4" w:rsidRDefault="000A3DD4" w:rsidP="000A3DD4">
      <w:pPr>
        <w:spacing w:line="276" w:lineRule="auto"/>
        <w:ind w:left="567" w:right="902"/>
        <w:jc w:val="both"/>
        <w:rPr>
          <w:rFonts w:cs="Arial"/>
          <w:sz w:val="24"/>
          <w:szCs w:val="24"/>
        </w:rPr>
      </w:pPr>
    </w:p>
    <w:p w:rsidR="000A3DD4" w:rsidRPr="000A3DD4" w:rsidRDefault="000A3DD4" w:rsidP="000A3DD4">
      <w:pPr>
        <w:spacing w:line="276" w:lineRule="auto"/>
        <w:ind w:left="567" w:right="902"/>
        <w:jc w:val="both"/>
        <w:rPr>
          <w:rFonts w:cs="Arial"/>
          <w:sz w:val="24"/>
          <w:szCs w:val="24"/>
        </w:rPr>
      </w:pPr>
      <w:r w:rsidRPr="000A3DD4">
        <w:rPr>
          <w:rFonts w:cs="Arial"/>
          <w:sz w:val="24"/>
          <w:szCs w:val="24"/>
        </w:rPr>
        <w:t>(::::)</w:t>
      </w:r>
    </w:p>
    <w:p w:rsidR="000A3DD4" w:rsidRPr="000A3DD4" w:rsidRDefault="000A3DD4" w:rsidP="000A3DD4">
      <w:pPr>
        <w:spacing w:line="276" w:lineRule="auto"/>
        <w:ind w:left="567" w:right="902"/>
        <w:jc w:val="both"/>
        <w:rPr>
          <w:rFonts w:cs="Arial"/>
          <w:sz w:val="24"/>
          <w:szCs w:val="24"/>
        </w:rPr>
      </w:pPr>
    </w:p>
    <w:p w:rsidR="000A3DD4" w:rsidRPr="000A3DD4" w:rsidRDefault="000A3DD4" w:rsidP="000A3DD4">
      <w:pPr>
        <w:spacing w:line="276" w:lineRule="auto"/>
        <w:ind w:left="567" w:right="902"/>
        <w:jc w:val="both"/>
        <w:rPr>
          <w:rFonts w:cs="Arial"/>
          <w:sz w:val="24"/>
          <w:szCs w:val="24"/>
        </w:rPr>
      </w:pPr>
      <w:r w:rsidRPr="000A3DD4">
        <w:rPr>
          <w:rFonts w:cs="Arial"/>
          <w:sz w:val="24"/>
          <w:szCs w:val="24"/>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0A3DD4" w:rsidRPr="000A3DD4" w:rsidRDefault="000A3DD4" w:rsidP="000A3DD4">
      <w:pPr>
        <w:spacing w:line="276" w:lineRule="auto"/>
        <w:ind w:left="567" w:right="902"/>
        <w:jc w:val="both"/>
        <w:rPr>
          <w:rFonts w:cs="Arial"/>
          <w:sz w:val="24"/>
          <w:szCs w:val="24"/>
        </w:rPr>
      </w:pPr>
    </w:p>
    <w:p w:rsidR="000A3DD4" w:rsidRPr="000A3DD4" w:rsidRDefault="000A3DD4" w:rsidP="000A3DD4">
      <w:pPr>
        <w:spacing w:line="276" w:lineRule="auto"/>
        <w:ind w:left="567" w:right="902"/>
        <w:jc w:val="both"/>
        <w:rPr>
          <w:rFonts w:cs="Arial"/>
          <w:sz w:val="24"/>
          <w:szCs w:val="24"/>
        </w:rPr>
      </w:pPr>
      <w:r w:rsidRPr="000A3DD4">
        <w:rPr>
          <w:rFonts w:cs="Arial"/>
          <w:sz w:val="24"/>
          <w:szCs w:val="24"/>
        </w:rPr>
        <w:t xml:space="preserve">De esta manera, como se evidencia claro que en contra de la sentencia de segunda instancia, no importa su contenido, solo opera el recurso extraordinario de casación, el cual ha sido soslayado para introducir un mecanismo ordinario hoy </w:t>
      </w:r>
      <w:r w:rsidRPr="000A3DD4">
        <w:rPr>
          <w:rFonts w:cs="Arial"/>
          <w:sz w:val="24"/>
          <w:szCs w:val="24"/>
        </w:rPr>
        <w:lastRenderedPageBreak/>
        <w:t>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0A3DD4" w:rsidRPr="000A3DD4" w:rsidRDefault="000A3DD4" w:rsidP="000A3DD4">
      <w:pPr>
        <w:spacing w:line="276" w:lineRule="auto"/>
        <w:ind w:left="567" w:right="902"/>
        <w:jc w:val="both"/>
        <w:rPr>
          <w:rFonts w:eastAsia="Arial Unicode MS" w:cs="Arial"/>
          <w:sz w:val="24"/>
          <w:szCs w:val="24"/>
        </w:rPr>
      </w:pPr>
    </w:p>
    <w:p w:rsidR="000A3DD4" w:rsidRPr="000A3DD4" w:rsidRDefault="000A3DD4" w:rsidP="000A3DD4">
      <w:pPr>
        <w:spacing w:line="276" w:lineRule="auto"/>
        <w:ind w:left="567" w:right="902"/>
        <w:jc w:val="both"/>
        <w:rPr>
          <w:rFonts w:eastAsia="Arial Unicode MS" w:cs="Arial"/>
          <w:sz w:val="24"/>
          <w:szCs w:val="24"/>
        </w:rPr>
      </w:pPr>
      <w:r w:rsidRPr="000A3DD4">
        <w:rPr>
          <w:rFonts w:eastAsia="Arial Unicode MS" w:cs="Arial"/>
          <w:sz w:val="24"/>
          <w:szCs w:val="24"/>
        </w:rPr>
        <w:t>Con base en lo anterior, dejo expresada las razones y motivos por las cuales me vi en la imperiosa necesidad de aclarar mi voto en el presente asunto…..”</w:t>
      </w:r>
      <w:r w:rsidRPr="000A3DD4">
        <w:rPr>
          <w:rFonts w:eastAsia="Arial Unicode MS" w:cs="Arial"/>
          <w:sz w:val="24"/>
          <w:szCs w:val="24"/>
          <w:vertAlign w:val="superscript"/>
        </w:rPr>
        <w:footnoteReference w:id="1"/>
      </w:r>
      <w:r w:rsidRPr="000A3DD4">
        <w:rPr>
          <w:rFonts w:eastAsia="Arial Unicode MS" w:cs="Arial"/>
          <w:sz w:val="24"/>
          <w:szCs w:val="24"/>
        </w:rPr>
        <w:t>.</w:t>
      </w:r>
    </w:p>
    <w:p w:rsidR="000A3DD4" w:rsidRPr="000A3DD4" w:rsidRDefault="000A3DD4" w:rsidP="000A3DD4">
      <w:pPr>
        <w:spacing w:line="276" w:lineRule="auto"/>
        <w:jc w:val="both"/>
        <w:rPr>
          <w:rFonts w:eastAsia="Arial Unicode MS" w:cs="Arial"/>
        </w:rPr>
      </w:pPr>
    </w:p>
    <w:p w:rsidR="000A3DD4" w:rsidRPr="000A3DD4" w:rsidRDefault="000A3DD4" w:rsidP="000A3DD4">
      <w:pPr>
        <w:spacing w:line="276" w:lineRule="auto"/>
        <w:jc w:val="both"/>
        <w:rPr>
          <w:rFonts w:cs="Arial"/>
          <w:lang w:val="es-ES"/>
        </w:rPr>
      </w:pPr>
      <w:r w:rsidRPr="000A3DD4">
        <w:rPr>
          <w:rFonts w:eastAsia="Arial Unicode MS" w:cs="Arial"/>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0A3DD4">
        <w:rPr>
          <w:rFonts w:cs="Arial"/>
        </w:rPr>
        <w:t xml:space="preserve">C-792 de 2014 y SU-215 de 2016, en las cuales como consecuencia de la declaratoria de </w:t>
      </w:r>
      <w:r w:rsidRPr="000A3DD4">
        <w:rPr>
          <w:rFonts w:cs="Arial"/>
          <w:lang w:val="es-ES"/>
        </w:rPr>
        <w:t>inconstitucionalidad con efectos diferidos</w:t>
      </w:r>
      <w:r w:rsidRPr="000A3DD4">
        <w:rPr>
          <w:rFonts w:cs="Arial"/>
          <w:b/>
          <w:lang w:val="es-ES"/>
        </w:rPr>
        <w:t xml:space="preserve"> </w:t>
      </w:r>
      <w:r w:rsidRPr="000A3DD4">
        <w:rPr>
          <w:rFonts w:cs="Arial"/>
          <w:lang w:val="es-ES"/>
        </w:rPr>
        <w:t>de las expresiones demandadas contenidas en los artículos 20, 32, 161, 176, 179, 179B, 194 y 481 del C.P.P. se reconoció el derecho que tienen los Procesados absueltos de apelar el fallo que revoca la absolución.</w:t>
      </w:r>
    </w:p>
    <w:p w:rsidR="000A3DD4" w:rsidRPr="000A3DD4" w:rsidRDefault="000A3DD4" w:rsidP="000A3DD4">
      <w:pPr>
        <w:spacing w:line="276" w:lineRule="auto"/>
        <w:jc w:val="both"/>
        <w:rPr>
          <w:rFonts w:cs="Arial"/>
          <w:lang w:val="es-ES"/>
        </w:rPr>
      </w:pPr>
    </w:p>
    <w:p w:rsidR="000A3DD4" w:rsidRPr="000A3DD4" w:rsidRDefault="000A3DD4" w:rsidP="000A3DD4">
      <w:pPr>
        <w:spacing w:line="276" w:lineRule="auto"/>
        <w:jc w:val="both"/>
        <w:rPr>
          <w:rFonts w:cs="Arial"/>
          <w:lang w:val="es-ES"/>
        </w:rPr>
      </w:pPr>
      <w:r w:rsidRPr="000A3DD4">
        <w:rPr>
          <w:rFonts w:cs="Arial"/>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0A3DD4" w:rsidRPr="000A3DD4" w:rsidRDefault="000A3DD4" w:rsidP="000A3DD4">
      <w:pPr>
        <w:spacing w:line="276" w:lineRule="auto"/>
        <w:jc w:val="both"/>
        <w:rPr>
          <w:rFonts w:cs="Arial"/>
          <w:lang w:val="es-ES"/>
        </w:rPr>
      </w:pPr>
    </w:p>
    <w:p w:rsidR="000A3DD4" w:rsidRPr="000A3DD4" w:rsidRDefault="000A3DD4" w:rsidP="000A3DD4">
      <w:pPr>
        <w:spacing w:line="276" w:lineRule="auto"/>
        <w:ind w:left="567" w:right="902"/>
        <w:jc w:val="both"/>
        <w:rPr>
          <w:rFonts w:eastAsia="Times New Roman" w:cs="Arial"/>
          <w:b/>
          <w:i/>
          <w:sz w:val="24"/>
          <w:szCs w:val="24"/>
          <w:lang w:eastAsia="es-ES"/>
        </w:rPr>
      </w:pPr>
      <w:r w:rsidRPr="000A3DD4">
        <w:rPr>
          <w:rFonts w:eastAsia="Times New Roman" w:cs="Arial"/>
          <w:sz w:val="24"/>
          <w:szCs w:val="24"/>
          <w:lang w:eastAsia="es-ES"/>
        </w:rPr>
        <w:lastRenderedPageBreak/>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0A3DD4" w:rsidRPr="000A3DD4" w:rsidRDefault="000A3DD4" w:rsidP="000A3DD4">
      <w:pPr>
        <w:spacing w:line="276" w:lineRule="auto"/>
        <w:ind w:left="567" w:right="567"/>
        <w:jc w:val="both"/>
        <w:rPr>
          <w:rFonts w:eastAsia="Times New Roman" w:cs="Arial"/>
          <w:b/>
          <w:i/>
          <w:sz w:val="24"/>
          <w:szCs w:val="24"/>
          <w:lang w:eastAsia="es-ES"/>
        </w:rPr>
      </w:pPr>
    </w:p>
    <w:p w:rsidR="000A3DD4" w:rsidRPr="000A3DD4" w:rsidRDefault="000A3DD4" w:rsidP="000A3DD4">
      <w:pPr>
        <w:spacing w:line="276" w:lineRule="auto"/>
        <w:ind w:left="567" w:right="567"/>
        <w:jc w:val="both"/>
        <w:rPr>
          <w:rFonts w:eastAsia="Times New Roman" w:cs="Arial"/>
          <w:sz w:val="24"/>
          <w:szCs w:val="24"/>
          <w:lang w:eastAsia="es-ES"/>
        </w:rPr>
      </w:pPr>
      <w:r w:rsidRPr="000A3DD4">
        <w:rPr>
          <w:rFonts w:eastAsia="Times New Roman" w:cs="Arial"/>
          <w:sz w:val="24"/>
          <w:szCs w:val="24"/>
          <w:lang w:eastAsia="es-ES"/>
        </w:rPr>
        <w:t>(:::)</w:t>
      </w:r>
    </w:p>
    <w:p w:rsidR="000A3DD4" w:rsidRPr="000A3DD4" w:rsidRDefault="000A3DD4" w:rsidP="000A3DD4">
      <w:pPr>
        <w:spacing w:line="276" w:lineRule="auto"/>
        <w:ind w:left="567" w:right="567"/>
        <w:jc w:val="both"/>
        <w:rPr>
          <w:rFonts w:eastAsia="Times New Roman" w:cs="Arial"/>
          <w:b/>
          <w:i/>
          <w:sz w:val="24"/>
          <w:szCs w:val="24"/>
          <w:lang w:eastAsia="es-ES"/>
        </w:rPr>
      </w:pPr>
    </w:p>
    <w:p w:rsidR="000A3DD4" w:rsidRPr="000A3DD4" w:rsidRDefault="000A3DD4" w:rsidP="000A3DD4">
      <w:pPr>
        <w:tabs>
          <w:tab w:val="left" w:pos="7938"/>
        </w:tabs>
        <w:spacing w:line="276" w:lineRule="auto"/>
        <w:ind w:left="567" w:right="902"/>
        <w:jc w:val="both"/>
        <w:rPr>
          <w:rFonts w:eastAsia="Times New Roman" w:cs="Arial"/>
          <w:sz w:val="24"/>
          <w:szCs w:val="24"/>
          <w:lang w:eastAsia="es-ES"/>
        </w:rPr>
      </w:pPr>
      <w:r w:rsidRPr="000A3DD4">
        <w:rPr>
          <w:rFonts w:eastAsia="Times New Roman" w:cs="Arial"/>
          <w:sz w:val="24"/>
          <w:szCs w:val="24"/>
          <w:lang w:eastAsia="es-ES"/>
        </w:rPr>
        <w:t xml:space="preserve">Por esta circunstancia, el mecanismo idóneo para subsanar el déficit normativo no es un fallo de exequibilidad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exequibilidad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0A3DD4">
        <w:rPr>
          <w:rFonts w:eastAsia="Times New Roman" w:cs="Arial"/>
          <w:b/>
          <w:sz w:val="24"/>
          <w:szCs w:val="24"/>
          <w:lang w:eastAsia="es-ES"/>
        </w:rPr>
        <w:t>(v) se dispondrá que en caso de que el legislador incumpla el deber anterior, se entenderá que procede la impugnación de los referidos fallos ante el superior jerárquico o funcional de quien impuso la condena……</w:t>
      </w:r>
      <w:r w:rsidRPr="000A3DD4">
        <w:rPr>
          <w:rFonts w:eastAsia="Times New Roman" w:cs="Arial"/>
          <w:sz w:val="24"/>
          <w:szCs w:val="24"/>
          <w:lang w:eastAsia="es-ES"/>
        </w:rPr>
        <w:t>”</w:t>
      </w:r>
      <w:r w:rsidRPr="000A3DD4">
        <w:rPr>
          <w:rFonts w:eastAsia="Times New Roman" w:cs="Arial"/>
          <w:sz w:val="24"/>
          <w:szCs w:val="24"/>
          <w:vertAlign w:val="superscript"/>
          <w:lang w:eastAsia="es-ES"/>
        </w:rPr>
        <w:footnoteReference w:id="2"/>
      </w:r>
      <w:r w:rsidRPr="000A3DD4">
        <w:rPr>
          <w:rFonts w:eastAsia="Times New Roman" w:cs="Arial"/>
          <w:sz w:val="24"/>
          <w:szCs w:val="24"/>
          <w:lang w:eastAsia="es-ES"/>
        </w:rPr>
        <w:t xml:space="preserve">.  </w:t>
      </w:r>
    </w:p>
    <w:p w:rsidR="000A3DD4" w:rsidRPr="000A3DD4" w:rsidRDefault="000A3DD4" w:rsidP="000A3DD4">
      <w:pPr>
        <w:spacing w:line="276" w:lineRule="auto"/>
        <w:rPr>
          <w:rFonts w:eastAsia="Times New Roman" w:cs="Arial"/>
          <w:sz w:val="24"/>
          <w:szCs w:val="24"/>
          <w:lang w:val="es-ES" w:eastAsia="es-ES"/>
        </w:rPr>
      </w:pPr>
    </w:p>
    <w:p w:rsidR="000A3DD4" w:rsidRPr="000A3DD4" w:rsidRDefault="000A3DD4" w:rsidP="000A3DD4">
      <w:pPr>
        <w:spacing w:line="276" w:lineRule="auto"/>
        <w:jc w:val="both"/>
        <w:rPr>
          <w:rFonts w:eastAsia="Times New Roman" w:cs="Arial"/>
          <w:lang w:val="es-ES" w:eastAsia="es-ES"/>
        </w:rPr>
      </w:pPr>
      <w:r w:rsidRPr="000A3DD4">
        <w:rPr>
          <w:rFonts w:eastAsia="Times New Roman" w:cs="Arial"/>
          <w:lang w:val="es-ES" w:eastAsia="es-ES"/>
        </w:rPr>
        <w:t xml:space="preserve">A lo anterior se hace necesario adicionar que por tratarse uno de los precedentes enunciados de una sentencia de constitucionalidad, los mismos son de obligatorio cumplimientos y acatamiento con bien nos lo indica el artículo </w:t>
      </w:r>
      <w:r w:rsidRPr="000A3DD4">
        <w:rPr>
          <w:rFonts w:eastAsia="Times New Roman" w:cs="Arial"/>
          <w:lang w:val="es-ES" w:eastAsia="es-ES"/>
        </w:rPr>
        <w:lastRenderedPageBreak/>
        <w:t>48 de la Ley Estatutaria de la Administración de Justicia de la siguiente manera:</w:t>
      </w:r>
    </w:p>
    <w:p w:rsidR="000A3DD4" w:rsidRPr="000A3DD4" w:rsidRDefault="000A3DD4" w:rsidP="000A3DD4">
      <w:pPr>
        <w:spacing w:line="276" w:lineRule="auto"/>
        <w:rPr>
          <w:rFonts w:eastAsia="Times New Roman" w:cs="Arial"/>
          <w:sz w:val="24"/>
          <w:szCs w:val="24"/>
          <w:lang w:val="es-ES" w:eastAsia="es-ES"/>
        </w:rPr>
      </w:pPr>
    </w:p>
    <w:p w:rsidR="000A3DD4" w:rsidRPr="000A3DD4" w:rsidRDefault="000A3DD4" w:rsidP="000A3DD4">
      <w:pPr>
        <w:spacing w:line="276" w:lineRule="auto"/>
        <w:ind w:left="567" w:right="902"/>
        <w:jc w:val="both"/>
        <w:rPr>
          <w:rFonts w:cs="Arial"/>
          <w:sz w:val="24"/>
          <w:szCs w:val="24"/>
          <w:lang w:eastAsia="es-CO"/>
        </w:rPr>
      </w:pPr>
      <w:r w:rsidRPr="000A3DD4">
        <w:rPr>
          <w:rFonts w:cs="Arial"/>
          <w:sz w:val="24"/>
          <w:szCs w:val="24"/>
          <w:lang w:eastAsia="es-CO"/>
        </w:rPr>
        <w:t>“Las sentencias proferidas en cumplimiento del control constitucional tienen el siguiente efecto:</w:t>
      </w:r>
    </w:p>
    <w:p w:rsidR="000A3DD4" w:rsidRPr="000A3DD4" w:rsidRDefault="000A3DD4" w:rsidP="000A3DD4">
      <w:pPr>
        <w:spacing w:line="276" w:lineRule="auto"/>
        <w:ind w:left="567" w:right="902"/>
        <w:jc w:val="both"/>
        <w:rPr>
          <w:rFonts w:cs="Arial"/>
          <w:sz w:val="24"/>
          <w:szCs w:val="24"/>
          <w:lang w:eastAsia="es-CO"/>
        </w:rPr>
      </w:pPr>
    </w:p>
    <w:p w:rsidR="000A3DD4" w:rsidRPr="000A3DD4" w:rsidRDefault="000A3DD4" w:rsidP="000A3DD4">
      <w:pPr>
        <w:spacing w:line="276" w:lineRule="auto"/>
        <w:ind w:left="567" w:right="902"/>
        <w:jc w:val="both"/>
        <w:rPr>
          <w:rFonts w:cs="Arial"/>
          <w:sz w:val="24"/>
          <w:szCs w:val="24"/>
          <w:lang w:eastAsia="es-CO"/>
        </w:rPr>
      </w:pPr>
      <w:r w:rsidRPr="000A3DD4">
        <w:rPr>
          <w:rFonts w:cs="Arial"/>
          <w:sz w:val="24"/>
          <w:szCs w:val="24"/>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0A3DD4">
        <w:rPr>
          <w:rFonts w:cs="Arial"/>
          <w:sz w:val="24"/>
          <w:szCs w:val="24"/>
          <w:vertAlign w:val="superscript"/>
          <w:lang w:eastAsia="es-CO"/>
        </w:rPr>
        <w:footnoteReference w:id="3"/>
      </w:r>
      <w:r w:rsidRPr="000A3DD4">
        <w:rPr>
          <w:rFonts w:cs="Arial"/>
          <w:sz w:val="24"/>
          <w:szCs w:val="24"/>
          <w:lang w:eastAsia="es-CO"/>
        </w:rPr>
        <w:t>.</w:t>
      </w:r>
    </w:p>
    <w:p w:rsidR="000A3DD4" w:rsidRPr="000A3DD4" w:rsidRDefault="000A3DD4" w:rsidP="000A3DD4">
      <w:pPr>
        <w:spacing w:line="276" w:lineRule="auto"/>
        <w:jc w:val="both"/>
        <w:rPr>
          <w:rFonts w:cs="Arial"/>
          <w:lang w:eastAsia="es-CO"/>
        </w:rPr>
      </w:pPr>
    </w:p>
    <w:p w:rsidR="00142861" w:rsidRDefault="000A3DD4" w:rsidP="000A3DD4">
      <w:pPr>
        <w:spacing w:line="276" w:lineRule="auto"/>
        <w:jc w:val="both"/>
        <w:rPr>
          <w:rFonts w:cs="Arial"/>
          <w:lang w:eastAsia="es-CO"/>
        </w:rPr>
      </w:pPr>
      <w:r w:rsidRPr="000A3DD4">
        <w:rPr>
          <w:rFonts w:cs="Arial"/>
          <w:lang w:eastAsia="es-CO"/>
        </w:rPr>
        <w:t xml:space="preserve">De lo antes expuesto, válidamente se desprende que a pesar de lo dicho por la Sala de Casación Penal de la Corte Suprema de Justicia, ello no se puede erigir como obstáculo para desconocer la obligatoriedad de los aludidos precedentes de la Corte Constitucional que reconocen el derecho a impugnar de manera excepcional por vía de alzada el primer fallo de condenada. </w:t>
      </w:r>
    </w:p>
    <w:p w:rsidR="00142861" w:rsidRDefault="00142861" w:rsidP="000A3DD4">
      <w:pPr>
        <w:spacing w:line="276" w:lineRule="auto"/>
        <w:jc w:val="both"/>
        <w:rPr>
          <w:rFonts w:cs="Arial"/>
          <w:lang w:eastAsia="es-CO"/>
        </w:rPr>
      </w:pPr>
    </w:p>
    <w:p w:rsidR="000A3DD4" w:rsidRDefault="000A3DD4" w:rsidP="000A3DD4">
      <w:pPr>
        <w:spacing w:line="276" w:lineRule="auto"/>
        <w:jc w:val="both"/>
        <w:rPr>
          <w:rFonts w:cs="Arial"/>
          <w:lang w:eastAsia="es-CO"/>
        </w:rPr>
      </w:pPr>
      <w:r w:rsidRPr="000A3DD4">
        <w:rPr>
          <w:rFonts w:cs="Arial"/>
          <w:lang w:eastAsia="es-CO"/>
        </w:rPr>
        <w:t>Razón por la que somos de</w:t>
      </w:r>
      <w:r w:rsidR="00142861">
        <w:rPr>
          <w:rFonts w:cs="Arial"/>
          <w:lang w:eastAsia="es-CO"/>
        </w:rPr>
        <w:t xml:space="preserve"> la opinión que en contra de lo</w:t>
      </w:r>
      <w:r w:rsidRPr="000A3DD4">
        <w:rPr>
          <w:rFonts w:cs="Arial"/>
          <w:lang w:eastAsia="es-CO"/>
        </w:rPr>
        <w:t xml:space="preserve"> resuelta y decidido en el presente fallo de 2ª instancia de manera excepcional procede el recurso de apelación</w:t>
      </w:r>
      <w:r w:rsidR="00142861">
        <w:rPr>
          <w:rFonts w:cs="Arial"/>
          <w:lang w:eastAsia="es-CO"/>
        </w:rPr>
        <w:t>, lo cual incidió para que el suscrito aclarará su voto</w:t>
      </w:r>
      <w:r w:rsidRPr="000A3DD4">
        <w:rPr>
          <w:rFonts w:cs="Arial"/>
          <w:lang w:eastAsia="es-CO"/>
        </w:rPr>
        <w:t xml:space="preserve">.  </w:t>
      </w:r>
    </w:p>
    <w:p w:rsidR="00142861" w:rsidRDefault="00142861" w:rsidP="000A3DD4">
      <w:pPr>
        <w:spacing w:line="276" w:lineRule="auto"/>
        <w:jc w:val="both"/>
        <w:rPr>
          <w:rFonts w:cs="Arial"/>
          <w:lang w:eastAsia="es-CO"/>
        </w:rPr>
      </w:pPr>
    </w:p>
    <w:p w:rsidR="00142861" w:rsidRDefault="00142861" w:rsidP="00142861">
      <w:pPr>
        <w:spacing w:line="276" w:lineRule="auto"/>
        <w:rPr>
          <w:rFonts w:cs="Times New Roman"/>
        </w:rPr>
      </w:pPr>
      <w:r>
        <w:rPr>
          <w:rFonts w:cs="Times New Roman"/>
        </w:rPr>
        <w:t>Cordialmente:</w:t>
      </w: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Default="00142861" w:rsidP="00142861">
      <w:pPr>
        <w:spacing w:line="276" w:lineRule="auto"/>
        <w:rPr>
          <w:rFonts w:cs="Times New Roman"/>
        </w:rPr>
      </w:pPr>
      <w:r>
        <w:rPr>
          <w:rFonts w:cs="Times New Roman"/>
        </w:rPr>
        <w:lastRenderedPageBreak/>
        <w:t>MANUEL YARZAGARAY BANDERA</w:t>
      </w:r>
    </w:p>
    <w:p w:rsidR="00142861" w:rsidRDefault="00142861" w:rsidP="00142861">
      <w:pPr>
        <w:spacing w:line="276" w:lineRule="auto"/>
        <w:rPr>
          <w:rFonts w:cs="Times New Roman"/>
        </w:rPr>
      </w:pPr>
      <w:r>
        <w:rPr>
          <w:rFonts w:cs="Times New Roman"/>
        </w:rPr>
        <w:t>Magistrado</w:t>
      </w:r>
    </w:p>
    <w:p w:rsidR="00142861" w:rsidRDefault="00142861" w:rsidP="00142861">
      <w:pPr>
        <w:spacing w:line="276" w:lineRule="auto"/>
        <w:rPr>
          <w:rFonts w:cs="Times New Roman"/>
        </w:rPr>
      </w:pPr>
    </w:p>
    <w:p w:rsidR="00142861" w:rsidRDefault="00142861" w:rsidP="00142861">
      <w:pPr>
        <w:spacing w:line="276" w:lineRule="auto"/>
        <w:rPr>
          <w:rFonts w:cs="Times New Roman"/>
        </w:rPr>
      </w:pPr>
    </w:p>
    <w:p w:rsidR="00142861" w:rsidRPr="00563961" w:rsidRDefault="00142861" w:rsidP="00142861">
      <w:pPr>
        <w:spacing w:line="276" w:lineRule="auto"/>
        <w:rPr>
          <w:rFonts w:cs="Times New Roman"/>
          <w:i/>
        </w:rPr>
      </w:pPr>
      <w:r>
        <w:rPr>
          <w:rFonts w:cs="Times New Roman"/>
          <w:i/>
        </w:rPr>
        <w:t>Fecha Et Supra</w:t>
      </w:r>
    </w:p>
    <w:p w:rsidR="00142861" w:rsidRPr="000A3DD4" w:rsidRDefault="00142861" w:rsidP="000A3DD4">
      <w:pPr>
        <w:spacing w:line="276" w:lineRule="auto"/>
        <w:jc w:val="both"/>
        <w:rPr>
          <w:rFonts w:cs="Times New Roman"/>
        </w:rPr>
      </w:pPr>
    </w:p>
    <w:p w:rsidR="00142861" w:rsidRPr="000A3DD4" w:rsidRDefault="00142861" w:rsidP="00142861">
      <w:pPr>
        <w:tabs>
          <w:tab w:val="center" w:pos="4252"/>
          <w:tab w:val="right" w:pos="8504"/>
        </w:tabs>
        <w:ind w:left="3969"/>
        <w:rPr>
          <w:rFonts w:ascii="Arial Black" w:eastAsia="Times New Roman" w:hAnsi="Arial Black" w:cs="Microsoft Sans Serif"/>
          <w:sz w:val="16"/>
          <w:szCs w:val="16"/>
          <w:lang w:eastAsia="es-ES"/>
        </w:rPr>
      </w:pPr>
      <w:r>
        <w:rPr>
          <w:rFonts w:ascii="Arial Black" w:eastAsia="Times New Roman" w:hAnsi="Arial Black" w:cs="Microsoft Sans Serif"/>
          <w:sz w:val="16"/>
          <w:szCs w:val="16"/>
          <w:lang w:eastAsia="es-ES"/>
        </w:rPr>
        <w:t xml:space="preserve"> </w:t>
      </w:r>
      <w:r w:rsidRPr="000A3DD4">
        <w:rPr>
          <w:rFonts w:ascii="Arial Black" w:eastAsia="Times New Roman" w:hAnsi="Arial Black" w:cs="Microsoft Sans Serif"/>
          <w:sz w:val="16"/>
          <w:szCs w:val="16"/>
          <w:lang w:eastAsia="es-ES"/>
        </w:rPr>
        <w:t xml:space="preserve"> </w:t>
      </w:r>
      <w:r>
        <w:rPr>
          <w:rFonts w:ascii="Arial Black" w:eastAsia="Times New Roman" w:hAnsi="Arial Black" w:cs="Microsoft Sans Serif"/>
          <w:sz w:val="16"/>
          <w:szCs w:val="16"/>
          <w:lang w:eastAsia="es-ES"/>
        </w:rPr>
        <w:t xml:space="preserve"> </w:t>
      </w:r>
    </w:p>
    <w:p w:rsidR="00DF63E3" w:rsidRDefault="001B04D1"/>
    <w:sectPr w:rsidR="00DF63E3" w:rsidSect="00DD577A">
      <w:headerReference w:type="default" r:id="rId7"/>
      <w:footerReference w:type="default" r:id="rId8"/>
      <w:pgSz w:w="12242" w:h="18705" w:code="120"/>
      <w:pgMar w:top="2268" w:right="1701" w:bottom="1701" w:left="1701" w:header="737"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D1" w:rsidRDefault="001B04D1" w:rsidP="000A3DD4">
      <w:r>
        <w:separator/>
      </w:r>
    </w:p>
  </w:endnote>
  <w:endnote w:type="continuationSeparator" w:id="0">
    <w:p w:rsidR="001B04D1" w:rsidRDefault="001B04D1" w:rsidP="000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1603528677"/>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rsidR="000A3DD4" w:rsidRPr="000A3DD4" w:rsidRDefault="000A3DD4">
            <w:pPr>
              <w:pStyle w:val="Piedepgina"/>
              <w:jc w:val="right"/>
              <w:rPr>
                <w:rFonts w:ascii="Palatino Linotype" w:hAnsi="Palatino Linotype"/>
                <w:sz w:val="20"/>
                <w:szCs w:val="20"/>
              </w:rPr>
            </w:pPr>
            <w:r w:rsidRPr="000A3DD4">
              <w:rPr>
                <w:rFonts w:ascii="Palatino Linotype" w:hAnsi="Palatino Linotype"/>
                <w:sz w:val="20"/>
                <w:szCs w:val="20"/>
                <w:lang w:val="es-ES"/>
              </w:rPr>
              <w:t xml:space="preserve">Página </w:t>
            </w:r>
            <w:r w:rsidRPr="000A3DD4">
              <w:rPr>
                <w:rFonts w:ascii="Palatino Linotype" w:hAnsi="Palatino Linotype"/>
                <w:b/>
                <w:bCs/>
                <w:sz w:val="20"/>
                <w:szCs w:val="20"/>
              </w:rPr>
              <w:fldChar w:fldCharType="begin"/>
            </w:r>
            <w:r w:rsidRPr="000A3DD4">
              <w:rPr>
                <w:rFonts w:ascii="Palatino Linotype" w:hAnsi="Palatino Linotype"/>
                <w:b/>
                <w:bCs/>
                <w:sz w:val="20"/>
                <w:szCs w:val="20"/>
              </w:rPr>
              <w:instrText>PAGE</w:instrText>
            </w:r>
            <w:r w:rsidRPr="000A3DD4">
              <w:rPr>
                <w:rFonts w:ascii="Palatino Linotype" w:hAnsi="Palatino Linotype"/>
                <w:b/>
                <w:bCs/>
                <w:sz w:val="20"/>
                <w:szCs w:val="20"/>
              </w:rPr>
              <w:fldChar w:fldCharType="separate"/>
            </w:r>
            <w:r w:rsidR="002040F5">
              <w:rPr>
                <w:rFonts w:ascii="Palatino Linotype" w:hAnsi="Palatino Linotype"/>
                <w:b/>
                <w:bCs/>
                <w:noProof/>
                <w:sz w:val="20"/>
                <w:szCs w:val="20"/>
              </w:rPr>
              <w:t>6</w:t>
            </w:r>
            <w:r w:rsidRPr="000A3DD4">
              <w:rPr>
                <w:rFonts w:ascii="Palatino Linotype" w:hAnsi="Palatino Linotype"/>
                <w:b/>
                <w:bCs/>
                <w:sz w:val="20"/>
                <w:szCs w:val="20"/>
              </w:rPr>
              <w:fldChar w:fldCharType="end"/>
            </w:r>
            <w:r w:rsidRPr="000A3DD4">
              <w:rPr>
                <w:rFonts w:ascii="Palatino Linotype" w:hAnsi="Palatino Linotype"/>
                <w:sz w:val="20"/>
                <w:szCs w:val="20"/>
                <w:lang w:val="es-ES"/>
              </w:rPr>
              <w:t xml:space="preserve"> de </w:t>
            </w:r>
            <w:r w:rsidRPr="000A3DD4">
              <w:rPr>
                <w:rFonts w:ascii="Palatino Linotype" w:hAnsi="Palatino Linotype"/>
                <w:b/>
                <w:bCs/>
                <w:sz w:val="20"/>
                <w:szCs w:val="20"/>
              </w:rPr>
              <w:fldChar w:fldCharType="begin"/>
            </w:r>
            <w:r w:rsidRPr="000A3DD4">
              <w:rPr>
                <w:rFonts w:ascii="Palatino Linotype" w:hAnsi="Palatino Linotype"/>
                <w:b/>
                <w:bCs/>
                <w:sz w:val="20"/>
                <w:szCs w:val="20"/>
              </w:rPr>
              <w:instrText>NUMPAGES</w:instrText>
            </w:r>
            <w:r w:rsidRPr="000A3DD4">
              <w:rPr>
                <w:rFonts w:ascii="Palatino Linotype" w:hAnsi="Palatino Linotype"/>
                <w:b/>
                <w:bCs/>
                <w:sz w:val="20"/>
                <w:szCs w:val="20"/>
              </w:rPr>
              <w:fldChar w:fldCharType="separate"/>
            </w:r>
            <w:r w:rsidR="002040F5">
              <w:rPr>
                <w:rFonts w:ascii="Palatino Linotype" w:hAnsi="Palatino Linotype"/>
                <w:b/>
                <w:bCs/>
                <w:noProof/>
                <w:sz w:val="20"/>
                <w:szCs w:val="20"/>
              </w:rPr>
              <w:t>6</w:t>
            </w:r>
            <w:r w:rsidRPr="000A3DD4">
              <w:rPr>
                <w:rFonts w:ascii="Palatino Linotype" w:hAnsi="Palatino Linotype"/>
                <w:b/>
                <w:bCs/>
                <w:sz w:val="20"/>
                <w:szCs w:val="20"/>
              </w:rPr>
              <w:fldChar w:fldCharType="end"/>
            </w:r>
          </w:p>
        </w:sdtContent>
      </w:sdt>
    </w:sdtContent>
  </w:sdt>
  <w:p w:rsidR="000A3DD4" w:rsidRPr="000A3DD4" w:rsidRDefault="000A3DD4">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D1" w:rsidRDefault="001B04D1" w:rsidP="000A3DD4">
      <w:r>
        <w:separator/>
      </w:r>
    </w:p>
  </w:footnote>
  <w:footnote w:type="continuationSeparator" w:id="0">
    <w:p w:rsidR="001B04D1" w:rsidRDefault="001B04D1" w:rsidP="000A3DD4">
      <w:r>
        <w:continuationSeparator/>
      </w:r>
    </w:p>
  </w:footnote>
  <w:footnote w:id="1">
    <w:p w:rsidR="000A3DD4" w:rsidRPr="003B0199" w:rsidRDefault="000A3DD4" w:rsidP="000A3DD4">
      <w:pPr>
        <w:pStyle w:val="Sinespaciado"/>
        <w:jc w:val="both"/>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Corte Suprema de Justicia, Sala de Casación Penal: Providencia del veintisiete (27) julio de 2016.</w:t>
      </w:r>
      <w:r w:rsidRPr="003B0199">
        <w:rPr>
          <w:rFonts w:ascii="Palatino Linotype" w:hAnsi="Palatino Linotype" w:cs="Arial"/>
          <w:sz w:val="22"/>
          <w:szCs w:val="22"/>
        </w:rPr>
        <w:t xml:space="preserve"> AP4810-2016. Radicado # 48442. M.P. GUSTAVO ENRIQUE MALO FERNÁNDEZ.</w:t>
      </w:r>
      <w:r w:rsidRPr="003B0199">
        <w:rPr>
          <w:rFonts w:ascii="Palatino Linotype" w:hAnsi="Palatino Linotype" w:cs="Arial"/>
          <w:b/>
          <w:sz w:val="22"/>
          <w:szCs w:val="22"/>
        </w:rPr>
        <w:t xml:space="preserve"> </w:t>
      </w:r>
    </w:p>
    <w:p w:rsidR="000A3DD4" w:rsidRPr="003B0199" w:rsidRDefault="000A3DD4" w:rsidP="000A3DD4">
      <w:pPr>
        <w:pStyle w:val="Sinespaciado"/>
        <w:jc w:val="both"/>
        <w:rPr>
          <w:rFonts w:ascii="Palatino Linotype" w:hAnsi="Palatino Linotype"/>
          <w:sz w:val="22"/>
          <w:szCs w:val="22"/>
        </w:rPr>
      </w:pPr>
    </w:p>
  </w:footnote>
  <w:footnote w:id="2">
    <w:p w:rsidR="000A3DD4" w:rsidRPr="003B0199" w:rsidRDefault="000A3DD4" w:rsidP="000A3DD4">
      <w:pPr>
        <w:pStyle w:val="Textonotapie"/>
        <w:jc w:val="both"/>
        <w:rPr>
          <w:rFonts w:ascii="Palatino Linotype" w:hAnsi="Palatino Linotype" w:cs="Microsoft Sans Serif"/>
          <w:sz w:val="22"/>
          <w:szCs w:val="22"/>
        </w:rPr>
      </w:pPr>
      <w:r w:rsidRPr="003B0199">
        <w:rPr>
          <w:rStyle w:val="Refdenotaalpie"/>
          <w:rFonts w:ascii="Palatino Linotype" w:eastAsiaTheme="majorEastAsia" w:hAnsi="Palatino Linotype" w:cs="Microsoft Sans Serif"/>
          <w:sz w:val="22"/>
          <w:szCs w:val="22"/>
        </w:rPr>
        <w:footnoteRef/>
      </w:r>
      <w:r w:rsidRPr="003B0199">
        <w:rPr>
          <w:rFonts w:ascii="Palatino Linotype" w:hAnsi="Palatino Linotype" w:cs="Microsoft Sans Serif"/>
          <w:sz w:val="22"/>
          <w:szCs w:val="22"/>
        </w:rPr>
        <w:t xml:space="preserve"> Corte Constitucional: Sentencia # C-792 del veintinueve (29) de octubre de 2014. M.P. LUIS GUILLERMO GUERRERO PÉREZ. {Negrillas fuera del texto}.</w:t>
      </w:r>
    </w:p>
  </w:footnote>
  <w:footnote w:id="3">
    <w:p w:rsidR="000A3DD4" w:rsidRPr="003B0199" w:rsidRDefault="000A3DD4" w:rsidP="000A3DD4">
      <w:pPr>
        <w:pStyle w:val="Textonotapie"/>
        <w:jc w:val="both"/>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D4" w:rsidRPr="000A3DD4" w:rsidRDefault="000A3DD4" w:rsidP="000A3DD4">
    <w:pPr>
      <w:tabs>
        <w:tab w:val="center" w:pos="4252"/>
        <w:tab w:val="right" w:pos="8504"/>
      </w:tabs>
      <w:ind w:left="3969"/>
      <w:rPr>
        <w:rFonts w:ascii="Arial Black" w:eastAsia="Times New Roman" w:hAnsi="Arial Black" w:cs="Microsoft Sans Serif"/>
        <w:sz w:val="16"/>
        <w:szCs w:val="16"/>
        <w:lang w:eastAsia="es-ES"/>
      </w:rPr>
    </w:pPr>
    <w:r w:rsidRPr="000A3DD4">
      <w:rPr>
        <w:rFonts w:ascii="Arial Black" w:eastAsia="Times New Roman" w:hAnsi="Arial Black" w:cs="Microsoft Sans Serif"/>
        <w:sz w:val="16"/>
        <w:szCs w:val="16"/>
        <w:lang w:eastAsia="es-ES"/>
      </w:rPr>
      <w:t>Procesado: LUIS FELIPE IZQUIERDO CANDELO</w:t>
    </w:r>
  </w:p>
  <w:p w:rsidR="000A3DD4" w:rsidRPr="000A3DD4" w:rsidRDefault="000A3DD4" w:rsidP="000A3DD4">
    <w:pPr>
      <w:tabs>
        <w:tab w:val="center" w:pos="4252"/>
        <w:tab w:val="right" w:pos="8504"/>
      </w:tabs>
      <w:ind w:left="3969"/>
      <w:rPr>
        <w:rFonts w:ascii="Arial Black" w:eastAsia="Times New Roman" w:hAnsi="Arial Black" w:cs="Microsoft Sans Serif"/>
        <w:sz w:val="16"/>
        <w:szCs w:val="16"/>
        <w:lang w:eastAsia="es-ES"/>
      </w:rPr>
    </w:pPr>
    <w:r w:rsidRPr="000A3DD4">
      <w:rPr>
        <w:rFonts w:ascii="Arial Black" w:eastAsia="Times New Roman" w:hAnsi="Arial Black" w:cs="Microsoft Sans Serif"/>
        <w:sz w:val="16"/>
        <w:szCs w:val="16"/>
        <w:lang w:eastAsia="es-ES"/>
      </w:rPr>
      <w:t>Delito: Porte ilegal de armas de fuego de defensa personal</w:t>
    </w:r>
  </w:p>
  <w:p w:rsidR="000A3DD4" w:rsidRPr="000A3DD4" w:rsidRDefault="000A3DD4" w:rsidP="000A3DD4">
    <w:pPr>
      <w:tabs>
        <w:tab w:val="center" w:pos="4252"/>
        <w:tab w:val="right" w:pos="8504"/>
      </w:tabs>
      <w:ind w:left="3969"/>
      <w:rPr>
        <w:rFonts w:ascii="Arial Black" w:eastAsia="Times New Roman" w:hAnsi="Arial Black" w:cs="Microsoft Sans Serif"/>
        <w:sz w:val="16"/>
        <w:szCs w:val="16"/>
        <w:lang w:eastAsia="es-ES"/>
      </w:rPr>
    </w:pPr>
    <w:r w:rsidRPr="000A3DD4">
      <w:rPr>
        <w:rFonts w:ascii="Arial Black" w:eastAsia="Times New Roman" w:hAnsi="Arial Black" w:cs="Microsoft Sans Serif"/>
        <w:sz w:val="16"/>
        <w:szCs w:val="16"/>
        <w:lang w:eastAsia="es-ES"/>
      </w:rPr>
      <w:t>Rad. # 66400-31-89-001-2011-00335-01</w:t>
    </w:r>
  </w:p>
  <w:p w:rsidR="000A3DD4" w:rsidRPr="000A3DD4" w:rsidRDefault="000A3DD4" w:rsidP="000A3DD4">
    <w:pPr>
      <w:tabs>
        <w:tab w:val="center" w:pos="4252"/>
        <w:tab w:val="right" w:pos="8504"/>
      </w:tabs>
      <w:ind w:left="3969"/>
      <w:rPr>
        <w:rFonts w:ascii="Arial Black" w:eastAsia="Times New Roman" w:hAnsi="Arial Black" w:cs="Microsoft Sans Serif"/>
        <w:sz w:val="16"/>
        <w:szCs w:val="16"/>
        <w:lang w:eastAsia="es-ES"/>
      </w:rPr>
    </w:pPr>
    <w:r w:rsidRPr="000A3DD4">
      <w:rPr>
        <w:rFonts w:ascii="Arial Black" w:eastAsia="Times New Roman" w:hAnsi="Arial Black" w:cs="Microsoft Sans Serif"/>
        <w:sz w:val="16"/>
        <w:szCs w:val="16"/>
        <w:lang w:eastAsia="es-ES"/>
      </w:rPr>
      <w:t xml:space="preserve">Asunto: </w:t>
    </w:r>
    <w:r>
      <w:rPr>
        <w:rFonts w:ascii="Arial Black" w:eastAsia="Times New Roman" w:hAnsi="Arial Black" w:cs="Microsoft Sans Serif"/>
        <w:sz w:val="16"/>
        <w:szCs w:val="16"/>
        <w:lang w:eastAsia="es-ES"/>
      </w:rPr>
      <w:t>Aclaración de voto</w:t>
    </w:r>
  </w:p>
  <w:p w:rsidR="000A3DD4" w:rsidRDefault="000A3D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D4"/>
    <w:rsid w:val="000A3DD4"/>
    <w:rsid w:val="00142861"/>
    <w:rsid w:val="001509D8"/>
    <w:rsid w:val="001B04D1"/>
    <w:rsid w:val="002040F5"/>
    <w:rsid w:val="00610017"/>
    <w:rsid w:val="00766030"/>
    <w:rsid w:val="009F3B2A"/>
    <w:rsid w:val="00B943B7"/>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825E-E3EA-4A3E-B36A-0AB105AA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0A3DD4"/>
    <w:rPr>
      <w:rFonts w:ascii="Calibri" w:eastAsia="Times New Roman" w:hAnsi="Calibri" w:cs="Times New Roman"/>
      <w:sz w:val="20"/>
      <w:szCs w:val="20"/>
    </w:rPr>
  </w:style>
  <w:style w:type="character" w:customStyle="1" w:styleId="TextonotapieCar">
    <w:name w:val="Texto nota pie Car"/>
    <w:basedOn w:val="Fuentedeprrafopredeter"/>
    <w:uiPriority w:val="99"/>
    <w:semiHidden/>
    <w:rsid w:val="000A3DD4"/>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0A3DD4"/>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0A3DD4"/>
    <w:rPr>
      <w:rFonts w:cs="Times New Roman"/>
      <w:vertAlign w:val="superscript"/>
    </w:rPr>
  </w:style>
  <w:style w:type="paragraph" w:styleId="Encabezado">
    <w:name w:val="header"/>
    <w:basedOn w:val="Normal"/>
    <w:link w:val="EncabezadoCar"/>
    <w:uiPriority w:val="99"/>
    <w:unhideWhenUsed/>
    <w:rsid w:val="000A3DD4"/>
    <w:pPr>
      <w:tabs>
        <w:tab w:val="center" w:pos="4419"/>
        <w:tab w:val="right" w:pos="8838"/>
      </w:tabs>
    </w:pPr>
  </w:style>
  <w:style w:type="character" w:customStyle="1" w:styleId="EncabezadoCar">
    <w:name w:val="Encabezado Car"/>
    <w:basedOn w:val="Fuentedeprrafopredeter"/>
    <w:link w:val="Encabezado"/>
    <w:uiPriority w:val="99"/>
    <w:rsid w:val="000A3DD4"/>
  </w:style>
  <w:style w:type="paragraph" w:styleId="Piedepgina">
    <w:name w:val="footer"/>
    <w:basedOn w:val="Normal"/>
    <w:link w:val="PiedepginaCar"/>
    <w:uiPriority w:val="99"/>
    <w:unhideWhenUsed/>
    <w:rsid w:val="000A3DD4"/>
    <w:pPr>
      <w:tabs>
        <w:tab w:val="center" w:pos="4419"/>
        <w:tab w:val="right" w:pos="8838"/>
      </w:tabs>
    </w:pPr>
  </w:style>
  <w:style w:type="character" w:customStyle="1" w:styleId="PiedepginaCar">
    <w:name w:val="Pie de página Car"/>
    <w:basedOn w:val="Fuentedeprrafopredeter"/>
    <w:link w:val="Piedepgina"/>
    <w:uiPriority w:val="99"/>
    <w:rsid w:val="000A3DD4"/>
  </w:style>
  <w:style w:type="character" w:customStyle="1" w:styleId="SinespaciadoCar">
    <w:name w:val="Sin espaciado Car"/>
    <w:link w:val="Sinespaciado"/>
    <w:uiPriority w:val="1"/>
    <w:locked/>
    <w:rsid w:val="000A3DD4"/>
  </w:style>
  <w:style w:type="paragraph" w:styleId="Textodeglobo">
    <w:name w:val="Balloon Text"/>
    <w:basedOn w:val="Normal"/>
    <w:link w:val="TextodegloboCar"/>
    <w:uiPriority w:val="99"/>
    <w:semiHidden/>
    <w:unhideWhenUsed/>
    <w:rsid w:val="00B943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3D50-6E72-4A7E-A9A5-229EED17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cp:revision>
  <cp:lastPrinted>2016-09-08T15:28:00Z</cp:lastPrinted>
  <dcterms:created xsi:type="dcterms:W3CDTF">2016-09-08T15:08:00Z</dcterms:created>
  <dcterms:modified xsi:type="dcterms:W3CDTF">2016-11-22T18:33:00Z</dcterms:modified>
</cp:coreProperties>
</file>