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CB" w:rsidRPr="00CA76CB" w:rsidRDefault="00CA76CB" w:rsidP="00CA76CB">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6"/>
          <w:szCs w:val="16"/>
          <w:lang w:val="es-CO" w:eastAsia="fr-FR"/>
        </w:rPr>
      </w:pPr>
      <w:r w:rsidRPr="00CA76CB">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CA76CB">
        <w:rPr>
          <w:rFonts w:ascii="Calibri" w:eastAsia="Calibri" w:hAnsi="Calibri" w:cs="Calibri"/>
          <w:color w:val="222222"/>
          <w:sz w:val="16"/>
          <w:szCs w:val="16"/>
          <w:lang w:val="es-CO" w:eastAsia="fr-FR"/>
        </w:rPr>
        <w:t> </w:t>
      </w:r>
    </w:p>
    <w:p w:rsidR="00CA76CB" w:rsidRPr="00CA76CB" w:rsidRDefault="00CA76CB" w:rsidP="00CA76CB">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CA76CB">
        <w:rPr>
          <w:rFonts w:ascii="Calibri" w:hAnsi="Calibri" w:cs="Calibri"/>
          <w:color w:val="222222"/>
          <w:sz w:val="18"/>
          <w:szCs w:val="18"/>
          <w:lang w:val="es-CO" w:eastAsia="fr-FR"/>
        </w:rPr>
        <w:t>Providencia:</w:t>
      </w:r>
      <w:r w:rsidRPr="00CA76CB">
        <w:rPr>
          <w:rFonts w:ascii="Calibri" w:hAnsi="Calibri" w:cs="Calibri"/>
          <w:color w:val="222222"/>
          <w:sz w:val="18"/>
          <w:szCs w:val="18"/>
          <w:lang w:val="es-CO" w:eastAsia="fr-FR"/>
        </w:rPr>
        <w:tab/>
        <w:t>Sentencia -</w:t>
      </w:r>
      <w:proofErr w:type="spellStart"/>
      <w:r w:rsidRPr="00CA76CB">
        <w:rPr>
          <w:rFonts w:ascii="Calibri" w:hAnsi="Calibri" w:cs="Calibri"/>
          <w:color w:val="222222"/>
          <w:sz w:val="18"/>
          <w:szCs w:val="18"/>
          <w:lang w:val="es-CO" w:eastAsia="fr-FR"/>
        </w:rPr>
        <w:t>1</w:t>
      </w:r>
      <w:r w:rsidRPr="00CA76CB">
        <w:rPr>
          <w:rFonts w:ascii="Calibri" w:hAnsi="Calibri" w:cs="Calibri"/>
          <w:color w:val="222222"/>
          <w:sz w:val="18"/>
          <w:szCs w:val="18"/>
          <w:vertAlign w:val="superscript"/>
          <w:lang w:val="es-CO" w:eastAsia="fr-FR"/>
        </w:rPr>
        <w:t>a</w:t>
      </w:r>
      <w:proofErr w:type="spellEnd"/>
      <w:r w:rsidRPr="00CA76CB">
        <w:rPr>
          <w:rFonts w:ascii="Calibri" w:hAnsi="Calibri" w:cs="Calibri"/>
          <w:color w:val="222222"/>
          <w:sz w:val="18"/>
          <w:szCs w:val="18"/>
          <w:lang w:val="es-CO" w:eastAsia="fr-FR"/>
        </w:rPr>
        <w:t xml:space="preserve"> Instancia – 18 de enero de 2017</w:t>
      </w:r>
    </w:p>
    <w:p w:rsidR="00CA76CB" w:rsidRPr="00CA76CB" w:rsidRDefault="00CA76CB" w:rsidP="00CA76CB">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eastAsia="fr-FR"/>
        </w:rPr>
      </w:pPr>
      <w:r w:rsidRPr="00CA76CB">
        <w:rPr>
          <w:rFonts w:ascii="Calibri" w:eastAsia="Calibri" w:hAnsi="Calibri" w:cs="Calibri"/>
          <w:color w:val="222222"/>
          <w:sz w:val="18"/>
          <w:szCs w:val="18"/>
          <w:lang w:val="es-CO" w:eastAsia="fr-FR"/>
        </w:rPr>
        <w:t>Radicación Nro. :</w:t>
      </w:r>
      <w:r w:rsidRPr="00CA76CB">
        <w:rPr>
          <w:rFonts w:ascii="Calibri" w:eastAsia="Calibri" w:hAnsi="Calibri" w:cs="Calibri"/>
          <w:color w:val="222222"/>
          <w:sz w:val="18"/>
          <w:szCs w:val="18"/>
          <w:lang w:val="es-CO" w:eastAsia="fr-FR"/>
        </w:rPr>
        <w:tab/>
      </w:r>
      <w:r w:rsidRPr="00CA76CB">
        <w:rPr>
          <w:rFonts w:ascii="Calibri" w:eastAsia="Calibri" w:hAnsi="Calibri" w:cs="Calibri"/>
          <w:color w:val="222222"/>
          <w:sz w:val="18"/>
          <w:szCs w:val="18"/>
          <w:lang w:eastAsia="fr-FR"/>
        </w:rPr>
        <w:t>2016-01216-00</w:t>
      </w:r>
    </w:p>
    <w:p w:rsidR="00CA76CB" w:rsidRPr="00CA76CB" w:rsidRDefault="00CA76CB" w:rsidP="00CA76CB">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eastAsia="fr-FR"/>
        </w:rPr>
      </w:pPr>
      <w:r w:rsidRPr="00CA76CB">
        <w:rPr>
          <w:rFonts w:ascii="Calibri" w:eastAsia="Calibri" w:hAnsi="Calibri" w:cs="Calibri"/>
          <w:color w:val="222222"/>
          <w:sz w:val="18"/>
          <w:szCs w:val="18"/>
          <w:lang w:val="es-CO" w:eastAsia="fr-FR"/>
        </w:rPr>
        <w:t>Accionante:</w:t>
      </w:r>
      <w:r w:rsidRPr="00CA76CB">
        <w:rPr>
          <w:rFonts w:ascii="Calibri" w:eastAsia="Calibri" w:hAnsi="Calibri" w:cs="Calibri"/>
          <w:color w:val="222222"/>
          <w:sz w:val="18"/>
          <w:szCs w:val="18"/>
          <w:lang w:val="es-CO" w:eastAsia="fr-FR"/>
        </w:rPr>
        <w:tab/>
      </w:r>
      <w:r w:rsidRPr="00CA76CB">
        <w:rPr>
          <w:rFonts w:ascii="Calibri" w:eastAsia="Calibri" w:hAnsi="Calibri" w:cs="Calibri"/>
          <w:color w:val="222222"/>
          <w:sz w:val="18"/>
          <w:szCs w:val="18"/>
          <w:lang w:eastAsia="fr-FR"/>
        </w:rPr>
        <w:t>CRISTIÁN VÁSQUEZ ARIAS</w:t>
      </w:r>
    </w:p>
    <w:p w:rsidR="00CA76CB" w:rsidRPr="00CA76CB" w:rsidRDefault="00CA76CB" w:rsidP="00CA76CB">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CA76CB">
        <w:rPr>
          <w:rFonts w:ascii="Calibri" w:eastAsia="Calibri" w:hAnsi="Calibri" w:cs="Calibri"/>
          <w:bCs/>
          <w:color w:val="222222"/>
          <w:sz w:val="18"/>
          <w:szCs w:val="18"/>
          <w:lang w:val="es-ES_tradnl" w:eastAsia="fr-FR"/>
        </w:rPr>
        <w:t>A</w:t>
      </w:r>
      <w:proofErr w:type="spellStart"/>
      <w:r w:rsidRPr="00CA76CB">
        <w:rPr>
          <w:rFonts w:ascii="Calibri" w:eastAsia="Calibri" w:hAnsi="Calibri" w:cs="Calibri"/>
          <w:color w:val="222222"/>
          <w:sz w:val="18"/>
          <w:szCs w:val="18"/>
          <w:lang w:val="es-CO" w:eastAsia="fr-FR"/>
        </w:rPr>
        <w:t>ccionado</w:t>
      </w:r>
      <w:proofErr w:type="spellEnd"/>
      <w:r w:rsidRPr="00CA76CB">
        <w:rPr>
          <w:rFonts w:ascii="Calibri" w:eastAsia="Calibri" w:hAnsi="Calibri" w:cs="Calibri"/>
          <w:color w:val="222222"/>
          <w:sz w:val="18"/>
          <w:szCs w:val="18"/>
          <w:lang w:val="es-CO" w:eastAsia="fr-FR"/>
        </w:rPr>
        <w:t>:</w:t>
      </w:r>
      <w:r w:rsidRPr="00CA76CB">
        <w:rPr>
          <w:rFonts w:ascii="Calibri" w:eastAsia="Calibri" w:hAnsi="Calibri" w:cs="Calibri"/>
          <w:color w:val="222222"/>
          <w:sz w:val="18"/>
          <w:szCs w:val="18"/>
          <w:lang w:val="es-CO" w:eastAsia="fr-FR"/>
        </w:rPr>
        <w:tab/>
        <w:t xml:space="preserve">      </w:t>
      </w:r>
      <w:r w:rsidRPr="00CA76CB">
        <w:rPr>
          <w:rFonts w:ascii="Calibri" w:eastAsia="Calibri" w:hAnsi="Calibri" w:cs="Calibri"/>
          <w:color w:val="222222"/>
          <w:sz w:val="18"/>
          <w:szCs w:val="18"/>
          <w:lang w:val="es-CO" w:eastAsia="fr-FR"/>
        </w:rPr>
        <w:tab/>
      </w:r>
      <w:r w:rsidRPr="00CA76CB">
        <w:rPr>
          <w:rFonts w:ascii="Calibri" w:eastAsia="Calibri" w:hAnsi="Calibri" w:cs="Calibri"/>
          <w:color w:val="222222"/>
          <w:sz w:val="18"/>
          <w:szCs w:val="18"/>
          <w:lang w:val="es-CO" w:eastAsia="fr-FR"/>
        </w:rPr>
        <w:tab/>
      </w:r>
      <w:r w:rsidRPr="00CA76CB">
        <w:rPr>
          <w:rFonts w:ascii="Calibri" w:eastAsia="Calibri" w:hAnsi="Calibri" w:cs="Calibri"/>
          <w:color w:val="222222"/>
          <w:sz w:val="18"/>
          <w:szCs w:val="18"/>
          <w:lang w:eastAsia="fr-FR"/>
        </w:rPr>
        <w:t>JUZGADO TERCERO CIVIL DEL CIRCUITO DE PEREIRA</w:t>
      </w:r>
    </w:p>
    <w:p w:rsidR="00CA76CB" w:rsidRPr="00CA76CB" w:rsidRDefault="00CA76CB" w:rsidP="00CA76CB">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pacing w:val="-6"/>
          <w:sz w:val="18"/>
          <w:szCs w:val="18"/>
          <w:lang w:val="es-CO" w:eastAsia="fr-FR"/>
        </w:rPr>
      </w:pPr>
      <w:r w:rsidRPr="00CA76CB">
        <w:rPr>
          <w:rFonts w:ascii="Calibri" w:eastAsia="Calibri" w:hAnsi="Calibri" w:cs="Calibri"/>
          <w:color w:val="222222"/>
          <w:sz w:val="18"/>
          <w:szCs w:val="18"/>
          <w:lang w:val="es-CO" w:eastAsia="fr-FR"/>
        </w:rPr>
        <w:t>Proceso:    </w:t>
      </w:r>
      <w:r w:rsidRPr="00CA76CB">
        <w:rPr>
          <w:rFonts w:ascii="Calibri" w:eastAsia="Calibri" w:hAnsi="Calibri" w:cs="Calibri"/>
          <w:color w:val="222222"/>
          <w:sz w:val="18"/>
          <w:szCs w:val="18"/>
          <w:lang w:val="es-CO" w:eastAsia="fr-FR"/>
        </w:rPr>
        <w:tab/>
        <w:t>        </w:t>
      </w:r>
      <w:r w:rsidRPr="00CA76CB">
        <w:rPr>
          <w:rFonts w:ascii="Calibri" w:eastAsia="Calibri" w:hAnsi="Calibri" w:cs="Calibri"/>
          <w:color w:val="222222"/>
          <w:sz w:val="18"/>
          <w:szCs w:val="18"/>
          <w:lang w:val="es-CO" w:eastAsia="fr-FR"/>
        </w:rPr>
        <w:tab/>
      </w:r>
      <w:r w:rsidRPr="00CA76CB">
        <w:rPr>
          <w:rFonts w:ascii="Calibri" w:eastAsia="Calibri" w:hAnsi="Calibri" w:cs="Calibri"/>
          <w:color w:val="222222"/>
          <w:spacing w:val="-6"/>
          <w:sz w:val="18"/>
          <w:szCs w:val="18"/>
          <w:lang w:val="es-CO" w:eastAsia="fr-FR"/>
        </w:rPr>
        <w:t>Acción de Tutela – Declara improcedente la acción</w:t>
      </w:r>
    </w:p>
    <w:p w:rsidR="00CA76CB" w:rsidRPr="00CA76CB" w:rsidRDefault="00CA76CB" w:rsidP="00CA76CB">
      <w:pPr>
        <w:widowControl/>
        <w:shd w:val="clear" w:color="auto" w:fill="FFFFFF"/>
        <w:tabs>
          <w:tab w:val="left" w:pos="708"/>
          <w:tab w:val="left" w:pos="1416"/>
          <w:tab w:val="left" w:pos="2832"/>
          <w:tab w:val="left" w:pos="3540"/>
          <w:tab w:val="left" w:pos="4248"/>
          <w:tab w:val="left" w:pos="6249"/>
        </w:tabs>
        <w:autoSpaceDE/>
        <w:autoSpaceDN/>
        <w:adjustRightInd/>
        <w:ind w:left="1843" w:hanging="1843"/>
        <w:jc w:val="both"/>
        <w:rPr>
          <w:rFonts w:ascii="Calibri" w:eastAsia="Calibri" w:hAnsi="Calibri" w:cs="Calibri"/>
          <w:bCs/>
          <w:iCs/>
          <w:color w:val="222222"/>
          <w:sz w:val="18"/>
          <w:szCs w:val="18"/>
          <w:lang w:eastAsia="fr-FR"/>
        </w:rPr>
      </w:pPr>
      <w:r w:rsidRPr="00CA76CB">
        <w:rPr>
          <w:rFonts w:ascii="Calibri" w:eastAsia="Calibri" w:hAnsi="Calibri" w:cs="Calibri"/>
          <w:color w:val="222222"/>
          <w:sz w:val="18"/>
          <w:szCs w:val="18"/>
          <w:lang w:val="es-CO" w:eastAsia="fr-FR"/>
        </w:rPr>
        <w:t>Magistrado Ponente: </w:t>
      </w:r>
      <w:r w:rsidRPr="00CA76CB">
        <w:rPr>
          <w:rFonts w:ascii="Calibri" w:eastAsia="Calibri" w:hAnsi="Calibri" w:cs="Calibri"/>
          <w:color w:val="222222"/>
          <w:sz w:val="18"/>
          <w:szCs w:val="18"/>
          <w:lang w:val="es-CO" w:eastAsia="fr-FR"/>
        </w:rPr>
        <w:tab/>
      </w:r>
      <w:proofErr w:type="spellStart"/>
      <w:r w:rsidRPr="00CA76CB">
        <w:rPr>
          <w:rFonts w:ascii="Calibri" w:eastAsia="Calibri" w:hAnsi="Calibri" w:cs="Calibri"/>
          <w:bCs/>
          <w:color w:val="222222"/>
          <w:sz w:val="18"/>
          <w:szCs w:val="18"/>
          <w:lang w:eastAsia="fr-FR"/>
        </w:rPr>
        <w:t>DUBERNEY</w:t>
      </w:r>
      <w:proofErr w:type="spellEnd"/>
      <w:r w:rsidRPr="00CA76CB">
        <w:rPr>
          <w:rFonts w:ascii="Calibri" w:eastAsia="Calibri" w:hAnsi="Calibri" w:cs="Calibri"/>
          <w:bCs/>
          <w:color w:val="222222"/>
          <w:sz w:val="18"/>
          <w:szCs w:val="18"/>
          <w:lang w:eastAsia="fr-FR"/>
        </w:rPr>
        <w:t xml:space="preserve"> GRISALES HERRERA</w:t>
      </w:r>
    </w:p>
    <w:p w:rsidR="00CA76CB" w:rsidRPr="00CA76CB" w:rsidRDefault="00CA76CB" w:rsidP="00CA76CB">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iCs/>
          <w:color w:val="222222"/>
          <w:sz w:val="18"/>
          <w:szCs w:val="18"/>
          <w:lang w:val="es-CO" w:eastAsia="fr-FR"/>
        </w:rPr>
      </w:pPr>
    </w:p>
    <w:p w:rsidR="00CA76CB" w:rsidRPr="00CA76CB" w:rsidRDefault="00CA76CB" w:rsidP="00CA76CB">
      <w:pPr>
        <w:widowControl/>
        <w:tabs>
          <w:tab w:val="left" w:pos="1843"/>
        </w:tabs>
        <w:autoSpaceDE/>
        <w:autoSpaceDN/>
        <w:adjustRightInd/>
        <w:spacing w:after="200"/>
        <w:jc w:val="both"/>
        <w:rPr>
          <w:rFonts w:ascii="Calibri" w:eastAsia="Calibri" w:hAnsi="Calibri" w:cs="Calibri"/>
          <w:bCs/>
          <w:iCs/>
          <w:color w:val="222222"/>
          <w:sz w:val="18"/>
          <w:szCs w:val="18"/>
          <w:lang w:eastAsia="fr-FR"/>
        </w:rPr>
      </w:pPr>
      <w:r w:rsidRPr="00CA76CB">
        <w:rPr>
          <w:rFonts w:ascii="Calibri" w:eastAsia="Calibri" w:hAnsi="Calibri" w:cs="Calibri"/>
          <w:b/>
          <w:bCs/>
          <w:iCs/>
          <w:color w:val="222222"/>
          <w:sz w:val="18"/>
          <w:szCs w:val="18"/>
          <w:lang w:eastAsia="fr-FR"/>
        </w:rPr>
        <w:t xml:space="preserve">Temas:   </w:t>
      </w:r>
      <w:r w:rsidRPr="00CA76CB">
        <w:rPr>
          <w:rFonts w:ascii="Calibri" w:eastAsia="Calibri" w:hAnsi="Calibri" w:cs="Calibri"/>
          <w:b/>
          <w:bCs/>
          <w:iCs/>
          <w:color w:val="222222"/>
          <w:sz w:val="18"/>
          <w:szCs w:val="18"/>
          <w:lang w:eastAsia="fr-FR"/>
        </w:rPr>
        <w:tab/>
      </w:r>
      <w:r w:rsidRPr="00CA76CB">
        <w:rPr>
          <w:rFonts w:ascii="Calibri" w:eastAsia="Calibri" w:hAnsi="Calibri" w:cs="Calibri"/>
          <w:b/>
          <w:bCs/>
          <w:iCs/>
          <w:color w:val="222222"/>
          <w:sz w:val="18"/>
          <w:szCs w:val="18"/>
          <w:lang w:val="es-CO" w:eastAsia="fr-FR"/>
        </w:rPr>
        <w:t xml:space="preserve"> </w:t>
      </w:r>
      <w:r w:rsidRPr="00CA76CB">
        <w:rPr>
          <w:rFonts w:ascii="Calibri" w:eastAsia="Calibri" w:hAnsi="Calibri" w:cs="Calibri"/>
          <w:b/>
          <w:bCs/>
          <w:iCs/>
          <w:color w:val="222222"/>
          <w:sz w:val="18"/>
          <w:szCs w:val="18"/>
          <w:lang w:eastAsia="fr-FR"/>
        </w:rPr>
        <w:t>D</w:t>
      </w:r>
      <w:proofErr w:type="spellStart"/>
      <w:r w:rsidRPr="00CA76CB">
        <w:rPr>
          <w:rFonts w:ascii="Calibri" w:eastAsia="Calibri" w:hAnsi="Calibri" w:cs="Calibri"/>
          <w:b/>
          <w:bCs/>
          <w:iCs/>
          <w:color w:val="222222"/>
          <w:sz w:val="18"/>
          <w:szCs w:val="18"/>
          <w:lang w:val="es-CO" w:eastAsia="fr-FR"/>
        </w:rPr>
        <w:t>EBIDO</w:t>
      </w:r>
      <w:proofErr w:type="spellEnd"/>
      <w:r w:rsidRPr="00CA76CB">
        <w:rPr>
          <w:rFonts w:ascii="Calibri" w:eastAsia="Calibri" w:hAnsi="Calibri" w:cs="Calibri"/>
          <w:b/>
          <w:bCs/>
          <w:iCs/>
          <w:color w:val="222222"/>
          <w:sz w:val="18"/>
          <w:szCs w:val="18"/>
          <w:lang w:val="es-CO" w:eastAsia="fr-FR"/>
        </w:rPr>
        <w:t xml:space="preserve"> PROCESO / TUTELA CONTRA PROVIDENCIA JUDICIAL / RECHAZO DE ACCIÓN POPULAR / CARÁCTER RESIDUAL DE LA ACCIÓN DE TUTELA / IMPROCEDENCIA. </w:t>
      </w:r>
      <w:r w:rsidRPr="00CA76CB">
        <w:rPr>
          <w:rFonts w:ascii="Calibri" w:eastAsia="Calibri" w:hAnsi="Calibri" w:cs="Calibri"/>
          <w:bCs/>
          <w:iCs/>
          <w:color w:val="222222"/>
          <w:sz w:val="18"/>
          <w:szCs w:val="18"/>
          <w:lang w:val="es-ES_tradnl" w:eastAsia="fr-FR"/>
        </w:rPr>
        <w:t xml:space="preserve">“Conforme al acervo probatorio el despacho judicial accionado mediante proveído dictado el día 28-11-2016 rechazó la acción popular </w:t>
      </w:r>
      <w:proofErr w:type="spellStart"/>
      <w:r w:rsidRPr="00CA76CB">
        <w:rPr>
          <w:rFonts w:ascii="Calibri" w:eastAsia="Calibri" w:hAnsi="Calibri" w:cs="Calibri"/>
          <w:bCs/>
          <w:iCs/>
          <w:color w:val="222222"/>
          <w:sz w:val="18"/>
          <w:szCs w:val="18"/>
          <w:lang w:val="es-ES_tradnl" w:eastAsia="fr-FR"/>
        </w:rPr>
        <w:t>No.2016</w:t>
      </w:r>
      <w:proofErr w:type="spellEnd"/>
      <w:r w:rsidRPr="00CA76CB">
        <w:rPr>
          <w:rFonts w:ascii="Calibri" w:eastAsia="Calibri" w:hAnsi="Calibri" w:cs="Calibri"/>
          <w:bCs/>
          <w:iCs/>
          <w:color w:val="222222"/>
          <w:sz w:val="18"/>
          <w:szCs w:val="18"/>
          <w:lang w:val="es-ES_tradnl" w:eastAsia="fr-FR"/>
        </w:rPr>
        <w:t xml:space="preserve">-00556-00 por carecer de competencia y ordenó su envío a los Juzgados Civiles del Circuito (Reparto) de Bogotá (Folio 12- </w:t>
      </w:r>
      <w:proofErr w:type="spellStart"/>
      <w:r w:rsidRPr="00CA76CB">
        <w:rPr>
          <w:rFonts w:ascii="Calibri" w:eastAsia="Calibri" w:hAnsi="Calibri" w:cs="Calibri"/>
          <w:bCs/>
          <w:iCs/>
          <w:color w:val="222222"/>
          <w:sz w:val="18"/>
          <w:szCs w:val="18"/>
          <w:lang w:val="es-ES_tradnl" w:eastAsia="fr-FR"/>
        </w:rPr>
        <w:t>vto</w:t>
      </w:r>
      <w:proofErr w:type="spellEnd"/>
      <w:r w:rsidRPr="00CA76CB">
        <w:rPr>
          <w:rFonts w:ascii="Calibri" w:eastAsia="Calibri" w:hAnsi="Calibri" w:cs="Calibri"/>
          <w:bCs/>
          <w:iCs/>
          <w:color w:val="222222"/>
          <w:sz w:val="18"/>
          <w:szCs w:val="18"/>
          <w:lang w:val="es-ES_tradnl" w:eastAsia="fr-FR"/>
        </w:rPr>
        <w:t xml:space="preserve">, ib.), sin ser recurrido y el expediente fue remitido el 07-12-2016 (Folio 12, ib.). </w:t>
      </w:r>
      <w:r w:rsidRPr="00CA76CB">
        <w:rPr>
          <w:rFonts w:ascii="Calibri" w:eastAsia="Calibri" w:hAnsi="Calibri" w:cs="Calibri"/>
          <w:bCs/>
          <w:iCs/>
          <w:color w:val="222222"/>
          <w:sz w:val="18"/>
          <w:szCs w:val="18"/>
          <w:lang w:eastAsia="fr-FR"/>
        </w:rPr>
        <w:t xml:space="preserve">Sin que sea necesario ahondar en el asunto, hay que decir que a estas alturas de las diligencias del amparo se torna prematuro porque se desconoce si el juzgado al cual se reparta la </w:t>
      </w:r>
      <w:r w:rsidRPr="00CA76CB">
        <w:rPr>
          <w:rFonts w:ascii="Calibri" w:eastAsia="Calibri" w:hAnsi="Calibri" w:cs="Calibri"/>
          <w:bCs/>
          <w:iCs/>
          <w:color w:val="222222"/>
          <w:sz w:val="18"/>
          <w:szCs w:val="18"/>
          <w:lang w:val="es-ES_tradnl" w:eastAsia="fr-FR"/>
        </w:rPr>
        <w:t>acción popular</w:t>
      </w:r>
      <w:r w:rsidRPr="00CA76CB">
        <w:rPr>
          <w:rFonts w:ascii="Calibri" w:eastAsia="Calibri" w:hAnsi="Calibri" w:cs="Calibri"/>
          <w:bCs/>
          <w:iCs/>
          <w:color w:val="222222"/>
          <w:sz w:val="18"/>
          <w:szCs w:val="18"/>
          <w:lang w:eastAsia="fr-FR"/>
        </w:rPr>
        <w:t xml:space="preserve">, asumirá su conocimiento o provocará el conflicto negativo de competencia, lo que revelará al actor el competente para tramitarla, además, frente a esa decisión surgirá la oportunidad </w:t>
      </w:r>
      <w:r w:rsidRPr="00CA76CB">
        <w:rPr>
          <w:rFonts w:ascii="Calibri" w:eastAsia="Calibri" w:hAnsi="Calibri" w:cs="Calibri"/>
          <w:bCs/>
          <w:iCs/>
          <w:color w:val="222222"/>
          <w:sz w:val="18"/>
          <w:szCs w:val="18"/>
          <w:lang w:val="es-CO" w:eastAsia="fr-FR"/>
        </w:rPr>
        <w:t xml:space="preserve">de </w:t>
      </w:r>
      <w:r w:rsidRPr="00CA76CB">
        <w:rPr>
          <w:rFonts w:ascii="Calibri" w:eastAsia="Calibri" w:hAnsi="Calibri" w:cs="Calibri"/>
          <w:bCs/>
          <w:iCs/>
          <w:color w:val="222222"/>
          <w:sz w:val="18"/>
          <w:szCs w:val="18"/>
          <w:lang w:eastAsia="fr-FR"/>
        </w:rPr>
        <w:t>recurrir, por manera que es improcedente el amparo constitucional en razón a que el trámite en el que se alega la vulneración aún se encuentran en curso</w:t>
      </w:r>
      <w:r w:rsidRPr="00CA76CB">
        <w:rPr>
          <w:rFonts w:ascii="Calibri" w:eastAsia="Calibri" w:hAnsi="Calibri" w:cs="Calibri"/>
          <w:bCs/>
          <w:iCs/>
          <w:color w:val="222222"/>
          <w:sz w:val="18"/>
          <w:szCs w:val="18"/>
          <w:lang w:val="es-CO" w:eastAsia="fr-FR"/>
        </w:rPr>
        <w:t>.</w:t>
      </w:r>
      <w:r w:rsidRPr="00CA76CB">
        <w:rPr>
          <w:rFonts w:ascii="Calibri" w:eastAsia="Calibri" w:hAnsi="Calibri" w:cs="Calibri"/>
          <w:bCs/>
          <w:iCs/>
          <w:color w:val="222222"/>
          <w:sz w:val="18"/>
          <w:szCs w:val="18"/>
          <w:lang w:eastAsia="fr-FR"/>
        </w:rPr>
        <w:t xml:space="preserve"> Así lo ha dispuesto la jurisprudencia de la Corte Constitucional, criterio también expuesto por la CSJ. </w:t>
      </w:r>
      <w:r w:rsidRPr="00CA76CB">
        <w:rPr>
          <w:rFonts w:ascii="Calibri" w:eastAsia="Calibri" w:hAnsi="Calibri" w:cs="Calibri"/>
          <w:bCs/>
          <w:iCs/>
          <w:color w:val="222222"/>
          <w:sz w:val="18"/>
          <w:szCs w:val="18"/>
          <w:lang w:val="es-ES_tradnl" w:eastAsia="fr-FR"/>
        </w:rPr>
        <w:t xml:space="preserve">Evidente, entonces, es la falta de agotamiento del supuesto de subsidiariedad, como ha explicado </w:t>
      </w:r>
      <w:r w:rsidRPr="00CA76CB">
        <w:rPr>
          <w:rFonts w:ascii="Calibri" w:eastAsia="Calibri" w:hAnsi="Calibri" w:cs="Calibri"/>
          <w:bCs/>
          <w:iCs/>
          <w:color w:val="222222"/>
          <w:sz w:val="18"/>
          <w:szCs w:val="18"/>
          <w:lang w:eastAsia="fr-FR"/>
        </w:rPr>
        <w:t xml:space="preserve">la Corte Constitucional, que reiteradamente ha referido que la acción de tutela no puede implementarse como mecanismo alternativo o paralelo para resolver problemas jurídicos que deben ser resueltos dentro del trámite ordinario. (…)  </w:t>
      </w:r>
      <w:r w:rsidRPr="00CA76CB">
        <w:rPr>
          <w:rFonts w:ascii="Calibri" w:eastAsia="Calibri" w:hAnsi="Calibri" w:cs="Calibri"/>
          <w:bCs/>
          <w:iCs/>
          <w:color w:val="222222"/>
          <w:sz w:val="18"/>
          <w:szCs w:val="18"/>
          <w:lang w:val="es-ES_tradnl" w:eastAsia="fr-FR"/>
        </w:rPr>
        <w:t xml:space="preserve">En ese contexto, </w:t>
      </w:r>
      <w:r w:rsidRPr="00CA76CB">
        <w:rPr>
          <w:rFonts w:ascii="Calibri" w:eastAsia="Calibri" w:hAnsi="Calibri" w:cs="Calibri"/>
          <w:bCs/>
          <w:iCs/>
          <w:color w:val="222222"/>
          <w:sz w:val="18"/>
          <w:szCs w:val="18"/>
          <w:lang w:eastAsia="fr-FR"/>
        </w:rPr>
        <w:t xml:space="preserve">las presentes acciones de tutela son improcedentes toda vez que se incumple con uno de los siete (7) requisitos generales de procedibilidad, como lo es el de la subsidiariedad, </w:t>
      </w:r>
      <w:r w:rsidRPr="00CA76CB">
        <w:rPr>
          <w:rFonts w:ascii="Calibri" w:eastAsia="Calibri" w:hAnsi="Calibri" w:cs="Calibri"/>
          <w:bCs/>
          <w:iCs/>
          <w:color w:val="222222"/>
          <w:sz w:val="18"/>
          <w:szCs w:val="18"/>
          <w:u w:val="single"/>
          <w:lang w:eastAsia="fr-FR"/>
        </w:rPr>
        <w:t xml:space="preserve">pues aún se encuentra en trámite la </w:t>
      </w:r>
      <w:r w:rsidRPr="00CA76CB">
        <w:rPr>
          <w:rFonts w:ascii="Calibri" w:eastAsia="Calibri" w:hAnsi="Calibri" w:cs="Calibri"/>
          <w:bCs/>
          <w:iCs/>
          <w:color w:val="222222"/>
          <w:sz w:val="18"/>
          <w:szCs w:val="18"/>
          <w:u w:val="single"/>
          <w:lang w:val="es-ES_tradnl" w:eastAsia="fr-FR"/>
        </w:rPr>
        <w:t>acción popular</w:t>
      </w:r>
      <w:r w:rsidRPr="00CA76CB">
        <w:rPr>
          <w:rFonts w:ascii="Calibri" w:eastAsia="Calibri" w:hAnsi="Calibri" w:cs="Calibri"/>
          <w:bCs/>
          <w:iCs/>
          <w:color w:val="222222"/>
          <w:sz w:val="18"/>
          <w:szCs w:val="18"/>
          <w:lang w:eastAsia="fr-FR"/>
        </w:rPr>
        <w:t>.”.</w:t>
      </w:r>
    </w:p>
    <w:p w:rsidR="00CA76CB" w:rsidRDefault="00CA76CB"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CA76CB">
      <w:pPr>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763093">
        <w:rPr>
          <w:rFonts w:ascii="Arial" w:hAnsi="Arial" w:cs="Arial"/>
          <w:sz w:val="22"/>
        </w:rPr>
        <w:t>Cristián Vásquez Arias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3843DB">
        <w:rPr>
          <w:rFonts w:ascii="Arial" w:hAnsi="Arial" w:cs="Arial"/>
          <w:sz w:val="22"/>
        </w:rPr>
        <w:t xml:space="preserve">Juzgado </w:t>
      </w:r>
      <w:r w:rsidR="007A3DC1">
        <w:rPr>
          <w:rFonts w:ascii="Arial" w:hAnsi="Arial" w:cs="Arial"/>
          <w:sz w:val="22"/>
        </w:rPr>
        <w:t>Tercero</w:t>
      </w:r>
      <w:r w:rsidR="00763093">
        <w:rPr>
          <w:rFonts w:ascii="Arial" w:hAnsi="Arial" w:cs="Arial"/>
          <w:sz w:val="22"/>
        </w:rPr>
        <w:t xml:space="preserve"> </w:t>
      </w:r>
      <w:r w:rsidR="003843DB">
        <w:rPr>
          <w:rFonts w:ascii="Arial" w:hAnsi="Arial" w:cs="Arial"/>
          <w:sz w:val="22"/>
        </w:rPr>
        <w:t xml:space="preserve">Civil del Circuito de </w:t>
      </w:r>
      <w:r w:rsidR="00763093">
        <w:rPr>
          <w:rFonts w:ascii="Arial" w:hAnsi="Arial" w:cs="Arial"/>
          <w:sz w:val="22"/>
        </w:rPr>
        <w:t>Pereira</w:t>
      </w:r>
    </w:p>
    <w:p w:rsidR="00A00766" w:rsidRPr="0037396E"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4E77AB">
        <w:rPr>
          <w:rFonts w:ascii="Arial" w:hAnsi="Arial" w:cs="Arial"/>
          <w:sz w:val="22"/>
          <w:szCs w:val="22"/>
        </w:rPr>
        <w:t xml:space="preserve">Defensoría del Pueblo – Regional </w:t>
      </w:r>
      <w:r w:rsidR="00053FD9">
        <w:rPr>
          <w:rFonts w:ascii="Arial" w:hAnsi="Arial" w:cs="Arial"/>
          <w:sz w:val="22"/>
          <w:szCs w:val="22"/>
        </w:rPr>
        <w:t>de Bogotá DC</w:t>
      </w:r>
      <w:r w:rsidR="004E77AB">
        <w:rPr>
          <w:rFonts w:ascii="Arial" w:hAnsi="Arial" w:cs="Arial"/>
          <w:sz w:val="22"/>
          <w:szCs w:val="22"/>
        </w:rPr>
        <w:t xml:space="preserve"> y otros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BF5544">
        <w:rPr>
          <w:rFonts w:ascii="Arial" w:hAnsi="Arial" w:cs="Arial"/>
          <w:sz w:val="22"/>
        </w:rPr>
        <w:t>2016-</w:t>
      </w:r>
      <w:r w:rsidR="002750C9">
        <w:rPr>
          <w:rFonts w:ascii="Arial" w:hAnsi="Arial" w:cs="Arial"/>
          <w:sz w:val="22"/>
        </w:rPr>
        <w:t>012</w:t>
      </w:r>
      <w:r w:rsidR="001A0AAA">
        <w:rPr>
          <w:rFonts w:ascii="Arial" w:hAnsi="Arial" w:cs="Arial"/>
          <w:sz w:val="22"/>
        </w:rPr>
        <w:t>16</w:t>
      </w:r>
      <w:r w:rsidR="002750C9">
        <w:rPr>
          <w:rFonts w:ascii="Arial" w:hAnsi="Arial" w:cs="Arial"/>
          <w:sz w:val="22"/>
        </w:rPr>
        <w:t>-00</w:t>
      </w:r>
    </w:p>
    <w:p w:rsidR="008F34B8" w:rsidRPr="00262406" w:rsidRDefault="00970930" w:rsidP="008E5334">
      <w:pPr>
        <w:pStyle w:val="Corpsdetexte"/>
        <w:spacing w:line="360" w:lineRule="auto"/>
        <w:rPr>
          <w:rFonts w:ascii="Arial" w:hAnsi="Arial" w:cs="Arial"/>
          <w:sz w:val="22"/>
          <w:szCs w:val="22"/>
          <w:lang w:val="es-CO"/>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sidRPr="00CA3B2B">
        <w:rPr>
          <w:rFonts w:ascii="Arial" w:hAnsi="Arial" w:cs="Arial"/>
          <w:sz w:val="22"/>
          <w:szCs w:val="22"/>
        </w:rPr>
        <w:t xml:space="preserve">Procedencia </w:t>
      </w:r>
      <w:r w:rsidR="00CA3B2B" w:rsidRPr="00CA3B2B">
        <w:rPr>
          <w:rFonts w:ascii="Arial" w:hAnsi="Arial" w:cs="Arial"/>
          <w:sz w:val="22"/>
          <w:szCs w:val="22"/>
        </w:rPr>
        <w:t>–</w:t>
      </w:r>
      <w:r w:rsidR="004B019A" w:rsidRPr="00CA3B2B">
        <w:rPr>
          <w:rFonts w:ascii="Arial" w:hAnsi="Arial" w:cs="Arial"/>
          <w:sz w:val="22"/>
          <w:szCs w:val="22"/>
        </w:rPr>
        <w:t xml:space="preserve"> </w:t>
      </w:r>
      <w:r w:rsidR="00262406">
        <w:rPr>
          <w:rFonts w:ascii="Arial" w:hAnsi="Arial" w:cs="Arial"/>
          <w:sz w:val="22"/>
          <w:szCs w:val="22"/>
        </w:rPr>
        <w:t>Subsidiariedad</w:t>
      </w:r>
      <w:r w:rsidR="003369F2">
        <w:rPr>
          <w:rFonts w:ascii="Arial" w:hAnsi="Arial" w:cs="Arial"/>
          <w:sz w:val="22"/>
          <w:szCs w:val="22"/>
        </w:rPr>
        <w:t xml:space="preserve"> </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102D82" w:rsidRPr="002060F5" w:rsidRDefault="007E004A" w:rsidP="00102D82">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3369F2">
        <w:rPr>
          <w:rFonts w:ascii="Arial" w:hAnsi="Arial"/>
          <w:sz w:val="22"/>
          <w:szCs w:val="22"/>
        </w:rPr>
        <w:t>17 de 18-01-2016</w:t>
      </w:r>
    </w:p>
    <w:p w:rsidR="00102D82" w:rsidRPr="00CA76CB" w:rsidRDefault="00102D82" w:rsidP="00102D82">
      <w:pPr>
        <w:pBdr>
          <w:bottom w:val="double" w:sz="6" w:space="1" w:color="auto"/>
        </w:pBdr>
        <w:spacing w:line="360" w:lineRule="auto"/>
        <w:jc w:val="center"/>
        <w:rPr>
          <w:rFonts w:ascii="Arial" w:hAnsi="Arial" w:cs="Arial"/>
          <w:b/>
          <w:bCs/>
          <w:sz w:val="6"/>
          <w:szCs w:val="6"/>
        </w:rPr>
      </w:pPr>
    </w:p>
    <w:p w:rsidR="00102D82" w:rsidRPr="00CA76CB" w:rsidRDefault="00102D82" w:rsidP="00102D82">
      <w:pPr>
        <w:spacing w:line="360" w:lineRule="auto"/>
        <w:jc w:val="center"/>
        <w:rPr>
          <w:rFonts w:ascii="Arial" w:hAnsi="Arial" w:cs="Arial"/>
          <w:b/>
          <w:bCs/>
          <w:sz w:val="6"/>
          <w:szCs w:val="6"/>
        </w:rPr>
      </w:pPr>
    </w:p>
    <w:p w:rsidR="00102D82" w:rsidRPr="00BC082A" w:rsidRDefault="00102D82" w:rsidP="00102D82">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3369F2">
        <w:rPr>
          <w:rFonts w:ascii="Arial" w:hAnsi="Arial" w:cs="Arial"/>
          <w:iCs/>
          <w:smallCaps/>
          <w:sz w:val="28"/>
          <w:szCs w:val="28"/>
          <w:lang w:val="es-CO"/>
        </w:rPr>
        <w:t>dieciocho (18</w:t>
      </w:r>
      <w:r w:rsidRPr="00BC082A">
        <w:rPr>
          <w:rFonts w:ascii="Arial" w:hAnsi="Arial" w:cs="Arial"/>
          <w:iCs/>
          <w:smallCaps/>
          <w:sz w:val="28"/>
          <w:szCs w:val="28"/>
          <w:lang w:val="es-CO"/>
        </w:rPr>
        <w:t xml:space="preserve">) de </w:t>
      </w:r>
      <w:r w:rsidR="00D11A17">
        <w:rPr>
          <w:rFonts w:ascii="Arial" w:hAnsi="Arial" w:cs="Arial"/>
          <w:iCs/>
          <w:smallCaps/>
          <w:sz w:val="28"/>
          <w:szCs w:val="28"/>
          <w:lang w:val="es-CO"/>
        </w:rPr>
        <w:t xml:space="preserve">enero </w:t>
      </w:r>
      <w:r w:rsidRPr="00BC082A">
        <w:rPr>
          <w:rFonts w:ascii="Arial" w:hAnsi="Arial" w:cs="Arial"/>
          <w:iCs/>
          <w:smallCaps/>
          <w:sz w:val="28"/>
          <w:szCs w:val="28"/>
          <w:lang w:val="es-CO"/>
        </w:rPr>
        <w:t xml:space="preserve">de dos mil </w:t>
      </w:r>
      <w:r w:rsidR="002E7D18">
        <w:rPr>
          <w:rFonts w:ascii="Arial" w:hAnsi="Arial" w:cs="Arial"/>
          <w:iCs/>
          <w:smallCaps/>
          <w:sz w:val="28"/>
          <w:szCs w:val="28"/>
          <w:lang w:val="es-CO"/>
        </w:rPr>
        <w:t xml:space="preserve">diecisiete </w:t>
      </w:r>
      <w:r w:rsidRPr="00BC082A">
        <w:rPr>
          <w:rFonts w:ascii="Arial" w:hAnsi="Arial" w:cs="Arial"/>
          <w:iCs/>
          <w:smallCaps/>
          <w:sz w:val="28"/>
          <w:szCs w:val="28"/>
          <w:lang w:val="es-CO"/>
        </w:rPr>
        <w:t>(</w:t>
      </w:r>
      <w:r w:rsidR="002E7D18">
        <w:rPr>
          <w:rFonts w:ascii="Arial" w:hAnsi="Arial" w:cs="Arial"/>
          <w:iCs/>
          <w:smallCaps/>
          <w:sz w:val="28"/>
          <w:szCs w:val="28"/>
          <w:lang w:val="es-CO"/>
        </w:rPr>
        <w:t>2017</w:t>
      </w:r>
      <w:r w:rsidRPr="00BC082A">
        <w:rPr>
          <w:rFonts w:ascii="Arial" w:hAnsi="Arial" w:cs="Arial"/>
          <w:iCs/>
          <w:smallCaps/>
          <w:sz w:val="28"/>
          <w:szCs w:val="28"/>
          <w:lang w:val="es-CO"/>
        </w:rPr>
        <w:t>)</w:t>
      </w:r>
      <w:r w:rsidRPr="00BC082A">
        <w:rPr>
          <w:rFonts w:ascii="Arial" w:hAnsi="Arial" w:cs="Arial"/>
          <w:iCs/>
          <w:sz w:val="28"/>
          <w:szCs w:val="28"/>
          <w:lang w:val="es-CO"/>
        </w:rPr>
        <w:t>.</w:t>
      </w:r>
    </w:p>
    <w:p w:rsidR="0023398A" w:rsidRPr="004E77AB" w:rsidRDefault="0023398A" w:rsidP="00102D82">
      <w:pPr>
        <w:spacing w:line="360" w:lineRule="auto"/>
        <w:ind w:left="708" w:firstLine="708"/>
        <w:rPr>
          <w:rFonts w:ascii="Arial" w:hAnsi="Arial" w:cs="Arial"/>
          <w:b/>
          <w:bCs/>
          <w:sz w:val="22"/>
          <w:lang w:val="es-CO"/>
        </w:rPr>
      </w:pPr>
    </w:p>
    <w:p w:rsidR="0099045D" w:rsidRPr="000F0BE0" w:rsidRDefault="0099045D" w:rsidP="0099045D">
      <w:pPr>
        <w:pStyle w:val="Corpsdetexte"/>
        <w:numPr>
          <w:ilvl w:val="0"/>
          <w:numId w:val="1"/>
        </w:numPr>
        <w:spacing w:line="360" w:lineRule="auto"/>
        <w:rPr>
          <w:rFonts w:ascii="Arial" w:hAnsi="Arial"/>
          <w:smallCaps/>
          <w:sz w:val="28"/>
          <w:szCs w:val="28"/>
        </w:rPr>
      </w:pPr>
      <w:r w:rsidRPr="000F0BE0">
        <w:rPr>
          <w:rFonts w:ascii="Arial" w:hAnsi="Arial"/>
          <w:smallCaps/>
          <w:sz w:val="28"/>
          <w:szCs w:val="28"/>
        </w:rPr>
        <w:t>E</w:t>
      </w:r>
      <w:r w:rsidR="000F0BE0" w:rsidRPr="000F0BE0">
        <w:rPr>
          <w:rFonts w:ascii="Arial" w:hAnsi="Arial"/>
          <w:smallCaps/>
          <w:sz w:val="28"/>
          <w:szCs w:val="28"/>
        </w:rPr>
        <w:t>l asunto por decidir</w:t>
      </w:r>
    </w:p>
    <w:p w:rsidR="00134F0A" w:rsidRPr="00CA76CB" w:rsidRDefault="00134F0A" w:rsidP="007949D4">
      <w:pPr>
        <w:pStyle w:val="Corpsdetexte"/>
        <w:spacing w:line="360" w:lineRule="auto"/>
        <w:rPr>
          <w:rFonts w:ascii="Arial" w:hAnsi="Arial"/>
          <w:sz w:val="16"/>
          <w:szCs w:val="16"/>
        </w:rPr>
      </w:pPr>
    </w:p>
    <w:p w:rsidR="002750C9" w:rsidRPr="00F9418E" w:rsidRDefault="002750C9" w:rsidP="002750C9">
      <w:pPr>
        <w:pStyle w:val="Corpsdetexte"/>
        <w:spacing w:line="360" w:lineRule="auto"/>
        <w:rPr>
          <w:rFonts w:ascii="Arial" w:hAnsi="Arial"/>
          <w:szCs w:val="24"/>
        </w:rPr>
      </w:pPr>
      <w:r w:rsidRPr="00F9418E">
        <w:rPr>
          <w:rFonts w:ascii="Arial" w:hAnsi="Arial"/>
          <w:szCs w:val="24"/>
        </w:rPr>
        <w:t xml:space="preserve">Se </w:t>
      </w:r>
      <w:r w:rsidR="000C4204">
        <w:rPr>
          <w:rFonts w:ascii="Arial" w:hAnsi="Arial"/>
          <w:szCs w:val="24"/>
        </w:rPr>
        <w:t xml:space="preserve">resuelve </w:t>
      </w:r>
      <w:r w:rsidRPr="00F9418E">
        <w:rPr>
          <w:rFonts w:ascii="Arial" w:hAnsi="Arial"/>
          <w:szCs w:val="24"/>
        </w:rPr>
        <w:t xml:space="preserve">la acción constitucional referenciada, </w:t>
      </w:r>
      <w:r w:rsidR="000C4204">
        <w:rPr>
          <w:rFonts w:ascii="Arial" w:hAnsi="Arial"/>
          <w:szCs w:val="24"/>
        </w:rPr>
        <w:t xml:space="preserve">surtida </w:t>
      </w:r>
      <w:r w:rsidRPr="00F9418E">
        <w:rPr>
          <w:rFonts w:ascii="Arial" w:hAnsi="Arial"/>
          <w:szCs w:val="24"/>
        </w:rPr>
        <w:t>la actuación respectiva con el</w:t>
      </w:r>
      <w:r>
        <w:rPr>
          <w:rFonts w:ascii="Arial" w:hAnsi="Arial"/>
          <w:szCs w:val="24"/>
        </w:rPr>
        <w:t xml:space="preserve"> </w:t>
      </w:r>
      <w:r w:rsidRPr="00F9418E">
        <w:rPr>
          <w:rFonts w:ascii="Arial" w:hAnsi="Arial"/>
          <w:szCs w:val="24"/>
        </w:rPr>
        <w:t>trámite preferente y sumario, sin que se aprecien causales de nulidad que la invaliden.</w:t>
      </w:r>
    </w:p>
    <w:p w:rsidR="009C568C" w:rsidRPr="004E77AB" w:rsidRDefault="009C568C" w:rsidP="0099045D">
      <w:pPr>
        <w:pStyle w:val="Corpsdetexte"/>
        <w:spacing w:line="360" w:lineRule="auto"/>
        <w:rPr>
          <w:rFonts w:ascii="Arial" w:hAnsi="Arial"/>
          <w:szCs w:val="24"/>
        </w:rPr>
      </w:pPr>
    </w:p>
    <w:p w:rsidR="0099045D" w:rsidRPr="000F0BE0" w:rsidRDefault="000F0BE0"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F0BE0">
        <w:rPr>
          <w:rFonts w:ascii="Arial" w:hAnsi="Arial"/>
          <w:smallCaps/>
          <w:sz w:val="28"/>
          <w:szCs w:val="28"/>
        </w:rPr>
        <w:t>a síntesis de los supuestos fácticos relevantes</w:t>
      </w:r>
    </w:p>
    <w:p w:rsidR="0099045D" w:rsidRPr="00CA76CB" w:rsidRDefault="0099045D" w:rsidP="0099045D">
      <w:pPr>
        <w:pStyle w:val="Corpsdetexte"/>
        <w:spacing w:line="360" w:lineRule="auto"/>
        <w:rPr>
          <w:rFonts w:ascii="Arial" w:hAnsi="Arial" w:cs="Arial"/>
          <w:sz w:val="16"/>
          <w:szCs w:val="16"/>
        </w:rPr>
      </w:pPr>
    </w:p>
    <w:p w:rsidR="004E77AB" w:rsidRDefault="000C4204" w:rsidP="004E77AB">
      <w:pPr>
        <w:spacing w:line="360" w:lineRule="auto"/>
        <w:jc w:val="both"/>
        <w:rPr>
          <w:rFonts w:ascii="Arial" w:hAnsi="Arial" w:cs="Arial"/>
        </w:rPr>
      </w:pPr>
      <w:r>
        <w:rPr>
          <w:rFonts w:ascii="Arial" w:hAnsi="Arial" w:cs="Arial"/>
          <w:color w:val="000000"/>
        </w:rPr>
        <w:t xml:space="preserve">Mencionó </w:t>
      </w:r>
      <w:r w:rsidR="001216C1">
        <w:rPr>
          <w:rFonts w:ascii="Arial" w:hAnsi="Arial" w:cs="Arial"/>
        </w:rPr>
        <w:t xml:space="preserve">el actor que presentó ante el </w:t>
      </w:r>
      <w:r w:rsidR="00D11A17">
        <w:rPr>
          <w:rFonts w:ascii="Arial" w:hAnsi="Arial" w:cs="Arial"/>
        </w:rPr>
        <w:t xml:space="preserve">accionado </w:t>
      </w:r>
      <w:r w:rsidR="001216C1">
        <w:rPr>
          <w:rFonts w:ascii="Arial" w:hAnsi="Arial" w:cs="Arial"/>
        </w:rPr>
        <w:t>la acci</w:t>
      </w:r>
      <w:r w:rsidR="002750C9">
        <w:rPr>
          <w:rFonts w:ascii="Arial" w:hAnsi="Arial" w:cs="Arial"/>
        </w:rPr>
        <w:t xml:space="preserve">ón </w:t>
      </w:r>
      <w:r w:rsidR="001216C1">
        <w:rPr>
          <w:rFonts w:ascii="Arial" w:hAnsi="Arial" w:cs="Arial"/>
        </w:rPr>
        <w:t>popular</w:t>
      </w:r>
      <w:r w:rsidR="002750C9">
        <w:rPr>
          <w:rFonts w:ascii="Arial" w:hAnsi="Arial" w:cs="Arial"/>
        </w:rPr>
        <w:t xml:space="preserve"> radicada al </w:t>
      </w:r>
      <w:r w:rsidR="001216C1">
        <w:rPr>
          <w:rFonts w:ascii="Arial" w:hAnsi="Arial" w:cs="Arial"/>
        </w:rPr>
        <w:t>No.</w:t>
      </w:r>
      <w:r w:rsidR="00D11A17">
        <w:rPr>
          <w:rFonts w:ascii="Arial" w:hAnsi="Arial" w:cs="Arial"/>
        </w:rPr>
        <w:t>2016-00</w:t>
      </w:r>
      <w:r w:rsidR="002750C9">
        <w:rPr>
          <w:rFonts w:ascii="Arial" w:hAnsi="Arial" w:cs="Arial"/>
        </w:rPr>
        <w:t>55</w:t>
      </w:r>
      <w:r>
        <w:rPr>
          <w:rFonts w:ascii="Arial" w:hAnsi="Arial" w:cs="Arial"/>
        </w:rPr>
        <w:t>6</w:t>
      </w:r>
      <w:r w:rsidR="00D11A17">
        <w:rPr>
          <w:rFonts w:ascii="Arial" w:hAnsi="Arial" w:cs="Arial"/>
        </w:rPr>
        <w:t>-00</w:t>
      </w:r>
      <w:r w:rsidR="004E77AB">
        <w:rPr>
          <w:rFonts w:ascii="Arial" w:hAnsi="Arial" w:cs="Arial"/>
        </w:rPr>
        <w:t>, pero fue</w:t>
      </w:r>
      <w:r w:rsidR="00250FBA">
        <w:rPr>
          <w:rFonts w:ascii="Arial" w:hAnsi="Arial" w:cs="Arial"/>
        </w:rPr>
        <w:t xml:space="preserve"> </w:t>
      </w:r>
      <w:r w:rsidR="004E77AB">
        <w:rPr>
          <w:rFonts w:ascii="Arial" w:hAnsi="Arial" w:cs="Arial"/>
        </w:rPr>
        <w:t>rechazada</w:t>
      </w:r>
      <w:r w:rsidR="00250FBA">
        <w:rPr>
          <w:rFonts w:ascii="Arial" w:hAnsi="Arial" w:cs="Arial"/>
        </w:rPr>
        <w:t xml:space="preserve"> de plano</w:t>
      </w:r>
      <w:r w:rsidR="004E77AB">
        <w:rPr>
          <w:rFonts w:ascii="Arial" w:hAnsi="Arial" w:cs="Arial"/>
        </w:rPr>
        <w:t xml:space="preserve"> por razones que no comparte; </w:t>
      </w:r>
      <w:r w:rsidR="004E77AB">
        <w:rPr>
          <w:rFonts w:ascii="Arial" w:hAnsi="Arial" w:cs="Arial"/>
        </w:rPr>
        <w:lastRenderedPageBreak/>
        <w:t>consideró que esa conducta contraviene el artículo 16 de la Ley 472 (Folio</w:t>
      </w:r>
      <w:r w:rsidR="002750C9">
        <w:rPr>
          <w:rFonts w:ascii="Arial" w:hAnsi="Arial" w:cs="Arial"/>
        </w:rPr>
        <w:t xml:space="preserve"> 1, </w:t>
      </w:r>
      <w:r w:rsidR="004E77AB">
        <w:rPr>
          <w:rFonts w:ascii="Arial" w:hAnsi="Arial" w:cs="Arial"/>
        </w:rPr>
        <w:t xml:space="preserve">este cuaderno). </w:t>
      </w:r>
    </w:p>
    <w:p w:rsidR="007A12E1" w:rsidRPr="00455E2D" w:rsidRDefault="003843DB" w:rsidP="00AC2785">
      <w:pPr>
        <w:spacing w:line="360" w:lineRule="auto"/>
        <w:jc w:val="both"/>
        <w:rPr>
          <w:rFonts w:ascii="Arial" w:hAnsi="Arial" w:cs="Arial"/>
          <w:color w:val="000000"/>
          <w:sz w:val="22"/>
        </w:rPr>
      </w:pPr>
      <w:r w:rsidRPr="00FD594D">
        <w:rPr>
          <w:rFonts w:ascii="Arial" w:hAnsi="Arial" w:cs="Arial"/>
        </w:rPr>
        <w:t xml:space="preserve"> </w:t>
      </w:r>
    </w:p>
    <w:p w:rsidR="0099045D" w:rsidRPr="000F0BE0" w:rsidRDefault="00CC24DD"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El derecho invocado</w:t>
      </w:r>
    </w:p>
    <w:p w:rsidR="00800EF6" w:rsidRPr="007251E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2F2C09" w:rsidRDefault="002750C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szCs w:val="22"/>
          <w:lang w:val="es-ES_tradnl"/>
        </w:rPr>
        <w:t>Refiere en el</w:t>
      </w:r>
      <w:r w:rsidR="00D34B56" w:rsidRPr="00A74C9E">
        <w:rPr>
          <w:rFonts w:ascii="Arial" w:hAnsi="Arial" w:cs="Arial"/>
          <w:spacing w:val="-3"/>
          <w:szCs w:val="22"/>
          <w:lang w:val="es-ES_tradnl"/>
        </w:rPr>
        <w:t xml:space="preserve"> escrito</w:t>
      </w:r>
      <w:r>
        <w:rPr>
          <w:rFonts w:ascii="Arial" w:hAnsi="Arial" w:cs="Arial"/>
          <w:spacing w:val="-3"/>
          <w:szCs w:val="22"/>
          <w:lang w:val="es-ES_tradnl"/>
        </w:rPr>
        <w:t xml:space="preserve"> </w:t>
      </w:r>
      <w:r w:rsidR="00D34B56" w:rsidRPr="00A74C9E">
        <w:rPr>
          <w:rFonts w:ascii="Arial" w:hAnsi="Arial" w:cs="Arial"/>
          <w:spacing w:val="-3"/>
          <w:szCs w:val="22"/>
          <w:lang w:val="es-ES_tradnl"/>
        </w:rPr>
        <w:t xml:space="preserve">de tutela </w:t>
      </w:r>
      <w:r>
        <w:rPr>
          <w:rFonts w:ascii="Arial" w:hAnsi="Arial" w:cs="Arial"/>
          <w:spacing w:val="-3"/>
          <w:szCs w:val="22"/>
          <w:lang w:val="es-ES_tradnl"/>
        </w:rPr>
        <w:t xml:space="preserve">que </w:t>
      </w:r>
      <w:r w:rsidR="00D34B56">
        <w:rPr>
          <w:rFonts w:ascii="Arial" w:hAnsi="Arial" w:cs="Arial"/>
          <w:spacing w:val="-3"/>
          <w:szCs w:val="22"/>
          <w:lang w:val="es-ES_tradnl"/>
        </w:rPr>
        <w:t xml:space="preserve">corresponde </w:t>
      </w:r>
      <w:r w:rsidR="00D34B56" w:rsidRPr="00A74C9E">
        <w:rPr>
          <w:rFonts w:ascii="Arial" w:hAnsi="Arial" w:cs="Arial"/>
          <w:spacing w:val="-3"/>
          <w:szCs w:val="22"/>
          <w:lang w:val="es-ES_tradnl"/>
        </w:rPr>
        <w:t>a</w:t>
      </w:r>
      <w:r w:rsidR="00D34B56" w:rsidRPr="00A74C9E">
        <w:rPr>
          <w:rFonts w:ascii="Arial" w:hAnsi="Arial" w:cs="Arial"/>
          <w:i/>
          <w:spacing w:val="-3"/>
          <w:szCs w:val="22"/>
          <w:lang w:val="es-ES_tradnl"/>
        </w:rPr>
        <w:t xml:space="preserve"> </w:t>
      </w:r>
      <w:r w:rsidR="00633D1D" w:rsidRPr="00633D1D">
        <w:rPr>
          <w:rFonts w:ascii="Arial" w:hAnsi="Arial" w:cs="Arial"/>
          <w:i/>
          <w:spacing w:val="-3"/>
          <w:sz w:val="22"/>
          <w:lang w:val="es-ES_tradnl"/>
        </w:rPr>
        <w:t xml:space="preserve">“(…) las garantías procesales (…)” </w:t>
      </w:r>
      <w:r w:rsidR="00455E2D">
        <w:rPr>
          <w:rFonts w:ascii="Arial" w:hAnsi="Arial" w:cs="Arial"/>
        </w:rPr>
        <w:t>(</w:t>
      </w:r>
      <w:r w:rsidR="00C130C5">
        <w:rPr>
          <w:rFonts w:ascii="Arial" w:hAnsi="Arial" w:cs="Arial"/>
        </w:rPr>
        <w:t>Folio 1</w:t>
      </w:r>
      <w:r w:rsidR="00D11A17">
        <w:rPr>
          <w:rFonts w:ascii="Arial" w:hAnsi="Arial" w:cs="Arial"/>
        </w:rPr>
        <w:t xml:space="preserve">, </w:t>
      </w:r>
      <w:r w:rsidR="00C130C5">
        <w:rPr>
          <w:rFonts w:ascii="Arial" w:hAnsi="Arial" w:cs="Arial"/>
        </w:rPr>
        <w:t>este cuaderno</w:t>
      </w:r>
      <w:r w:rsidR="00645B05" w:rsidRPr="00FD594D">
        <w:rPr>
          <w:rFonts w:ascii="Arial" w:hAnsi="Arial" w:cs="Arial"/>
        </w:rPr>
        <w:t>).</w:t>
      </w:r>
      <w:r w:rsidR="002F2C09">
        <w:rPr>
          <w:rFonts w:ascii="Arial" w:hAnsi="Arial" w:cs="Arial"/>
          <w:spacing w:val="-3"/>
          <w:lang w:val="es-ES_tradnl"/>
        </w:rPr>
        <w:t xml:space="preserve"> </w:t>
      </w:r>
    </w:p>
    <w:p w:rsidR="003705F3" w:rsidRPr="00455E2D"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99045D" w:rsidRPr="000F0BE0" w:rsidRDefault="000F0BE0"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F0BE0">
        <w:rPr>
          <w:rFonts w:ascii="Arial" w:hAnsi="Arial"/>
          <w:smallCaps/>
          <w:sz w:val="28"/>
          <w:szCs w:val="28"/>
        </w:rPr>
        <w:t>a petición de protección</w:t>
      </w:r>
    </w:p>
    <w:p w:rsidR="004E77AB" w:rsidRDefault="004E77AB" w:rsidP="003843DB">
      <w:pPr>
        <w:spacing w:line="360" w:lineRule="auto"/>
        <w:jc w:val="both"/>
        <w:rPr>
          <w:rFonts w:ascii="Arial" w:hAnsi="Arial" w:cs="Arial"/>
        </w:rPr>
      </w:pPr>
    </w:p>
    <w:p w:rsidR="003843DB" w:rsidRDefault="00250FBA" w:rsidP="003843DB">
      <w:pPr>
        <w:spacing w:line="360" w:lineRule="auto"/>
        <w:jc w:val="both"/>
        <w:rPr>
          <w:rFonts w:ascii="Arial" w:hAnsi="Arial" w:cs="Arial"/>
        </w:rPr>
      </w:pPr>
      <w:r>
        <w:rPr>
          <w:rFonts w:ascii="Arial" w:hAnsi="Arial" w:cs="Arial"/>
        </w:rPr>
        <w:t>Solicita</w:t>
      </w:r>
      <w:r w:rsidR="002750C9">
        <w:rPr>
          <w:rFonts w:ascii="Arial" w:hAnsi="Arial" w:cs="Arial"/>
        </w:rPr>
        <w:t>:</w:t>
      </w:r>
      <w:r w:rsidR="003843DB" w:rsidRPr="00633D1D">
        <w:rPr>
          <w:rFonts w:ascii="Arial" w:hAnsi="Arial" w:cs="Arial"/>
        </w:rPr>
        <w:t xml:space="preserve"> (i) Se ordene al accionado admitir </w:t>
      </w:r>
      <w:r w:rsidR="00455E2D" w:rsidRPr="00633D1D">
        <w:rPr>
          <w:rFonts w:ascii="Arial" w:hAnsi="Arial" w:cs="Arial"/>
        </w:rPr>
        <w:t xml:space="preserve">la </w:t>
      </w:r>
      <w:r w:rsidR="00111659" w:rsidRPr="00633D1D">
        <w:rPr>
          <w:rFonts w:ascii="Arial" w:hAnsi="Arial" w:cs="Arial"/>
        </w:rPr>
        <w:t>acci</w:t>
      </w:r>
      <w:r w:rsidR="002750C9">
        <w:rPr>
          <w:rFonts w:ascii="Arial" w:hAnsi="Arial" w:cs="Arial"/>
        </w:rPr>
        <w:t xml:space="preserve">ón </w:t>
      </w:r>
      <w:r w:rsidR="00455E2D" w:rsidRPr="00633D1D">
        <w:rPr>
          <w:rFonts w:ascii="Arial" w:hAnsi="Arial" w:cs="Arial"/>
        </w:rPr>
        <w:t>popular</w:t>
      </w:r>
      <w:r w:rsidR="003843DB" w:rsidRPr="00633D1D">
        <w:rPr>
          <w:rFonts w:ascii="Arial" w:hAnsi="Arial" w:cs="Arial"/>
        </w:rPr>
        <w:t>;</w:t>
      </w:r>
      <w:r w:rsidR="006D6A8A" w:rsidRPr="00633D1D">
        <w:rPr>
          <w:rFonts w:ascii="Arial" w:hAnsi="Arial" w:cs="Arial"/>
        </w:rPr>
        <w:t xml:space="preserve"> </w:t>
      </w:r>
      <w:r w:rsidR="003843DB" w:rsidRPr="00633D1D">
        <w:rPr>
          <w:rFonts w:ascii="Arial" w:hAnsi="Arial" w:cs="Arial"/>
        </w:rPr>
        <w:t>y, (</w:t>
      </w:r>
      <w:r w:rsidR="004E77AB" w:rsidRPr="00633D1D">
        <w:rPr>
          <w:rFonts w:ascii="Arial" w:hAnsi="Arial" w:cs="Arial"/>
        </w:rPr>
        <w:t>ii</w:t>
      </w:r>
      <w:r w:rsidR="003843DB" w:rsidRPr="00633D1D">
        <w:rPr>
          <w:rFonts w:ascii="Arial" w:hAnsi="Arial" w:cs="Arial"/>
        </w:rPr>
        <w:t xml:space="preserve">) Se </w:t>
      </w:r>
      <w:r w:rsidR="001216C1" w:rsidRPr="00633D1D">
        <w:rPr>
          <w:rFonts w:ascii="Arial" w:hAnsi="Arial" w:cs="Arial"/>
        </w:rPr>
        <w:t xml:space="preserve">decrete la nulidad del auto que </w:t>
      </w:r>
      <w:r w:rsidR="00C130C5" w:rsidRPr="00633D1D">
        <w:rPr>
          <w:rFonts w:ascii="Arial" w:hAnsi="Arial" w:cs="Arial"/>
        </w:rPr>
        <w:t xml:space="preserve">la </w:t>
      </w:r>
      <w:r w:rsidR="00111659" w:rsidRPr="00633D1D">
        <w:rPr>
          <w:rFonts w:ascii="Arial" w:hAnsi="Arial" w:cs="Arial"/>
        </w:rPr>
        <w:t>rechaz</w:t>
      </w:r>
      <w:r w:rsidR="001C5FFD">
        <w:rPr>
          <w:rFonts w:ascii="Arial" w:hAnsi="Arial" w:cs="Arial"/>
        </w:rPr>
        <w:t xml:space="preserve">ó </w:t>
      </w:r>
      <w:r w:rsidR="00C130C5" w:rsidRPr="00633D1D">
        <w:rPr>
          <w:rFonts w:ascii="Arial" w:hAnsi="Arial" w:cs="Arial"/>
        </w:rPr>
        <w:t>y se requiera al juzgado</w:t>
      </w:r>
      <w:r w:rsidR="00111659" w:rsidRPr="00633D1D">
        <w:rPr>
          <w:rFonts w:ascii="Arial" w:hAnsi="Arial" w:cs="Arial"/>
        </w:rPr>
        <w:t xml:space="preserve"> donde</w:t>
      </w:r>
      <w:r w:rsidR="00633D1D" w:rsidRPr="00633D1D">
        <w:rPr>
          <w:rFonts w:ascii="Arial" w:hAnsi="Arial" w:cs="Arial"/>
        </w:rPr>
        <w:t xml:space="preserve"> </w:t>
      </w:r>
      <w:r w:rsidR="00111659" w:rsidRPr="00633D1D">
        <w:rPr>
          <w:rFonts w:ascii="Arial" w:hAnsi="Arial" w:cs="Arial"/>
        </w:rPr>
        <w:t>se remiti</w:t>
      </w:r>
      <w:r w:rsidR="001C5FFD">
        <w:rPr>
          <w:rFonts w:ascii="Arial" w:hAnsi="Arial" w:cs="Arial"/>
        </w:rPr>
        <w:t>ó</w:t>
      </w:r>
      <w:r w:rsidR="00C130C5" w:rsidRPr="00633D1D">
        <w:rPr>
          <w:rFonts w:ascii="Arial" w:hAnsi="Arial" w:cs="Arial"/>
        </w:rPr>
        <w:t>, para que la devuelva</w:t>
      </w:r>
      <w:r w:rsidR="00111659" w:rsidRPr="00633D1D">
        <w:rPr>
          <w:rFonts w:ascii="Arial" w:hAnsi="Arial" w:cs="Arial"/>
        </w:rPr>
        <w:t>n</w:t>
      </w:r>
      <w:r w:rsidR="00C130C5" w:rsidRPr="00633D1D">
        <w:rPr>
          <w:rFonts w:ascii="Arial" w:hAnsi="Arial" w:cs="Arial"/>
        </w:rPr>
        <w:t xml:space="preserve"> al despacho donde inicialmente la presentó</w:t>
      </w:r>
      <w:r w:rsidR="004E77AB">
        <w:rPr>
          <w:rFonts w:ascii="Arial" w:hAnsi="Arial" w:cs="Arial"/>
        </w:rPr>
        <w:t xml:space="preserve"> </w:t>
      </w:r>
      <w:r w:rsidR="00455E2D">
        <w:rPr>
          <w:rFonts w:ascii="Arial" w:hAnsi="Arial" w:cs="Arial"/>
        </w:rPr>
        <w:t>(</w:t>
      </w:r>
      <w:r w:rsidR="00C130C5">
        <w:rPr>
          <w:rFonts w:ascii="Arial" w:hAnsi="Arial" w:cs="Arial"/>
        </w:rPr>
        <w:t xml:space="preserve">Folio </w:t>
      </w:r>
      <w:r w:rsidR="00D11A17">
        <w:rPr>
          <w:rFonts w:ascii="Arial" w:hAnsi="Arial" w:cs="Arial"/>
        </w:rPr>
        <w:t>1,</w:t>
      </w:r>
      <w:r w:rsidR="00C130C5">
        <w:rPr>
          <w:rFonts w:ascii="Arial" w:hAnsi="Arial" w:cs="Arial"/>
        </w:rPr>
        <w:t xml:space="preserve"> este cuaderno</w:t>
      </w:r>
      <w:r w:rsidR="00645B05" w:rsidRPr="00FD594D">
        <w:rPr>
          <w:rFonts w:ascii="Arial" w:hAnsi="Arial" w:cs="Arial"/>
        </w:rPr>
        <w:t>).</w:t>
      </w:r>
    </w:p>
    <w:p w:rsidR="00CA76CB" w:rsidRPr="00FD594D" w:rsidRDefault="00CA76CB" w:rsidP="003843DB">
      <w:pPr>
        <w:spacing w:line="360" w:lineRule="auto"/>
        <w:jc w:val="both"/>
        <w:rPr>
          <w:rFonts w:ascii="Arial" w:hAnsi="Arial" w:cs="Arial"/>
        </w:rPr>
      </w:pPr>
    </w:p>
    <w:p w:rsidR="0099045D" w:rsidRPr="000F0BE0" w:rsidRDefault="000F0BE0" w:rsidP="00101AE0">
      <w:pPr>
        <w:pStyle w:val="Sansinterligne"/>
        <w:numPr>
          <w:ilvl w:val="0"/>
          <w:numId w:val="1"/>
        </w:numPr>
        <w:spacing w:line="360" w:lineRule="auto"/>
        <w:jc w:val="both"/>
        <w:rPr>
          <w:rFonts w:ascii="Arial" w:hAnsi="Arial"/>
          <w:smallCaps/>
          <w:sz w:val="28"/>
          <w:szCs w:val="28"/>
        </w:rPr>
      </w:pPr>
      <w:r>
        <w:rPr>
          <w:rFonts w:ascii="Arial" w:hAnsi="Arial"/>
          <w:smallCaps/>
          <w:sz w:val="28"/>
          <w:szCs w:val="28"/>
        </w:rPr>
        <w:t>L</w:t>
      </w:r>
      <w:r w:rsidRPr="000F0BE0">
        <w:rPr>
          <w:rFonts w:ascii="Arial" w:hAnsi="Arial"/>
          <w:smallCaps/>
          <w:sz w:val="28"/>
          <w:szCs w:val="28"/>
        </w:rPr>
        <w:t>a síntesis de la crónica procesal</w:t>
      </w:r>
    </w:p>
    <w:p w:rsidR="0035297D" w:rsidRPr="00455E2D" w:rsidRDefault="0035297D" w:rsidP="00704D44">
      <w:pPr>
        <w:pStyle w:val="Sansinterligne"/>
        <w:tabs>
          <w:tab w:val="left" w:pos="1200"/>
        </w:tabs>
        <w:spacing w:line="360" w:lineRule="auto"/>
        <w:jc w:val="both"/>
        <w:rPr>
          <w:rFonts w:ascii="Arial" w:hAnsi="Arial"/>
          <w:sz w:val="22"/>
          <w:szCs w:val="24"/>
        </w:rPr>
      </w:pPr>
    </w:p>
    <w:p w:rsidR="00220B87" w:rsidRDefault="00250FBA" w:rsidP="00B50331">
      <w:pPr>
        <w:spacing w:line="360" w:lineRule="auto"/>
        <w:jc w:val="both"/>
        <w:rPr>
          <w:rFonts w:ascii="Arial" w:hAnsi="Arial" w:cs="Arial"/>
        </w:rPr>
      </w:pPr>
      <w:r>
        <w:rPr>
          <w:rFonts w:ascii="Arial" w:hAnsi="Arial"/>
        </w:rPr>
        <w:t xml:space="preserve">Fue asignada a </w:t>
      </w:r>
      <w:r w:rsidR="00DD597F">
        <w:rPr>
          <w:rFonts w:ascii="Arial" w:hAnsi="Arial"/>
        </w:rPr>
        <w:t>este Despacho</w:t>
      </w:r>
      <w:r w:rsidR="00DD597F" w:rsidRPr="00704D44">
        <w:rPr>
          <w:rFonts w:ascii="Arial" w:hAnsi="Arial"/>
        </w:rPr>
        <w:t xml:space="preserve"> </w:t>
      </w:r>
      <w:r w:rsidR="00DD597F">
        <w:rPr>
          <w:rFonts w:ascii="Arial" w:hAnsi="Arial"/>
        </w:rPr>
        <w:t>p</w:t>
      </w:r>
      <w:r w:rsidR="00DD597F" w:rsidRPr="00704D44">
        <w:rPr>
          <w:rFonts w:ascii="Arial" w:hAnsi="Arial"/>
        </w:rPr>
        <w:t xml:space="preserve">or reparto ordinario </w:t>
      </w:r>
      <w:r w:rsidR="00DD597F">
        <w:rPr>
          <w:rFonts w:ascii="Arial" w:hAnsi="Arial"/>
        </w:rPr>
        <w:t>e</w:t>
      </w:r>
      <w:r w:rsidR="00DD597F" w:rsidRPr="00704D44">
        <w:rPr>
          <w:rFonts w:ascii="Arial" w:hAnsi="Arial"/>
        </w:rPr>
        <w:t xml:space="preserve">l </w:t>
      </w:r>
      <w:r w:rsidR="001C5FFD">
        <w:rPr>
          <w:rFonts w:ascii="Arial" w:hAnsi="Arial"/>
        </w:rPr>
        <w:t>1</w:t>
      </w:r>
      <w:r>
        <w:rPr>
          <w:rFonts w:ascii="Arial" w:hAnsi="Arial"/>
        </w:rPr>
        <w:t>2</w:t>
      </w:r>
      <w:r w:rsidR="00CC636B">
        <w:rPr>
          <w:rFonts w:ascii="Arial" w:hAnsi="Arial"/>
        </w:rPr>
        <w:t>-12</w:t>
      </w:r>
      <w:r w:rsidR="004E77AB">
        <w:rPr>
          <w:rFonts w:ascii="Arial" w:hAnsi="Arial"/>
        </w:rPr>
        <w:t>-2016</w:t>
      </w:r>
      <w:r w:rsidR="00633D1D">
        <w:rPr>
          <w:rFonts w:ascii="Arial" w:hAnsi="Arial"/>
        </w:rPr>
        <w:t xml:space="preserve">, </w:t>
      </w:r>
      <w:r w:rsidR="00455E2D" w:rsidRPr="00FD594D">
        <w:rPr>
          <w:rFonts w:ascii="Arial" w:hAnsi="Arial" w:cs="Arial"/>
          <w:color w:val="000000"/>
        </w:rPr>
        <w:t xml:space="preserve">con providencia </w:t>
      </w:r>
      <w:r w:rsidR="00455E2D">
        <w:rPr>
          <w:rFonts w:ascii="Arial" w:hAnsi="Arial" w:cs="Arial"/>
          <w:color w:val="000000"/>
        </w:rPr>
        <w:t xml:space="preserve">del </w:t>
      </w:r>
      <w:r w:rsidR="00CC636B">
        <w:rPr>
          <w:rFonts w:ascii="Arial" w:hAnsi="Arial" w:cs="Arial"/>
          <w:color w:val="000000"/>
        </w:rPr>
        <w:t>1</w:t>
      </w:r>
      <w:r>
        <w:rPr>
          <w:rFonts w:ascii="Arial" w:hAnsi="Arial" w:cs="Arial"/>
          <w:color w:val="000000"/>
        </w:rPr>
        <w:t>5</w:t>
      </w:r>
      <w:r w:rsidR="00633D1D">
        <w:rPr>
          <w:rFonts w:ascii="Arial" w:hAnsi="Arial" w:cs="Arial"/>
          <w:color w:val="000000"/>
        </w:rPr>
        <w:t>-12-2016</w:t>
      </w:r>
      <w:r w:rsidR="00B604B9">
        <w:rPr>
          <w:rFonts w:ascii="Arial" w:hAnsi="Arial" w:cs="Arial"/>
          <w:color w:val="000000"/>
        </w:rPr>
        <w:t>, se admiti</w:t>
      </w:r>
      <w:r w:rsidR="001C5FFD">
        <w:rPr>
          <w:rFonts w:ascii="Arial" w:hAnsi="Arial" w:cs="Arial"/>
          <w:color w:val="000000"/>
        </w:rPr>
        <w:t>ó</w:t>
      </w:r>
      <w:r w:rsidR="00B604B9">
        <w:rPr>
          <w:rFonts w:ascii="Arial" w:hAnsi="Arial" w:cs="Arial"/>
          <w:color w:val="000000"/>
        </w:rPr>
        <w:t>,</w:t>
      </w:r>
      <w:r w:rsidR="00455E2D" w:rsidRPr="00FD594D">
        <w:rPr>
          <w:rFonts w:ascii="Arial" w:hAnsi="Arial" w:cs="Arial"/>
          <w:color w:val="000000"/>
        </w:rPr>
        <w:t xml:space="preserve"> </w:t>
      </w:r>
      <w:r w:rsidR="00455E2D" w:rsidRPr="00FD594D">
        <w:rPr>
          <w:rFonts w:ascii="Arial" w:hAnsi="Arial"/>
        </w:rPr>
        <w:t xml:space="preserve">se ordenó vincular a quienes se estimó conveniente y, se dispuso notificar a la partes, entre otros ordenamientos </w:t>
      </w:r>
      <w:r w:rsidR="00455E2D">
        <w:rPr>
          <w:rFonts w:ascii="Arial" w:hAnsi="Arial" w:cs="Arial"/>
          <w:color w:val="000000"/>
        </w:rPr>
        <w:t>(Folio</w:t>
      </w:r>
      <w:r w:rsidR="00B604B9">
        <w:rPr>
          <w:rFonts w:ascii="Arial" w:hAnsi="Arial" w:cs="Arial"/>
          <w:color w:val="000000"/>
        </w:rPr>
        <w:t>s</w:t>
      </w:r>
      <w:r w:rsidR="00455E2D" w:rsidRPr="00FD594D">
        <w:rPr>
          <w:rFonts w:ascii="Arial" w:hAnsi="Arial" w:cs="Arial"/>
          <w:color w:val="000000"/>
        </w:rPr>
        <w:t xml:space="preserve"> </w:t>
      </w:r>
      <w:r w:rsidR="001C5FFD">
        <w:rPr>
          <w:rFonts w:ascii="Arial" w:hAnsi="Arial" w:cs="Arial"/>
          <w:color w:val="000000"/>
        </w:rPr>
        <w:t>5 y 6</w:t>
      </w:r>
      <w:r w:rsidR="00B604B9">
        <w:rPr>
          <w:rFonts w:ascii="Arial" w:hAnsi="Arial" w:cs="Arial"/>
          <w:color w:val="000000"/>
        </w:rPr>
        <w:t>,</w:t>
      </w:r>
      <w:r w:rsidR="00455E2D" w:rsidRPr="00FD594D">
        <w:rPr>
          <w:rFonts w:ascii="Arial" w:hAnsi="Arial" w:cs="Arial"/>
          <w:color w:val="000000"/>
        </w:rPr>
        <w:t xml:space="preserve"> ibídem)</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sidR="004A4E9F">
        <w:rPr>
          <w:rFonts w:ascii="Arial" w:hAnsi="Arial"/>
        </w:rPr>
        <w:t xml:space="preserve">acción </w:t>
      </w:r>
      <w:r w:rsidR="00645B05">
        <w:rPr>
          <w:rFonts w:ascii="Arial" w:hAnsi="Arial"/>
        </w:rPr>
        <w:t>(Folio</w:t>
      </w:r>
      <w:r w:rsidR="001C5FFD">
        <w:rPr>
          <w:rFonts w:ascii="Arial" w:hAnsi="Arial"/>
        </w:rPr>
        <w:t xml:space="preserve"> 7</w:t>
      </w:r>
      <w:r w:rsidR="008E50E4">
        <w:rPr>
          <w:rFonts w:ascii="Arial" w:hAnsi="Arial"/>
        </w:rPr>
        <w:t xml:space="preserve">, </w:t>
      </w:r>
      <w:r w:rsidR="001C5FFD" w:rsidRPr="00FD594D">
        <w:rPr>
          <w:rFonts w:ascii="Arial" w:hAnsi="Arial" w:cs="Arial"/>
          <w:color w:val="000000"/>
        </w:rPr>
        <w:t>ibídem</w:t>
      </w:r>
      <w:r w:rsidR="008E50E4">
        <w:rPr>
          <w:rFonts w:ascii="Arial" w:hAnsi="Arial"/>
        </w:rPr>
        <w:t>)</w:t>
      </w:r>
      <w:r w:rsidR="008E50E4" w:rsidRPr="008E5A62">
        <w:rPr>
          <w:rFonts w:ascii="Arial" w:hAnsi="Arial"/>
        </w:rPr>
        <w:t xml:space="preserve">. </w:t>
      </w:r>
      <w:r w:rsidR="00DB6819">
        <w:rPr>
          <w:rFonts w:ascii="Arial" w:hAnsi="Arial"/>
        </w:rPr>
        <w:t>Contestó</w:t>
      </w:r>
      <w:r w:rsidR="00B604B9">
        <w:rPr>
          <w:rFonts w:ascii="Arial" w:hAnsi="Arial"/>
        </w:rPr>
        <w:t xml:space="preserve"> </w:t>
      </w:r>
      <w:r w:rsidR="00B604B9">
        <w:rPr>
          <w:rFonts w:ascii="Arial" w:hAnsi="Arial"/>
          <w:lang w:val="es-CO"/>
        </w:rPr>
        <w:t xml:space="preserve">la </w:t>
      </w:r>
      <w:r>
        <w:rPr>
          <w:rFonts w:ascii="Arial" w:hAnsi="Arial"/>
          <w:lang w:val="es-CO"/>
        </w:rPr>
        <w:t xml:space="preserve">Defensoría del Pueblo Regional </w:t>
      </w:r>
      <w:r w:rsidR="001C5FFD">
        <w:rPr>
          <w:rFonts w:ascii="Arial" w:hAnsi="Arial"/>
          <w:lang w:val="es-CO"/>
        </w:rPr>
        <w:t xml:space="preserve">Bogotá </w:t>
      </w:r>
      <w:r>
        <w:rPr>
          <w:rFonts w:ascii="Arial" w:hAnsi="Arial"/>
          <w:lang w:val="es-CO"/>
        </w:rPr>
        <w:t>DC</w:t>
      </w:r>
      <w:r w:rsidR="001C5FFD">
        <w:rPr>
          <w:rFonts w:ascii="Arial" w:hAnsi="Arial"/>
          <w:lang w:val="es-CO"/>
        </w:rPr>
        <w:t xml:space="preserve"> (Folios </w:t>
      </w:r>
      <w:r>
        <w:rPr>
          <w:rFonts w:ascii="Arial" w:hAnsi="Arial"/>
          <w:lang w:val="es-CO"/>
        </w:rPr>
        <w:t>9 a 11</w:t>
      </w:r>
      <w:r w:rsidR="001C5FFD">
        <w:rPr>
          <w:rFonts w:ascii="Arial" w:hAnsi="Arial"/>
          <w:lang w:val="es-CO"/>
        </w:rPr>
        <w:t xml:space="preserve">, </w:t>
      </w:r>
      <w:r w:rsidR="001C5FFD" w:rsidRPr="00FD594D">
        <w:rPr>
          <w:rFonts w:ascii="Arial" w:hAnsi="Arial" w:cs="Arial"/>
          <w:color w:val="000000"/>
        </w:rPr>
        <w:t>ibídem</w:t>
      </w:r>
      <w:r w:rsidR="001C5FFD">
        <w:rPr>
          <w:rFonts w:ascii="Arial" w:hAnsi="Arial"/>
          <w:lang w:val="es-CO"/>
        </w:rPr>
        <w:t>)</w:t>
      </w:r>
      <w:r w:rsidR="00CC636B">
        <w:rPr>
          <w:rFonts w:ascii="Arial" w:hAnsi="Arial"/>
          <w:lang w:val="es-CO"/>
        </w:rPr>
        <w:t xml:space="preserve"> y</w:t>
      </w:r>
      <w:r w:rsidR="00B34114">
        <w:rPr>
          <w:rFonts w:ascii="Arial" w:hAnsi="Arial"/>
          <w:lang w:val="es-CO"/>
        </w:rPr>
        <w:t xml:space="preserve"> </w:t>
      </w:r>
      <w:r w:rsidR="001C5FFD">
        <w:rPr>
          <w:rFonts w:ascii="Arial" w:hAnsi="Arial"/>
          <w:lang w:val="es-CO"/>
        </w:rPr>
        <w:t>e</w:t>
      </w:r>
      <w:r w:rsidR="008F51FB">
        <w:rPr>
          <w:rFonts w:ascii="Arial" w:hAnsi="Arial"/>
          <w:lang w:val="es-CO"/>
        </w:rPr>
        <w:t xml:space="preserve">l accionado </w:t>
      </w:r>
      <w:r>
        <w:rPr>
          <w:rFonts w:ascii="Arial" w:hAnsi="Arial"/>
          <w:lang w:val="es-CO"/>
        </w:rPr>
        <w:t xml:space="preserve">la </w:t>
      </w:r>
      <w:r w:rsidR="0086767A">
        <w:rPr>
          <w:rFonts w:ascii="Arial" w:hAnsi="Arial"/>
          <w:lang w:val="es-CO"/>
        </w:rPr>
        <w:t xml:space="preserve">copia requerida </w:t>
      </w:r>
      <w:r w:rsidR="00127786">
        <w:rPr>
          <w:rFonts w:ascii="Arial" w:hAnsi="Arial" w:cs="Arial"/>
          <w:spacing w:val="3"/>
        </w:rPr>
        <w:t>(Folio</w:t>
      </w:r>
      <w:r>
        <w:rPr>
          <w:rFonts w:ascii="Arial" w:hAnsi="Arial" w:cs="Arial"/>
          <w:spacing w:val="3"/>
        </w:rPr>
        <w:t xml:space="preserve"> 12</w:t>
      </w:r>
      <w:r w:rsidR="008E50E4">
        <w:rPr>
          <w:rFonts w:ascii="Arial" w:hAnsi="Arial" w:cs="Arial"/>
          <w:spacing w:val="3"/>
        </w:rPr>
        <w:t xml:space="preserve">, </w:t>
      </w:r>
      <w:r w:rsidR="00127786">
        <w:rPr>
          <w:rFonts w:ascii="Arial" w:hAnsi="Arial" w:cs="Arial"/>
          <w:spacing w:val="3"/>
        </w:rPr>
        <w:t>ib</w:t>
      </w:r>
      <w:r w:rsidR="00DB6819">
        <w:rPr>
          <w:rFonts w:ascii="Arial" w:hAnsi="Arial" w:cs="Arial"/>
          <w:spacing w:val="3"/>
        </w:rPr>
        <w:t>.)</w:t>
      </w:r>
      <w:r w:rsidR="00CB54FB">
        <w:rPr>
          <w:rFonts w:ascii="Arial" w:hAnsi="Arial" w:cs="Arial"/>
          <w:spacing w:val="3"/>
        </w:rPr>
        <w:t>.</w:t>
      </w:r>
      <w:r w:rsidR="001A4C76">
        <w:rPr>
          <w:rFonts w:ascii="Arial" w:hAnsi="Arial" w:cs="Arial"/>
        </w:rPr>
        <w:t xml:space="preserve"> </w:t>
      </w:r>
    </w:p>
    <w:p w:rsidR="00B41B34" w:rsidRPr="00893EC7" w:rsidRDefault="00B41B34" w:rsidP="00B50331">
      <w:pPr>
        <w:spacing w:line="360" w:lineRule="auto"/>
        <w:jc w:val="both"/>
        <w:rPr>
          <w:rFonts w:ascii="Arial" w:hAnsi="Arial"/>
        </w:rPr>
      </w:pPr>
    </w:p>
    <w:p w:rsidR="00CF429F" w:rsidRPr="000F0BE0" w:rsidRDefault="000F0BE0" w:rsidP="00CF429F">
      <w:pPr>
        <w:numPr>
          <w:ilvl w:val="0"/>
          <w:numId w:val="18"/>
        </w:numPr>
        <w:spacing w:line="360" w:lineRule="auto"/>
        <w:jc w:val="both"/>
        <w:rPr>
          <w:rFonts w:ascii="Arial" w:hAnsi="Arial"/>
          <w:smallCaps/>
          <w:sz w:val="28"/>
          <w:szCs w:val="28"/>
        </w:rPr>
      </w:pPr>
      <w:r>
        <w:rPr>
          <w:rFonts w:ascii="Arial" w:hAnsi="Arial"/>
          <w:smallCaps/>
          <w:sz w:val="28"/>
          <w:szCs w:val="28"/>
        </w:rPr>
        <w:t>L</w:t>
      </w:r>
      <w:r w:rsidRPr="000F0BE0">
        <w:rPr>
          <w:rFonts w:ascii="Arial" w:hAnsi="Arial"/>
          <w:smallCaps/>
          <w:sz w:val="28"/>
          <w:szCs w:val="28"/>
        </w:rPr>
        <w:t>a sinopsis de la respuesta</w:t>
      </w:r>
    </w:p>
    <w:p w:rsidR="0068769B" w:rsidRDefault="0068769B" w:rsidP="0068769B">
      <w:pPr>
        <w:pStyle w:val="Paragraphedeliste"/>
        <w:spacing w:line="360" w:lineRule="auto"/>
        <w:ind w:left="720"/>
        <w:jc w:val="both"/>
        <w:rPr>
          <w:rFonts w:ascii="Arial" w:hAnsi="Arial"/>
        </w:rPr>
      </w:pPr>
    </w:p>
    <w:p w:rsidR="0068769B" w:rsidRDefault="00250FBA" w:rsidP="00C738A1">
      <w:pPr>
        <w:spacing w:line="360" w:lineRule="auto"/>
        <w:jc w:val="both"/>
        <w:rPr>
          <w:rFonts w:ascii="Arial" w:hAnsi="Arial"/>
        </w:rPr>
      </w:pPr>
      <w:r>
        <w:rPr>
          <w:rFonts w:ascii="Arial" w:hAnsi="Arial"/>
        </w:rPr>
        <w:t xml:space="preserve">La Defensoría </w:t>
      </w:r>
      <w:r w:rsidR="001C5FFD">
        <w:rPr>
          <w:rFonts w:ascii="Arial" w:hAnsi="Arial"/>
        </w:rPr>
        <w:t>vinculad</w:t>
      </w:r>
      <w:r w:rsidR="00A968A3">
        <w:rPr>
          <w:rFonts w:ascii="Arial" w:hAnsi="Arial"/>
        </w:rPr>
        <w:t>a</w:t>
      </w:r>
      <w:r w:rsidR="001C5FFD">
        <w:rPr>
          <w:rFonts w:ascii="Arial" w:hAnsi="Arial"/>
        </w:rPr>
        <w:t xml:space="preserve"> </w:t>
      </w:r>
      <w:r w:rsidR="00A968A3">
        <w:rPr>
          <w:rFonts w:ascii="Arial" w:hAnsi="Arial"/>
        </w:rPr>
        <w:t xml:space="preserve">explicó que no es parte, tampoco fue quien interpuso la acción y el actor en forma alguna ha solicitado su asistencia, sin embargo, estará atenta si se requiere su intervención, aunque </w:t>
      </w:r>
      <w:r w:rsidR="00C738A1">
        <w:rPr>
          <w:rFonts w:ascii="Arial" w:hAnsi="Arial"/>
        </w:rPr>
        <w:t>s</w:t>
      </w:r>
      <w:r w:rsidR="0068769B">
        <w:rPr>
          <w:rFonts w:ascii="Arial" w:hAnsi="Arial"/>
        </w:rPr>
        <w:t>olicitó ser desvinculada (Folios</w:t>
      </w:r>
      <w:r w:rsidR="00C738A1">
        <w:rPr>
          <w:rFonts w:ascii="Arial" w:hAnsi="Arial"/>
        </w:rPr>
        <w:t xml:space="preserve"> </w:t>
      </w:r>
      <w:r w:rsidR="00A968A3">
        <w:rPr>
          <w:rFonts w:ascii="Arial" w:hAnsi="Arial"/>
        </w:rPr>
        <w:t>9 a 11</w:t>
      </w:r>
      <w:r w:rsidR="0068769B">
        <w:rPr>
          <w:rFonts w:ascii="Arial" w:hAnsi="Arial"/>
        </w:rPr>
        <w:t>, ib.).</w:t>
      </w:r>
    </w:p>
    <w:p w:rsidR="00B34114" w:rsidRDefault="00B34114" w:rsidP="00B34114">
      <w:pPr>
        <w:pStyle w:val="Paragraphedeliste"/>
        <w:spacing w:line="360" w:lineRule="auto"/>
        <w:ind w:left="720"/>
        <w:jc w:val="both"/>
        <w:rPr>
          <w:rFonts w:ascii="Arial" w:hAnsi="Arial"/>
        </w:rPr>
      </w:pPr>
    </w:p>
    <w:p w:rsidR="00CF429F" w:rsidRPr="00F35120" w:rsidRDefault="00F35120" w:rsidP="00CF429F">
      <w:pPr>
        <w:pStyle w:val="Corpsdetexte"/>
        <w:numPr>
          <w:ilvl w:val="0"/>
          <w:numId w:val="18"/>
        </w:numPr>
        <w:spacing w:line="360" w:lineRule="auto"/>
        <w:rPr>
          <w:rFonts w:ascii="Arial" w:hAnsi="Arial"/>
          <w:smallCaps/>
          <w:sz w:val="28"/>
          <w:szCs w:val="28"/>
        </w:rPr>
      </w:pPr>
      <w:r>
        <w:rPr>
          <w:rFonts w:ascii="Arial" w:hAnsi="Arial"/>
          <w:smallCaps/>
          <w:sz w:val="28"/>
          <w:szCs w:val="28"/>
        </w:rPr>
        <w:t>L</w:t>
      </w:r>
      <w:r w:rsidRPr="00F35120">
        <w:rPr>
          <w:rFonts w:ascii="Arial" w:hAnsi="Arial"/>
          <w:smallCaps/>
          <w:sz w:val="28"/>
          <w:szCs w:val="28"/>
        </w:rPr>
        <w:t>a fundamentación jurídica para decidir</w:t>
      </w:r>
    </w:p>
    <w:p w:rsidR="00AC1EFF" w:rsidRPr="007251E6" w:rsidRDefault="00AC1EFF" w:rsidP="00AC1EFF">
      <w:pPr>
        <w:pStyle w:val="Corpsdetexte"/>
        <w:spacing w:line="360" w:lineRule="auto"/>
        <w:ind w:left="400"/>
        <w:rPr>
          <w:rFonts w:ascii="Arial" w:hAnsi="Arial"/>
          <w:sz w:val="20"/>
          <w:szCs w:val="24"/>
        </w:rPr>
      </w:pPr>
    </w:p>
    <w:p w:rsidR="00CF429F" w:rsidRPr="00633D1D" w:rsidRDefault="00CF429F" w:rsidP="00CF429F">
      <w:pPr>
        <w:pStyle w:val="Corpsdetexte"/>
        <w:numPr>
          <w:ilvl w:val="1"/>
          <w:numId w:val="18"/>
        </w:numPr>
        <w:tabs>
          <w:tab w:val="clear" w:pos="708"/>
          <w:tab w:val="left" w:pos="709"/>
        </w:tabs>
        <w:spacing w:line="360" w:lineRule="auto"/>
        <w:rPr>
          <w:rFonts w:ascii="Arial" w:hAnsi="Arial"/>
          <w:smallCaps/>
          <w:szCs w:val="26"/>
        </w:rPr>
      </w:pPr>
      <w:r w:rsidRPr="00633D1D">
        <w:rPr>
          <w:rFonts w:ascii="Arial" w:hAnsi="Arial"/>
          <w:smallCaps/>
          <w:szCs w:val="26"/>
        </w:rPr>
        <w:t>La competencia</w:t>
      </w:r>
    </w:p>
    <w:p w:rsidR="00A50109" w:rsidRPr="007251E6" w:rsidRDefault="00A50109" w:rsidP="00A50109">
      <w:pPr>
        <w:pStyle w:val="Corpsdetexte"/>
        <w:tabs>
          <w:tab w:val="clear" w:pos="708"/>
          <w:tab w:val="left" w:pos="709"/>
        </w:tabs>
        <w:spacing w:line="360" w:lineRule="auto"/>
        <w:ind w:left="720"/>
        <w:rPr>
          <w:rFonts w:ascii="Arial" w:hAnsi="Arial"/>
          <w:sz w:val="20"/>
          <w:szCs w:val="24"/>
        </w:rPr>
      </w:pPr>
    </w:p>
    <w:p w:rsidR="00A968A3" w:rsidRPr="00AE73C7" w:rsidRDefault="00A968A3" w:rsidP="00A968A3">
      <w:pPr>
        <w:pStyle w:val="Retraitcorpsdetexte2"/>
        <w:spacing w:after="0" w:line="360" w:lineRule="auto"/>
        <w:ind w:left="0"/>
        <w:jc w:val="both"/>
        <w:rPr>
          <w:rFonts w:ascii="Arial" w:hAnsi="Arial" w:cs="Arial"/>
          <w:sz w:val="24"/>
          <w:szCs w:val="24"/>
        </w:rPr>
      </w:pPr>
      <w:r w:rsidRPr="00AE73C7">
        <w:rPr>
          <w:rFonts w:ascii="Arial" w:hAnsi="Arial" w:cs="Arial"/>
          <w:sz w:val="24"/>
          <w:szCs w:val="24"/>
        </w:rPr>
        <w:t>Este Tribunal es competente para conocer la acción en razón a que es el superior jerárquico del accionado, el Juzgado</w:t>
      </w:r>
      <w:r>
        <w:rPr>
          <w:rFonts w:ascii="Arial" w:hAnsi="Arial" w:cs="Arial"/>
          <w:sz w:val="24"/>
          <w:szCs w:val="24"/>
        </w:rPr>
        <w:t xml:space="preserve"> Tercero </w:t>
      </w:r>
      <w:r w:rsidRPr="00AE73C7">
        <w:rPr>
          <w:rFonts w:ascii="Arial" w:hAnsi="Arial" w:cs="Arial"/>
          <w:sz w:val="24"/>
          <w:szCs w:val="24"/>
        </w:rPr>
        <w:t>Civil del Circuito de Pereira</w:t>
      </w:r>
      <w:r>
        <w:rPr>
          <w:rFonts w:ascii="Arial" w:hAnsi="Arial" w:cs="Arial"/>
          <w:sz w:val="24"/>
          <w:szCs w:val="24"/>
        </w:rPr>
        <w:t xml:space="preserve"> (Artículos 86 de la CP y </w:t>
      </w:r>
      <w:r w:rsidRPr="00AE73C7">
        <w:rPr>
          <w:rFonts w:ascii="Arial" w:hAnsi="Arial" w:cs="Arial"/>
          <w:sz w:val="24"/>
          <w:szCs w:val="24"/>
        </w:rPr>
        <w:t>37 del Decreto 2591 de 1991).</w:t>
      </w:r>
    </w:p>
    <w:p w:rsidR="002C5A17" w:rsidRDefault="002C5A17" w:rsidP="00CF429F">
      <w:pPr>
        <w:pStyle w:val="Retraitcorpsdetexte2"/>
        <w:spacing w:after="0" w:line="360" w:lineRule="auto"/>
        <w:ind w:left="0"/>
        <w:jc w:val="both"/>
        <w:rPr>
          <w:rFonts w:ascii="Arial" w:hAnsi="Arial" w:cs="Arial"/>
          <w:sz w:val="24"/>
          <w:szCs w:val="24"/>
        </w:rPr>
      </w:pPr>
    </w:p>
    <w:p w:rsidR="00CA76CB" w:rsidRDefault="00CA76CB" w:rsidP="00CF429F">
      <w:pPr>
        <w:pStyle w:val="Retraitcorpsdetexte2"/>
        <w:spacing w:after="0" w:line="360" w:lineRule="auto"/>
        <w:ind w:left="0"/>
        <w:jc w:val="both"/>
        <w:rPr>
          <w:rFonts w:ascii="Arial" w:hAnsi="Arial" w:cs="Arial"/>
          <w:sz w:val="24"/>
          <w:szCs w:val="24"/>
        </w:rPr>
      </w:pPr>
    </w:p>
    <w:p w:rsidR="00CF429F" w:rsidRPr="00F35120" w:rsidRDefault="00CF429F" w:rsidP="00CF429F">
      <w:pPr>
        <w:pStyle w:val="Corpsdetexte"/>
        <w:numPr>
          <w:ilvl w:val="1"/>
          <w:numId w:val="18"/>
        </w:numPr>
        <w:spacing w:line="360" w:lineRule="auto"/>
        <w:rPr>
          <w:rFonts w:ascii="Arial" w:hAnsi="Arial"/>
          <w:smallCaps/>
          <w:sz w:val="26"/>
          <w:szCs w:val="26"/>
        </w:rPr>
      </w:pPr>
      <w:r w:rsidRPr="00F35120">
        <w:rPr>
          <w:rFonts w:ascii="Arial" w:hAnsi="Arial"/>
          <w:smallCaps/>
          <w:sz w:val="26"/>
          <w:szCs w:val="26"/>
        </w:rPr>
        <w:lastRenderedPageBreak/>
        <w:t>El problema jurídico a resolver</w:t>
      </w:r>
    </w:p>
    <w:p w:rsidR="00984EE4" w:rsidRPr="007251E6" w:rsidRDefault="00984EE4" w:rsidP="00CF429F">
      <w:pPr>
        <w:pStyle w:val="Corpsdetexte"/>
        <w:tabs>
          <w:tab w:val="clear" w:pos="708"/>
          <w:tab w:val="clear" w:pos="1416"/>
          <w:tab w:val="left" w:pos="709"/>
          <w:tab w:val="left" w:pos="1418"/>
        </w:tabs>
        <w:spacing w:line="360" w:lineRule="auto"/>
        <w:rPr>
          <w:rFonts w:ascii="Arial" w:hAnsi="Arial"/>
          <w:sz w:val="18"/>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B57736" w:rsidRPr="00EE1C51">
        <w:rPr>
          <w:rFonts w:ascii="Arial" w:hAnsi="Arial" w:cs="Arial"/>
          <w:color w:val="000000"/>
        </w:rPr>
        <w:t>Juzgado</w:t>
      </w:r>
      <w:r w:rsidR="00B57736">
        <w:rPr>
          <w:rFonts w:ascii="Arial" w:hAnsi="Arial" w:cs="Arial"/>
          <w:color w:val="000000"/>
        </w:rPr>
        <w:t xml:space="preserve"> </w:t>
      </w:r>
      <w:r w:rsidR="00A968A3">
        <w:rPr>
          <w:rFonts w:ascii="Arial" w:hAnsi="Arial" w:cs="Arial"/>
        </w:rPr>
        <w:t xml:space="preserve">Tercero </w:t>
      </w:r>
      <w:r w:rsidR="00B57736">
        <w:rPr>
          <w:rFonts w:ascii="Arial" w:hAnsi="Arial" w:cs="Arial"/>
          <w:color w:val="000000"/>
        </w:rPr>
        <w:t>Civil del Circuito de Pereira</w:t>
      </w:r>
      <w:r w:rsidR="00C072A0">
        <w:rPr>
          <w:rFonts w:ascii="Arial" w:hAnsi="Arial" w:cs="Arial"/>
        </w:rPr>
        <w:t>,</w:t>
      </w:r>
      <w:r w:rsidR="00AC1EFF">
        <w:rPr>
          <w:rFonts w:ascii="Arial" w:hAnsi="Arial" w:cs="Arial"/>
        </w:rPr>
        <w:t xml:space="preserve"> R.,</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071B86">
        <w:rPr>
          <w:rFonts w:ascii="Arial" w:hAnsi="Arial" w:cs="Arial"/>
          <w:spacing w:val="-3"/>
          <w:lang w:val="es-ES_tradnl"/>
        </w:rPr>
        <w:t xml:space="preserve">la </w:t>
      </w:r>
      <w:r w:rsidR="00B57736">
        <w:rPr>
          <w:rFonts w:ascii="Arial" w:hAnsi="Arial" w:cs="Arial"/>
          <w:spacing w:val="-3"/>
          <w:lang w:val="es-ES_tradnl"/>
        </w:rPr>
        <w:t>acci</w:t>
      </w:r>
      <w:r w:rsidR="00C738A1">
        <w:rPr>
          <w:rFonts w:ascii="Arial" w:hAnsi="Arial" w:cs="Arial"/>
          <w:spacing w:val="-3"/>
          <w:lang w:val="es-ES_tradnl"/>
        </w:rPr>
        <w:t xml:space="preserve">ón </w:t>
      </w:r>
      <w:r w:rsidR="00AC1EFF">
        <w:rPr>
          <w:rFonts w:ascii="Arial" w:hAnsi="Arial" w:cs="Arial"/>
          <w:spacing w:val="-3"/>
          <w:lang w:val="es-ES_tradnl"/>
        </w:rPr>
        <w:t>popular</w:t>
      </w:r>
      <w:r w:rsidR="00CB0B9E">
        <w:rPr>
          <w:rFonts w:ascii="Arial" w:hAnsi="Arial" w:cs="Arial"/>
          <w:spacing w:val="-3"/>
          <w:lang w:val="es-ES_tradnl"/>
        </w:rPr>
        <w:t xml:space="preserve">, según lo expuesto en </w:t>
      </w:r>
      <w:r w:rsidR="00C738A1">
        <w:rPr>
          <w:rFonts w:ascii="Arial" w:hAnsi="Arial" w:cs="Arial"/>
          <w:spacing w:val="-3"/>
          <w:lang w:val="es-ES_tradnl"/>
        </w:rPr>
        <w:t>e</w:t>
      </w:r>
      <w:r w:rsidR="003D2915">
        <w:rPr>
          <w:rFonts w:ascii="Arial" w:hAnsi="Arial" w:cs="Arial"/>
          <w:spacing w:val="-3"/>
          <w:lang w:val="es-ES_tradnl"/>
        </w:rPr>
        <w:t xml:space="preserve">l </w:t>
      </w:r>
      <w:r w:rsidR="00C738A1">
        <w:rPr>
          <w:rFonts w:ascii="Arial" w:hAnsi="Arial" w:cs="Arial"/>
          <w:spacing w:val="-3"/>
          <w:lang w:val="es-ES_tradnl"/>
        </w:rPr>
        <w:t xml:space="preserve">memorial </w:t>
      </w:r>
      <w:r w:rsidR="00CB0B9E">
        <w:rPr>
          <w:rFonts w:ascii="Arial" w:hAnsi="Arial" w:cs="Arial"/>
          <w:spacing w:val="-3"/>
          <w:lang w:val="es-ES_tradnl"/>
        </w:rPr>
        <w:t>de tutela</w:t>
      </w:r>
      <w:r w:rsidRPr="00383E2F">
        <w:rPr>
          <w:rFonts w:ascii="Arial" w:hAnsi="Arial" w:cs="Arial"/>
          <w:spacing w:val="-3"/>
          <w:lang w:val="es-ES_tradnl"/>
        </w:rPr>
        <w:t>?</w:t>
      </w:r>
    </w:p>
    <w:p w:rsidR="005427D5" w:rsidRPr="007251E6"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F429F" w:rsidRDefault="00CF429F" w:rsidP="00952597">
      <w:pPr>
        <w:pStyle w:val="Corpsdetexte"/>
        <w:numPr>
          <w:ilvl w:val="1"/>
          <w:numId w:val="18"/>
        </w:numPr>
        <w:tabs>
          <w:tab w:val="clear" w:pos="708"/>
          <w:tab w:val="clear" w:pos="1416"/>
          <w:tab w:val="left" w:pos="709"/>
          <w:tab w:val="left" w:pos="1418"/>
        </w:tabs>
        <w:spacing w:line="360" w:lineRule="auto"/>
        <w:rPr>
          <w:rFonts w:ascii="Arial" w:hAnsi="Arial"/>
          <w:smallCaps/>
          <w:sz w:val="26"/>
          <w:szCs w:val="26"/>
        </w:rPr>
      </w:pPr>
      <w:r w:rsidRPr="00F35120">
        <w:rPr>
          <w:rFonts w:ascii="Arial" w:hAnsi="Arial"/>
          <w:smallCaps/>
          <w:sz w:val="26"/>
          <w:szCs w:val="26"/>
        </w:rPr>
        <w:t>La resolución del problema jurídico</w:t>
      </w:r>
    </w:p>
    <w:p w:rsidR="00C738A1" w:rsidRPr="00F35120" w:rsidRDefault="00C738A1" w:rsidP="00C738A1">
      <w:pPr>
        <w:pStyle w:val="Corpsdetexte"/>
        <w:tabs>
          <w:tab w:val="clear" w:pos="708"/>
          <w:tab w:val="clear" w:pos="1416"/>
          <w:tab w:val="left" w:pos="709"/>
          <w:tab w:val="left" w:pos="1418"/>
        </w:tabs>
        <w:spacing w:line="360" w:lineRule="auto"/>
        <w:ind w:left="720"/>
        <w:rPr>
          <w:rFonts w:ascii="Arial" w:hAnsi="Arial"/>
          <w:smallCaps/>
          <w:sz w:val="26"/>
          <w:szCs w:val="26"/>
        </w:rPr>
      </w:pPr>
    </w:p>
    <w:p w:rsidR="003351D6" w:rsidRPr="00F35120" w:rsidRDefault="003351D6" w:rsidP="003351D6">
      <w:pPr>
        <w:pStyle w:val="Corpsdetexte"/>
        <w:numPr>
          <w:ilvl w:val="2"/>
          <w:numId w:val="18"/>
        </w:numPr>
        <w:tabs>
          <w:tab w:val="clear" w:pos="0"/>
          <w:tab w:val="clear" w:pos="708"/>
          <w:tab w:val="clear" w:pos="1416"/>
          <w:tab w:val="left" w:pos="709"/>
        </w:tabs>
        <w:spacing w:line="360" w:lineRule="auto"/>
        <w:rPr>
          <w:rFonts w:ascii="Arial" w:hAnsi="Arial"/>
          <w:smallCaps/>
          <w:szCs w:val="24"/>
        </w:rPr>
      </w:pPr>
      <w:r w:rsidRPr="00F35120">
        <w:rPr>
          <w:rFonts w:ascii="Arial" w:hAnsi="Arial"/>
          <w:smallCaps/>
          <w:szCs w:val="24"/>
        </w:rPr>
        <w:t>La legitimación en la causa</w:t>
      </w:r>
    </w:p>
    <w:p w:rsidR="00CC636B" w:rsidRPr="008A1EF4" w:rsidRDefault="00CC636B" w:rsidP="00CC636B">
      <w:pPr>
        <w:pStyle w:val="Corpsdetexte"/>
        <w:spacing w:line="360" w:lineRule="auto"/>
        <w:rPr>
          <w:rFonts w:ascii="Arial" w:hAnsi="Arial"/>
          <w:szCs w:val="24"/>
        </w:rPr>
      </w:pPr>
    </w:p>
    <w:p w:rsidR="00AE15D2" w:rsidRDefault="00C738A1" w:rsidP="00AE15D2">
      <w:pPr>
        <w:pStyle w:val="Corpsdetexte"/>
        <w:spacing w:line="360" w:lineRule="auto"/>
        <w:rPr>
          <w:rFonts w:ascii="Arial" w:hAnsi="Arial" w:cs="Arial"/>
          <w:szCs w:val="24"/>
        </w:rPr>
      </w:pPr>
      <w:r>
        <w:rPr>
          <w:rFonts w:ascii="Arial" w:hAnsi="Arial" w:cs="Arial"/>
          <w:szCs w:val="24"/>
        </w:rPr>
        <w:t xml:space="preserve">Se </w:t>
      </w:r>
      <w:r w:rsidR="00AE15D2">
        <w:rPr>
          <w:rFonts w:ascii="Arial" w:hAnsi="Arial" w:cs="Arial"/>
          <w:szCs w:val="24"/>
        </w:rPr>
        <w:t>cumple la legitimación por activa</w:t>
      </w:r>
      <w:r>
        <w:rPr>
          <w:rFonts w:ascii="Arial" w:hAnsi="Arial" w:cs="Arial"/>
          <w:szCs w:val="24"/>
        </w:rPr>
        <w:t xml:space="preserve">, pues el actor también lo es, en la </w:t>
      </w:r>
      <w:r w:rsidR="00107D23">
        <w:rPr>
          <w:rFonts w:ascii="Arial" w:hAnsi="Arial" w:cs="Arial"/>
          <w:szCs w:val="24"/>
        </w:rPr>
        <w:t>acci</w:t>
      </w:r>
      <w:r>
        <w:rPr>
          <w:rFonts w:ascii="Arial" w:hAnsi="Arial" w:cs="Arial"/>
          <w:szCs w:val="24"/>
        </w:rPr>
        <w:t xml:space="preserve">ón </w:t>
      </w:r>
      <w:r w:rsidR="00107D23">
        <w:rPr>
          <w:rFonts w:ascii="Arial" w:hAnsi="Arial" w:cs="Arial"/>
          <w:szCs w:val="24"/>
        </w:rPr>
        <w:t>popular</w:t>
      </w:r>
      <w:r>
        <w:rPr>
          <w:rFonts w:ascii="Arial" w:hAnsi="Arial" w:cs="Arial"/>
          <w:szCs w:val="24"/>
        </w:rPr>
        <w:t>,</w:t>
      </w:r>
      <w:r w:rsidR="00107D23">
        <w:rPr>
          <w:rFonts w:ascii="Arial" w:hAnsi="Arial" w:cs="Arial"/>
          <w:szCs w:val="24"/>
        </w:rPr>
        <w:t xml:space="preserve"> en la que se </w:t>
      </w:r>
      <w:r>
        <w:rPr>
          <w:rFonts w:ascii="Arial" w:hAnsi="Arial" w:cs="Arial"/>
          <w:szCs w:val="24"/>
        </w:rPr>
        <w:t>cuestiona e</w:t>
      </w:r>
      <w:r w:rsidR="00107D23">
        <w:rPr>
          <w:rFonts w:ascii="Arial" w:hAnsi="Arial" w:cs="Arial"/>
          <w:szCs w:val="24"/>
        </w:rPr>
        <w:t>l debido proceso</w:t>
      </w:r>
      <w:r w:rsidR="00AE15D2">
        <w:rPr>
          <w:rFonts w:ascii="Arial" w:hAnsi="Arial" w:cs="Arial"/>
          <w:szCs w:val="24"/>
        </w:rPr>
        <w:t xml:space="preserve">. Y por pasiva, lo es el </w:t>
      </w:r>
      <w:r w:rsidR="00B57736" w:rsidRPr="00EE1C51">
        <w:rPr>
          <w:rFonts w:ascii="Arial" w:hAnsi="Arial" w:cs="Arial"/>
          <w:color w:val="000000"/>
          <w:szCs w:val="24"/>
        </w:rPr>
        <w:t>Juzgado</w:t>
      </w:r>
      <w:r w:rsidR="00B57736">
        <w:rPr>
          <w:rFonts w:ascii="Arial" w:hAnsi="Arial" w:cs="Arial"/>
          <w:color w:val="000000"/>
          <w:szCs w:val="24"/>
        </w:rPr>
        <w:t xml:space="preserve"> </w:t>
      </w:r>
      <w:r w:rsidR="00A968A3">
        <w:rPr>
          <w:rFonts w:ascii="Arial" w:hAnsi="Arial" w:cs="Arial"/>
          <w:szCs w:val="24"/>
        </w:rPr>
        <w:t xml:space="preserve">Tercero </w:t>
      </w:r>
      <w:r w:rsidR="00B57736">
        <w:rPr>
          <w:rFonts w:ascii="Arial" w:hAnsi="Arial" w:cs="Arial"/>
          <w:color w:val="000000"/>
          <w:szCs w:val="24"/>
        </w:rPr>
        <w:t>Civil del Circuito de Pereira</w:t>
      </w:r>
      <w:r w:rsidR="00AE15D2">
        <w:rPr>
          <w:rFonts w:ascii="Arial" w:hAnsi="Arial" w:cs="Arial"/>
          <w:szCs w:val="24"/>
        </w:rPr>
        <w:t xml:space="preserve">, R., al ser la autoridad judicial que conoce </w:t>
      </w:r>
      <w:r w:rsidR="00061050">
        <w:rPr>
          <w:rFonts w:ascii="Arial" w:hAnsi="Arial" w:cs="Arial"/>
          <w:szCs w:val="24"/>
        </w:rPr>
        <w:t xml:space="preserve">los </w:t>
      </w:r>
      <w:r w:rsidR="00AE15D2">
        <w:rPr>
          <w:rFonts w:ascii="Arial" w:hAnsi="Arial" w:cs="Arial"/>
          <w:szCs w:val="24"/>
        </w:rPr>
        <w:t>asunto</w:t>
      </w:r>
      <w:r w:rsidR="00061050">
        <w:rPr>
          <w:rFonts w:ascii="Arial" w:hAnsi="Arial" w:cs="Arial"/>
          <w:szCs w:val="24"/>
        </w:rPr>
        <w:t>s</w:t>
      </w:r>
      <w:r w:rsidR="00AE15D2">
        <w:rPr>
          <w:rFonts w:ascii="Arial" w:hAnsi="Arial" w:cs="Arial"/>
          <w:szCs w:val="24"/>
        </w:rPr>
        <w:t>.</w:t>
      </w:r>
    </w:p>
    <w:p w:rsidR="00AE15D2" w:rsidRDefault="00AE15D2" w:rsidP="00AE15D2">
      <w:pPr>
        <w:pStyle w:val="Corpsdetexte"/>
        <w:spacing w:line="360" w:lineRule="auto"/>
        <w:rPr>
          <w:rFonts w:ascii="Arial" w:hAnsi="Arial" w:cs="Arial"/>
          <w:sz w:val="20"/>
          <w:szCs w:val="24"/>
        </w:rPr>
      </w:pPr>
    </w:p>
    <w:p w:rsidR="00AE15D2" w:rsidRDefault="00AE15D2" w:rsidP="00AE15D2">
      <w:pPr>
        <w:widowControl/>
        <w:spacing w:line="360" w:lineRule="auto"/>
        <w:jc w:val="both"/>
        <w:rPr>
          <w:rFonts w:ascii="Arial" w:hAnsi="Arial" w:cs="Arial"/>
        </w:rPr>
      </w:pPr>
      <w:r>
        <w:rPr>
          <w:rFonts w:ascii="Arial" w:hAnsi="Arial" w:cs="Arial"/>
        </w:rPr>
        <w:t>Como los vinculados no participaron en la acción popular dentro de la cual se alega la vulneración al debido proceso, carecen de legitimación, por ende se declarará improcedente el amparo en su contra.</w:t>
      </w:r>
      <w:r w:rsidR="00903E32" w:rsidRPr="00903E32">
        <w:rPr>
          <w:rFonts w:ascii="Arial" w:hAnsi="Arial" w:cs="Arial"/>
        </w:rPr>
        <w:t xml:space="preserve"> </w:t>
      </w:r>
    </w:p>
    <w:p w:rsidR="008F34B8" w:rsidRPr="007251E6" w:rsidRDefault="008F34B8" w:rsidP="008F34B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F260D7" w:rsidRPr="00F35120" w:rsidRDefault="00F260D7" w:rsidP="00F260D7">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F35120">
        <w:rPr>
          <w:rFonts w:ascii="Arial" w:hAnsi="Arial" w:cs="Arial"/>
          <w:smallCaps/>
          <w:szCs w:val="24"/>
        </w:rPr>
        <w:t>Las sub-reglas de análisis en la procedibilidad frente a decisiones judiciales</w:t>
      </w:r>
    </w:p>
    <w:p w:rsidR="00F260D7" w:rsidRPr="007251E6" w:rsidRDefault="00F260D7" w:rsidP="00F260D7">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F260D7" w:rsidRDefault="00F260D7" w:rsidP="00F260D7">
      <w:pPr>
        <w:pStyle w:val="Corpsdetex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Appelnotedebasdep"/>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5D7CE2" w:rsidRDefault="005D7CE2" w:rsidP="00F260D7">
      <w:pPr>
        <w:pStyle w:val="Corpsdetexte"/>
        <w:spacing w:line="360" w:lineRule="auto"/>
        <w:rPr>
          <w:rFonts w:ascii="Arial" w:hAnsi="Arial" w:cs="Arial"/>
          <w:szCs w:val="24"/>
        </w:rPr>
      </w:pPr>
    </w:p>
    <w:p w:rsidR="00F260D7" w:rsidRPr="006A3AB9" w:rsidRDefault="00F260D7" w:rsidP="00F260D7">
      <w:pPr>
        <w:pStyle w:val="Corpsdetex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Appelnotedebasdep"/>
          <w:rFonts w:ascii="Arial" w:hAnsi="Arial" w:cs="Arial"/>
          <w:szCs w:val="24"/>
        </w:rPr>
        <w:footnoteReference w:id="2"/>
      </w:r>
      <w:r w:rsidRPr="006A3AB9">
        <w:rPr>
          <w:rFonts w:ascii="Arial" w:hAnsi="Arial" w:cs="Arial"/>
          <w:szCs w:val="24"/>
        </w:rPr>
        <w:t>.</w:t>
      </w:r>
    </w:p>
    <w:p w:rsidR="00F260D7" w:rsidRPr="007251E6" w:rsidRDefault="00F260D7" w:rsidP="00F260D7">
      <w:pPr>
        <w:pStyle w:val="Corpsdetexte"/>
        <w:spacing w:line="360" w:lineRule="auto"/>
        <w:rPr>
          <w:rFonts w:ascii="Arial" w:hAnsi="Arial" w:cs="Arial"/>
          <w:sz w:val="20"/>
          <w:szCs w:val="24"/>
        </w:rPr>
      </w:pPr>
    </w:p>
    <w:p w:rsidR="003351D6" w:rsidRDefault="003351D6" w:rsidP="003351D6">
      <w:pPr>
        <w:pStyle w:val="Corpsdetexte"/>
        <w:spacing w:line="360" w:lineRule="auto"/>
        <w:rPr>
          <w:rFonts w:ascii="Arial" w:hAnsi="Arial" w:cs="Arial"/>
          <w:szCs w:val="24"/>
        </w:rPr>
      </w:pPr>
      <w:r w:rsidRPr="006A3AB9">
        <w:rPr>
          <w:rFonts w:ascii="Arial" w:hAnsi="Arial" w:cs="Arial"/>
          <w:szCs w:val="24"/>
        </w:rPr>
        <w:lastRenderedPageBreak/>
        <w:t>Los requisitos generales de procedibilidad, explicados en amplitud en la sentencia C-590 de 2005</w:t>
      </w:r>
      <w:r w:rsidRPr="006A3AB9">
        <w:rPr>
          <w:rStyle w:val="Appelnotedebasdep"/>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Appelnotedebasdep"/>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5"/>
      </w:r>
      <w:r w:rsidRPr="006A3AB9">
        <w:rPr>
          <w:rFonts w:ascii="Arial" w:hAnsi="Arial" w:cs="Arial"/>
          <w:szCs w:val="24"/>
        </w:rPr>
        <w:t>.</w:t>
      </w:r>
    </w:p>
    <w:p w:rsidR="00F260D7" w:rsidRPr="007251E6" w:rsidRDefault="00F260D7" w:rsidP="00F260D7">
      <w:pPr>
        <w:pStyle w:val="Corpsdetexte"/>
        <w:spacing w:line="360" w:lineRule="auto"/>
        <w:rPr>
          <w:rFonts w:ascii="Arial" w:hAnsi="Arial" w:cs="Arial"/>
          <w:sz w:val="20"/>
          <w:szCs w:val="24"/>
        </w:rPr>
      </w:pPr>
    </w:p>
    <w:p w:rsidR="00F260D7" w:rsidRDefault="00F260D7" w:rsidP="00F260D7">
      <w:pPr>
        <w:pStyle w:val="Corpsdetex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Appelnotedebasdep"/>
          <w:rFonts w:ascii="Arial" w:hAnsi="Arial" w:cs="Arial"/>
          <w:szCs w:val="24"/>
        </w:rPr>
        <w:footnoteReference w:id="7"/>
      </w:r>
      <w:r w:rsidRPr="006A00CC">
        <w:rPr>
          <w:rFonts w:ascii="Arial" w:hAnsi="Arial" w:cs="Arial"/>
          <w:szCs w:val="24"/>
        </w:rPr>
        <w:t>.</w:t>
      </w:r>
    </w:p>
    <w:p w:rsidR="00F260D7" w:rsidRPr="007251E6" w:rsidRDefault="00F260D7" w:rsidP="00F260D7">
      <w:pPr>
        <w:pStyle w:val="Corpsdetexte"/>
        <w:spacing w:line="360" w:lineRule="auto"/>
        <w:rPr>
          <w:rFonts w:ascii="Arial" w:hAnsi="Arial" w:cs="Arial"/>
          <w:sz w:val="20"/>
          <w:szCs w:val="24"/>
        </w:rPr>
      </w:pPr>
    </w:p>
    <w:p w:rsidR="00130DD6" w:rsidRPr="00F35120" w:rsidRDefault="00130DD6" w:rsidP="00130DD6">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F35120">
        <w:rPr>
          <w:rFonts w:ascii="Arial" w:hAnsi="Arial" w:cs="Arial"/>
          <w:smallCaps/>
          <w:szCs w:val="24"/>
        </w:rPr>
        <w:t>El carácter subsidiario de la acción de tutela</w:t>
      </w:r>
      <w:r w:rsidRPr="00F35120">
        <w:rPr>
          <w:rFonts w:ascii="Arial" w:hAnsi="Arial" w:cs="Arial"/>
          <w:smallCaps/>
          <w:szCs w:val="24"/>
        </w:rPr>
        <w:tab/>
      </w:r>
    </w:p>
    <w:p w:rsidR="00130DD6" w:rsidRPr="007251E6" w:rsidRDefault="00130DD6" w:rsidP="00130DD6">
      <w:pPr>
        <w:pStyle w:val="Corpsdetexte"/>
        <w:tabs>
          <w:tab w:val="clear" w:pos="0"/>
        </w:tabs>
        <w:spacing w:line="360" w:lineRule="auto"/>
        <w:rPr>
          <w:rFonts w:ascii="Arial" w:hAnsi="Arial" w:cs="Arial"/>
          <w:sz w:val="20"/>
          <w:szCs w:val="24"/>
        </w:rPr>
      </w:pPr>
    </w:p>
    <w:p w:rsidR="00D014C4" w:rsidRPr="008D1B99" w:rsidRDefault="00D014C4" w:rsidP="00D014C4">
      <w:pPr>
        <w:pStyle w:val="Corpsdetexte"/>
        <w:tabs>
          <w:tab w:val="clear" w:pos="0"/>
        </w:tabs>
        <w:spacing w:line="360" w:lineRule="auto"/>
        <w:rPr>
          <w:rFonts w:ascii="Arial" w:hAnsi="Arial" w:cs="Arial"/>
          <w:sz w:val="22"/>
          <w:szCs w:val="22"/>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w:t>
      </w:r>
      <w:r w:rsidRPr="008D1B99">
        <w:rPr>
          <w:rFonts w:ascii="Arial" w:hAnsi="Arial" w:cs="Arial"/>
          <w:i/>
          <w:sz w:val="22"/>
          <w:szCs w:val="22"/>
        </w:rPr>
        <w:t>procederá cuando el afectado no disponga de otro medio de defensa judicial, salvo que aquella se utilice como mecanismo transitorio para evitar un perjuicio irremediable</w:t>
      </w:r>
      <w:r w:rsidRPr="008D1B99">
        <w:rPr>
          <w:rFonts w:ascii="Arial" w:hAnsi="Arial" w:cs="Arial"/>
          <w:sz w:val="22"/>
          <w:szCs w:val="22"/>
        </w:rPr>
        <w:t xml:space="preserve">”. </w:t>
      </w:r>
    </w:p>
    <w:p w:rsidR="00983D7D" w:rsidRDefault="00983D7D" w:rsidP="00D014C4">
      <w:pPr>
        <w:pStyle w:val="Corpsdetexte"/>
        <w:tabs>
          <w:tab w:val="clear" w:pos="0"/>
        </w:tabs>
        <w:spacing w:line="360" w:lineRule="auto"/>
        <w:rPr>
          <w:rFonts w:ascii="Arial" w:hAnsi="Arial" w:cs="Arial"/>
          <w:szCs w:val="24"/>
        </w:rPr>
      </w:pPr>
    </w:p>
    <w:p w:rsidR="00016AA1" w:rsidRDefault="00D014C4" w:rsidP="00D014C4">
      <w:pPr>
        <w:pStyle w:val="Corpsdetexte"/>
        <w:tabs>
          <w:tab w:val="clear" w:pos="0"/>
        </w:tabs>
        <w:spacing w:line="360" w:lineRule="auto"/>
        <w:rPr>
          <w:rFonts w:ascii="Arial" w:hAnsi="Arial" w:cs="Arial"/>
          <w:i/>
          <w:szCs w:val="22"/>
        </w:rPr>
      </w:pPr>
      <w:r w:rsidRPr="00FF4929">
        <w:rPr>
          <w:rFonts w:ascii="Arial" w:hAnsi="Arial" w:cs="Arial"/>
          <w:szCs w:val="24"/>
        </w:rPr>
        <w:t xml:space="preserve">Es </w:t>
      </w:r>
      <w:r w:rsidR="00983D7D">
        <w:rPr>
          <w:rFonts w:ascii="Arial" w:hAnsi="Arial" w:cs="Arial"/>
          <w:szCs w:val="24"/>
        </w:rPr>
        <w:t xml:space="preserve"> </w:t>
      </w:r>
      <w:r w:rsidRPr="00FF4929">
        <w:rPr>
          <w:rFonts w:ascii="Arial" w:hAnsi="Arial" w:cs="Arial"/>
          <w:szCs w:val="24"/>
        </w:rPr>
        <w:t xml:space="preserve">por </w:t>
      </w:r>
      <w:r w:rsidR="00983D7D">
        <w:rPr>
          <w:rFonts w:ascii="Arial" w:hAnsi="Arial" w:cs="Arial"/>
          <w:szCs w:val="24"/>
        </w:rPr>
        <w:t xml:space="preserve"> </w:t>
      </w:r>
      <w:r w:rsidRPr="00FF4929">
        <w:rPr>
          <w:rFonts w:ascii="Arial" w:hAnsi="Arial" w:cs="Arial"/>
          <w:szCs w:val="24"/>
        </w:rPr>
        <w:t xml:space="preserve">ello </w:t>
      </w:r>
      <w:r w:rsidR="00983D7D">
        <w:rPr>
          <w:rFonts w:ascii="Arial" w:hAnsi="Arial" w:cs="Arial"/>
          <w:szCs w:val="24"/>
        </w:rPr>
        <w:t xml:space="preserve"> </w:t>
      </w:r>
      <w:r w:rsidRPr="00FF4929">
        <w:rPr>
          <w:rFonts w:ascii="Arial" w:hAnsi="Arial" w:cs="Arial"/>
          <w:szCs w:val="24"/>
        </w:rPr>
        <w:t xml:space="preserve">que </w:t>
      </w:r>
      <w:r w:rsidR="00983D7D">
        <w:rPr>
          <w:rFonts w:ascii="Arial" w:hAnsi="Arial" w:cs="Arial"/>
          <w:szCs w:val="24"/>
        </w:rPr>
        <w:t xml:space="preserve"> </w:t>
      </w:r>
      <w:r w:rsidRPr="00FF4929">
        <w:rPr>
          <w:rFonts w:ascii="Arial" w:hAnsi="Arial" w:cs="Arial"/>
          <w:szCs w:val="24"/>
        </w:rPr>
        <w:t xml:space="preserve">la </w:t>
      </w:r>
      <w:r w:rsidR="00983D7D">
        <w:rPr>
          <w:rFonts w:ascii="Arial" w:hAnsi="Arial" w:cs="Arial"/>
          <w:szCs w:val="24"/>
        </w:rPr>
        <w:t xml:space="preserve"> </w:t>
      </w:r>
      <w:r w:rsidRPr="00FF4929">
        <w:rPr>
          <w:rFonts w:ascii="Arial" w:hAnsi="Arial" w:cs="Arial"/>
          <w:szCs w:val="24"/>
        </w:rPr>
        <w:t xml:space="preserve">acción </w:t>
      </w:r>
      <w:r w:rsidR="00983D7D">
        <w:rPr>
          <w:rFonts w:ascii="Arial" w:hAnsi="Arial" w:cs="Arial"/>
          <w:szCs w:val="24"/>
        </w:rPr>
        <w:t xml:space="preserve"> </w:t>
      </w:r>
      <w:r w:rsidRPr="00FF4929">
        <w:rPr>
          <w:rFonts w:ascii="Arial" w:hAnsi="Arial" w:cs="Arial"/>
          <w:szCs w:val="24"/>
        </w:rPr>
        <w:t xml:space="preserve">de </w:t>
      </w:r>
      <w:r w:rsidR="00983D7D">
        <w:rPr>
          <w:rFonts w:ascii="Arial" w:hAnsi="Arial" w:cs="Arial"/>
          <w:szCs w:val="24"/>
        </w:rPr>
        <w:t xml:space="preserve"> </w:t>
      </w:r>
      <w:r w:rsidRPr="00FF4929">
        <w:rPr>
          <w:rFonts w:ascii="Arial" w:hAnsi="Arial" w:cs="Arial"/>
          <w:szCs w:val="24"/>
        </w:rPr>
        <w:t xml:space="preserve">tutela </w:t>
      </w:r>
      <w:r w:rsidR="00983D7D">
        <w:rPr>
          <w:rFonts w:ascii="Arial" w:hAnsi="Arial" w:cs="Arial"/>
          <w:szCs w:val="24"/>
        </w:rPr>
        <w:t xml:space="preserve"> </w:t>
      </w:r>
      <w:r w:rsidRPr="00FF4929">
        <w:rPr>
          <w:rFonts w:ascii="Arial" w:hAnsi="Arial" w:cs="Arial"/>
          <w:szCs w:val="24"/>
        </w:rPr>
        <w:t xml:space="preserve">es </w:t>
      </w:r>
      <w:r w:rsidR="00983D7D">
        <w:rPr>
          <w:rFonts w:ascii="Arial" w:hAnsi="Arial" w:cs="Arial"/>
          <w:szCs w:val="24"/>
        </w:rPr>
        <w:t xml:space="preserve"> </w:t>
      </w:r>
      <w:r w:rsidRPr="00FF4929">
        <w:rPr>
          <w:rFonts w:ascii="Arial" w:hAnsi="Arial" w:cs="Arial"/>
          <w:szCs w:val="24"/>
        </w:rPr>
        <w:t xml:space="preserve">subsidiaria, </w:t>
      </w:r>
      <w:r w:rsidR="00983D7D">
        <w:rPr>
          <w:rFonts w:ascii="Arial" w:hAnsi="Arial" w:cs="Arial"/>
          <w:szCs w:val="24"/>
        </w:rPr>
        <w:t xml:space="preserve"> </w:t>
      </w:r>
      <w:r w:rsidRPr="00FF4929">
        <w:rPr>
          <w:rFonts w:ascii="Arial" w:hAnsi="Arial" w:cs="Arial"/>
          <w:szCs w:val="24"/>
        </w:rPr>
        <w:t xml:space="preserve">en </w:t>
      </w:r>
      <w:r w:rsidR="00983D7D">
        <w:rPr>
          <w:rFonts w:ascii="Arial" w:hAnsi="Arial" w:cs="Arial"/>
          <w:szCs w:val="24"/>
        </w:rPr>
        <w:t xml:space="preserve"> </w:t>
      </w:r>
      <w:r w:rsidRPr="00FF4929">
        <w:rPr>
          <w:rFonts w:ascii="Arial" w:hAnsi="Arial" w:cs="Arial"/>
          <w:szCs w:val="24"/>
        </w:rPr>
        <w:t>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Appelnotedebasdep"/>
          <w:rFonts w:ascii="Arial" w:hAnsi="Arial" w:cs="Arial"/>
          <w:i/>
          <w:sz w:val="22"/>
          <w:szCs w:val="22"/>
        </w:rPr>
        <w:footnoteReference w:id="8"/>
      </w:r>
      <w:r w:rsidRPr="00FF4929">
        <w:rPr>
          <w:rFonts w:ascii="Arial" w:hAnsi="Arial" w:cs="Arial"/>
          <w:i/>
          <w:sz w:val="22"/>
          <w:szCs w:val="22"/>
        </w:rPr>
        <w:t>.</w:t>
      </w:r>
      <w:r w:rsidR="00B549BF">
        <w:rPr>
          <w:rFonts w:ascii="Arial" w:hAnsi="Arial" w:cs="Arial"/>
          <w:i/>
          <w:szCs w:val="22"/>
        </w:rPr>
        <w:t xml:space="preserve"> </w:t>
      </w:r>
    </w:p>
    <w:p w:rsidR="00D014C4" w:rsidRDefault="00B549BF" w:rsidP="00016AA1">
      <w:pPr>
        <w:pStyle w:val="Corpsdetexte"/>
        <w:tabs>
          <w:tab w:val="clear" w:pos="0"/>
        </w:tabs>
        <w:spacing w:line="360" w:lineRule="auto"/>
        <w:rPr>
          <w:rFonts w:ascii="Arial" w:hAnsi="Arial" w:cs="Arial"/>
        </w:rPr>
      </w:pPr>
      <w:r>
        <w:rPr>
          <w:rFonts w:ascii="Arial" w:hAnsi="Arial" w:cs="Arial"/>
          <w:szCs w:val="22"/>
        </w:rPr>
        <w:lastRenderedPageBreak/>
        <w:t>En el mis</w:t>
      </w:r>
      <w:r w:rsidR="00016AA1">
        <w:rPr>
          <w:rFonts w:ascii="Arial" w:hAnsi="Arial" w:cs="Arial"/>
          <w:szCs w:val="22"/>
        </w:rPr>
        <w:t>mo sentido, ha sido constante la doctrina jurisprudencial del Alto Tribunal Constitucional</w:t>
      </w:r>
      <w:r w:rsidR="00D014C4" w:rsidRPr="00FF4929">
        <w:rPr>
          <w:rStyle w:val="Appelnotedebasdep"/>
          <w:rFonts w:ascii="Arial" w:hAnsi="Arial"/>
          <w:color w:val="000000"/>
          <w:shd w:val="clear" w:color="auto" w:fill="FFFFFF"/>
        </w:rPr>
        <w:footnoteReference w:id="9"/>
      </w:r>
      <w:r w:rsidR="00D014C4" w:rsidRPr="00FF4929">
        <w:rPr>
          <w:rFonts w:ascii="Arial" w:hAnsi="Arial" w:cs="Arial"/>
        </w:rPr>
        <w:t xml:space="preserve"> </w:t>
      </w:r>
      <w:r w:rsidR="00061050">
        <w:rPr>
          <w:rFonts w:ascii="Arial" w:hAnsi="Arial" w:cs="Arial"/>
        </w:rPr>
        <w:t xml:space="preserve"> </w:t>
      </w:r>
      <w:r w:rsidR="00016AA1">
        <w:rPr>
          <w:rFonts w:ascii="Arial" w:hAnsi="Arial" w:cs="Arial"/>
        </w:rPr>
        <w:t xml:space="preserve">y es que </w:t>
      </w:r>
      <w:r w:rsidR="00D014C4" w:rsidRPr="00FF4929">
        <w:rPr>
          <w:rFonts w:ascii="Arial" w:hAnsi="Arial" w:cs="Arial"/>
          <w:szCs w:val="24"/>
        </w:rPr>
        <w:t>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00D014C4" w:rsidRPr="007438DD">
        <w:rPr>
          <w:rFonts w:ascii="Arial" w:hAnsi="Arial" w:cs="Arial"/>
        </w:rPr>
        <w:t xml:space="preserve">: </w:t>
      </w:r>
      <w:r w:rsidR="00D014C4"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00D014C4" w:rsidRPr="00FF4929">
        <w:rPr>
          <w:rStyle w:val="Appelnotedebasdep"/>
          <w:rFonts w:ascii="Arial" w:hAnsi="Arial" w:cs="Arial"/>
          <w:sz w:val="22"/>
          <w:szCs w:val="22"/>
        </w:rPr>
        <w:footnoteReference w:id="10"/>
      </w:r>
      <w:r w:rsidR="00D014C4" w:rsidRPr="00FF4929">
        <w:rPr>
          <w:rFonts w:ascii="Arial" w:hAnsi="Arial" w:cs="Arial"/>
          <w:sz w:val="22"/>
          <w:szCs w:val="22"/>
        </w:rPr>
        <w:t>.</w:t>
      </w:r>
      <w:r w:rsidR="00D014C4" w:rsidRPr="007438DD">
        <w:rPr>
          <w:rFonts w:ascii="Arial" w:hAnsi="Arial" w:cs="Arial"/>
          <w:szCs w:val="24"/>
        </w:rPr>
        <w:t xml:space="preserve"> Además, la Corte ha </w:t>
      </w:r>
      <w:r w:rsidR="00D014C4">
        <w:rPr>
          <w:rFonts w:ascii="Arial" w:hAnsi="Arial" w:cs="Arial"/>
          <w:szCs w:val="24"/>
        </w:rPr>
        <w:t xml:space="preserve">sido </w:t>
      </w:r>
      <w:r w:rsidR="00D014C4" w:rsidRPr="007438DD">
        <w:rPr>
          <w:rFonts w:ascii="Arial" w:hAnsi="Arial" w:cs="Arial"/>
          <w:szCs w:val="24"/>
        </w:rPr>
        <w:t>reitera</w:t>
      </w:r>
      <w:r w:rsidR="00D014C4">
        <w:rPr>
          <w:rFonts w:ascii="Arial" w:hAnsi="Arial" w:cs="Arial"/>
          <w:szCs w:val="24"/>
        </w:rPr>
        <w:t xml:space="preserve">tiva en </w:t>
      </w:r>
      <w:r w:rsidR="00D014C4" w:rsidRPr="007438DD">
        <w:rPr>
          <w:rFonts w:ascii="Arial" w:hAnsi="Arial" w:cs="Arial"/>
          <w:szCs w:val="24"/>
        </w:rPr>
        <w:t>su criterio</w:t>
      </w:r>
      <w:r w:rsidR="00D014C4" w:rsidRPr="007438DD">
        <w:rPr>
          <w:rStyle w:val="Appelnotedebasdep"/>
          <w:rFonts w:ascii="Arial" w:hAnsi="Arial"/>
          <w:szCs w:val="24"/>
        </w:rPr>
        <w:footnoteReference w:id="11"/>
      </w:r>
      <w:r w:rsidR="00D014C4" w:rsidRPr="007438DD">
        <w:rPr>
          <w:rFonts w:ascii="Arial" w:hAnsi="Arial" w:cs="Arial"/>
          <w:szCs w:val="24"/>
        </w:rPr>
        <w:t>(</w:t>
      </w:r>
      <w:r w:rsidR="00D014C4">
        <w:rPr>
          <w:rFonts w:ascii="Arial" w:hAnsi="Arial" w:cs="Arial"/>
          <w:szCs w:val="24"/>
        </w:rPr>
        <w:t>2016</w:t>
      </w:r>
      <w:r w:rsidR="00D014C4" w:rsidRPr="007438DD">
        <w:rPr>
          <w:rFonts w:ascii="Arial" w:hAnsi="Arial" w:cs="Arial"/>
          <w:szCs w:val="24"/>
        </w:rPr>
        <w:t>)</w:t>
      </w:r>
      <w:r w:rsidR="00D014C4">
        <w:rPr>
          <w:rStyle w:val="Appelnotedebasdep"/>
          <w:rFonts w:ascii="Arial" w:hAnsi="Arial"/>
          <w:szCs w:val="24"/>
        </w:rPr>
        <w:footnoteReference w:id="12"/>
      </w:r>
      <w:r w:rsidR="00D014C4" w:rsidRPr="007438DD">
        <w:rPr>
          <w:rFonts w:ascii="Arial" w:hAnsi="Arial" w:cs="Arial"/>
          <w:szCs w:val="24"/>
        </w:rPr>
        <w:t>.</w:t>
      </w:r>
      <w:r w:rsidR="00016AA1">
        <w:rPr>
          <w:rFonts w:ascii="Arial" w:hAnsi="Arial" w:cs="Arial"/>
          <w:szCs w:val="24"/>
        </w:rPr>
        <w:t xml:space="preserve"> </w:t>
      </w:r>
      <w:r w:rsidR="00D014C4" w:rsidRPr="00F164B1">
        <w:rPr>
          <w:rFonts w:ascii="Arial" w:hAnsi="Arial" w:cs="Arial"/>
        </w:rPr>
        <w:t xml:space="preserve">También la </w:t>
      </w:r>
      <w:r w:rsidR="00061050">
        <w:rPr>
          <w:rFonts w:ascii="Arial" w:hAnsi="Arial" w:cs="Arial"/>
        </w:rPr>
        <w:t>CSJ</w:t>
      </w:r>
      <w:r w:rsidR="00D014C4" w:rsidRPr="00F164B1">
        <w:rPr>
          <w:rFonts w:ascii="Arial" w:hAnsi="Arial" w:cs="Arial"/>
        </w:rPr>
        <w:t xml:space="preserve"> se ha referido al tema</w:t>
      </w:r>
      <w:r w:rsidR="00D014C4" w:rsidRPr="00F164B1">
        <w:rPr>
          <w:rStyle w:val="Appelnotedebasdep"/>
          <w:rFonts w:ascii="Arial" w:hAnsi="Arial" w:cs="Arial"/>
        </w:rPr>
        <w:footnoteReference w:id="13"/>
      </w:r>
      <w:r w:rsidR="00D014C4" w:rsidRPr="00F164B1">
        <w:rPr>
          <w:rFonts w:ascii="Arial" w:hAnsi="Arial" w:cs="Arial"/>
          <w:vertAlign w:val="superscript"/>
        </w:rPr>
        <w:t>-</w:t>
      </w:r>
      <w:r w:rsidR="00D014C4" w:rsidRPr="00F164B1">
        <w:rPr>
          <w:rStyle w:val="Appelnotedebasdep"/>
          <w:rFonts w:ascii="Arial" w:hAnsi="Arial"/>
        </w:rPr>
        <w:footnoteReference w:id="14"/>
      </w:r>
      <w:r w:rsidR="00D014C4" w:rsidRPr="00F164B1">
        <w:rPr>
          <w:rFonts w:ascii="Arial" w:hAnsi="Arial" w:cs="Arial"/>
        </w:rPr>
        <w:t xml:space="preserve"> (2016)</w:t>
      </w:r>
      <w:r w:rsidR="00D014C4" w:rsidRPr="00F164B1">
        <w:rPr>
          <w:rStyle w:val="Appelnotedebasdep"/>
          <w:rFonts w:ascii="Arial" w:hAnsi="Arial"/>
        </w:rPr>
        <w:footnoteReference w:id="15"/>
      </w:r>
      <w:r w:rsidR="00D014C4" w:rsidRPr="00F164B1">
        <w:rPr>
          <w:rFonts w:ascii="Arial" w:hAnsi="Arial" w:cs="Arial"/>
        </w:rPr>
        <w:t xml:space="preserve">, </w:t>
      </w:r>
      <w:proofErr w:type="spellStart"/>
      <w:r w:rsidR="00D014C4" w:rsidRPr="00F164B1">
        <w:rPr>
          <w:rFonts w:ascii="Arial" w:hAnsi="Arial" w:cs="Arial"/>
        </w:rPr>
        <w:t>prohija</w:t>
      </w:r>
      <w:proofErr w:type="spellEnd"/>
      <w:r w:rsidR="00D014C4" w:rsidRPr="00F164B1">
        <w:rPr>
          <w:rFonts w:ascii="Arial" w:hAnsi="Arial" w:cs="Arial"/>
        </w:rPr>
        <w:t xml:space="preserve"> la improcedencia de la tutela por aplicación del principio de subsidiariedad.</w:t>
      </w:r>
    </w:p>
    <w:p w:rsidR="00CA76CB" w:rsidRPr="00F164B1" w:rsidRDefault="00CA76CB" w:rsidP="00016AA1">
      <w:pPr>
        <w:pStyle w:val="Corpsdetexte"/>
        <w:tabs>
          <w:tab w:val="clear" w:pos="0"/>
        </w:tabs>
        <w:spacing w:line="360" w:lineRule="auto"/>
        <w:rPr>
          <w:rFonts w:ascii="Arial" w:hAnsi="Arial" w:cs="Arial"/>
        </w:rPr>
      </w:pPr>
    </w:p>
    <w:p w:rsidR="008E1295" w:rsidRPr="00F35120" w:rsidRDefault="00F35120" w:rsidP="00952597">
      <w:pPr>
        <w:pStyle w:val="Corpsdetexte"/>
        <w:numPr>
          <w:ilvl w:val="0"/>
          <w:numId w:val="18"/>
        </w:numPr>
        <w:spacing w:line="360" w:lineRule="auto"/>
        <w:rPr>
          <w:rFonts w:ascii="Arial" w:hAnsi="Arial"/>
          <w:smallCaps/>
          <w:sz w:val="28"/>
          <w:szCs w:val="28"/>
        </w:rPr>
      </w:pPr>
      <w:r>
        <w:rPr>
          <w:rFonts w:ascii="Arial" w:hAnsi="Arial"/>
          <w:smallCaps/>
          <w:sz w:val="28"/>
          <w:szCs w:val="28"/>
        </w:rPr>
        <w:t>E</w:t>
      </w:r>
      <w:r w:rsidRPr="00F35120">
        <w:rPr>
          <w:rFonts w:ascii="Arial" w:hAnsi="Arial"/>
          <w:smallCaps/>
          <w:sz w:val="28"/>
          <w:szCs w:val="28"/>
        </w:rPr>
        <w:t xml:space="preserve">l caso concreto </w:t>
      </w:r>
    </w:p>
    <w:p w:rsidR="008139F4" w:rsidRPr="00F164B1" w:rsidRDefault="008139F4" w:rsidP="008139F4">
      <w:pPr>
        <w:pStyle w:val="Corpsdetexte"/>
        <w:spacing w:line="360" w:lineRule="auto"/>
        <w:ind w:left="400"/>
        <w:rPr>
          <w:rFonts w:ascii="Arial" w:hAnsi="Arial"/>
          <w:szCs w:val="24"/>
        </w:rPr>
      </w:pPr>
    </w:p>
    <w:p w:rsidR="00A968A3" w:rsidRPr="00F164B1" w:rsidRDefault="00A968A3" w:rsidP="00A968A3">
      <w:pPr>
        <w:spacing w:line="360" w:lineRule="auto"/>
        <w:jc w:val="both"/>
        <w:rPr>
          <w:rFonts w:ascii="Arial" w:hAnsi="Arial" w:cs="Arial"/>
          <w:lang w:val="es-ES_tradnl"/>
        </w:rPr>
      </w:pPr>
      <w:r w:rsidRPr="00F164B1">
        <w:rPr>
          <w:rFonts w:ascii="Arial" w:hAnsi="Arial" w:cs="Arial"/>
          <w:lang w:val="es-ES_tradnl"/>
        </w:rPr>
        <w:t>Puesto que los requisitos generales de procedibilidad son concurrentes, esto es, incumplido uno, se torna inane el examen de los demás, menos podrían revisarse los supuestos especiales, el análisis que sigue se limitará a la subsidiariedad, porque es el elemento que se advierte ausente y resulta suficiente para el fracaso del amparo.</w:t>
      </w:r>
    </w:p>
    <w:p w:rsidR="00A968A3" w:rsidRPr="00F164B1" w:rsidRDefault="00A968A3" w:rsidP="00A968A3">
      <w:pPr>
        <w:spacing w:line="360" w:lineRule="auto"/>
        <w:jc w:val="both"/>
        <w:rPr>
          <w:rFonts w:ascii="Arial" w:hAnsi="Arial" w:cs="Arial"/>
          <w:lang w:val="es-ES_tradnl"/>
        </w:rPr>
      </w:pPr>
    </w:p>
    <w:p w:rsidR="00A968A3" w:rsidRPr="00A80FCC" w:rsidRDefault="00A968A3" w:rsidP="00A968A3">
      <w:pPr>
        <w:spacing w:line="360" w:lineRule="auto"/>
        <w:jc w:val="both"/>
        <w:rPr>
          <w:rFonts w:ascii="Arial" w:hAnsi="Arial" w:cs="Arial"/>
        </w:rPr>
      </w:pPr>
      <w:r w:rsidRPr="00F164B1">
        <w:rPr>
          <w:rFonts w:ascii="Arial" w:hAnsi="Arial" w:cs="Arial"/>
          <w:lang w:val="es-ES_tradnl"/>
        </w:rPr>
        <w:t xml:space="preserve">El actor se duele porque el </w:t>
      </w:r>
      <w:r w:rsidRPr="00EE1C51">
        <w:rPr>
          <w:rFonts w:ascii="Arial" w:hAnsi="Arial" w:cs="Arial"/>
          <w:color w:val="000000"/>
        </w:rPr>
        <w:t>Juzgado</w:t>
      </w:r>
      <w:r>
        <w:rPr>
          <w:rFonts w:ascii="Arial" w:hAnsi="Arial" w:cs="Arial"/>
          <w:color w:val="000000"/>
        </w:rPr>
        <w:t xml:space="preserve"> Tercero Civil del Circuito de Pereira</w:t>
      </w:r>
      <w:r w:rsidRPr="00F164B1">
        <w:rPr>
          <w:rFonts w:ascii="Arial" w:hAnsi="Arial" w:cs="Arial"/>
          <w:lang w:val="es-ES_tradnl"/>
        </w:rPr>
        <w:t>, R. no</w:t>
      </w:r>
      <w:r>
        <w:rPr>
          <w:rFonts w:ascii="Arial" w:hAnsi="Arial" w:cs="Arial"/>
          <w:lang w:val="es-ES_tradnl"/>
        </w:rPr>
        <w:t xml:space="preserve"> </w:t>
      </w:r>
      <w:r w:rsidRPr="00A80FCC">
        <w:rPr>
          <w:rFonts w:ascii="Arial" w:hAnsi="Arial" w:cs="Arial"/>
          <w:lang w:val="es-ES_tradnl"/>
        </w:rPr>
        <w:t>asumió el conocimiento de la acci</w:t>
      </w:r>
      <w:r>
        <w:rPr>
          <w:rFonts w:ascii="Arial" w:hAnsi="Arial" w:cs="Arial"/>
          <w:lang w:val="es-ES_tradnl"/>
        </w:rPr>
        <w:t>ón p</w:t>
      </w:r>
      <w:r w:rsidRPr="00A80FCC">
        <w:rPr>
          <w:rFonts w:ascii="Arial" w:hAnsi="Arial" w:cs="Arial"/>
          <w:lang w:val="es-ES_tradnl"/>
        </w:rPr>
        <w:t>opular a pesar de que la entidad accionada tiene su domicilio en es</w:t>
      </w:r>
      <w:r>
        <w:rPr>
          <w:rFonts w:ascii="Arial" w:hAnsi="Arial" w:cs="Arial"/>
          <w:lang w:val="es-ES_tradnl"/>
        </w:rPr>
        <w:t>t</w:t>
      </w:r>
      <w:r w:rsidRPr="00A80FCC">
        <w:rPr>
          <w:rFonts w:ascii="Arial" w:hAnsi="Arial" w:cs="Arial"/>
          <w:lang w:val="es-ES_tradnl"/>
        </w:rPr>
        <w:t xml:space="preserve">a localidad (Artículo 16, Ley 472). </w:t>
      </w:r>
    </w:p>
    <w:p w:rsidR="00A968A3" w:rsidRPr="00A968A3" w:rsidRDefault="00A968A3" w:rsidP="00A968A3">
      <w:pPr>
        <w:pStyle w:val="Corpsdetexte"/>
        <w:spacing w:line="360" w:lineRule="auto"/>
        <w:rPr>
          <w:rFonts w:ascii="Arial" w:hAnsi="Arial" w:cs="Arial"/>
          <w:szCs w:val="24"/>
          <w:lang w:val="es-ES"/>
        </w:rPr>
      </w:pPr>
    </w:p>
    <w:p w:rsidR="00A968A3" w:rsidRPr="00A80FCC" w:rsidRDefault="00A968A3" w:rsidP="00A968A3">
      <w:pPr>
        <w:spacing w:line="360" w:lineRule="auto"/>
        <w:jc w:val="both"/>
        <w:rPr>
          <w:rFonts w:ascii="Arial" w:hAnsi="Arial" w:cs="Arial"/>
          <w:lang w:val="es-ES_tradnl"/>
        </w:rPr>
      </w:pPr>
      <w:r w:rsidRPr="00A80FCC">
        <w:rPr>
          <w:rFonts w:ascii="Arial" w:hAnsi="Arial" w:cs="Arial"/>
          <w:lang w:val="es-ES_tradnl"/>
        </w:rPr>
        <w:t xml:space="preserve">Conforme al acervo probatorio </w:t>
      </w:r>
      <w:r>
        <w:rPr>
          <w:rFonts w:ascii="Arial" w:hAnsi="Arial" w:cs="Arial"/>
          <w:lang w:val="es-ES_tradnl"/>
        </w:rPr>
        <w:t xml:space="preserve">el despacho judicial accionado </w:t>
      </w:r>
      <w:r w:rsidRPr="00A80FCC">
        <w:rPr>
          <w:rFonts w:ascii="Arial" w:hAnsi="Arial" w:cs="Arial"/>
          <w:lang w:val="es-ES_tradnl"/>
        </w:rPr>
        <w:t>mediante proveído</w:t>
      </w:r>
      <w:r>
        <w:rPr>
          <w:rFonts w:ascii="Arial" w:hAnsi="Arial" w:cs="Arial"/>
          <w:lang w:val="es-ES_tradnl"/>
        </w:rPr>
        <w:t xml:space="preserve"> </w:t>
      </w:r>
      <w:r w:rsidRPr="00A80FCC">
        <w:rPr>
          <w:rFonts w:ascii="Arial" w:hAnsi="Arial" w:cs="Arial"/>
          <w:lang w:val="es-ES_tradnl"/>
        </w:rPr>
        <w:t>dictado el día 2</w:t>
      </w:r>
      <w:r>
        <w:rPr>
          <w:rFonts w:ascii="Arial" w:hAnsi="Arial" w:cs="Arial"/>
          <w:lang w:val="es-ES_tradnl"/>
        </w:rPr>
        <w:t>8</w:t>
      </w:r>
      <w:r w:rsidRPr="00A80FCC">
        <w:rPr>
          <w:rFonts w:ascii="Arial" w:hAnsi="Arial" w:cs="Arial"/>
          <w:lang w:val="es-ES_tradnl"/>
        </w:rPr>
        <w:t>-</w:t>
      </w:r>
      <w:r>
        <w:rPr>
          <w:rFonts w:ascii="Arial" w:hAnsi="Arial" w:cs="Arial"/>
          <w:lang w:val="es-ES_tradnl"/>
        </w:rPr>
        <w:t>11</w:t>
      </w:r>
      <w:r w:rsidRPr="00A80FCC">
        <w:rPr>
          <w:rFonts w:ascii="Arial" w:hAnsi="Arial" w:cs="Arial"/>
          <w:lang w:val="es-ES_tradnl"/>
        </w:rPr>
        <w:t>-2016 rechazó la acci</w:t>
      </w:r>
      <w:r>
        <w:rPr>
          <w:rFonts w:ascii="Arial" w:hAnsi="Arial" w:cs="Arial"/>
          <w:lang w:val="es-ES_tradnl"/>
        </w:rPr>
        <w:t>ón p</w:t>
      </w:r>
      <w:r w:rsidRPr="00A80FCC">
        <w:rPr>
          <w:rFonts w:ascii="Arial" w:hAnsi="Arial" w:cs="Arial"/>
          <w:lang w:val="es-ES_tradnl"/>
        </w:rPr>
        <w:t xml:space="preserve">opular </w:t>
      </w:r>
      <w:r>
        <w:rPr>
          <w:rFonts w:ascii="Arial" w:hAnsi="Arial" w:cs="Arial"/>
          <w:lang w:val="es-ES_tradnl"/>
        </w:rPr>
        <w:t xml:space="preserve">No.2016-00556-00 </w:t>
      </w:r>
      <w:r w:rsidRPr="00A80FCC">
        <w:rPr>
          <w:rFonts w:ascii="Arial" w:hAnsi="Arial" w:cs="Arial"/>
          <w:lang w:val="es-ES_tradnl"/>
        </w:rPr>
        <w:t>por carecer de competencia y ordenó su envío a</w:t>
      </w:r>
      <w:r>
        <w:rPr>
          <w:rFonts w:ascii="Arial" w:hAnsi="Arial" w:cs="Arial"/>
          <w:lang w:val="es-ES_tradnl"/>
        </w:rPr>
        <w:t xml:space="preserve"> </w:t>
      </w:r>
      <w:r w:rsidRPr="00A80FCC">
        <w:rPr>
          <w:rFonts w:ascii="Arial" w:hAnsi="Arial" w:cs="Arial"/>
          <w:lang w:val="es-ES_tradnl"/>
        </w:rPr>
        <w:t>l</w:t>
      </w:r>
      <w:r>
        <w:rPr>
          <w:rFonts w:ascii="Arial" w:hAnsi="Arial" w:cs="Arial"/>
          <w:lang w:val="es-ES_tradnl"/>
        </w:rPr>
        <w:t>os</w:t>
      </w:r>
      <w:r w:rsidRPr="00A80FCC">
        <w:rPr>
          <w:rFonts w:ascii="Arial" w:hAnsi="Arial" w:cs="Arial"/>
          <w:lang w:val="es-ES_tradnl"/>
        </w:rPr>
        <w:t xml:space="preserve"> Juzgado</w:t>
      </w:r>
      <w:r>
        <w:rPr>
          <w:rFonts w:ascii="Arial" w:hAnsi="Arial" w:cs="Arial"/>
          <w:lang w:val="es-ES_tradnl"/>
        </w:rPr>
        <w:t>s</w:t>
      </w:r>
      <w:r w:rsidRPr="00A80FCC">
        <w:rPr>
          <w:rFonts w:ascii="Arial" w:hAnsi="Arial" w:cs="Arial"/>
          <w:lang w:val="es-ES_tradnl"/>
        </w:rPr>
        <w:t xml:space="preserve"> </w:t>
      </w:r>
      <w:r>
        <w:rPr>
          <w:rFonts w:ascii="Arial" w:hAnsi="Arial" w:cs="Arial"/>
          <w:lang w:val="es-ES_tradnl"/>
        </w:rPr>
        <w:t xml:space="preserve">Civiles del Circuito (Reparto) de Bogotá </w:t>
      </w:r>
      <w:r w:rsidRPr="00A80FCC">
        <w:rPr>
          <w:rFonts w:ascii="Arial" w:hAnsi="Arial" w:cs="Arial"/>
          <w:lang w:val="es-ES_tradnl"/>
        </w:rPr>
        <w:t>(Folio</w:t>
      </w:r>
      <w:r w:rsidR="000D485C">
        <w:rPr>
          <w:rFonts w:ascii="Arial" w:hAnsi="Arial" w:cs="Arial"/>
          <w:lang w:val="es-ES_tradnl"/>
        </w:rPr>
        <w:t xml:space="preserve"> 12- </w:t>
      </w:r>
      <w:proofErr w:type="spellStart"/>
      <w:r w:rsidR="000D485C">
        <w:rPr>
          <w:rFonts w:ascii="Arial" w:hAnsi="Arial" w:cs="Arial"/>
          <w:lang w:val="es-ES_tradnl"/>
        </w:rPr>
        <w:t>vto</w:t>
      </w:r>
      <w:proofErr w:type="spellEnd"/>
      <w:r>
        <w:rPr>
          <w:rFonts w:ascii="Arial" w:hAnsi="Arial" w:cs="Arial"/>
          <w:lang w:val="es-ES_tradnl"/>
        </w:rPr>
        <w:t xml:space="preserve">, ib.), </w:t>
      </w:r>
      <w:r w:rsidR="000D485C">
        <w:rPr>
          <w:rFonts w:ascii="Arial" w:hAnsi="Arial" w:cs="Arial"/>
          <w:lang w:val="es-ES_tradnl"/>
        </w:rPr>
        <w:t>sin ser</w:t>
      </w:r>
      <w:r>
        <w:rPr>
          <w:rFonts w:ascii="Arial" w:hAnsi="Arial" w:cs="Arial"/>
          <w:lang w:val="es-ES_tradnl"/>
        </w:rPr>
        <w:t xml:space="preserve"> recurrido y </w:t>
      </w:r>
      <w:r w:rsidR="000D485C">
        <w:rPr>
          <w:rFonts w:ascii="Arial" w:hAnsi="Arial" w:cs="Arial"/>
          <w:lang w:val="es-ES_tradnl"/>
        </w:rPr>
        <w:t>e</w:t>
      </w:r>
      <w:r>
        <w:rPr>
          <w:rFonts w:ascii="Arial" w:hAnsi="Arial" w:cs="Arial"/>
          <w:lang w:val="es-ES_tradnl"/>
        </w:rPr>
        <w:t xml:space="preserve">l expediente </w:t>
      </w:r>
      <w:r w:rsidR="000D485C">
        <w:rPr>
          <w:rFonts w:ascii="Arial" w:hAnsi="Arial" w:cs="Arial"/>
          <w:lang w:val="es-ES_tradnl"/>
        </w:rPr>
        <w:t xml:space="preserve">fue remitido </w:t>
      </w:r>
      <w:r>
        <w:rPr>
          <w:rFonts w:ascii="Arial" w:hAnsi="Arial" w:cs="Arial"/>
          <w:lang w:val="es-ES_tradnl"/>
        </w:rPr>
        <w:t xml:space="preserve">el 07-12-2016 </w:t>
      </w:r>
      <w:r w:rsidRPr="00A80FCC">
        <w:rPr>
          <w:rFonts w:ascii="Arial" w:hAnsi="Arial" w:cs="Arial"/>
          <w:lang w:val="es-ES_tradnl"/>
        </w:rPr>
        <w:t>(Folio</w:t>
      </w:r>
      <w:r w:rsidR="000D485C">
        <w:rPr>
          <w:rFonts w:ascii="Arial" w:hAnsi="Arial" w:cs="Arial"/>
          <w:lang w:val="es-ES_tradnl"/>
        </w:rPr>
        <w:t xml:space="preserve"> 12</w:t>
      </w:r>
      <w:r w:rsidRPr="00A80FCC">
        <w:rPr>
          <w:rFonts w:ascii="Arial" w:hAnsi="Arial" w:cs="Arial"/>
          <w:lang w:val="es-ES_tradnl"/>
        </w:rPr>
        <w:t>, ib.).</w:t>
      </w:r>
    </w:p>
    <w:p w:rsidR="00A968A3" w:rsidRPr="00A80FCC" w:rsidRDefault="00A968A3" w:rsidP="00A968A3">
      <w:pPr>
        <w:pStyle w:val="Corpsdetexte"/>
        <w:spacing w:line="360" w:lineRule="auto"/>
        <w:rPr>
          <w:rFonts w:ascii="Arial" w:hAnsi="Arial" w:cs="Arial"/>
          <w:szCs w:val="24"/>
        </w:rPr>
      </w:pPr>
    </w:p>
    <w:p w:rsidR="00A968A3" w:rsidRPr="00A80FCC" w:rsidRDefault="00A968A3" w:rsidP="00A968A3">
      <w:pPr>
        <w:spacing w:line="360" w:lineRule="auto"/>
        <w:ind w:right="51"/>
        <w:jc w:val="both"/>
        <w:rPr>
          <w:rFonts w:ascii="Arial" w:hAnsi="Arial" w:cs="Arial"/>
        </w:rPr>
      </w:pPr>
      <w:r w:rsidRPr="00A80FCC">
        <w:rPr>
          <w:rFonts w:ascii="Arial" w:hAnsi="Arial" w:cs="Arial"/>
        </w:rPr>
        <w:t xml:space="preserve">Sin que sea necesario ahondar en el asunto, hay que decir que a estas alturas de las diligencias </w:t>
      </w:r>
      <w:r w:rsidR="000D485C">
        <w:rPr>
          <w:rFonts w:ascii="Arial" w:hAnsi="Arial" w:cs="Arial"/>
        </w:rPr>
        <w:t xml:space="preserve">del </w:t>
      </w:r>
      <w:r w:rsidRPr="00A80FCC">
        <w:rPr>
          <w:rFonts w:ascii="Arial" w:hAnsi="Arial" w:cs="Arial"/>
        </w:rPr>
        <w:t xml:space="preserve">amparo se torna prematuro porque se desconoce si </w:t>
      </w:r>
      <w:r w:rsidR="000D485C">
        <w:rPr>
          <w:rFonts w:ascii="Arial" w:hAnsi="Arial" w:cs="Arial"/>
        </w:rPr>
        <w:t>e</w:t>
      </w:r>
      <w:r w:rsidRPr="00A80FCC">
        <w:rPr>
          <w:rFonts w:ascii="Arial" w:hAnsi="Arial" w:cs="Arial"/>
        </w:rPr>
        <w:t xml:space="preserve">l juzgado al cual se reparta la </w:t>
      </w:r>
      <w:r w:rsidR="000D485C" w:rsidRPr="00A80FCC">
        <w:rPr>
          <w:rFonts w:ascii="Arial" w:hAnsi="Arial" w:cs="Arial"/>
          <w:lang w:val="es-ES_tradnl"/>
        </w:rPr>
        <w:t>acci</w:t>
      </w:r>
      <w:r w:rsidR="000D485C">
        <w:rPr>
          <w:rFonts w:ascii="Arial" w:hAnsi="Arial" w:cs="Arial"/>
          <w:lang w:val="es-ES_tradnl"/>
        </w:rPr>
        <w:t>ón p</w:t>
      </w:r>
      <w:r w:rsidR="000D485C" w:rsidRPr="00A80FCC">
        <w:rPr>
          <w:rFonts w:ascii="Arial" w:hAnsi="Arial" w:cs="Arial"/>
          <w:lang w:val="es-ES_tradnl"/>
        </w:rPr>
        <w:t>opular</w:t>
      </w:r>
      <w:r w:rsidRPr="00A80FCC">
        <w:rPr>
          <w:rFonts w:ascii="Arial" w:hAnsi="Arial" w:cs="Arial"/>
        </w:rPr>
        <w:t xml:space="preserve">, asumirá su conocimiento o provocará el conflicto negativo de competencia, lo que </w:t>
      </w:r>
      <w:r w:rsidRPr="00A80FCC">
        <w:rPr>
          <w:rFonts w:ascii="Arial" w:hAnsi="Arial" w:cs="Arial"/>
          <w:bCs/>
        </w:rPr>
        <w:t>revelará</w:t>
      </w:r>
      <w:r w:rsidRPr="00A80FCC">
        <w:rPr>
          <w:rFonts w:ascii="Arial" w:hAnsi="Arial" w:cs="Arial"/>
        </w:rPr>
        <w:t xml:space="preserve"> </w:t>
      </w:r>
      <w:r>
        <w:rPr>
          <w:rFonts w:ascii="Arial" w:hAnsi="Arial" w:cs="Arial"/>
        </w:rPr>
        <w:t xml:space="preserve">al actor </w:t>
      </w:r>
      <w:r w:rsidRPr="00A80FCC">
        <w:rPr>
          <w:rFonts w:ascii="Arial" w:hAnsi="Arial" w:cs="Arial"/>
        </w:rPr>
        <w:t>el competente para tramitarla</w:t>
      </w:r>
      <w:r>
        <w:rPr>
          <w:rFonts w:ascii="Arial" w:hAnsi="Arial" w:cs="Arial"/>
        </w:rPr>
        <w:t>,</w:t>
      </w:r>
      <w:r w:rsidRPr="00A80FCC">
        <w:rPr>
          <w:rFonts w:ascii="Arial" w:hAnsi="Arial" w:cs="Arial"/>
        </w:rPr>
        <w:t xml:space="preserve"> además, frente a esa decisi</w:t>
      </w:r>
      <w:r w:rsidR="000D485C">
        <w:rPr>
          <w:rFonts w:ascii="Arial" w:hAnsi="Arial" w:cs="Arial"/>
        </w:rPr>
        <w:t xml:space="preserve">ón </w:t>
      </w:r>
      <w:r w:rsidRPr="00A80FCC">
        <w:rPr>
          <w:rFonts w:ascii="Arial" w:hAnsi="Arial" w:cs="Arial"/>
        </w:rPr>
        <w:t xml:space="preserve">surgirá la oportunidad </w:t>
      </w:r>
      <w:r w:rsidRPr="00A80FCC">
        <w:rPr>
          <w:rFonts w:ascii="Arial" w:hAnsi="Arial" w:cs="Arial"/>
          <w:lang w:val="es-CO"/>
        </w:rPr>
        <w:t xml:space="preserve">de </w:t>
      </w:r>
      <w:r w:rsidRPr="00A80FCC">
        <w:rPr>
          <w:rFonts w:ascii="Arial" w:hAnsi="Arial" w:cs="Arial"/>
        </w:rPr>
        <w:t xml:space="preserve">recurrir, por manera que es improcedente el </w:t>
      </w:r>
      <w:r w:rsidRPr="00A80FCC">
        <w:rPr>
          <w:rFonts w:ascii="Arial" w:hAnsi="Arial" w:cs="Arial"/>
        </w:rPr>
        <w:lastRenderedPageBreak/>
        <w:t>amparo constitucional en razón a que el trámite en el que se alega la vulneración aún se encuentran en curso</w:t>
      </w:r>
      <w:r w:rsidRPr="00A80FCC">
        <w:rPr>
          <w:rFonts w:ascii="Arial" w:hAnsi="Arial" w:cs="Arial"/>
          <w:lang w:val="es-CO"/>
        </w:rPr>
        <w:t>.</w:t>
      </w:r>
      <w:r w:rsidRPr="00A80FCC">
        <w:rPr>
          <w:rFonts w:ascii="Arial" w:hAnsi="Arial" w:cs="Arial"/>
        </w:rPr>
        <w:t xml:space="preserve"> Así lo ha dispuesto la jurisprudencia de la Corte Constitucional</w:t>
      </w:r>
      <w:r w:rsidRPr="00A80FCC">
        <w:rPr>
          <w:rStyle w:val="Appelnotedebasdep"/>
          <w:rFonts w:ascii="Arial" w:hAnsi="Arial"/>
        </w:rPr>
        <w:footnoteReference w:id="16"/>
      </w:r>
      <w:r w:rsidRPr="00A80FCC">
        <w:rPr>
          <w:rFonts w:ascii="Arial" w:hAnsi="Arial" w:cs="Arial"/>
        </w:rPr>
        <w:t>, criterio también expuesto por la CSJ</w:t>
      </w:r>
      <w:r w:rsidRPr="00A80FCC">
        <w:rPr>
          <w:rStyle w:val="Appelnotedebasdep"/>
          <w:rFonts w:ascii="Arial" w:hAnsi="Arial"/>
        </w:rPr>
        <w:footnoteReference w:id="17"/>
      </w:r>
      <w:r w:rsidRPr="00A80FCC">
        <w:rPr>
          <w:rFonts w:ascii="Arial" w:hAnsi="Arial" w:cs="Arial"/>
        </w:rPr>
        <w:t>.</w:t>
      </w:r>
    </w:p>
    <w:p w:rsidR="00A968A3" w:rsidRPr="00A80FCC" w:rsidRDefault="00A968A3" w:rsidP="00A968A3">
      <w:pPr>
        <w:pStyle w:val="Corpsdetexte"/>
        <w:spacing w:line="360" w:lineRule="auto"/>
        <w:rPr>
          <w:rFonts w:ascii="Arial" w:hAnsi="Arial" w:cs="Arial"/>
          <w:szCs w:val="24"/>
        </w:rPr>
      </w:pPr>
    </w:p>
    <w:p w:rsidR="00A968A3" w:rsidRDefault="00A968A3" w:rsidP="00A968A3">
      <w:pPr>
        <w:spacing w:line="360" w:lineRule="auto"/>
        <w:ind w:right="51"/>
        <w:jc w:val="both"/>
        <w:rPr>
          <w:rFonts w:ascii="Arial" w:hAnsi="Arial" w:cs="Arial"/>
        </w:rPr>
      </w:pPr>
      <w:r w:rsidRPr="00A80FCC">
        <w:rPr>
          <w:rFonts w:ascii="Arial" w:hAnsi="Arial" w:cs="Arial"/>
          <w:lang w:val="es-ES_tradnl"/>
        </w:rPr>
        <w:t xml:space="preserve">Evidente, entonces, es la falta de agotamiento del supuesto de subsidiariedad, como ha explicado </w:t>
      </w:r>
      <w:r w:rsidRPr="00A80FCC">
        <w:rPr>
          <w:rFonts w:ascii="Arial" w:hAnsi="Arial" w:cs="Arial"/>
        </w:rPr>
        <w:t xml:space="preserve">la Corte Constitucional, que reiteradamente ha referido que la acción de tutela no 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 xml:space="preserve">problemas jurídicos que deben ser resueltos </w:t>
      </w:r>
      <w:r>
        <w:rPr>
          <w:rFonts w:ascii="Arial" w:hAnsi="Arial" w:cs="Arial"/>
          <w:shd w:val="clear" w:color="auto" w:fill="FFFFFF"/>
        </w:rPr>
        <w:t xml:space="preserve">dentro </w:t>
      </w:r>
      <w:r w:rsidRPr="00A80FCC">
        <w:rPr>
          <w:rFonts w:ascii="Arial" w:hAnsi="Arial" w:cs="Arial"/>
          <w:shd w:val="clear" w:color="auto" w:fill="FFFFFF"/>
        </w:rPr>
        <w:t>del trámite ordinario</w:t>
      </w:r>
      <w:r w:rsidRPr="00A80FCC">
        <w:rPr>
          <w:rStyle w:val="Appelnotedebasdep"/>
          <w:rFonts w:ascii="Arial" w:hAnsi="Arial" w:cs="Arial"/>
        </w:rPr>
        <w:footnoteReference w:id="18"/>
      </w:r>
      <w:r w:rsidRPr="00A80FCC">
        <w:rPr>
          <w:rFonts w:ascii="Arial" w:hAnsi="Arial" w:cs="Arial"/>
        </w:rPr>
        <w:t xml:space="preserve">. </w:t>
      </w:r>
    </w:p>
    <w:p w:rsidR="00A968A3" w:rsidRPr="007B4BBC" w:rsidRDefault="00A968A3" w:rsidP="00A968A3">
      <w:pPr>
        <w:spacing w:line="360" w:lineRule="auto"/>
        <w:ind w:right="51"/>
        <w:jc w:val="both"/>
        <w:rPr>
          <w:rFonts w:ascii="Arial" w:hAnsi="Arial" w:cs="Arial"/>
          <w:sz w:val="20"/>
        </w:rPr>
      </w:pPr>
    </w:p>
    <w:p w:rsidR="00A968A3" w:rsidRPr="00A80FCC" w:rsidRDefault="00A968A3" w:rsidP="00A968A3">
      <w:pPr>
        <w:spacing w:line="360" w:lineRule="auto"/>
        <w:ind w:right="51"/>
        <w:jc w:val="both"/>
        <w:rPr>
          <w:rFonts w:ascii="Arial" w:hAnsi="Arial"/>
        </w:rPr>
      </w:pPr>
      <w:r w:rsidRPr="00A80FCC">
        <w:rPr>
          <w:rFonts w:ascii="Arial" w:hAnsi="Arial"/>
        </w:rPr>
        <w:t xml:space="preserve">Cabe acotar que nada se arguyó y menos acreditó por parte del accionante, de forma que pudiera estimarse </w:t>
      </w:r>
      <w:r w:rsidRPr="00A80FCC">
        <w:rPr>
          <w:rFonts w:ascii="Arial" w:hAnsi="Arial" w:cs="Arial"/>
          <w:bCs/>
          <w:lang w:val="es-CO"/>
        </w:rPr>
        <w:t>que es una persona que requiere de protección reforzada</w:t>
      </w:r>
      <w:r w:rsidRPr="00A80FCC">
        <w:rPr>
          <w:rStyle w:val="Appelnotedebasdep"/>
          <w:rFonts w:ascii="Arial" w:hAnsi="Arial"/>
          <w:bCs/>
          <w:lang w:val="es-CO"/>
        </w:rPr>
        <w:footnoteReference w:id="19"/>
      </w:r>
      <w:r w:rsidRPr="00A80FCC">
        <w:rPr>
          <w:rFonts w:ascii="Arial" w:hAnsi="Arial" w:cs="Arial"/>
          <w:bCs/>
          <w:lang w:val="es-CO"/>
        </w:rPr>
        <w:t>, de tal modo que amerite un análisis flexible del requisito de procedibilidad echado de menos</w:t>
      </w:r>
      <w:r w:rsidRPr="00A80FCC">
        <w:rPr>
          <w:rFonts w:ascii="Arial" w:hAnsi="Arial"/>
        </w:rPr>
        <w:t>.</w:t>
      </w:r>
    </w:p>
    <w:p w:rsidR="00A968A3" w:rsidRPr="007B4BBC" w:rsidRDefault="00A968A3" w:rsidP="00A968A3">
      <w:pPr>
        <w:spacing w:line="360" w:lineRule="auto"/>
        <w:ind w:right="51"/>
        <w:jc w:val="both"/>
        <w:rPr>
          <w:rFonts w:ascii="Arial" w:hAnsi="Arial" w:cs="Arial"/>
          <w:sz w:val="20"/>
          <w:lang w:val="es-ES_tradnl"/>
        </w:rPr>
      </w:pPr>
    </w:p>
    <w:p w:rsidR="00A968A3" w:rsidRDefault="00A968A3" w:rsidP="00A968A3">
      <w:pPr>
        <w:spacing w:line="360" w:lineRule="auto"/>
        <w:ind w:right="51"/>
        <w:jc w:val="both"/>
        <w:rPr>
          <w:rFonts w:ascii="Arial" w:hAnsi="Arial"/>
        </w:rPr>
      </w:pPr>
      <w:r w:rsidRPr="00A80FCC">
        <w:rPr>
          <w:rFonts w:ascii="Arial" w:hAnsi="Arial" w:cs="Arial"/>
          <w:lang w:val="es-ES_tradnl"/>
        </w:rPr>
        <w:t xml:space="preserve">En ese contexto, </w:t>
      </w:r>
      <w:r w:rsidRPr="00A80FCC">
        <w:rPr>
          <w:rFonts w:ascii="Arial" w:hAnsi="Arial"/>
        </w:rPr>
        <w:t>la</w:t>
      </w:r>
      <w:r>
        <w:rPr>
          <w:rFonts w:ascii="Arial" w:hAnsi="Arial"/>
        </w:rPr>
        <w:t>s</w:t>
      </w:r>
      <w:r w:rsidRPr="00A80FCC">
        <w:rPr>
          <w:rFonts w:ascii="Arial" w:hAnsi="Arial"/>
        </w:rPr>
        <w:t xml:space="preserve"> presente</w:t>
      </w:r>
      <w:r>
        <w:rPr>
          <w:rFonts w:ascii="Arial" w:hAnsi="Arial"/>
        </w:rPr>
        <w:t>s</w:t>
      </w:r>
      <w:r w:rsidRPr="00A80FCC">
        <w:rPr>
          <w:rFonts w:ascii="Arial" w:hAnsi="Arial"/>
        </w:rPr>
        <w:t xml:space="preserve"> accion</w:t>
      </w:r>
      <w:r>
        <w:rPr>
          <w:rFonts w:ascii="Arial" w:hAnsi="Arial"/>
        </w:rPr>
        <w:t>es</w:t>
      </w:r>
      <w:r w:rsidRPr="00A80FCC">
        <w:rPr>
          <w:rFonts w:ascii="Arial" w:hAnsi="Arial"/>
        </w:rPr>
        <w:t xml:space="preserve"> de tutela s</w:t>
      </w:r>
      <w:r>
        <w:rPr>
          <w:rFonts w:ascii="Arial" w:hAnsi="Arial"/>
        </w:rPr>
        <w:t>on</w:t>
      </w:r>
      <w:r w:rsidRPr="00A80FCC">
        <w:rPr>
          <w:rFonts w:ascii="Arial" w:hAnsi="Arial"/>
        </w:rPr>
        <w:t xml:space="preserve"> improcedente</w:t>
      </w:r>
      <w:r>
        <w:rPr>
          <w:rFonts w:ascii="Arial" w:hAnsi="Arial"/>
        </w:rPr>
        <w:t>s</w:t>
      </w:r>
      <w:r w:rsidRPr="00A80FCC">
        <w:rPr>
          <w:rFonts w:ascii="Arial" w:hAnsi="Arial"/>
        </w:rPr>
        <w:t xml:space="preserve"> toda vez que se incumple con uno de los siete (7) requisitos generales de procedibilidad, como lo es el de la subsidiariedad, </w:t>
      </w:r>
      <w:r w:rsidRPr="00A80FCC">
        <w:rPr>
          <w:rFonts w:ascii="Arial" w:hAnsi="Arial"/>
          <w:u w:val="single"/>
        </w:rPr>
        <w:t xml:space="preserve">pues aún se encuentra en trámite </w:t>
      </w:r>
      <w:r w:rsidRPr="000D485C">
        <w:rPr>
          <w:rFonts w:ascii="Arial" w:hAnsi="Arial"/>
          <w:u w:val="single"/>
        </w:rPr>
        <w:t>la</w:t>
      </w:r>
      <w:r w:rsidR="000D485C" w:rsidRPr="000D485C">
        <w:rPr>
          <w:rFonts w:ascii="Arial" w:hAnsi="Arial"/>
          <w:u w:val="single"/>
        </w:rPr>
        <w:t xml:space="preserve"> </w:t>
      </w:r>
      <w:r w:rsidR="000D485C" w:rsidRPr="000D485C">
        <w:rPr>
          <w:rFonts w:ascii="Arial" w:hAnsi="Arial" w:cs="Arial"/>
          <w:u w:val="single"/>
          <w:lang w:val="es-ES_tradnl"/>
        </w:rPr>
        <w:t>acción popular</w:t>
      </w:r>
      <w:r w:rsidRPr="000D485C">
        <w:rPr>
          <w:rFonts w:ascii="Arial" w:hAnsi="Arial"/>
          <w:u w:val="single"/>
        </w:rPr>
        <w:t>.</w:t>
      </w:r>
    </w:p>
    <w:p w:rsidR="000D485C" w:rsidRDefault="000D485C" w:rsidP="00A968A3">
      <w:pPr>
        <w:spacing w:line="360" w:lineRule="auto"/>
        <w:ind w:right="51"/>
        <w:jc w:val="both"/>
        <w:rPr>
          <w:rFonts w:ascii="Arial" w:hAnsi="Arial"/>
        </w:rPr>
      </w:pPr>
    </w:p>
    <w:p w:rsidR="00A968A3" w:rsidRDefault="00A968A3" w:rsidP="00A968A3">
      <w:pPr>
        <w:pStyle w:val="Corpsdetexte"/>
        <w:numPr>
          <w:ilvl w:val="0"/>
          <w:numId w:val="18"/>
        </w:numPr>
        <w:spacing w:line="360" w:lineRule="auto"/>
        <w:rPr>
          <w:rFonts w:ascii="Arial" w:hAnsi="Arial"/>
          <w:smallCaps/>
          <w:sz w:val="28"/>
          <w:szCs w:val="28"/>
        </w:rPr>
      </w:pPr>
      <w:r>
        <w:rPr>
          <w:rFonts w:ascii="Arial" w:hAnsi="Arial"/>
          <w:smallCaps/>
          <w:sz w:val="28"/>
          <w:szCs w:val="28"/>
        </w:rPr>
        <w:t>L</w:t>
      </w:r>
      <w:r w:rsidRPr="00F35120">
        <w:rPr>
          <w:rFonts w:ascii="Arial" w:hAnsi="Arial"/>
          <w:smallCaps/>
          <w:sz w:val="28"/>
          <w:szCs w:val="28"/>
        </w:rPr>
        <w:t xml:space="preserve">as conclusiones </w:t>
      </w:r>
    </w:p>
    <w:p w:rsidR="00A968A3" w:rsidRPr="007B4BBC" w:rsidRDefault="00A968A3" w:rsidP="00A968A3">
      <w:pPr>
        <w:pStyle w:val="Corpsdetexte"/>
        <w:spacing w:line="360" w:lineRule="auto"/>
        <w:ind w:left="400"/>
        <w:rPr>
          <w:rFonts w:ascii="Arial" w:hAnsi="Arial"/>
          <w:smallCaps/>
          <w:sz w:val="20"/>
          <w:szCs w:val="28"/>
        </w:rPr>
      </w:pPr>
    </w:p>
    <w:p w:rsidR="00A968A3" w:rsidRPr="00A80FCC" w:rsidRDefault="00A968A3" w:rsidP="00A968A3">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A80FCC">
        <w:rPr>
          <w:rFonts w:ascii="Arial" w:hAnsi="Arial" w:cs="Arial"/>
          <w:szCs w:val="24"/>
          <w:lang w:val="es-ES"/>
        </w:rPr>
        <w:t xml:space="preserve">Con fundamento en las consideraciones expuestas, </w:t>
      </w:r>
      <w:r w:rsidRPr="00A80FCC">
        <w:rPr>
          <w:rFonts w:ascii="Arial" w:hAnsi="Arial" w:cs="Arial"/>
          <w:szCs w:val="24"/>
        </w:rPr>
        <w:t>en los acápites anteriores: (i) Se declarará improcedente</w:t>
      </w:r>
      <w:r>
        <w:rPr>
          <w:rFonts w:ascii="Arial" w:hAnsi="Arial" w:cs="Arial"/>
          <w:szCs w:val="24"/>
        </w:rPr>
        <w:t xml:space="preserve"> la tutela </w:t>
      </w:r>
      <w:r w:rsidRPr="00A80FCC">
        <w:rPr>
          <w:rFonts w:ascii="Arial" w:hAnsi="Arial" w:cs="Arial"/>
          <w:szCs w:val="24"/>
        </w:rPr>
        <w:t>con estribo en que se incumplió el presupuesto de subsidiariedad; también, (ii)</w:t>
      </w:r>
      <w:r w:rsidRPr="00A80FCC">
        <w:rPr>
          <w:rFonts w:ascii="Arial" w:hAnsi="Arial" w:cs="Arial"/>
          <w:szCs w:val="24"/>
          <w:lang w:val="es-ES"/>
        </w:rPr>
        <w:t xml:space="preserve"> </w:t>
      </w:r>
      <w:r w:rsidRPr="00A80FCC">
        <w:rPr>
          <w:rFonts w:ascii="Arial" w:hAnsi="Arial" w:cs="Arial"/>
          <w:szCs w:val="24"/>
        </w:rPr>
        <w:t>Se declarará</w:t>
      </w:r>
      <w:r>
        <w:rPr>
          <w:rFonts w:ascii="Arial" w:hAnsi="Arial" w:cs="Arial"/>
          <w:szCs w:val="24"/>
        </w:rPr>
        <w:t>n</w:t>
      </w:r>
      <w:r w:rsidRPr="00A80FCC">
        <w:rPr>
          <w:rFonts w:ascii="Arial" w:hAnsi="Arial" w:cs="Arial"/>
          <w:szCs w:val="24"/>
        </w:rPr>
        <w:t xml:space="preserve"> improcedente</w:t>
      </w:r>
      <w:r>
        <w:rPr>
          <w:rFonts w:ascii="Arial" w:hAnsi="Arial" w:cs="Arial"/>
          <w:szCs w:val="24"/>
        </w:rPr>
        <w:t>s</w:t>
      </w:r>
      <w:r w:rsidRPr="00A80FCC">
        <w:rPr>
          <w:rFonts w:ascii="Arial" w:hAnsi="Arial" w:cs="Arial"/>
          <w:szCs w:val="24"/>
        </w:rPr>
        <w:t xml:space="preserve"> respecto a los vinculados por carecer de legitimación</w:t>
      </w:r>
      <w:r w:rsidRPr="00A80FCC">
        <w:rPr>
          <w:rFonts w:ascii="Arial" w:hAnsi="Arial" w:cs="Arial"/>
          <w:szCs w:val="24"/>
          <w:lang w:val="es-ES"/>
        </w:rPr>
        <w:t>.</w:t>
      </w:r>
    </w:p>
    <w:p w:rsidR="00A968A3" w:rsidRPr="007B4BBC" w:rsidRDefault="00A968A3" w:rsidP="00A968A3">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0"/>
          <w:szCs w:val="24"/>
          <w:lang w:val="es-ES"/>
        </w:rPr>
      </w:pPr>
    </w:p>
    <w:p w:rsidR="00A968A3" w:rsidRPr="00A80FCC" w:rsidRDefault="00A968A3" w:rsidP="00A968A3">
      <w:pPr>
        <w:tabs>
          <w:tab w:val="left" w:pos="-720"/>
        </w:tabs>
        <w:suppressAutoHyphens/>
        <w:spacing w:line="360" w:lineRule="auto"/>
        <w:jc w:val="both"/>
        <w:rPr>
          <w:rFonts w:ascii="Arial" w:hAnsi="Arial" w:cs="Arial"/>
        </w:rPr>
      </w:pPr>
      <w:r w:rsidRPr="00A80FCC">
        <w:rPr>
          <w:rFonts w:ascii="Arial" w:hAnsi="Arial" w:cs="Arial"/>
        </w:rPr>
        <w:t xml:space="preserve">En mérito de lo expuesto, el </w:t>
      </w:r>
      <w:r w:rsidRPr="00A80FCC">
        <w:rPr>
          <w:rFonts w:ascii="Arial" w:hAnsi="Arial" w:cs="Arial"/>
          <w:bCs/>
          <w:smallCaps/>
        </w:rPr>
        <w:t>Tribunal Superior del Distrito Judicial de Pereira, Sala de Decisión Civil -Familia</w:t>
      </w:r>
      <w:r w:rsidRPr="00A80FCC">
        <w:rPr>
          <w:rFonts w:ascii="Arial" w:hAnsi="Arial" w:cs="Arial"/>
        </w:rPr>
        <w:t>, administrando Justicia, en nombre de la República y por autoridad de la Ley,</w:t>
      </w:r>
    </w:p>
    <w:p w:rsidR="00A968A3" w:rsidRPr="00A80FCC" w:rsidRDefault="00A968A3" w:rsidP="00A968A3">
      <w:pPr>
        <w:pStyle w:val="Corpsdetexte"/>
        <w:spacing w:line="360" w:lineRule="auto"/>
        <w:jc w:val="center"/>
        <w:rPr>
          <w:rFonts w:ascii="Arial" w:hAnsi="Arial" w:cs="Arial"/>
          <w:bCs/>
          <w:smallCaps/>
          <w:szCs w:val="24"/>
        </w:rPr>
      </w:pPr>
      <w:r w:rsidRPr="00A80FCC">
        <w:rPr>
          <w:rFonts w:ascii="Arial" w:hAnsi="Arial" w:cs="Arial"/>
          <w:bCs/>
          <w:smallCaps/>
          <w:szCs w:val="24"/>
        </w:rPr>
        <w:t xml:space="preserve">F A L </w:t>
      </w:r>
      <w:proofErr w:type="spellStart"/>
      <w:r w:rsidRPr="00A80FCC">
        <w:rPr>
          <w:rFonts w:ascii="Arial" w:hAnsi="Arial" w:cs="Arial"/>
          <w:bCs/>
          <w:smallCaps/>
          <w:szCs w:val="24"/>
        </w:rPr>
        <w:t>L</w:t>
      </w:r>
      <w:proofErr w:type="spellEnd"/>
      <w:r w:rsidRPr="00A80FCC">
        <w:rPr>
          <w:rFonts w:ascii="Arial" w:hAnsi="Arial" w:cs="Arial"/>
          <w:bCs/>
          <w:smallCaps/>
          <w:szCs w:val="24"/>
        </w:rPr>
        <w:t xml:space="preserve"> A,</w:t>
      </w:r>
    </w:p>
    <w:p w:rsidR="00A968A3" w:rsidRPr="007B4BBC" w:rsidRDefault="00A968A3" w:rsidP="00A968A3">
      <w:pPr>
        <w:pStyle w:val="Corpsdetexte"/>
        <w:spacing w:line="360" w:lineRule="auto"/>
        <w:jc w:val="center"/>
        <w:rPr>
          <w:rFonts w:ascii="Arial" w:hAnsi="Arial" w:cs="Arial"/>
          <w:bCs/>
          <w:smallCaps/>
          <w:sz w:val="20"/>
          <w:szCs w:val="24"/>
        </w:rPr>
      </w:pPr>
    </w:p>
    <w:p w:rsidR="00A968A3" w:rsidRPr="00A80FCC" w:rsidRDefault="00A968A3" w:rsidP="00A968A3">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80FCC">
        <w:rPr>
          <w:rFonts w:ascii="Arial" w:hAnsi="Arial" w:cs="Arial"/>
        </w:rPr>
        <w:t>DECLARAR improcedente</w:t>
      </w:r>
      <w:r>
        <w:rPr>
          <w:rFonts w:ascii="Arial" w:hAnsi="Arial" w:cs="Arial"/>
        </w:rPr>
        <w:t xml:space="preserve"> la</w:t>
      </w:r>
      <w:r w:rsidR="000D485C">
        <w:rPr>
          <w:rFonts w:ascii="Arial" w:hAnsi="Arial" w:cs="Arial"/>
        </w:rPr>
        <w:t xml:space="preserve"> </w:t>
      </w:r>
      <w:r>
        <w:rPr>
          <w:rFonts w:ascii="Arial" w:hAnsi="Arial" w:cs="Arial"/>
        </w:rPr>
        <w:t>acci</w:t>
      </w:r>
      <w:r w:rsidR="000D485C">
        <w:rPr>
          <w:rFonts w:ascii="Arial" w:hAnsi="Arial" w:cs="Arial"/>
        </w:rPr>
        <w:t xml:space="preserve">ón </w:t>
      </w:r>
      <w:r>
        <w:rPr>
          <w:rFonts w:ascii="Arial" w:hAnsi="Arial" w:cs="Arial"/>
        </w:rPr>
        <w:t>de tutela propuesta</w:t>
      </w:r>
      <w:r w:rsidRPr="00A80FCC">
        <w:rPr>
          <w:rFonts w:ascii="Arial" w:hAnsi="Arial" w:cs="Arial"/>
        </w:rPr>
        <w:t xml:space="preserve"> por el señor </w:t>
      </w:r>
      <w:r>
        <w:rPr>
          <w:rFonts w:ascii="Arial" w:hAnsi="Arial" w:cs="Arial"/>
        </w:rPr>
        <w:t>Cristián Vásquez Arias</w:t>
      </w:r>
      <w:r w:rsidRPr="00A80FCC">
        <w:rPr>
          <w:rFonts w:ascii="Arial" w:hAnsi="Arial" w:cs="Arial"/>
        </w:rPr>
        <w:t xml:space="preserve"> contra el Juzgado</w:t>
      </w:r>
      <w:r>
        <w:rPr>
          <w:rFonts w:ascii="Arial" w:hAnsi="Arial" w:cs="Arial"/>
        </w:rPr>
        <w:t xml:space="preserve"> Tercero</w:t>
      </w:r>
      <w:r w:rsidRPr="00A80FCC">
        <w:rPr>
          <w:rFonts w:ascii="Arial" w:hAnsi="Arial" w:cs="Arial"/>
        </w:rPr>
        <w:t xml:space="preserve"> Civil del Circuito de </w:t>
      </w:r>
      <w:r>
        <w:rPr>
          <w:rFonts w:ascii="Arial" w:hAnsi="Arial" w:cs="Arial"/>
        </w:rPr>
        <w:t>Pereira</w:t>
      </w:r>
      <w:r w:rsidRPr="00A80FCC">
        <w:rPr>
          <w:rFonts w:ascii="Arial" w:hAnsi="Arial" w:cs="Arial"/>
        </w:rPr>
        <w:t xml:space="preserve">, R., </w:t>
      </w:r>
      <w:r w:rsidR="00514B81" w:rsidRPr="00F72E96">
        <w:rPr>
          <w:rFonts w:ascii="Arial" w:hAnsi="Arial" w:cs="Arial"/>
        </w:rPr>
        <w:t xml:space="preserve">a Defensoría del Pueblo y la Procuraduría General de la Nación, Regional de Bogotá </w:t>
      </w:r>
      <w:r w:rsidR="00514B81" w:rsidRPr="00F72E96">
        <w:rPr>
          <w:rFonts w:ascii="Arial" w:hAnsi="Arial" w:cs="Arial"/>
        </w:rPr>
        <w:lastRenderedPageBreak/>
        <w:t xml:space="preserve">DC, y la Alcaldía Mayor y la Personería </w:t>
      </w:r>
      <w:r w:rsidR="00514B81" w:rsidRPr="00F72E96">
        <w:rPr>
          <w:rFonts w:ascii="Arial" w:hAnsi="Arial" w:cs="Arial"/>
          <w:spacing w:val="3"/>
        </w:rPr>
        <w:t>de Bogotá DC</w:t>
      </w:r>
      <w:r w:rsidRPr="00A80FCC">
        <w:rPr>
          <w:rFonts w:ascii="Arial" w:hAnsi="Arial" w:cs="Arial"/>
        </w:rPr>
        <w:t>.</w:t>
      </w:r>
    </w:p>
    <w:p w:rsidR="00A968A3" w:rsidRPr="007B4BBC" w:rsidRDefault="00A968A3" w:rsidP="00A968A3">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lang w:val="es-ES_tradnl"/>
        </w:rPr>
      </w:pPr>
    </w:p>
    <w:p w:rsidR="00A968A3" w:rsidRPr="00A80FCC" w:rsidRDefault="00A968A3" w:rsidP="00A968A3">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80FCC">
        <w:rPr>
          <w:rFonts w:ascii="Arial" w:hAnsi="Arial" w:cs="Arial"/>
        </w:rPr>
        <w:t>NOTIFICAR esta decisión a todas las partes, por el medio más expedito y eficaz.</w:t>
      </w:r>
    </w:p>
    <w:p w:rsidR="00A968A3" w:rsidRPr="007B4BBC" w:rsidRDefault="00A968A3" w:rsidP="00A968A3">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A968A3" w:rsidRPr="00A80FCC" w:rsidRDefault="00A968A3" w:rsidP="00A968A3">
      <w:pPr>
        <w:pStyle w:val="Corpsdetexte"/>
        <w:numPr>
          <w:ilvl w:val="0"/>
          <w:numId w:val="6"/>
        </w:numPr>
        <w:tabs>
          <w:tab w:val="clear" w:pos="720"/>
          <w:tab w:val="num" w:pos="360"/>
        </w:tabs>
        <w:spacing w:line="360" w:lineRule="auto"/>
        <w:ind w:left="360"/>
        <w:rPr>
          <w:rFonts w:ascii="Arial" w:hAnsi="Arial" w:cs="Arial"/>
          <w:szCs w:val="24"/>
        </w:rPr>
      </w:pPr>
      <w:r w:rsidRPr="00A80FCC">
        <w:rPr>
          <w:rFonts w:ascii="Arial" w:hAnsi="Arial" w:cs="Arial"/>
          <w:szCs w:val="24"/>
        </w:rPr>
        <w:t>REMITIR este expediente, a la Corte Constitucional para su eventual revisión, de no ser impugnada.</w:t>
      </w:r>
    </w:p>
    <w:p w:rsidR="00A968A3" w:rsidRPr="007B4BBC" w:rsidRDefault="00A968A3" w:rsidP="00A968A3">
      <w:pPr>
        <w:pStyle w:val="Corpsdetexte"/>
        <w:tabs>
          <w:tab w:val="clear" w:pos="708"/>
        </w:tabs>
        <w:spacing w:line="360" w:lineRule="auto"/>
        <w:rPr>
          <w:rFonts w:ascii="Arial" w:hAnsi="Arial" w:cs="Arial"/>
          <w:sz w:val="20"/>
          <w:szCs w:val="24"/>
        </w:rPr>
      </w:pPr>
    </w:p>
    <w:p w:rsidR="00FF5B57" w:rsidRPr="00F72E96" w:rsidRDefault="00A968A3" w:rsidP="00A968A3">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80FCC">
        <w:rPr>
          <w:rFonts w:ascii="Arial" w:hAnsi="Arial" w:cs="Arial"/>
        </w:rPr>
        <w:t>ORDENAR el archivo del expediente, surtidos los trámites anteriores.</w:t>
      </w:r>
    </w:p>
    <w:p w:rsidR="00626C89" w:rsidRPr="00F72E96" w:rsidRDefault="00626C89" w:rsidP="00F72E96">
      <w:pPr>
        <w:pStyle w:val="Corpsdetexte"/>
        <w:spacing w:line="360" w:lineRule="auto"/>
        <w:jc w:val="center"/>
        <w:rPr>
          <w:rFonts w:ascii="Arial" w:hAnsi="Arial" w:cs="Arial"/>
          <w:bCs/>
          <w:smallCaps/>
          <w:sz w:val="20"/>
          <w:szCs w:val="24"/>
        </w:rPr>
      </w:pPr>
    </w:p>
    <w:p w:rsidR="00126266" w:rsidRPr="003843DB" w:rsidRDefault="00126266" w:rsidP="00126266">
      <w:pPr>
        <w:pStyle w:val="Corpsdetexte"/>
        <w:spacing w:line="360" w:lineRule="auto"/>
        <w:jc w:val="center"/>
        <w:rPr>
          <w:rFonts w:ascii="Arial" w:hAnsi="Arial"/>
          <w:smallCaps/>
          <w:szCs w:val="24"/>
          <w:lang w:val="en-US"/>
        </w:rPr>
      </w:pPr>
      <w:proofErr w:type="spellStart"/>
      <w:r w:rsidRPr="003843DB">
        <w:rPr>
          <w:rFonts w:ascii="Arial" w:hAnsi="Arial"/>
          <w:smallCaps/>
          <w:szCs w:val="24"/>
          <w:lang w:val="en-US"/>
        </w:rPr>
        <w:t>Notifíquese</w:t>
      </w:r>
      <w:proofErr w:type="spellEnd"/>
      <w:r w:rsidRPr="003843DB">
        <w:rPr>
          <w:rFonts w:ascii="Arial" w:hAnsi="Arial"/>
          <w:smallCaps/>
          <w:szCs w:val="24"/>
          <w:lang w:val="en-US"/>
        </w:rPr>
        <w:t>,</w:t>
      </w:r>
    </w:p>
    <w:p w:rsidR="00DA569C" w:rsidRDefault="00DA569C" w:rsidP="00417DA5">
      <w:pPr>
        <w:pStyle w:val="Corpsdetexte"/>
        <w:spacing w:line="360" w:lineRule="auto"/>
        <w:jc w:val="center"/>
        <w:rPr>
          <w:rFonts w:ascii="Arial" w:hAnsi="Arial"/>
          <w:szCs w:val="24"/>
          <w:lang w:val="en-US"/>
        </w:rPr>
      </w:pPr>
    </w:p>
    <w:p w:rsidR="00F72E96" w:rsidRDefault="00F72E96" w:rsidP="00417DA5">
      <w:pPr>
        <w:pStyle w:val="Corpsdetexte"/>
        <w:spacing w:line="360" w:lineRule="auto"/>
        <w:jc w:val="center"/>
        <w:rPr>
          <w:rFonts w:ascii="Arial" w:hAnsi="Arial"/>
          <w:szCs w:val="24"/>
          <w:lang w:val="en-US"/>
        </w:rPr>
      </w:pPr>
    </w:p>
    <w:p w:rsidR="00F72E96" w:rsidRPr="00CA76CB" w:rsidRDefault="00F72E96" w:rsidP="00417DA5">
      <w:pPr>
        <w:pStyle w:val="Corpsdetexte"/>
        <w:spacing w:line="360" w:lineRule="auto"/>
        <w:jc w:val="center"/>
        <w:rPr>
          <w:rFonts w:ascii="Arial" w:hAnsi="Arial"/>
          <w:szCs w:val="24"/>
          <w:lang w:val="en-GB"/>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proofErr w:type="spellStart"/>
      <w:r w:rsidRPr="003843DB">
        <w:rPr>
          <w:rFonts w:ascii="Arial" w:hAnsi="Arial" w:cs="Arial"/>
          <w:i/>
          <w:spacing w:val="-3"/>
          <w:w w:val="150"/>
          <w:sz w:val="28"/>
          <w:lang w:val="en-US"/>
        </w:rPr>
        <w:t>D</w:t>
      </w:r>
      <w:r w:rsidRPr="003843DB">
        <w:rPr>
          <w:rFonts w:ascii="Arial" w:hAnsi="Arial" w:cs="Arial"/>
          <w:i/>
          <w:spacing w:val="-3"/>
          <w:w w:val="150"/>
          <w:sz w:val="18"/>
          <w:szCs w:val="16"/>
          <w:lang w:val="en-US"/>
        </w:rPr>
        <w:t>UBERNEY</w:t>
      </w:r>
      <w:proofErr w:type="spellEnd"/>
      <w:r w:rsidRPr="003843DB">
        <w:rPr>
          <w:rFonts w:ascii="Arial" w:hAnsi="Arial" w:cs="Arial"/>
          <w:i/>
          <w:spacing w:val="-3"/>
          <w:w w:val="150"/>
          <w:sz w:val="18"/>
          <w:szCs w:val="16"/>
          <w:lang w:val="en-US"/>
        </w:rPr>
        <w:t xml:space="preserve"> </w:t>
      </w:r>
      <w:proofErr w:type="spellStart"/>
      <w:r w:rsidRPr="003843DB">
        <w:rPr>
          <w:rFonts w:ascii="Arial" w:hAnsi="Arial" w:cs="Arial"/>
          <w:i/>
          <w:spacing w:val="-3"/>
          <w:w w:val="150"/>
          <w:sz w:val="28"/>
          <w:lang w:val="en-US"/>
        </w:rPr>
        <w:t>G</w:t>
      </w:r>
      <w:r w:rsidRPr="003843DB">
        <w:rPr>
          <w:rFonts w:ascii="Arial" w:hAnsi="Arial" w:cs="Arial"/>
          <w:i/>
          <w:spacing w:val="-3"/>
          <w:w w:val="150"/>
          <w:sz w:val="18"/>
          <w:szCs w:val="16"/>
          <w:lang w:val="en-US"/>
        </w:rPr>
        <w:t>RISALES</w:t>
      </w:r>
      <w:proofErr w:type="spellEnd"/>
      <w:r w:rsidRPr="003843DB">
        <w:rPr>
          <w:rFonts w:ascii="Arial" w:hAnsi="Arial" w:cs="Arial"/>
          <w:i/>
          <w:spacing w:val="-3"/>
          <w:w w:val="150"/>
          <w:sz w:val="18"/>
          <w:szCs w:val="16"/>
          <w:lang w:val="en-US"/>
        </w:rPr>
        <w:t xml:space="preserve">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3843DB">
        <w:rPr>
          <w:rFonts w:ascii="Arial" w:hAnsi="Arial" w:cs="Arial"/>
          <w:i/>
          <w:spacing w:val="-3"/>
          <w:w w:val="150"/>
          <w:sz w:val="28"/>
          <w:lang w:val="en-US"/>
        </w:rPr>
        <w:t>M</w:t>
      </w:r>
      <w:r w:rsidRPr="003843DB">
        <w:rPr>
          <w:rFonts w:ascii="Arial" w:hAnsi="Arial" w:cs="Arial"/>
          <w:i/>
          <w:spacing w:val="-3"/>
          <w:w w:val="150"/>
          <w:lang w:val="en-US"/>
        </w:rPr>
        <w:t xml:space="preserve"> </w:t>
      </w:r>
      <w:r w:rsidRPr="003843DB">
        <w:rPr>
          <w:rFonts w:ascii="Arial" w:hAnsi="Arial" w:cs="Arial"/>
          <w:i/>
          <w:spacing w:val="-3"/>
          <w:w w:val="150"/>
          <w:sz w:val="18"/>
          <w:szCs w:val="20"/>
          <w:lang w:val="en-US"/>
        </w:rPr>
        <w:t>A G I S T R A D O</w:t>
      </w:r>
    </w:p>
    <w:p w:rsidR="004C1F30" w:rsidRPr="00F50827" w:rsidRDefault="004C1F30"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0"/>
          <w:lang w:val="en-US"/>
        </w:rPr>
      </w:pPr>
    </w:p>
    <w:p w:rsidR="00F72E96" w:rsidRDefault="00F72E96" w:rsidP="00F72E96">
      <w:pPr>
        <w:pStyle w:val="Corpsdetexte"/>
        <w:spacing w:line="360" w:lineRule="auto"/>
        <w:jc w:val="center"/>
        <w:rPr>
          <w:rFonts w:ascii="Arial" w:hAnsi="Arial"/>
          <w:szCs w:val="24"/>
          <w:lang w:val="en-US"/>
        </w:rPr>
      </w:pPr>
    </w:p>
    <w:p w:rsidR="00F72E96" w:rsidRDefault="00F72E96" w:rsidP="00F72E96">
      <w:pPr>
        <w:pStyle w:val="Corpsdetexte"/>
        <w:spacing w:line="360" w:lineRule="auto"/>
        <w:jc w:val="center"/>
        <w:rPr>
          <w:rFonts w:ascii="Arial" w:hAnsi="Arial"/>
          <w:szCs w:val="24"/>
          <w:lang w:val="en-US"/>
        </w:rPr>
      </w:pPr>
    </w:p>
    <w:p w:rsidR="00F72E96" w:rsidRPr="00CA76CB" w:rsidRDefault="00F72E96" w:rsidP="00F72E96">
      <w:pPr>
        <w:pStyle w:val="Corpsdetexte"/>
        <w:spacing w:line="360" w:lineRule="auto"/>
        <w:jc w:val="center"/>
        <w:rPr>
          <w:rFonts w:ascii="Arial" w:hAnsi="Arial"/>
          <w:szCs w:val="24"/>
          <w:lang w:val="en-GB"/>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proofErr w:type="spellStart"/>
      <w:proofErr w:type="gramStart"/>
      <w:r w:rsidRPr="003843DB">
        <w:rPr>
          <w:rFonts w:ascii="Arial" w:hAnsi="Arial"/>
          <w:i/>
          <w:w w:val="150"/>
          <w:sz w:val="28"/>
          <w:szCs w:val="18"/>
          <w:lang w:val="en-US"/>
        </w:rPr>
        <w:t>E</w:t>
      </w:r>
      <w:r w:rsidRPr="003843DB">
        <w:rPr>
          <w:rFonts w:ascii="Arial" w:hAnsi="Arial"/>
          <w:i/>
          <w:w w:val="150"/>
          <w:sz w:val="18"/>
          <w:szCs w:val="18"/>
          <w:lang w:val="en-US"/>
        </w:rPr>
        <w:t>DDER</w:t>
      </w:r>
      <w:proofErr w:type="spellEnd"/>
      <w:r w:rsidRPr="003843DB">
        <w:rPr>
          <w:rFonts w:ascii="Arial" w:hAnsi="Arial"/>
          <w:i/>
          <w:w w:val="150"/>
          <w:sz w:val="18"/>
          <w:lang w:val="en-US"/>
        </w:rPr>
        <w:t xml:space="preserve"> </w:t>
      </w:r>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proofErr w:type="gramEnd"/>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 xml:space="preserve">ARAZA </w:t>
      </w:r>
      <w:r w:rsidRPr="003843DB">
        <w:rPr>
          <w:rFonts w:ascii="Arial" w:hAnsi="Arial" w:cs="Arial"/>
          <w:i/>
          <w:spacing w:val="-3"/>
          <w:w w:val="150"/>
          <w:sz w:val="28"/>
          <w:szCs w:val="18"/>
          <w:lang w:val="en-US"/>
        </w:rPr>
        <w:t>N.</w:t>
      </w:r>
    </w:p>
    <w:p w:rsidR="009C260B" w:rsidRDefault="00951517" w:rsidP="007B4BB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sidR="00ED40DF">
        <w:rPr>
          <w:rFonts w:ascii="Arial" w:hAnsi="Arial" w:cs="Arial"/>
          <w:i/>
          <w:w w:val="150"/>
          <w:sz w:val="18"/>
          <w:lang w:val="en-GB"/>
        </w:rPr>
        <w:t xml:space="preserve"> </w:t>
      </w:r>
    </w:p>
    <w:p w:rsidR="00193686" w:rsidRPr="00F72E96" w:rsidRDefault="00ED40DF" w:rsidP="009C260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lang w:val="en-GB"/>
        </w:rPr>
      </w:pPr>
      <w:bookmarkStart w:id="0" w:name="_GoBack"/>
      <w:bookmarkEnd w:id="0"/>
      <w:r>
        <w:rPr>
          <w:rFonts w:ascii="Arial" w:hAnsi="Arial" w:cs="Arial"/>
          <w:i/>
          <w:w w:val="150"/>
          <w:sz w:val="18"/>
          <w:lang w:val="en-GB"/>
        </w:rPr>
        <w:t xml:space="preserve"> </w:t>
      </w:r>
      <w:r w:rsidR="00445605">
        <w:rPr>
          <w:rFonts w:ascii="Arial" w:hAnsi="Arial"/>
          <w:w w:val="150"/>
          <w:sz w:val="8"/>
          <w:szCs w:val="10"/>
          <w:lang w:val="en-US"/>
        </w:rPr>
        <w:t>D</w:t>
      </w:r>
      <w:r w:rsidR="00E606C4" w:rsidRPr="00984EE4">
        <w:rPr>
          <w:rFonts w:ascii="Arial" w:hAnsi="Arial"/>
          <w:w w:val="150"/>
          <w:sz w:val="8"/>
          <w:szCs w:val="10"/>
          <w:lang w:val="en-US"/>
        </w:rPr>
        <w:t>GH/</w:t>
      </w:r>
      <w:r w:rsidR="00F72E96">
        <w:rPr>
          <w:rFonts w:ascii="Arial" w:hAnsi="Arial"/>
          <w:w w:val="150"/>
          <w:sz w:val="8"/>
          <w:szCs w:val="10"/>
          <w:lang w:val="en-US"/>
        </w:rPr>
        <w:t>DGD</w:t>
      </w:r>
      <w:r w:rsidR="009C260B">
        <w:rPr>
          <w:rFonts w:ascii="Arial" w:hAnsi="Arial"/>
          <w:w w:val="150"/>
          <w:sz w:val="8"/>
          <w:szCs w:val="10"/>
          <w:lang w:val="en-US"/>
        </w:rPr>
        <w:t>/2017</w:t>
      </w:r>
    </w:p>
    <w:sectPr w:rsidR="00193686" w:rsidRPr="00F72E96" w:rsidSect="005E5B3E">
      <w:headerReference w:type="default" r:id="rId10"/>
      <w:footerReference w:type="default" r:id="rId11"/>
      <w:pgSz w:w="12242" w:h="18722" w:code="121"/>
      <w:pgMar w:top="1418" w:right="1134" w:bottom="1418" w:left="1701" w:header="567" w:footer="567" w:gutter="0"/>
      <w:paperSrc w:first="1282" w:other="12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21" w:rsidRDefault="003F0021" w:rsidP="0099045D">
      <w:r>
        <w:separator/>
      </w:r>
    </w:p>
  </w:endnote>
  <w:endnote w:type="continuationSeparator" w:id="0">
    <w:p w:rsidR="003F0021" w:rsidRDefault="003F002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21" w:rsidRDefault="003F0021" w:rsidP="0099045D">
      <w:r>
        <w:separator/>
      </w:r>
    </w:p>
  </w:footnote>
  <w:footnote w:type="continuationSeparator" w:id="0">
    <w:p w:rsidR="003F0021" w:rsidRDefault="003F0021" w:rsidP="0099045D">
      <w:r>
        <w:continuationSeparator/>
      </w:r>
    </w:p>
  </w:footnote>
  <w:footnote w:id="1">
    <w:p w:rsidR="00F260D7" w:rsidRPr="00F72E96" w:rsidRDefault="00F260D7" w:rsidP="00F260D7">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rPr>
        <w:t xml:space="preserve"> QUINCHE RAMÍREZ, Manuel Fernando. Vías de hecho, acción de tutela contra providencias, Editorial Temis SA, Bogotá, 2013, p.103.</w:t>
      </w:r>
    </w:p>
  </w:footnote>
  <w:footnote w:id="2">
    <w:p w:rsidR="00F260D7" w:rsidRPr="00F72E96" w:rsidRDefault="00F260D7" w:rsidP="00F260D7">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00983D7D" w:rsidRPr="00F72E96">
        <w:rPr>
          <w:rFonts w:asciiTheme="minorHAnsi" w:hAnsiTheme="minorHAnsi" w:cstheme="minorHAnsi"/>
          <w:lang w:val="es-MX"/>
        </w:rPr>
        <w:t>CC</w:t>
      </w:r>
      <w:r w:rsidRPr="00F72E96">
        <w:rPr>
          <w:rFonts w:asciiTheme="minorHAnsi" w:hAnsiTheme="minorHAnsi" w:cstheme="minorHAnsi"/>
          <w:lang w:val="es-MX"/>
        </w:rPr>
        <w:t>.  Sentencia T-917 de 2011.</w:t>
      </w:r>
    </w:p>
  </w:footnote>
  <w:footnote w:id="3">
    <w:p w:rsidR="003351D6" w:rsidRPr="00F72E96" w:rsidRDefault="003351D6" w:rsidP="003351D6">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lang w:val="es-MX"/>
        </w:rPr>
        <w:t xml:space="preserve"> </w:t>
      </w:r>
      <w:r w:rsidR="00983D7D" w:rsidRPr="00F72E96">
        <w:rPr>
          <w:rFonts w:asciiTheme="minorHAnsi" w:hAnsiTheme="minorHAnsi" w:cstheme="minorHAnsi"/>
          <w:lang w:val="es-MX"/>
        </w:rPr>
        <w:t>CC</w:t>
      </w:r>
      <w:r w:rsidRPr="00F72E96">
        <w:rPr>
          <w:rFonts w:asciiTheme="minorHAnsi" w:hAnsiTheme="minorHAnsi" w:cstheme="minorHAnsi"/>
          <w:lang w:val="es-MX"/>
        </w:rPr>
        <w:t>. Sentencia C-590 de 2005.</w:t>
      </w:r>
    </w:p>
  </w:footnote>
  <w:footnote w:id="4">
    <w:p w:rsidR="003351D6" w:rsidRPr="00F72E96" w:rsidRDefault="003351D6" w:rsidP="003351D6">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lang w:val="es-MX"/>
        </w:rPr>
        <w:t xml:space="preserve"> </w:t>
      </w:r>
      <w:r w:rsidR="00983D7D" w:rsidRPr="00F72E96">
        <w:rPr>
          <w:rFonts w:asciiTheme="minorHAnsi" w:hAnsiTheme="minorHAnsi" w:cstheme="minorHAnsi"/>
          <w:lang w:val="es-MX"/>
        </w:rPr>
        <w:t>CC</w:t>
      </w:r>
      <w:r w:rsidRPr="00F72E96">
        <w:rPr>
          <w:rFonts w:asciiTheme="minorHAnsi" w:hAnsiTheme="minorHAnsi" w:cstheme="minorHAnsi"/>
          <w:lang w:val="es-MX"/>
        </w:rPr>
        <w:t xml:space="preserve">. Sentencias </w:t>
      </w:r>
      <w:r w:rsidRPr="00F72E96">
        <w:rPr>
          <w:rFonts w:asciiTheme="minorHAnsi" w:hAnsiTheme="minorHAnsi" w:cstheme="minorHAnsi"/>
          <w:bCs/>
        </w:rPr>
        <w:t>T-107 de 2016</w:t>
      </w:r>
      <w:r w:rsidRPr="00F72E96">
        <w:rPr>
          <w:rFonts w:asciiTheme="minorHAnsi" w:hAnsiTheme="minorHAnsi" w:cstheme="minorHAnsi"/>
        </w:rPr>
        <w:t xml:space="preserve"> y </w:t>
      </w:r>
      <w:r w:rsidRPr="00F72E96">
        <w:rPr>
          <w:rFonts w:asciiTheme="minorHAnsi" w:hAnsiTheme="minorHAnsi" w:cstheme="minorHAnsi"/>
          <w:lang w:val="es-MX"/>
        </w:rPr>
        <w:t>T-064 de 2015, entre otras.</w:t>
      </w:r>
    </w:p>
  </w:footnote>
  <w:footnote w:id="5">
    <w:p w:rsidR="003351D6" w:rsidRPr="00F72E96" w:rsidRDefault="003351D6" w:rsidP="003351D6">
      <w:pPr>
        <w:pStyle w:val="Notedebasdepage"/>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00983D7D" w:rsidRPr="00F72E96">
        <w:rPr>
          <w:rFonts w:asciiTheme="minorHAnsi" w:hAnsiTheme="minorHAnsi" w:cstheme="minorHAnsi"/>
          <w:lang w:val="es-MX"/>
        </w:rPr>
        <w:t>CC</w:t>
      </w:r>
      <w:r w:rsidRPr="00F72E96">
        <w:rPr>
          <w:rFonts w:asciiTheme="minorHAnsi" w:hAnsiTheme="minorHAnsi" w:cstheme="minorHAnsi"/>
          <w:lang w:val="es-MX"/>
        </w:rPr>
        <w:t>. Sentencia T-307 de 2015</w:t>
      </w:r>
      <w:r w:rsidR="006014D3" w:rsidRPr="00F72E96">
        <w:rPr>
          <w:rFonts w:asciiTheme="minorHAnsi" w:hAnsiTheme="minorHAnsi" w:cstheme="minorHAnsi"/>
          <w:lang w:val="es-MX"/>
        </w:rPr>
        <w:t>.</w:t>
      </w:r>
    </w:p>
  </w:footnote>
  <w:footnote w:id="6">
    <w:p w:rsidR="00F260D7" w:rsidRPr="000D485C" w:rsidRDefault="00F260D7" w:rsidP="00F72E96">
      <w:pPr>
        <w:pStyle w:val="Notedebasdepage"/>
        <w:jc w:val="both"/>
        <w:rPr>
          <w:rFonts w:asciiTheme="minorHAnsi" w:hAnsiTheme="minorHAnsi" w:cstheme="minorHAnsi"/>
        </w:rPr>
      </w:pPr>
      <w:r w:rsidRPr="000D485C">
        <w:rPr>
          <w:rFonts w:asciiTheme="minorHAnsi" w:hAnsiTheme="minorHAnsi" w:cstheme="minorHAnsi"/>
          <w:vertAlign w:val="superscript"/>
        </w:rPr>
        <w:footnoteRef/>
      </w:r>
      <w:r w:rsidRPr="000D485C">
        <w:rPr>
          <w:rFonts w:asciiTheme="minorHAnsi" w:hAnsiTheme="minorHAnsi" w:cstheme="minorHAnsi"/>
        </w:rPr>
        <w:t xml:space="preserve"> ESCUELA JUDICIAL RODRIGO LARA BONILLA. </w:t>
      </w:r>
      <w:r w:rsidRPr="000D485C">
        <w:rPr>
          <w:rFonts w:asciiTheme="minorHAnsi" w:hAnsiTheme="minorHAnsi" w:cstheme="minorHAnsi"/>
          <w:lang w:val="es-CO"/>
        </w:rPr>
        <w:t xml:space="preserve">La acción de tutela en el ordenamiento constitucional colombiano, Universidad Nacional de Colombia, Catalina Botero Marino, </w:t>
      </w:r>
      <w:proofErr w:type="spellStart"/>
      <w:r w:rsidRPr="000D485C">
        <w:rPr>
          <w:rFonts w:asciiTheme="minorHAnsi" w:hAnsiTheme="minorHAnsi" w:cstheme="minorHAnsi"/>
          <w:lang w:val="es-CO"/>
        </w:rPr>
        <w:t>Ediprime</w:t>
      </w:r>
      <w:proofErr w:type="spellEnd"/>
      <w:r w:rsidRPr="000D485C">
        <w:rPr>
          <w:rFonts w:asciiTheme="minorHAnsi" w:hAnsiTheme="minorHAnsi" w:cstheme="minorHAnsi"/>
          <w:lang w:val="es-CO"/>
        </w:rPr>
        <w:t xml:space="preserve"> Ltda., 2006, p.61-75.</w:t>
      </w:r>
    </w:p>
  </w:footnote>
  <w:footnote w:id="7">
    <w:p w:rsidR="00F260D7" w:rsidRPr="000D485C" w:rsidRDefault="00F260D7" w:rsidP="00F72E96">
      <w:pPr>
        <w:pStyle w:val="Notedebasdepage"/>
        <w:jc w:val="both"/>
        <w:rPr>
          <w:rFonts w:asciiTheme="minorHAnsi" w:hAnsiTheme="minorHAnsi" w:cstheme="minorHAnsi"/>
        </w:rPr>
      </w:pPr>
      <w:r w:rsidRPr="000D485C">
        <w:rPr>
          <w:rStyle w:val="Appelnotedebasdep"/>
          <w:rFonts w:asciiTheme="minorHAnsi" w:hAnsiTheme="minorHAnsi" w:cstheme="minorHAnsi"/>
        </w:rPr>
        <w:footnoteRef/>
      </w:r>
      <w:r w:rsidRPr="000D485C">
        <w:rPr>
          <w:rFonts w:asciiTheme="minorHAnsi" w:hAnsiTheme="minorHAnsi" w:cstheme="minorHAnsi"/>
        </w:rPr>
        <w:t xml:space="preserve"> QUINCHE RAMÍREZ, Manuel Fernando. La acción de tutela, el amparo en Colombia, Bogotá DC, 2011, p.233-285.</w:t>
      </w:r>
    </w:p>
  </w:footnote>
  <w:footnote w:id="8">
    <w:p w:rsidR="00D014C4" w:rsidRPr="00CA76CB" w:rsidRDefault="00D014C4" w:rsidP="00F72E96">
      <w:pPr>
        <w:pStyle w:val="Notedebasdepage"/>
        <w:jc w:val="both"/>
        <w:rPr>
          <w:rFonts w:asciiTheme="minorHAnsi" w:hAnsiTheme="minorHAnsi" w:cstheme="minorHAnsi"/>
          <w:lang w:val="fr-FR"/>
        </w:rPr>
      </w:pPr>
      <w:r w:rsidRPr="000D485C">
        <w:rPr>
          <w:rStyle w:val="Appelnotedebasdep"/>
          <w:rFonts w:asciiTheme="minorHAnsi" w:hAnsiTheme="minorHAnsi" w:cstheme="minorHAnsi"/>
        </w:rPr>
        <w:footnoteRef/>
      </w:r>
      <w:r w:rsidRPr="00CA76CB">
        <w:rPr>
          <w:rFonts w:asciiTheme="minorHAnsi" w:hAnsiTheme="minorHAnsi" w:cstheme="minorHAnsi"/>
          <w:lang w:val="fr-FR"/>
        </w:rPr>
        <w:t xml:space="preserve"> </w:t>
      </w:r>
      <w:r w:rsidR="00983D7D" w:rsidRPr="00CA76CB">
        <w:rPr>
          <w:rFonts w:asciiTheme="minorHAnsi" w:hAnsiTheme="minorHAnsi" w:cstheme="minorHAnsi"/>
          <w:lang w:val="fr-FR"/>
        </w:rPr>
        <w:t>CC</w:t>
      </w:r>
      <w:r w:rsidRPr="00CA76CB">
        <w:rPr>
          <w:rFonts w:asciiTheme="minorHAnsi" w:hAnsiTheme="minorHAnsi" w:cstheme="minorHAnsi"/>
          <w:lang w:val="fr-FR"/>
        </w:rPr>
        <w:t xml:space="preserve">. Sentencia T-134 de 1994. </w:t>
      </w:r>
    </w:p>
  </w:footnote>
  <w:footnote w:id="9">
    <w:p w:rsidR="00D014C4" w:rsidRPr="00CA76CB" w:rsidRDefault="00D014C4" w:rsidP="00F72E96">
      <w:pPr>
        <w:pStyle w:val="Notedebasdepage"/>
        <w:jc w:val="both"/>
        <w:rPr>
          <w:rFonts w:asciiTheme="minorHAnsi" w:hAnsiTheme="minorHAnsi" w:cstheme="minorHAnsi"/>
          <w:lang w:val="fr-FR"/>
        </w:rPr>
      </w:pPr>
      <w:r w:rsidRPr="000D485C">
        <w:rPr>
          <w:rStyle w:val="Appelnotedebasdep"/>
          <w:rFonts w:asciiTheme="minorHAnsi" w:hAnsiTheme="minorHAnsi" w:cstheme="minorHAnsi"/>
        </w:rPr>
        <w:footnoteRef/>
      </w:r>
      <w:r w:rsidRPr="00CA76CB">
        <w:rPr>
          <w:rFonts w:asciiTheme="minorHAnsi" w:hAnsiTheme="minorHAnsi" w:cstheme="minorHAnsi"/>
          <w:lang w:val="fr-FR"/>
        </w:rPr>
        <w:t xml:space="preserve"> </w:t>
      </w:r>
      <w:r w:rsidR="00983D7D" w:rsidRPr="00CA76CB">
        <w:rPr>
          <w:rFonts w:asciiTheme="minorHAnsi" w:hAnsiTheme="minorHAnsi" w:cstheme="minorHAnsi"/>
          <w:lang w:val="fr-FR"/>
        </w:rPr>
        <w:t>CC</w:t>
      </w:r>
      <w:r w:rsidRPr="00CA76CB">
        <w:rPr>
          <w:rFonts w:asciiTheme="minorHAnsi" w:hAnsiTheme="minorHAnsi" w:cstheme="minorHAnsi"/>
          <w:lang w:val="fr-FR"/>
        </w:rPr>
        <w:t>. Sentencia T-103 de 2014.</w:t>
      </w:r>
    </w:p>
  </w:footnote>
  <w:footnote w:id="10">
    <w:p w:rsidR="00D014C4" w:rsidRPr="00CA76CB" w:rsidRDefault="00D014C4" w:rsidP="00F72E96">
      <w:pPr>
        <w:pStyle w:val="Notedebasdepage"/>
        <w:jc w:val="both"/>
        <w:rPr>
          <w:rFonts w:asciiTheme="minorHAnsi" w:hAnsiTheme="minorHAnsi" w:cstheme="minorHAnsi"/>
          <w:lang w:val="fr-FR"/>
        </w:rPr>
      </w:pPr>
      <w:r w:rsidRPr="000D485C">
        <w:rPr>
          <w:rStyle w:val="Appelnotedebasdep"/>
          <w:rFonts w:asciiTheme="minorHAnsi" w:hAnsiTheme="minorHAnsi" w:cstheme="minorHAnsi"/>
        </w:rPr>
        <w:footnoteRef/>
      </w:r>
      <w:r w:rsidRPr="00CA76CB">
        <w:rPr>
          <w:rFonts w:asciiTheme="minorHAnsi" w:hAnsiTheme="minorHAnsi" w:cstheme="minorHAnsi"/>
          <w:lang w:val="fr-FR"/>
        </w:rPr>
        <w:t xml:space="preserve"> </w:t>
      </w:r>
      <w:r w:rsidR="00983D7D" w:rsidRPr="00CA76CB">
        <w:rPr>
          <w:rFonts w:asciiTheme="minorHAnsi" w:hAnsiTheme="minorHAnsi" w:cstheme="minorHAnsi"/>
          <w:lang w:val="fr-FR"/>
        </w:rPr>
        <w:t>CC</w:t>
      </w:r>
      <w:r w:rsidRPr="00CA76CB">
        <w:rPr>
          <w:rFonts w:asciiTheme="minorHAnsi" w:hAnsiTheme="minorHAnsi" w:cstheme="minorHAnsi"/>
          <w:lang w:val="fr-FR"/>
        </w:rPr>
        <w:t>. Sentencia T-567 de 1998.</w:t>
      </w:r>
    </w:p>
  </w:footnote>
  <w:footnote w:id="11">
    <w:p w:rsidR="00D014C4" w:rsidRPr="00CA76CB" w:rsidRDefault="00D014C4" w:rsidP="00F72E96">
      <w:pPr>
        <w:pStyle w:val="Notedebasdepage"/>
        <w:jc w:val="both"/>
        <w:rPr>
          <w:rFonts w:asciiTheme="minorHAnsi" w:hAnsiTheme="minorHAnsi" w:cstheme="minorHAnsi"/>
          <w:lang w:val="fr-FR"/>
        </w:rPr>
      </w:pPr>
      <w:r w:rsidRPr="000D485C">
        <w:rPr>
          <w:rStyle w:val="Appelnotedebasdep"/>
          <w:rFonts w:asciiTheme="minorHAnsi" w:hAnsiTheme="minorHAnsi" w:cstheme="minorHAnsi"/>
        </w:rPr>
        <w:footnoteRef/>
      </w:r>
      <w:r w:rsidRPr="00CA76CB">
        <w:rPr>
          <w:rFonts w:asciiTheme="minorHAnsi" w:hAnsiTheme="minorHAnsi" w:cstheme="minorHAnsi"/>
          <w:lang w:val="fr-FR"/>
        </w:rPr>
        <w:t xml:space="preserve"> </w:t>
      </w:r>
      <w:r w:rsidR="00983D7D" w:rsidRPr="00CA76CB">
        <w:rPr>
          <w:rFonts w:asciiTheme="minorHAnsi" w:hAnsiTheme="minorHAnsi" w:cstheme="minorHAnsi"/>
          <w:lang w:val="fr-FR"/>
        </w:rPr>
        <w:t>CC</w:t>
      </w:r>
      <w:r w:rsidRPr="00CA76CB">
        <w:rPr>
          <w:rFonts w:asciiTheme="minorHAnsi" w:hAnsiTheme="minorHAnsi" w:cstheme="minorHAnsi"/>
          <w:lang w:val="fr-FR"/>
        </w:rPr>
        <w:t>. Sentencia T-662 de 2013.</w:t>
      </w:r>
      <w:r w:rsidRPr="00CA76CB">
        <w:rPr>
          <w:rFonts w:asciiTheme="minorHAnsi" w:hAnsiTheme="minorHAnsi" w:cstheme="minorHAnsi"/>
          <w:b/>
          <w:bCs/>
          <w:color w:val="2D2D2D"/>
          <w:sz w:val="28"/>
          <w:szCs w:val="28"/>
          <w:bdr w:val="none" w:sz="0" w:space="0" w:color="auto" w:frame="1"/>
          <w:shd w:val="clear" w:color="auto" w:fill="FFFFFF"/>
          <w:lang w:val="fr-FR"/>
        </w:rPr>
        <w:t xml:space="preserve"> </w:t>
      </w:r>
    </w:p>
  </w:footnote>
  <w:footnote w:id="12">
    <w:p w:rsidR="00D014C4" w:rsidRPr="00CA76CB" w:rsidRDefault="00D014C4" w:rsidP="00F72E96">
      <w:pPr>
        <w:pStyle w:val="Notedebasdepage"/>
        <w:jc w:val="both"/>
        <w:rPr>
          <w:rFonts w:asciiTheme="minorHAnsi" w:hAnsiTheme="minorHAnsi" w:cstheme="minorHAnsi"/>
          <w:lang w:val="fr-FR"/>
        </w:rPr>
      </w:pPr>
      <w:r w:rsidRPr="000D485C">
        <w:rPr>
          <w:rStyle w:val="Appelnotedebasdep"/>
          <w:rFonts w:asciiTheme="minorHAnsi" w:hAnsiTheme="minorHAnsi" w:cstheme="minorHAnsi"/>
        </w:rPr>
        <w:footnoteRef/>
      </w:r>
      <w:r w:rsidRPr="00CA76CB">
        <w:rPr>
          <w:rFonts w:asciiTheme="minorHAnsi" w:hAnsiTheme="minorHAnsi" w:cstheme="minorHAnsi"/>
          <w:lang w:val="fr-FR"/>
        </w:rPr>
        <w:t xml:space="preserve"> </w:t>
      </w:r>
      <w:r w:rsidR="00983D7D" w:rsidRPr="00CA76CB">
        <w:rPr>
          <w:rFonts w:asciiTheme="minorHAnsi" w:hAnsiTheme="minorHAnsi" w:cstheme="minorHAnsi"/>
          <w:lang w:val="fr-FR"/>
        </w:rPr>
        <w:t>CC</w:t>
      </w:r>
      <w:r w:rsidRPr="00CA76CB">
        <w:rPr>
          <w:rFonts w:asciiTheme="minorHAnsi" w:hAnsiTheme="minorHAnsi" w:cstheme="minorHAnsi"/>
          <w:lang w:val="fr-FR"/>
        </w:rPr>
        <w:t xml:space="preserve">. </w:t>
      </w:r>
      <w:r w:rsidRPr="00CA76CB">
        <w:rPr>
          <w:rFonts w:asciiTheme="minorHAnsi" w:hAnsiTheme="minorHAnsi" w:cstheme="minorHAnsi"/>
          <w:bCs/>
          <w:bdr w:val="none" w:sz="0" w:space="0" w:color="auto" w:frame="1"/>
          <w:shd w:val="clear" w:color="auto" w:fill="FFFFFF"/>
          <w:lang w:val="fr-FR"/>
        </w:rPr>
        <w:t>Sentencia T-037 de 2016 y T-120 de 2016.</w:t>
      </w:r>
    </w:p>
  </w:footnote>
  <w:footnote w:id="13">
    <w:p w:rsidR="00D014C4" w:rsidRPr="000D485C" w:rsidRDefault="00D014C4" w:rsidP="00F72E96">
      <w:pPr>
        <w:pStyle w:val="Notedebasdepage"/>
        <w:jc w:val="both"/>
        <w:rPr>
          <w:rFonts w:asciiTheme="minorHAnsi" w:hAnsiTheme="minorHAnsi" w:cstheme="minorHAnsi"/>
        </w:rPr>
      </w:pPr>
      <w:r w:rsidRPr="000D485C">
        <w:rPr>
          <w:rStyle w:val="Appelnotedebasdep"/>
          <w:rFonts w:asciiTheme="minorHAnsi" w:hAnsiTheme="minorHAnsi" w:cstheme="minorHAnsi"/>
        </w:rPr>
        <w:footnoteRef/>
      </w:r>
      <w:r w:rsidRPr="000D485C">
        <w:rPr>
          <w:rFonts w:asciiTheme="minorHAnsi" w:hAnsiTheme="minorHAnsi" w:cstheme="minorHAnsi"/>
        </w:rPr>
        <w:t xml:space="preserve"> </w:t>
      </w:r>
      <w:r w:rsidR="00983D7D" w:rsidRPr="00CA76CB">
        <w:rPr>
          <w:rFonts w:asciiTheme="minorHAnsi" w:hAnsiTheme="minorHAnsi" w:cstheme="minorHAnsi"/>
          <w:spacing w:val="-4"/>
          <w:lang w:val="es-CO"/>
        </w:rPr>
        <w:t>CSJ</w:t>
      </w:r>
      <w:r w:rsidRPr="00CA76CB">
        <w:rPr>
          <w:rFonts w:asciiTheme="minorHAnsi" w:hAnsiTheme="minorHAnsi" w:cstheme="minorHAnsi"/>
          <w:spacing w:val="-4"/>
          <w:lang w:val="es-CO"/>
        </w:rPr>
        <w:t xml:space="preserve">, Sala Civil. Sentencia del 02-09-2014, MP: Margarita Cabello Blanco, </w:t>
      </w:r>
      <w:proofErr w:type="spellStart"/>
      <w:r w:rsidRPr="00CA76CB">
        <w:rPr>
          <w:rFonts w:asciiTheme="minorHAnsi" w:hAnsiTheme="minorHAnsi" w:cstheme="minorHAnsi"/>
          <w:spacing w:val="-4"/>
          <w:lang w:val="es-CO"/>
        </w:rPr>
        <w:t>exp</w:t>
      </w:r>
      <w:proofErr w:type="spellEnd"/>
      <w:r w:rsidR="00983D7D" w:rsidRPr="00CA76CB">
        <w:rPr>
          <w:rFonts w:asciiTheme="minorHAnsi" w:hAnsiTheme="minorHAnsi" w:cstheme="minorHAnsi"/>
          <w:spacing w:val="-4"/>
          <w:lang w:val="es-CO"/>
        </w:rPr>
        <w:t xml:space="preserve">. </w:t>
      </w:r>
      <w:r w:rsidRPr="00CA76CB">
        <w:rPr>
          <w:rFonts w:asciiTheme="minorHAnsi" w:hAnsiTheme="minorHAnsi" w:cstheme="minorHAnsi"/>
          <w:spacing w:val="-4"/>
          <w:lang w:val="es-CO"/>
        </w:rPr>
        <w:t>No</w:t>
      </w:r>
      <w:r w:rsidR="00983D7D" w:rsidRPr="00CA76CB">
        <w:rPr>
          <w:rFonts w:asciiTheme="minorHAnsi" w:hAnsiTheme="minorHAnsi" w:cstheme="minorHAnsi"/>
          <w:spacing w:val="-4"/>
          <w:lang w:val="es-CO"/>
        </w:rPr>
        <w:t>.23001-22-14-000-2014-00097-</w:t>
      </w:r>
      <w:r w:rsidRPr="00CA76CB">
        <w:rPr>
          <w:rFonts w:asciiTheme="minorHAnsi" w:hAnsiTheme="minorHAnsi" w:cstheme="minorHAnsi"/>
          <w:spacing w:val="-4"/>
          <w:lang w:val="es-CO"/>
        </w:rPr>
        <w:t>01</w:t>
      </w:r>
      <w:r w:rsidRPr="00CA76CB">
        <w:rPr>
          <w:rFonts w:asciiTheme="minorHAnsi" w:hAnsiTheme="minorHAnsi" w:cstheme="minorHAnsi"/>
          <w:spacing w:val="-4"/>
          <w:w w:val="110"/>
          <w:lang w:val="es-CO"/>
        </w:rPr>
        <w:t>.</w:t>
      </w:r>
    </w:p>
  </w:footnote>
  <w:footnote w:id="14">
    <w:p w:rsidR="00D014C4" w:rsidRPr="000D485C" w:rsidRDefault="00D014C4" w:rsidP="00F72E96">
      <w:pPr>
        <w:pStyle w:val="Notedebasdepage"/>
        <w:jc w:val="both"/>
        <w:rPr>
          <w:rFonts w:asciiTheme="minorHAnsi" w:hAnsiTheme="minorHAnsi" w:cstheme="minorHAnsi"/>
          <w:lang w:val="es-CO"/>
        </w:rPr>
      </w:pPr>
      <w:r w:rsidRPr="000D485C">
        <w:rPr>
          <w:rStyle w:val="Appelnotedebasdep"/>
          <w:rFonts w:asciiTheme="minorHAnsi" w:hAnsiTheme="minorHAnsi" w:cstheme="minorHAnsi"/>
        </w:rPr>
        <w:footnoteRef/>
      </w:r>
      <w:r w:rsidRPr="000D485C">
        <w:rPr>
          <w:rFonts w:asciiTheme="minorHAnsi" w:hAnsiTheme="minorHAnsi" w:cstheme="minorHAnsi"/>
        </w:rPr>
        <w:t xml:space="preserve"> </w:t>
      </w:r>
      <w:r w:rsidR="00983D7D" w:rsidRPr="000D485C">
        <w:rPr>
          <w:rFonts w:asciiTheme="minorHAnsi" w:hAnsiTheme="minorHAnsi" w:cstheme="minorHAnsi"/>
          <w:lang w:val="es-CO"/>
        </w:rPr>
        <w:t>CSJ</w:t>
      </w:r>
      <w:r w:rsidRPr="000D485C">
        <w:rPr>
          <w:rFonts w:asciiTheme="minorHAnsi" w:hAnsiTheme="minorHAnsi" w:cstheme="minorHAnsi"/>
          <w:lang w:val="es-CO"/>
        </w:rPr>
        <w:t xml:space="preserve">, </w:t>
      </w:r>
      <w:r w:rsidRPr="000D485C">
        <w:rPr>
          <w:rFonts w:asciiTheme="minorHAnsi" w:hAnsiTheme="minorHAnsi" w:cstheme="minorHAnsi"/>
        </w:rPr>
        <w:t>Sala Civil.  Providencia STC6121-2015.</w:t>
      </w:r>
    </w:p>
  </w:footnote>
  <w:footnote w:id="15">
    <w:p w:rsidR="00D014C4" w:rsidRPr="000D485C" w:rsidRDefault="00D014C4" w:rsidP="00F72E96">
      <w:pPr>
        <w:pStyle w:val="Notedebasdepage"/>
        <w:jc w:val="both"/>
        <w:rPr>
          <w:rFonts w:asciiTheme="minorHAnsi" w:hAnsiTheme="minorHAnsi" w:cstheme="minorHAnsi"/>
          <w:lang w:val="es-CO"/>
        </w:rPr>
      </w:pPr>
      <w:r w:rsidRPr="000D485C">
        <w:rPr>
          <w:rStyle w:val="Appelnotedebasdep"/>
          <w:rFonts w:asciiTheme="minorHAnsi" w:hAnsiTheme="minorHAnsi" w:cstheme="minorHAnsi"/>
        </w:rPr>
        <w:footnoteRef/>
      </w:r>
      <w:r w:rsidRPr="000D485C">
        <w:rPr>
          <w:rFonts w:asciiTheme="minorHAnsi" w:hAnsiTheme="minorHAnsi" w:cstheme="minorHAnsi"/>
        </w:rPr>
        <w:t xml:space="preserve"> </w:t>
      </w:r>
      <w:r w:rsidR="00983D7D" w:rsidRPr="000D485C">
        <w:rPr>
          <w:rFonts w:asciiTheme="minorHAnsi" w:hAnsiTheme="minorHAnsi" w:cstheme="minorHAnsi"/>
          <w:lang w:val="es-CO"/>
        </w:rPr>
        <w:t>CSJ</w:t>
      </w:r>
      <w:r w:rsidRPr="000D485C">
        <w:rPr>
          <w:rFonts w:asciiTheme="minorHAnsi" w:hAnsiTheme="minorHAnsi" w:cstheme="minorHAnsi"/>
          <w:lang w:val="es-CO"/>
        </w:rPr>
        <w:t xml:space="preserve">, </w:t>
      </w:r>
      <w:r w:rsidRPr="000D485C">
        <w:rPr>
          <w:rFonts w:asciiTheme="minorHAnsi" w:hAnsiTheme="minorHAnsi" w:cstheme="minorHAnsi"/>
        </w:rPr>
        <w:t xml:space="preserve">Sala Civil.  Providencia </w:t>
      </w:r>
      <w:r w:rsidRPr="000D485C">
        <w:rPr>
          <w:rFonts w:asciiTheme="minorHAnsi" w:hAnsiTheme="minorHAnsi" w:cstheme="minorHAnsi"/>
          <w:lang w:val="es-CO"/>
        </w:rPr>
        <w:t>STC3931-2016, entre otras.</w:t>
      </w:r>
    </w:p>
  </w:footnote>
  <w:footnote w:id="16">
    <w:p w:rsidR="00A968A3" w:rsidRPr="000D485C" w:rsidRDefault="00A968A3" w:rsidP="00A968A3">
      <w:pPr>
        <w:pStyle w:val="Notedebasdepage"/>
        <w:jc w:val="both"/>
        <w:rPr>
          <w:rFonts w:asciiTheme="minorHAnsi" w:hAnsiTheme="minorHAnsi" w:cstheme="minorHAnsi"/>
          <w:lang w:val="es-CO"/>
        </w:rPr>
      </w:pPr>
      <w:r w:rsidRPr="000D485C">
        <w:rPr>
          <w:rStyle w:val="Appelnotedebasdep"/>
          <w:rFonts w:asciiTheme="minorHAnsi" w:hAnsiTheme="minorHAnsi" w:cstheme="minorHAnsi"/>
        </w:rPr>
        <w:footnoteRef/>
      </w:r>
      <w:r w:rsidRPr="000D485C">
        <w:rPr>
          <w:rFonts w:asciiTheme="minorHAnsi" w:hAnsiTheme="minorHAnsi" w:cstheme="minorHAnsi"/>
        </w:rPr>
        <w:t xml:space="preserve"> CC. Sentencia T-103 de 2014. </w:t>
      </w:r>
      <w:r w:rsidRPr="000D485C">
        <w:rPr>
          <w:rFonts w:asciiTheme="minorHAnsi" w:hAnsiTheme="minorHAnsi" w:cstheme="minorHAnsi"/>
          <w:lang w:val="es-CO"/>
        </w:rPr>
        <w:t xml:space="preserve">En esta providencia la Corte estableció “(…) </w:t>
      </w:r>
      <w:r w:rsidRPr="000D485C">
        <w:rPr>
          <w:rFonts w:asciiTheme="minorHAnsi" w:hAnsiTheme="minorHAnsi" w:cstheme="minorHAnsi"/>
        </w:rPr>
        <w:t xml:space="preserve">que el principio de subsidiariedad de la acción de tutela envuelve tres características importantes que llevan a su improcedencia contra providencias judiciales, a saber: (i) </w:t>
      </w:r>
      <w:r w:rsidRPr="000D485C">
        <w:rPr>
          <w:rFonts w:asciiTheme="minorHAnsi" w:hAnsiTheme="minorHAnsi" w:cstheme="minorHAnsi"/>
          <w:u w:val="single"/>
        </w:rPr>
        <w:t>el asunto está en trámite</w:t>
      </w:r>
      <w:r w:rsidRPr="000D485C">
        <w:rPr>
          <w:rFonts w:asciiTheme="minorHAnsi" w:hAnsiTheme="minorHAnsi" w:cstheme="minorHAnsi"/>
        </w:rPr>
        <w:t>; (ii) no se han agotado los medios de defensa judicial ordinarios y extraordinarios; y (iii) se usa para revivir etapas procesales en donde se dejaron de emplear los recursos previstos en el ordenamiento jurídico (…)”</w:t>
      </w:r>
      <w:r w:rsidRPr="000D485C">
        <w:rPr>
          <w:rFonts w:asciiTheme="minorHAnsi" w:hAnsiTheme="minorHAnsi" w:cstheme="minorHAnsi"/>
          <w:lang w:val="es-CO"/>
        </w:rPr>
        <w:t xml:space="preserve"> </w:t>
      </w:r>
    </w:p>
  </w:footnote>
  <w:footnote w:id="17">
    <w:p w:rsidR="00A968A3" w:rsidRPr="000D485C" w:rsidRDefault="00A968A3" w:rsidP="00A968A3">
      <w:pPr>
        <w:pStyle w:val="Notedebasdepage"/>
        <w:jc w:val="both"/>
        <w:rPr>
          <w:rFonts w:asciiTheme="minorHAnsi" w:hAnsiTheme="minorHAnsi" w:cstheme="minorHAnsi"/>
          <w:lang w:val="es-CO"/>
        </w:rPr>
      </w:pPr>
      <w:r w:rsidRPr="000D485C">
        <w:rPr>
          <w:rStyle w:val="Appelnotedebasdep"/>
          <w:rFonts w:asciiTheme="minorHAnsi" w:hAnsiTheme="minorHAnsi" w:cstheme="minorHAnsi"/>
        </w:rPr>
        <w:footnoteRef/>
      </w:r>
      <w:r w:rsidRPr="000D485C">
        <w:rPr>
          <w:rFonts w:asciiTheme="minorHAnsi" w:hAnsiTheme="minorHAnsi" w:cstheme="minorHAnsi"/>
        </w:rPr>
        <w:t xml:space="preserve"> </w:t>
      </w:r>
      <w:r w:rsidRPr="000D485C">
        <w:rPr>
          <w:rFonts w:asciiTheme="minorHAnsi" w:hAnsiTheme="minorHAnsi" w:cstheme="minorHAnsi"/>
          <w:lang w:val="es-CO"/>
        </w:rPr>
        <w:t xml:space="preserve">CSJ, </w:t>
      </w:r>
      <w:r w:rsidRPr="000D485C">
        <w:rPr>
          <w:rFonts w:asciiTheme="minorHAnsi" w:hAnsiTheme="minorHAnsi" w:cstheme="minorHAnsi"/>
        </w:rPr>
        <w:t>Sala Civil.  Providencia STC3950-2016.</w:t>
      </w:r>
    </w:p>
  </w:footnote>
  <w:footnote w:id="18">
    <w:p w:rsidR="00A968A3" w:rsidRPr="000D485C" w:rsidRDefault="00A968A3" w:rsidP="00A968A3">
      <w:pPr>
        <w:pStyle w:val="Notedebasdepage"/>
        <w:jc w:val="both"/>
        <w:rPr>
          <w:rFonts w:asciiTheme="minorHAnsi" w:hAnsiTheme="minorHAnsi" w:cstheme="minorHAnsi"/>
        </w:rPr>
      </w:pPr>
      <w:r w:rsidRPr="000D485C">
        <w:rPr>
          <w:rStyle w:val="Appelnotedebasdep"/>
          <w:rFonts w:asciiTheme="minorHAnsi" w:hAnsiTheme="minorHAnsi" w:cstheme="minorHAnsi"/>
        </w:rPr>
        <w:footnoteRef/>
      </w:r>
      <w:r w:rsidRPr="000D485C">
        <w:rPr>
          <w:rFonts w:asciiTheme="minorHAnsi" w:hAnsiTheme="minorHAnsi" w:cstheme="minorHAnsi"/>
        </w:rPr>
        <w:t xml:space="preserve"> CC. Sentencia T-103 de 2014, citada en la </w:t>
      </w:r>
      <w:r w:rsidRPr="000D485C">
        <w:rPr>
          <w:rFonts w:asciiTheme="minorHAnsi" w:hAnsiTheme="minorHAnsi" w:cstheme="minorHAnsi"/>
          <w:bCs/>
        </w:rPr>
        <w:t>Sentencia SU-297 de 2015.</w:t>
      </w:r>
    </w:p>
  </w:footnote>
  <w:footnote w:id="19">
    <w:p w:rsidR="00A968A3" w:rsidRDefault="00A968A3" w:rsidP="00A968A3">
      <w:pPr>
        <w:pStyle w:val="Notedebasdepage"/>
        <w:rPr>
          <w:lang w:val="es-CO"/>
        </w:rPr>
      </w:pPr>
      <w:r>
        <w:rPr>
          <w:rStyle w:val="Appelnotedebasdep"/>
        </w:rPr>
        <w:footnoteRef/>
      </w:r>
      <w:r>
        <w:t xml:space="preserve"> </w:t>
      </w:r>
      <w:r>
        <w:rPr>
          <w:rFonts w:asciiTheme="minorHAnsi" w:hAnsiTheme="minorHAnsi" w:cs="Calibri"/>
        </w:rPr>
        <w:t>CC.  Sentencia T-717 de 22-09-2011.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CA76CB">
      <w:rPr>
        <w:rFonts w:ascii="Calibri" w:hAnsi="Calibri" w:cs="Calibri"/>
        <w:i/>
        <w:noProof/>
        <w:sz w:val="20"/>
      </w:rPr>
      <w:t>7</w:t>
    </w:r>
    <w:r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7949D4">
      <w:rPr>
        <w:rFonts w:ascii="Calibri" w:hAnsi="Calibri" w:cs="Calibri"/>
        <w:i/>
        <w:sz w:val="20"/>
        <w:szCs w:val="22"/>
      </w:rPr>
      <w:t>2016-</w:t>
    </w:r>
    <w:r w:rsidR="00D11A17">
      <w:rPr>
        <w:rFonts w:ascii="Calibri" w:hAnsi="Calibri" w:cs="Calibri"/>
        <w:i/>
        <w:sz w:val="20"/>
        <w:szCs w:val="22"/>
      </w:rPr>
      <w:t>01</w:t>
    </w:r>
    <w:r w:rsidR="002750C9">
      <w:rPr>
        <w:rFonts w:ascii="Calibri" w:hAnsi="Calibri" w:cs="Calibri"/>
        <w:i/>
        <w:sz w:val="20"/>
        <w:szCs w:val="22"/>
      </w:rPr>
      <w:t>2</w:t>
    </w:r>
    <w:r w:rsidR="007A3DC1">
      <w:rPr>
        <w:rFonts w:ascii="Calibri" w:hAnsi="Calibri" w:cs="Calibri"/>
        <w:i/>
        <w:sz w:val="20"/>
        <w:szCs w:val="22"/>
      </w:rPr>
      <w:t>16</w:t>
    </w:r>
    <w:r w:rsidR="00763093">
      <w:rPr>
        <w:rFonts w:ascii="Calibri" w:hAnsi="Calibri"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6AA1"/>
    <w:rsid w:val="00017B6F"/>
    <w:rsid w:val="00017DCC"/>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2C3"/>
    <w:rsid w:val="00030686"/>
    <w:rsid w:val="000311D1"/>
    <w:rsid w:val="00031CDA"/>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3FD9"/>
    <w:rsid w:val="0005410F"/>
    <w:rsid w:val="0005443E"/>
    <w:rsid w:val="00054679"/>
    <w:rsid w:val="000547E1"/>
    <w:rsid w:val="00055048"/>
    <w:rsid w:val="00055173"/>
    <w:rsid w:val="00055FDD"/>
    <w:rsid w:val="00057150"/>
    <w:rsid w:val="00060303"/>
    <w:rsid w:val="000605AB"/>
    <w:rsid w:val="00060C31"/>
    <w:rsid w:val="00060CFD"/>
    <w:rsid w:val="00060ED4"/>
    <w:rsid w:val="00061050"/>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1B86"/>
    <w:rsid w:val="000723F4"/>
    <w:rsid w:val="00072496"/>
    <w:rsid w:val="00073248"/>
    <w:rsid w:val="000735CB"/>
    <w:rsid w:val="00073953"/>
    <w:rsid w:val="00074032"/>
    <w:rsid w:val="0007464B"/>
    <w:rsid w:val="000756CD"/>
    <w:rsid w:val="00075C34"/>
    <w:rsid w:val="000769E5"/>
    <w:rsid w:val="000774AE"/>
    <w:rsid w:val="000803A5"/>
    <w:rsid w:val="00080DED"/>
    <w:rsid w:val="00081F32"/>
    <w:rsid w:val="00082120"/>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4204"/>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485C"/>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0BE0"/>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2D82"/>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23"/>
    <w:rsid w:val="00107D7D"/>
    <w:rsid w:val="00110496"/>
    <w:rsid w:val="001108F7"/>
    <w:rsid w:val="00111321"/>
    <w:rsid w:val="001113DC"/>
    <w:rsid w:val="00111659"/>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16C1"/>
    <w:rsid w:val="00122552"/>
    <w:rsid w:val="001229CA"/>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0DD6"/>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1728"/>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4B1E"/>
    <w:rsid w:val="0018505B"/>
    <w:rsid w:val="001850F3"/>
    <w:rsid w:val="00185571"/>
    <w:rsid w:val="00186D6D"/>
    <w:rsid w:val="00187240"/>
    <w:rsid w:val="001877B0"/>
    <w:rsid w:val="00187EED"/>
    <w:rsid w:val="001919A6"/>
    <w:rsid w:val="00192144"/>
    <w:rsid w:val="001929B6"/>
    <w:rsid w:val="0019341E"/>
    <w:rsid w:val="00193686"/>
    <w:rsid w:val="00193995"/>
    <w:rsid w:val="00193D37"/>
    <w:rsid w:val="0019525B"/>
    <w:rsid w:val="00195D5E"/>
    <w:rsid w:val="0019739B"/>
    <w:rsid w:val="001A07E8"/>
    <w:rsid w:val="001A0924"/>
    <w:rsid w:val="001A0973"/>
    <w:rsid w:val="001A0AAA"/>
    <w:rsid w:val="001A0BC5"/>
    <w:rsid w:val="001A122A"/>
    <w:rsid w:val="001A143F"/>
    <w:rsid w:val="001A1B54"/>
    <w:rsid w:val="001A1CE0"/>
    <w:rsid w:val="001A1EA0"/>
    <w:rsid w:val="001A1F48"/>
    <w:rsid w:val="001A22D4"/>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0C35"/>
    <w:rsid w:val="001C1220"/>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5FF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344"/>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0A7"/>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2C5A"/>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0FBA"/>
    <w:rsid w:val="002516FA"/>
    <w:rsid w:val="002517C0"/>
    <w:rsid w:val="00251F84"/>
    <w:rsid w:val="002520E9"/>
    <w:rsid w:val="002526A9"/>
    <w:rsid w:val="002526F2"/>
    <w:rsid w:val="00252B82"/>
    <w:rsid w:val="00252D94"/>
    <w:rsid w:val="0025335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406"/>
    <w:rsid w:val="00262566"/>
    <w:rsid w:val="00262FDA"/>
    <w:rsid w:val="002630B8"/>
    <w:rsid w:val="00263769"/>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0C9"/>
    <w:rsid w:val="00275557"/>
    <w:rsid w:val="00275A26"/>
    <w:rsid w:val="00275A9C"/>
    <w:rsid w:val="002763DE"/>
    <w:rsid w:val="002766E6"/>
    <w:rsid w:val="00277ACB"/>
    <w:rsid w:val="00277D77"/>
    <w:rsid w:val="00277FF1"/>
    <w:rsid w:val="002803AE"/>
    <w:rsid w:val="002804C6"/>
    <w:rsid w:val="00280657"/>
    <w:rsid w:val="00280976"/>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A17"/>
    <w:rsid w:val="002C5B41"/>
    <w:rsid w:val="002C710C"/>
    <w:rsid w:val="002C771C"/>
    <w:rsid w:val="002C79F1"/>
    <w:rsid w:val="002D061F"/>
    <w:rsid w:val="002D065A"/>
    <w:rsid w:val="002D08EB"/>
    <w:rsid w:val="002D1B84"/>
    <w:rsid w:val="002D3165"/>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D18"/>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B90"/>
    <w:rsid w:val="003065E0"/>
    <w:rsid w:val="00306FDC"/>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1D6"/>
    <w:rsid w:val="00335FCF"/>
    <w:rsid w:val="003369F2"/>
    <w:rsid w:val="00336AC5"/>
    <w:rsid w:val="003377B6"/>
    <w:rsid w:val="00337AED"/>
    <w:rsid w:val="00337F22"/>
    <w:rsid w:val="00340361"/>
    <w:rsid w:val="00340F08"/>
    <w:rsid w:val="00341465"/>
    <w:rsid w:val="00341916"/>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6C8"/>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40"/>
    <w:rsid w:val="00383179"/>
    <w:rsid w:val="00383475"/>
    <w:rsid w:val="00383D70"/>
    <w:rsid w:val="00383E2F"/>
    <w:rsid w:val="003843DB"/>
    <w:rsid w:val="00384827"/>
    <w:rsid w:val="00384DBF"/>
    <w:rsid w:val="00384EE7"/>
    <w:rsid w:val="003857BC"/>
    <w:rsid w:val="00385E43"/>
    <w:rsid w:val="003860A0"/>
    <w:rsid w:val="00386A62"/>
    <w:rsid w:val="0038712D"/>
    <w:rsid w:val="00390E90"/>
    <w:rsid w:val="0039143D"/>
    <w:rsid w:val="00391560"/>
    <w:rsid w:val="00391B06"/>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B9C"/>
    <w:rsid w:val="003D3F60"/>
    <w:rsid w:val="003D4090"/>
    <w:rsid w:val="003D4557"/>
    <w:rsid w:val="003D45B1"/>
    <w:rsid w:val="003D46EB"/>
    <w:rsid w:val="003D475E"/>
    <w:rsid w:val="003D4FD9"/>
    <w:rsid w:val="003D5956"/>
    <w:rsid w:val="003D5FC6"/>
    <w:rsid w:val="003D65B3"/>
    <w:rsid w:val="003D6763"/>
    <w:rsid w:val="003D6BEE"/>
    <w:rsid w:val="003D747F"/>
    <w:rsid w:val="003E0B3F"/>
    <w:rsid w:val="003E0D08"/>
    <w:rsid w:val="003E0DA0"/>
    <w:rsid w:val="003E15C3"/>
    <w:rsid w:val="003E15EB"/>
    <w:rsid w:val="003E18D8"/>
    <w:rsid w:val="003E2887"/>
    <w:rsid w:val="003E288D"/>
    <w:rsid w:val="003E35E2"/>
    <w:rsid w:val="003E3985"/>
    <w:rsid w:val="003E3CD6"/>
    <w:rsid w:val="003E44F9"/>
    <w:rsid w:val="003E4897"/>
    <w:rsid w:val="003E5253"/>
    <w:rsid w:val="003E66CE"/>
    <w:rsid w:val="003E73B6"/>
    <w:rsid w:val="003F0021"/>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0BAD"/>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349F"/>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61"/>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B6"/>
    <w:rsid w:val="004549AD"/>
    <w:rsid w:val="00454F83"/>
    <w:rsid w:val="004557D6"/>
    <w:rsid w:val="00455E2D"/>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4F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D8D"/>
    <w:rsid w:val="00486062"/>
    <w:rsid w:val="00486355"/>
    <w:rsid w:val="0048666E"/>
    <w:rsid w:val="00486979"/>
    <w:rsid w:val="00486EDB"/>
    <w:rsid w:val="004877B5"/>
    <w:rsid w:val="0049027C"/>
    <w:rsid w:val="00491288"/>
    <w:rsid w:val="00491333"/>
    <w:rsid w:val="00491B8B"/>
    <w:rsid w:val="00491D39"/>
    <w:rsid w:val="00492164"/>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554C"/>
    <w:rsid w:val="004B7439"/>
    <w:rsid w:val="004B77EB"/>
    <w:rsid w:val="004C0EA4"/>
    <w:rsid w:val="004C1276"/>
    <w:rsid w:val="004C1BA7"/>
    <w:rsid w:val="004C1F30"/>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7A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4B81"/>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7AE"/>
    <w:rsid w:val="00536E5D"/>
    <w:rsid w:val="00537CEA"/>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5F5"/>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5C2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980"/>
    <w:rsid w:val="005C3AA9"/>
    <w:rsid w:val="005C3B0E"/>
    <w:rsid w:val="005C4C0F"/>
    <w:rsid w:val="005C5213"/>
    <w:rsid w:val="005C5879"/>
    <w:rsid w:val="005C59C2"/>
    <w:rsid w:val="005C65F4"/>
    <w:rsid w:val="005C6A5E"/>
    <w:rsid w:val="005C6EF5"/>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D7CE2"/>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B3E"/>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4D3"/>
    <w:rsid w:val="00601CD6"/>
    <w:rsid w:val="00601F67"/>
    <w:rsid w:val="0060245E"/>
    <w:rsid w:val="0060249E"/>
    <w:rsid w:val="0060257D"/>
    <w:rsid w:val="00602AC2"/>
    <w:rsid w:val="00602ADE"/>
    <w:rsid w:val="00602E93"/>
    <w:rsid w:val="00603E5A"/>
    <w:rsid w:val="00604461"/>
    <w:rsid w:val="0060451A"/>
    <w:rsid w:val="00604DD7"/>
    <w:rsid w:val="006059E5"/>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3D1D"/>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7D"/>
    <w:rsid w:val="006443EA"/>
    <w:rsid w:val="006444F0"/>
    <w:rsid w:val="00644AE7"/>
    <w:rsid w:val="006455D1"/>
    <w:rsid w:val="00645B05"/>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78D"/>
    <w:rsid w:val="00682BD7"/>
    <w:rsid w:val="00682E15"/>
    <w:rsid w:val="00683A69"/>
    <w:rsid w:val="00683DC4"/>
    <w:rsid w:val="00684255"/>
    <w:rsid w:val="00684CBB"/>
    <w:rsid w:val="00685170"/>
    <w:rsid w:val="006857EF"/>
    <w:rsid w:val="0068603A"/>
    <w:rsid w:val="0068618F"/>
    <w:rsid w:val="006869C9"/>
    <w:rsid w:val="00686A03"/>
    <w:rsid w:val="0068769B"/>
    <w:rsid w:val="0068796F"/>
    <w:rsid w:val="00687E4B"/>
    <w:rsid w:val="00690466"/>
    <w:rsid w:val="00690473"/>
    <w:rsid w:val="00690658"/>
    <w:rsid w:val="0069134C"/>
    <w:rsid w:val="006914EB"/>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237"/>
    <w:rsid w:val="006A07B7"/>
    <w:rsid w:val="006A086C"/>
    <w:rsid w:val="006A153B"/>
    <w:rsid w:val="006A18BA"/>
    <w:rsid w:val="006A1A03"/>
    <w:rsid w:val="006A2212"/>
    <w:rsid w:val="006A2A73"/>
    <w:rsid w:val="006A4829"/>
    <w:rsid w:val="006A5081"/>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192"/>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6A8A"/>
    <w:rsid w:val="006D72F2"/>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1EC"/>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D7"/>
    <w:rsid w:val="007154F9"/>
    <w:rsid w:val="007161AC"/>
    <w:rsid w:val="00717574"/>
    <w:rsid w:val="00720F6E"/>
    <w:rsid w:val="00722FB5"/>
    <w:rsid w:val="00723794"/>
    <w:rsid w:val="0072424E"/>
    <w:rsid w:val="0072436C"/>
    <w:rsid w:val="00724BAB"/>
    <w:rsid w:val="007251E6"/>
    <w:rsid w:val="00725242"/>
    <w:rsid w:val="0072524B"/>
    <w:rsid w:val="00725E62"/>
    <w:rsid w:val="007263B2"/>
    <w:rsid w:val="007266D3"/>
    <w:rsid w:val="00726918"/>
    <w:rsid w:val="00727095"/>
    <w:rsid w:val="007304DC"/>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9F8"/>
    <w:rsid w:val="00737D3F"/>
    <w:rsid w:val="007400D3"/>
    <w:rsid w:val="007418F2"/>
    <w:rsid w:val="007422B7"/>
    <w:rsid w:val="00742DAD"/>
    <w:rsid w:val="00742E38"/>
    <w:rsid w:val="00744FF6"/>
    <w:rsid w:val="00745751"/>
    <w:rsid w:val="00745C6A"/>
    <w:rsid w:val="00746514"/>
    <w:rsid w:val="00746707"/>
    <w:rsid w:val="00746775"/>
    <w:rsid w:val="00746A59"/>
    <w:rsid w:val="00747715"/>
    <w:rsid w:val="00747AA7"/>
    <w:rsid w:val="00747AAD"/>
    <w:rsid w:val="00747B00"/>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093"/>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53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713"/>
    <w:rsid w:val="007949D4"/>
    <w:rsid w:val="00794BDC"/>
    <w:rsid w:val="00794E4D"/>
    <w:rsid w:val="00794F24"/>
    <w:rsid w:val="00795469"/>
    <w:rsid w:val="007965DD"/>
    <w:rsid w:val="00796627"/>
    <w:rsid w:val="00796B38"/>
    <w:rsid w:val="00796C75"/>
    <w:rsid w:val="007975AC"/>
    <w:rsid w:val="00797D75"/>
    <w:rsid w:val="007A0C32"/>
    <w:rsid w:val="007A0E06"/>
    <w:rsid w:val="007A0F51"/>
    <w:rsid w:val="007A0FCB"/>
    <w:rsid w:val="007A1121"/>
    <w:rsid w:val="007A12E1"/>
    <w:rsid w:val="007A1D65"/>
    <w:rsid w:val="007A237B"/>
    <w:rsid w:val="007A3D83"/>
    <w:rsid w:val="007A3DC1"/>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4BBC"/>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5A66"/>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0A14"/>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AAD"/>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385"/>
    <w:rsid w:val="00812556"/>
    <w:rsid w:val="0081322E"/>
    <w:rsid w:val="00813552"/>
    <w:rsid w:val="008139F4"/>
    <w:rsid w:val="00814493"/>
    <w:rsid w:val="0081546B"/>
    <w:rsid w:val="008154F0"/>
    <w:rsid w:val="00815EF9"/>
    <w:rsid w:val="008163C1"/>
    <w:rsid w:val="00816781"/>
    <w:rsid w:val="008169EA"/>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2FF"/>
    <w:rsid w:val="00851402"/>
    <w:rsid w:val="0085168A"/>
    <w:rsid w:val="00851CB4"/>
    <w:rsid w:val="008520C1"/>
    <w:rsid w:val="008522BF"/>
    <w:rsid w:val="00852342"/>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67A"/>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8AB"/>
    <w:rsid w:val="00883BF2"/>
    <w:rsid w:val="00883C1D"/>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3EC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51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B99"/>
    <w:rsid w:val="008D1CC2"/>
    <w:rsid w:val="008D232F"/>
    <w:rsid w:val="008D24B6"/>
    <w:rsid w:val="008D2A56"/>
    <w:rsid w:val="008D2DD4"/>
    <w:rsid w:val="008D2E0B"/>
    <w:rsid w:val="008D381D"/>
    <w:rsid w:val="008D3FE5"/>
    <w:rsid w:val="008D43B4"/>
    <w:rsid w:val="008D49E9"/>
    <w:rsid w:val="008D53F1"/>
    <w:rsid w:val="008D7F5B"/>
    <w:rsid w:val="008E1295"/>
    <w:rsid w:val="008E2633"/>
    <w:rsid w:val="008E2790"/>
    <w:rsid w:val="008E318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1FB"/>
    <w:rsid w:val="008F59AB"/>
    <w:rsid w:val="008F5D8D"/>
    <w:rsid w:val="008F699B"/>
    <w:rsid w:val="008F6AC9"/>
    <w:rsid w:val="008F73B5"/>
    <w:rsid w:val="008F7558"/>
    <w:rsid w:val="008F7F4F"/>
    <w:rsid w:val="00900191"/>
    <w:rsid w:val="00901373"/>
    <w:rsid w:val="00901693"/>
    <w:rsid w:val="009016D4"/>
    <w:rsid w:val="00901702"/>
    <w:rsid w:val="009019C0"/>
    <w:rsid w:val="00901D27"/>
    <w:rsid w:val="0090228D"/>
    <w:rsid w:val="00902866"/>
    <w:rsid w:val="00902964"/>
    <w:rsid w:val="009033C4"/>
    <w:rsid w:val="009039C6"/>
    <w:rsid w:val="00903D0B"/>
    <w:rsid w:val="00903E32"/>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522"/>
    <w:rsid w:val="00930751"/>
    <w:rsid w:val="00930A64"/>
    <w:rsid w:val="00930CA4"/>
    <w:rsid w:val="00931E19"/>
    <w:rsid w:val="00932CAA"/>
    <w:rsid w:val="009345B8"/>
    <w:rsid w:val="00934829"/>
    <w:rsid w:val="0093486D"/>
    <w:rsid w:val="00934911"/>
    <w:rsid w:val="00934E3F"/>
    <w:rsid w:val="00936186"/>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6ED"/>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D7D"/>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3884"/>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60B"/>
    <w:rsid w:val="009C28F2"/>
    <w:rsid w:val="009C2DCA"/>
    <w:rsid w:val="009C2E56"/>
    <w:rsid w:val="009C3B9F"/>
    <w:rsid w:val="009C4A9B"/>
    <w:rsid w:val="009C568C"/>
    <w:rsid w:val="009C56B0"/>
    <w:rsid w:val="009C6329"/>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4E2"/>
    <w:rsid w:val="00A015FA"/>
    <w:rsid w:val="00A01E43"/>
    <w:rsid w:val="00A022B2"/>
    <w:rsid w:val="00A029CC"/>
    <w:rsid w:val="00A02AE5"/>
    <w:rsid w:val="00A0329C"/>
    <w:rsid w:val="00A039B2"/>
    <w:rsid w:val="00A03A22"/>
    <w:rsid w:val="00A03FD8"/>
    <w:rsid w:val="00A042BA"/>
    <w:rsid w:val="00A04E12"/>
    <w:rsid w:val="00A054D8"/>
    <w:rsid w:val="00A05AF6"/>
    <w:rsid w:val="00A06239"/>
    <w:rsid w:val="00A06890"/>
    <w:rsid w:val="00A06EB8"/>
    <w:rsid w:val="00A07CF3"/>
    <w:rsid w:val="00A1129E"/>
    <w:rsid w:val="00A11679"/>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0FCC"/>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8A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B7D77"/>
    <w:rsid w:val="00AC034B"/>
    <w:rsid w:val="00AC175F"/>
    <w:rsid w:val="00AC1810"/>
    <w:rsid w:val="00AC1EFF"/>
    <w:rsid w:val="00AC26D1"/>
    <w:rsid w:val="00AC2785"/>
    <w:rsid w:val="00AC3C01"/>
    <w:rsid w:val="00AC44B5"/>
    <w:rsid w:val="00AC45E5"/>
    <w:rsid w:val="00AC4804"/>
    <w:rsid w:val="00AC5408"/>
    <w:rsid w:val="00AC54E3"/>
    <w:rsid w:val="00AC58DD"/>
    <w:rsid w:val="00AC6430"/>
    <w:rsid w:val="00AC6494"/>
    <w:rsid w:val="00AC6F09"/>
    <w:rsid w:val="00AC7C27"/>
    <w:rsid w:val="00AC7CCE"/>
    <w:rsid w:val="00AC7D0E"/>
    <w:rsid w:val="00AC7EDA"/>
    <w:rsid w:val="00AC7F4F"/>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5D2"/>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CB5"/>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07F98"/>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99F"/>
    <w:rsid w:val="00B20E23"/>
    <w:rsid w:val="00B212FF"/>
    <w:rsid w:val="00B21704"/>
    <w:rsid w:val="00B21AAA"/>
    <w:rsid w:val="00B22579"/>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114"/>
    <w:rsid w:val="00B3430A"/>
    <w:rsid w:val="00B34E78"/>
    <w:rsid w:val="00B35009"/>
    <w:rsid w:val="00B3584F"/>
    <w:rsid w:val="00B3607B"/>
    <w:rsid w:val="00B36D31"/>
    <w:rsid w:val="00B37151"/>
    <w:rsid w:val="00B374AE"/>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9BF"/>
    <w:rsid w:val="00B54AC7"/>
    <w:rsid w:val="00B54BCA"/>
    <w:rsid w:val="00B54E75"/>
    <w:rsid w:val="00B54EFC"/>
    <w:rsid w:val="00B54F2D"/>
    <w:rsid w:val="00B55085"/>
    <w:rsid w:val="00B554F6"/>
    <w:rsid w:val="00B55C95"/>
    <w:rsid w:val="00B56A42"/>
    <w:rsid w:val="00B56BC8"/>
    <w:rsid w:val="00B5760B"/>
    <w:rsid w:val="00B57736"/>
    <w:rsid w:val="00B57911"/>
    <w:rsid w:val="00B57C24"/>
    <w:rsid w:val="00B57C98"/>
    <w:rsid w:val="00B604B9"/>
    <w:rsid w:val="00B60E09"/>
    <w:rsid w:val="00B614B9"/>
    <w:rsid w:val="00B62013"/>
    <w:rsid w:val="00B6275C"/>
    <w:rsid w:val="00B62BE0"/>
    <w:rsid w:val="00B630EA"/>
    <w:rsid w:val="00B63216"/>
    <w:rsid w:val="00B644E7"/>
    <w:rsid w:val="00B645D8"/>
    <w:rsid w:val="00B6489B"/>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31E4"/>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2A"/>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8C2"/>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D71CB"/>
    <w:rsid w:val="00BE0C35"/>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497"/>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44"/>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0C5"/>
    <w:rsid w:val="00C13560"/>
    <w:rsid w:val="00C136DB"/>
    <w:rsid w:val="00C137AC"/>
    <w:rsid w:val="00C13B74"/>
    <w:rsid w:val="00C13C0E"/>
    <w:rsid w:val="00C15191"/>
    <w:rsid w:val="00C15358"/>
    <w:rsid w:val="00C15C92"/>
    <w:rsid w:val="00C15D67"/>
    <w:rsid w:val="00C17512"/>
    <w:rsid w:val="00C17D60"/>
    <w:rsid w:val="00C17E1C"/>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39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67F49"/>
    <w:rsid w:val="00C7042C"/>
    <w:rsid w:val="00C7071E"/>
    <w:rsid w:val="00C7080A"/>
    <w:rsid w:val="00C70ADC"/>
    <w:rsid w:val="00C70C5C"/>
    <w:rsid w:val="00C70F09"/>
    <w:rsid w:val="00C71903"/>
    <w:rsid w:val="00C71E8C"/>
    <w:rsid w:val="00C721B4"/>
    <w:rsid w:val="00C72E91"/>
    <w:rsid w:val="00C73013"/>
    <w:rsid w:val="00C738A1"/>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5A0F"/>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0D"/>
    <w:rsid w:val="00CA064A"/>
    <w:rsid w:val="00CA12AE"/>
    <w:rsid w:val="00CA14C5"/>
    <w:rsid w:val="00CA17C2"/>
    <w:rsid w:val="00CA2231"/>
    <w:rsid w:val="00CA25E4"/>
    <w:rsid w:val="00CA27F5"/>
    <w:rsid w:val="00CA35DB"/>
    <w:rsid w:val="00CA3B2B"/>
    <w:rsid w:val="00CA425A"/>
    <w:rsid w:val="00CA4280"/>
    <w:rsid w:val="00CA46CA"/>
    <w:rsid w:val="00CA5882"/>
    <w:rsid w:val="00CA5ECF"/>
    <w:rsid w:val="00CA6027"/>
    <w:rsid w:val="00CA6269"/>
    <w:rsid w:val="00CA6847"/>
    <w:rsid w:val="00CA76CB"/>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342"/>
    <w:rsid w:val="00CB7B5E"/>
    <w:rsid w:val="00CC020C"/>
    <w:rsid w:val="00CC08F2"/>
    <w:rsid w:val="00CC1A42"/>
    <w:rsid w:val="00CC2232"/>
    <w:rsid w:val="00CC2245"/>
    <w:rsid w:val="00CC24DD"/>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36B"/>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18D2"/>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4C4"/>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A17"/>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B56"/>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47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E1"/>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E1C"/>
    <w:rsid w:val="00DB12FC"/>
    <w:rsid w:val="00DB2703"/>
    <w:rsid w:val="00DB2C72"/>
    <w:rsid w:val="00DB2D38"/>
    <w:rsid w:val="00DB4EE6"/>
    <w:rsid w:val="00DB4F9E"/>
    <w:rsid w:val="00DB4FEB"/>
    <w:rsid w:val="00DB501D"/>
    <w:rsid w:val="00DB569D"/>
    <w:rsid w:val="00DB6819"/>
    <w:rsid w:val="00DB7455"/>
    <w:rsid w:val="00DB7898"/>
    <w:rsid w:val="00DB7A08"/>
    <w:rsid w:val="00DB7CB0"/>
    <w:rsid w:val="00DB7F0B"/>
    <w:rsid w:val="00DC01A0"/>
    <w:rsid w:val="00DC0666"/>
    <w:rsid w:val="00DC06D9"/>
    <w:rsid w:val="00DC0A56"/>
    <w:rsid w:val="00DC0CCE"/>
    <w:rsid w:val="00DC0D4C"/>
    <w:rsid w:val="00DC111B"/>
    <w:rsid w:val="00DC2105"/>
    <w:rsid w:val="00DC2958"/>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7A"/>
    <w:rsid w:val="00E367AB"/>
    <w:rsid w:val="00E37063"/>
    <w:rsid w:val="00E370B2"/>
    <w:rsid w:val="00E37B30"/>
    <w:rsid w:val="00E4119C"/>
    <w:rsid w:val="00E41237"/>
    <w:rsid w:val="00E415BC"/>
    <w:rsid w:val="00E4183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5111"/>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1E1F"/>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880"/>
    <w:rsid w:val="00ED0BA4"/>
    <w:rsid w:val="00ED2337"/>
    <w:rsid w:val="00ED2E67"/>
    <w:rsid w:val="00ED2FEE"/>
    <w:rsid w:val="00ED3185"/>
    <w:rsid w:val="00ED31EF"/>
    <w:rsid w:val="00ED3317"/>
    <w:rsid w:val="00ED3D37"/>
    <w:rsid w:val="00ED3F97"/>
    <w:rsid w:val="00ED40DF"/>
    <w:rsid w:val="00ED4333"/>
    <w:rsid w:val="00ED44D2"/>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96F"/>
    <w:rsid w:val="00EE1A0F"/>
    <w:rsid w:val="00EE1C51"/>
    <w:rsid w:val="00EE2420"/>
    <w:rsid w:val="00EE2673"/>
    <w:rsid w:val="00EE29B8"/>
    <w:rsid w:val="00EE31C0"/>
    <w:rsid w:val="00EE32EA"/>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4A3"/>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2C"/>
    <w:rsid w:val="00F134D6"/>
    <w:rsid w:val="00F1395D"/>
    <w:rsid w:val="00F14A98"/>
    <w:rsid w:val="00F1560B"/>
    <w:rsid w:val="00F15C3D"/>
    <w:rsid w:val="00F16045"/>
    <w:rsid w:val="00F162B5"/>
    <w:rsid w:val="00F164B1"/>
    <w:rsid w:val="00F165AB"/>
    <w:rsid w:val="00F167C0"/>
    <w:rsid w:val="00F16809"/>
    <w:rsid w:val="00F17481"/>
    <w:rsid w:val="00F176AF"/>
    <w:rsid w:val="00F176F3"/>
    <w:rsid w:val="00F17D22"/>
    <w:rsid w:val="00F17F69"/>
    <w:rsid w:val="00F20476"/>
    <w:rsid w:val="00F21319"/>
    <w:rsid w:val="00F215F7"/>
    <w:rsid w:val="00F21887"/>
    <w:rsid w:val="00F22E83"/>
    <w:rsid w:val="00F23840"/>
    <w:rsid w:val="00F2395B"/>
    <w:rsid w:val="00F23C8E"/>
    <w:rsid w:val="00F244B0"/>
    <w:rsid w:val="00F24C5F"/>
    <w:rsid w:val="00F24CEA"/>
    <w:rsid w:val="00F25348"/>
    <w:rsid w:val="00F25DB6"/>
    <w:rsid w:val="00F260D7"/>
    <w:rsid w:val="00F263E2"/>
    <w:rsid w:val="00F26725"/>
    <w:rsid w:val="00F27DCF"/>
    <w:rsid w:val="00F3020D"/>
    <w:rsid w:val="00F30ADE"/>
    <w:rsid w:val="00F30E3D"/>
    <w:rsid w:val="00F30FEC"/>
    <w:rsid w:val="00F3121B"/>
    <w:rsid w:val="00F316B0"/>
    <w:rsid w:val="00F32C19"/>
    <w:rsid w:val="00F32E5B"/>
    <w:rsid w:val="00F330CE"/>
    <w:rsid w:val="00F332B5"/>
    <w:rsid w:val="00F336C8"/>
    <w:rsid w:val="00F33A29"/>
    <w:rsid w:val="00F348E7"/>
    <w:rsid w:val="00F34CA4"/>
    <w:rsid w:val="00F350A7"/>
    <w:rsid w:val="00F35120"/>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827"/>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2E96"/>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CE"/>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A84"/>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16"/>
    <w:rsid w:val="00FC5379"/>
    <w:rsid w:val="00FC566E"/>
    <w:rsid w:val="00FC5F6F"/>
    <w:rsid w:val="00FC6860"/>
    <w:rsid w:val="00FC73DF"/>
    <w:rsid w:val="00FC7BCB"/>
    <w:rsid w:val="00FD0032"/>
    <w:rsid w:val="00FD02D1"/>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240">
      <w:bodyDiv w:val="1"/>
      <w:marLeft w:val="0"/>
      <w:marRight w:val="0"/>
      <w:marTop w:val="0"/>
      <w:marBottom w:val="0"/>
      <w:divBdr>
        <w:top w:val="none" w:sz="0" w:space="0" w:color="auto"/>
        <w:left w:val="none" w:sz="0" w:space="0" w:color="auto"/>
        <w:bottom w:val="none" w:sz="0" w:space="0" w:color="auto"/>
        <w:right w:val="none" w:sz="0" w:space="0" w:color="auto"/>
      </w:divBdr>
    </w:div>
    <w:div w:id="284897518">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824324361">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567258936">
      <w:bodyDiv w:val="1"/>
      <w:marLeft w:val="0"/>
      <w:marRight w:val="0"/>
      <w:marTop w:val="0"/>
      <w:marBottom w:val="0"/>
      <w:divBdr>
        <w:top w:val="none" w:sz="0" w:space="0" w:color="auto"/>
        <w:left w:val="none" w:sz="0" w:space="0" w:color="auto"/>
        <w:bottom w:val="none" w:sz="0" w:space="0" w:color="auto"/>
        <w:right w:val="none" w:sz="0" w:space="0" w:color="auto"/>
      </w:divBdr>
    </w:div>
    <w:div w:id="1753120289">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1301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2A486-251F-4226-9BE4-2A77AF4D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2102</Words>
  <Characters>11561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11</cp:revision>
  <cp:lastPrinted>2017-01-18T22:12:00Z</cp:lastPrinted>
  <dcterms:created xsi:type="dcterms:W3CDTF">2017-01-18T00:14:00Z</dcterms:created>
  <dcterms:modified xsi:type="dcterms:W3CDTF">2017-04-28T01:54:00Z</dcterms:modified>
</cp:coreProperties>
</file>