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D7" w:rsidRPr="00A815D7" w:rsidRDefault="00A815D7" w:rsidP="00A815D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A815D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5D7">
        <w:rPr>
          <w:rFonts w:ascii="Calibri" w:eastAsia="Calibri" w:hAnsi="Calibri" w:cs="Calibri"/>
          <w:color w:val="222222"/>
          <w:sz w:val="16"/>
          <w:szCs w:val="16"/>
          <w:lang w:val="es-CO" w:eastAsia="fr-FR"/>
        </w:rPr>
        <w:t> </w:t>
      </w:r>
    </w:p>
    <w:p w:rsidR="00A815D7" w:rsidRPr="00A815D7" w:rsidRDefault="00A815D7" w:rsidP="00A815D7">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A815D7">
        <w:rPr>
          <w:rFonts w:ascii="Calibri" w:hAnsi="Calibri" w:cs="Calibri"/>
          <w:color w:val="222222"/>
          <w:sz w:val="18"/>
          <w:szCs w:val="18"/>
          <w:lang w:val="es-CO" w:eastAsia="fr-FR"/>
        </w:rPr>
        <w:t>Providencia:</w:t>
      </w:r>
      <w:r w:rsidRPr="00A815D7">
        <w:rPr>
          <w:rFonts w:ascii="Calibri" w:hAnsi="Calibri" w:cs="Calibri"/>
          <w:color w:val="222222"/>
          <w:sz w:val="18"/>
          <w:szCs w:val="18"/>
          <w:lang w:val="es-CO" w:eastAsia="fr-FR"/>
        </w:rPr>
        <w:tab/>
        <w:t xml:space="preserve">Sentencia - </w:t>
      </w:r>
      <w:proofErr w:type="spellStart"/>
      <w:r w:rsidRPr="00A815D7">
        <w:rPr>
          <w:rFonts w:ascii="Calibri" w:hAnsi="Calibri" w:cs="Calibri"/>
          <w:color w:val="222222"/>
          <w:sz w:val="18"/>
          <w:szCs w:val="18"/>
          <w:lang w:val="es-CO" w:eastAsia="fr-FR"/>
        </w:rPr>
        <w:t>1</w:t>
      </w:r>
      <w:r w:rsidRPr="00A815D7">
        <w:rPr>
          <w:rFonts w:ascii="Calibri" w:hAnsi="Calibri" w:cs="Calibri"/>
          <w:color w:val="222222"/>
          <w:sz w:val="18"/>
          <w:szCs w:val="18"/>
          <w:vertAlign w:val="superscript"/>
          <w:lang w:val="es-CO" w:eastAsia="fr-FR"/>
        </w:rPr>
        <w:t>a</w:t>
      </w:r>
      <w:proofErr w:type="spellEnd"/>
      <w:r w:rsidRPr="00A815D7">
        <w:rPr>
          <w:rFonts w:ascii="Calibri" w:hAnsi="Calibri" w:cs="Calibri"/>
          <w:color w:val="222222"/>
          <w:sz w:val="18"/>
          <w:szCs w:val="18"/>
          <w:lang w:val="es-CO" w:eastAsia="fr-FR"/>
        </w:rPr>
        <w:t xml:space="preserve"> Instancia – 18 de enero de 2017</w:t>
      </w:r>
    </w:p>
    <w:p w:rsidR="00A815D7" w:rsidRPr="00A815D7" w:rsidRDefault="00A815D7" w:rsidP="00A815D7">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A815D7">
        <w:rPr>
          <w:rFonts w:ascii="Calibri" w:eastAsia="Calibri" w:hAnsi="Calibri" w:cs="Calibri"/>
          <w:color w:val="222222"/>
          <w:sz w:val="18"/>
          <w:szCs w:val="18"/>
          <w:lang w:val="es-CO" w:eastAsia="fr-FR"/>
        </w:rPr>
        <w:t>Radicación Nro. :</w:t>
      </w:r>
      <w:r w:rsidRPr="00A815D7">
        <w:rPr>
          <w:rFonts w:ascii="Calibri" w:eastAsia="Calibri" w:hAnsi="Calibri" w:cs="Calibri"/>
          <w:color w:val="222222"/>
          <w:sz w:val="18"/>
          <w:szCs w:val="18"/>
          <w:lang w:val="es-CO" w:eastAsia="fr-FR"/>
        </w:rPr>
        <w:tab/>
      </w:r>
      <w:r w:rsidRPr="00A815D7">
        <w:rPr>
          <w:rFonts w:ascii="Calibri" w:eastAsia="Calibri" w:hAnsi="Calibri" w:cs="Calibri"/>
          <w:color w:val="222222"/>
          <w:sz w:val="18"/>
          <w:szCs w:val="18"/>
          <w:lang w:eastAsia="fr-FR"/>
        </w:rPr>
        <w:t xml:space="preserve">2016-01226-00 (interna </w:t>
      </w:r>
      <w:proofErr w:type="spellStart"/>
      <w:r w:rsidRPr="00A815D7">
        <w:rPr>
          <w:rFonts w:ascii="Calibri" w:eastAsia="Calibri" w:hAnsi="Calibri" w:cs="Calibri"/>
          <w:color w:val="222222"/>
          <w:sz w:val="18"/>
          <w:szCs w:val="18"/>
          <w:lang w:eastAsia="fr-FR"/>
        </w:rPr>
        <w:t>No.1226</w:t>
      </w:r>
      <w:proofErr w:type="spellEnd"/>
      <w:r w:rsidRPr="00A815D7">
        <w:rPr>
          <w:rFonts w:ascii="Calibri" w:eastAsia="Calibri" w:hAnsi="Calibri" w:cs="Calibri"/>
          <w:color w:val="222222"/>
          <w:sz w:val="18"/>
          <w:szCs w:val="18"/>
          <w:lang w:eastAsia="fr-FR"/>
        </w:rPr>
        <w:t>)</w:t>
      </w:r>
    </w:p>
    <w:p w:rsidR="00A815D7" w:rsidRPr="00A815D7" w:rsidRDefault="00A815D7" w:rsidP="00A815D7">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A815D7">
        <w:rPr>
          <w:rFonts w:ascii="Calibri" w:eastAsia="Calibri" w:hAnsi="Calibri" w:cs="Calibri"/>
          <w:color w:val="222222"/>
          <w:sz w:val="18"/>
          <w:szCs w:val="18"/>
          <w:lang w:val="es-CO" w:eastAsia="fr-FR"/>
        </w:rPr>
        <w:t>Accionante:</w:t>
      </w:r>
      <w:r w:rsidRPr="00A815D7">
        <w:rPr>
          <w:rFonts w:ascii="Calibri" w:eastAsia="Calibri" w:hAnsi="Calibri" w:cs="Calibri"/>
          <w:color w:val="222222"/>
          <w:sz w:val="18"/>
          <w:szCs w:val="18"/>
          <w:lang w:val="es-CO" w:eastAsia="fr-FR"/>
        </w:rPr>
        <w:tab/>
      </w:r>
      <w:r w:rsidRPr="00A815D7">
        <w:rPr>
          <w:rFonts w:ascii="Calibri" w:eastAsia="Calibri" w:hAnsi="Calibri" w:cs="Calibri"/>
          <w:color w:val="222222"/>
          <w:sz w:val="18"/>
          <w:szCs w:val="18"/>
          <w:lang w:eastAsia="fr-FR"/>
        </w:rPr>
        <w:t>JAVIER ELÍAS ARIAS IDÁRRAGA</w:t>
      </w:r>
    </w:p>
    <w:p w:rsidR="00A815D7" w:rsidRPr="00A815D7" w:rsidRDefault="00A815D7" w:rsidP="00A815D7">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A815D7">
        <w:rPr>
          <w:rFonts w:ascii="Calibri" w:eastAsia="Calibri" w:hAnsi="Calibri" w:cs="Calibri"/>
          <w:bCs/>
          <w:color w:val="222222"/>
          <w:sz w:val="18"/>
          <w:szCs w:val="18"/>
          <w:lang w:val="es-ES_tradnl" w:eastAsia="fr-FR"/>
        </w:rPr>
        <w:t>A</w:t>
      </w:r>
      <w:proofErr w:type="spellStart"/>
      <w:r w:rsidRPr="00A815D7">
        <w:rPr>
          <w:rFonts w:ascii="Calibri" w:eastAsia="Calibri" w:hAnsi="Calibri" w:cs="Calibri"/>
          <w:color w:val="222222"/>
          <w:sz w:val="18"/>
          <w:szCs w:val="18"/>
          <w:lang w:val="es-CO" w:eastAsia="fr-FR"/>
        </w:rPr>
        <w:t>ccionado</w:t>
      </w:r>
      <w:proofErr w:type="spellEnd"/>
      <w:r w:rsidRPr="00A815D7">
        <w:rPr>
          <w:rFonts w:ascii="Calibri" w:eastAsia="Calibri" w:hAnsi="Calibri" w:cs="Calibri"/>
          <w:color w:val="222222"/>
          <w:sz w:val="18"/>
          <w:szCs w:val="18"/>
          <w:lang w:val="es-CO" w:eastAsia="fr-FR"/>
        </w:rPr>
        <w:t>:</w:t>
      </w:r>
      <w:r w:rsidRPr="00A815D7">
        <w:rPr>
          <w:rFonts w:ascii="Calibri" w:eastAsia="Calibri" w:hAnsi="Calibri" w:cs="Calibri"/>
          <w:color w:val="222222"/>
          <w:sz w:val="18"/>
          <w:szCs w:val="18"/>
          <w:lang w:val="es-CO" w:eastAsia="fr-FR"/>
        </w:rPr>
        <w:tab/>
        <w:t xml:space="preserve">      </w:t>
      </w:r>
      <w:r w:rsidRPr="00A815D7">
        <w:rPr>
          <w:rFonts w:ascii="Calibri" w:eastAsia="Calibri" w:hAnsi="Calibri" w:cs="Calibri"/>
          <w:color w:val="222222"/>
          <w:sz w:val="18"/>
          <w:szCs w:val="18"/>
          <w:lang w:val="es-CO" w:eastAsia="fr-FR"/>
        </w:rPr>
        <w:tab/>
      </w:r>
      <w:r w:rsidRPr="00A815D7">
        <w:rPr>
          <w:rFonts w:ascii="Calibri" w:eastAsia="Calibri" w:hAnsi="Calibri" w:cs="Calibri"/>
          <w:color w:val="222222"/>
          <w:sz w:val="18"/>
          <w:szCs w:val="18"/>
          <w:lang w:val="es-CO" w:eastAsia="fr-FR"/>
        </w:rPr>
        <w:tab/>
      </w:r>
      <w:r w:rsidRPr="00A815D7">
        <w:rPr>
          <w:rFonts w:ascii="Calibri" w:eastAsia="Calibri" w:hAnsi="Calibri" w:cs="Calibri"/>
          <w:color w:val="222222"/>
          <w:sz w:val="18"/>
          <w:szCs w:val="18"/>
          <w:lang w:eastAsia="fr-FR"/>
        </w:rPr>
        <w:t>JUZGADO TERCERO CIVIL DEL CIRCUITO DE PEREIRA Y OTRO</w:t>
      </w:r>
    </w:p>
    <w:p w:rsidR="00A815D7" w:rsidRPr="00A815D7" w:rsidRDefault="00A815D7" w:rsidP="00A815D7">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A815D7">
        <w:rPr>
          <w:rFonts w:ascii="Calibri" w:eastAsia="Calibri" w:hAnsi="Calibri" w:cs="Calibri"/>
          <w:color w:val="222222"/>
          <w:sz w:val="18"/>
          <w:szCs w:val="18"/>
          <w:lang w:val="es-CO" w:eastAsia="fr-FR"/>
        </w:rPr>
        <w:t>Proceso:    </w:t>
      </w:r>
      <w:r w:rsidRPr="00A815D7">
        <w:rPr>
          <w:rFonts w:ascii="Calibri" w:eastAsia="Calibri" w:hAnsi="Calibri" w:cs="Calibri"/>
          <w:color w:val="222222"/>
          <w:sz w:val="18"/>
          <w:szCs w:val="18"/>
          <w:lang w:val="es-CO" w:eastAsia="fr-FR"/>
        </w:rPr>
        <w:tab/>
        <w:t>        </w:t>
      </w:r>
      <w:r w:rsidRPr="00A815D7">
        <w:rPr>
          <w:rFonts w:ascii="Calibri" w:eastAsia="Calibri" w:hAnsi="Calibri" w:cs="Calibri"/>
          <w:color w:val="222222"/>
          <w:sz w:val="18"/>
          <w:szCs w:val="18"/>
          <w:lang w:val="es-CO" w:eastAsia="fr-FR"/>
        </w:rPr>
        <w:tab/>
      </w:r>
      <w:r w:rsidRPr="00A815D7">
        <w:rPr>
          <w:rFonts w:ascii="Calibri" w:eastAsia="Calibri" w:hAnsi="Calibri" w:cs="Calibri"/>
          <w:color w:val="222222"/>
          <w:spacing w:val="-6"/>
          <w:sz w:val="18"/>
          <w:szCs w:val="18"/>
          <w:lang w:val="es-CO" w:eastAsia="fr-FR"/>
        </w:rPr>
        <w:t>Acción de Tutela – Declara improcedente el amparo solicitado</w:t>
      </w:r>
    </w:p>
    <w:p w:rsidR="00A815D7" w:rsidRPr="00A815D7" w:rsidRDefault="00A815D7" w:rsidP="00A815D7">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A815D7">
        <w:rPr>
          <w:rFonts w:ascii="Calibri" w:eastAsia="Calibri" w:hAnsi="Calibri" w:cs="Calibri"/>
          <w:color w:val="222222"/>
          <w:sz w:val="18"/>
          <w:szCs w:val="18"/>
          <w:lang w:val="es-CO" w:eastAsia="fr-FR"/>
        </w:rPr>
        <w:t>Magistrado Ponente: </w:t>
      </w:r>
      <w:r w:rsidRPr="00A815D7">
        <w:rPr>
          <w:rFonts w:ascii="Calibri" w:eastAsia="Calibri" w:hAnsi="Calibri" w:cs="Calibri"/>
          <w:color w:val="222222"/>
          <w:sz w:val="18"/>
          <w:szCs w:val="18"/>
          <w:lang w:val="es-CO" w:eastAsia="fr-FR"/>
        </w:rPr>
        <w:tab/>
      </w:r>
      <w:proofErr w:type="spellStart"/>
      <w:r w:rsidRPr="00A815D7">
        <w:rPr>
          <w:rFonts w:ascii="Calibri" w:eastAsia="Calibri" w:hAnsi="Calibri" w:cs="Calibri"/>
          <w:bCs/>
          <w:color w:val="222222"/>
          <w:sz w:val="18"/>
          <w:szCs w:val="18"/>
          <w:lang w:eastAsia="fr-FR"/>
        </w:rPr>
        <w:t>DUBERNEY</w:t>
      </w:r>
      <w:proofErr w:type="spellEnd"/>
      <w:r w:rsidRPr="00A815D7">
        <w:rPr>
          <w:rFonts w:ascii="Calibri" w:eastAsia="Calibri" w:hAnsi="Calibri" w:cs="Calibri"/>
          <w:bCs/>
          <w:color w:val="222222"/>
          <w:sz w:val="18"/>
          <w:szCs w:val="18"/>
          <w:lang w:eastAsia="fr-FR"/>
        </w:rPr>
        <w:t xml:space="preserve"> GRISALES HERRERA</w:t>
      </w:r>
    </w:p>
    <w:p w:rsidR="00A815D7" w:rsidRPr="00A815D7" w:rsidRDefault="00A815D7" w:rsidP="00A815D7">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A815D7" w:rsidRPr="00A815D7" w:rsidRDefault="00A815D7" w:rsidP="00A815D7">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A815D7">
        <w:rPr>
          <w:rFonts w:ascii="Calibri" w:eastAsia="Calibri" w:hAnsi="Calibri" w:cs="Calibri"/>
          <w:b/>
          <w:bCs/>
          <w:iCs/>
          <w:color w:val="222222"/>
          <w:sz w:val="18"/>
          <w:szCs w:val="18"/>
          <w:lang w:eastAsia="fr-FR"/>
        </w:rPr>
        <w:t xml:space="preserve">Temas:   </w:t>
      </w:r>
      <w:r w:rsidRPr="00A815D7">
        <w:rPr>
          <w:rFonts w:ascii="Calibri" w:eastAsia="Calibri" w:hAnsi="Calibri" w:cs="Calibri"/>
          <w:b/>
          <w:bCs/>
          <w:iCs/>
          <w:color w:val="222222"/>
          <w:sz w:val="18"/>
          <w:szCs w:val="18"/>
          <w:lang w:eastAsia="fr-FR"/>
        </w:rPr>
        <w:tab/>
      </w:r>
      <w:r w:rsidRPr="00A815D7">
        <w:rPr>
          <w:rFonts w:ascii="Calibri" w:eastAsia="Calibri" w:hAnsi="Calibri" w:cs="Calibri"/>
          <w:b/>
          <w:bCs/>
          <w:iCs/>
          <w:color w:val="222222"/>
          <w:sz w:val="18"/>
          <w:szCs w:val="18"/>
          <w:lang w:val="es-CO" w:eastAsia="fr-FR"/>
        </w:rPr>
        <w:t xml:space="preserve">DEBIDO PROCESO / TUTELA CONTRA PROVIDENCIA JUDICIAL / NO EXISTE DECISIÓN ARBITRARIA AL DECLARAR DESISTIMIENTO TÁCITO EN ACCIÓN POPULAR </w:t>
      </w:r>
      <w:r w:rsidRPr="00A815D7">
        <w:rPr>
          <w:rFonts w:ascii="Calibri" w:eastAsia="Calibri" w:hAnsi="Calibri" w:cs="Calibri"/>
          <w:b/>
          <w:bCs/>
          <w:iCs/>
          <w:color w:val="222222"/>
          <w:sz w:val="18"/>
          <w:szCs w:val="18"/>
          <w:lang w:eastAsia="fr-FR"/>
        </w:rPr>
        <w:t xml:space="preserve">/ AMPARO IMPROCEDENTE. </w:t>
      </w:r>
      <w:r w:rsidRPr="00A815D7">
        <w:rPr>
          <w:rFonts w:ascii="Calibri" w:eastAsia="Calibri" w:hAnsi="Calibri" w:cs="Calibri"/>
          <w:bCs/>
          <w:iCs/>
          <w:color w:val="222222"/>
          <w:sz w:val="18"/>
          <w:szCs w:val="18"/>
          <w:lang w:val="es-CO" w:eastAsia="fr-FR"/>
        </w:rPr>
        <w:t xml:space="preserve">“En la acción popular la </w:t>
      </w:r>
      <w:r w:rsidRPr="00A815D7">
        <w:rPr>
          <w:rFonts w:ascii="Calibri" w:eastAsia="Calibri" w:hAnsi="Calibri" w:cs="Calibri"/>
          <w:bCs/>
          <w:i/>
          <w:iCs/>
          <w:color w:val="222222"/>
          <w:sz w:val="18"/>
          <w:szCs w:val="18"/>
          <w:lang w:val="es-CO" w:eastAsia="fr-FR"/>
        </w:rPr>
        <w:t xml:space="preserve">a quo </w:t>
      </w:r>
      <w:r w:rsidRPr="00A815D7">
        <w:rPr>
          <w:rFonts w:ascii="Calibri" w:eastAsia="Calibri" w:hAnsi="Calibri" w:cs="Calibri"/>
          <w:bCs/>
          <w:iCs/>
          <w:color w:val="222222"/>
          <w:sz w:val="18"/>
          <w:szCs w:val="18"/>
          <w:lang w:val="es-CO" w:eastAsia="fr-FR"/>
        </w:rPr>
        <w:t xml:space="preserve">accionada con proveído del 26-08-2016 y con fundamento en el artículo 317 del </w:t>
      </w:r>
      <w:proofErr w:type="spellStart"/>
      <w:r w:rsidRPr="00A815D7">
        <w:rPr>
          <w:rFonts w:ascii="Calibri" w:eastAsia="Calibri" w:hAnsi="Calibri" w:cs="Calibri"/>
          <w:bCs/>
          <w:iCs/>
          <w:color w:val="222222"/>
          <w:sz w:val="18"/>
          <w:szCs w:val="18"/>
          <w:lang w:val="es-CO" w:eastAsia="fr-FR"/>
        </w:rPr>
        <w:t>CGP</w:t>
      </w:r>
      <w:proofErr w:type="spellEnd"/>
      <w:r w:rsidRPr="00A815D7">
        <w:rPr>
          <w:rFonts w:ascii="Calibri" w:eastAsia="Calibri" w:hAnsi="Calibri" w:cs="Calibri"/>
          <w:bCs/>
          <w:iCs/>
          <w:color w:val="222222"/>
          <w:sz w:val="18"/>
          <w:szCs w:val="18"/>
          <w:lang w:val="es-CO" w:eastAsia="fr-FR"/>
        </w:rPr>
        <w:t xml:space="preserve">, requirió al actor para que efectuara la publicación del aviso a la comunidad (Folio 84, </w:t>
      </w:r>
      <w:r w:rsidRPr="00A815D7">
        <w:rPr>
          <w:rFonts w:ascii="Calibri" w:eastAsia="Calibri" w:hAnsi="Calibri" w:cs="Calibri"/>
          <w:bCs/>
          <w:iCs/>
          <w:color w:val="222222"/>
          <w:sz w:val="18"/>
          <w:szCs w:val="18"/>
          <w:lang w:eastAsia="fr-FR"/>
        </w:rPr>
        <w:t>, disco compacto visible a folio 36</w:t>
      </w:r>
      <w:r w:rsidRPr="00A815D7">
        <w:rPr>
          <w:rFonts w:ascii="Calibri" w:eastAsia="Calibri" w:hAnsi="Calibri" w:cs="Calibri"/>
          <w:bCs/>
          <w:iCs/>
          <w:color w:val="222222"/>
          <w:sz w:val="18"/>
          <w:szCs w:val="18"/>
          <w:lang w:val="es-CO" w:eastAsia="fr-FR"/>
        </w:rPr>
        <w:t>); seguidamente y como quiera que dejó vencer el plazo sin atender la orden, mediante providencia del 16-09-2016, declaró terminado el amparo por desistimiento tácito (Folios 89 a 91</w:t>
      </w:r>
      <w:r w:rsidRPr="00A815D7">
        <w:rPr>
          <w:rFonts w:ascii="Calibri" w:eastAsia="Calibri" w:hAnsi="Calibri" w:cs="Calibri"/>
          <w:bCs/>
          <w:iCs/>
          <w:color w:val="222222"/>
          <w:sz w:val="18"/>
          <w:szCs w:val="18"/>
          <w:lang w:eastAsia="fr-FR"/>
        </w:rPr>
        <w:t>, disco compacto visible a folio 36</w:t>
      </w:r>
      <w:r w:rsidRPr="00A815D7">
        <w:rPr>
          <w:rFonts w:ascii="Calibri" w:eastAsia="Calibri" w:hAnsi="Calibri" w:cs="Calibri"/>
          <w:bCs/>
          <w:iCs/>
          <w:color w:val="222222"/>
          <w:sz w:val="18"/>
          <w:szCs w:val="18"/>
          <w:lang w:val="es-CO" w:eastAsia="fr-FR"/>
        </w:rPr>
        <w:t>); finalmente, con auto del 26-09-2016 desatendió la reposición formulada porque no se expusieron las razones que fundamentan su inconformidad y negó la alzada (</w:t>
      </w:r>
      <w:r w:rsidRPr="00A815D7">
        <w:rPr>
          <w:rFonts w:ascii="Calibri" w:eastAsia="Calibri" w:hAnsi="Calibri" w:cs="Calibri"/>
          <w:bCs/>
          <w:iCs/>
          <w:color w:val="222222"/>
          <w:sz w:val="18"/>
          <w:szCs w:val="18"/>
          <w:lang w:eastAsia="fr-FR"/>
        </w:rPr>
        <w:t>Folios 94 y 95</w:t>
      </w:r>
      <w:r w:rsidRPr="00A815D7">
        <w:rPr>
          <w:rFonts w:ascii="Calibri" w:eastAsia="Calibri" w:hAnsi="Calibri" w:cs="Calibri"/>
          <w:bCs/>
          <w:iCs/>
          <w:color w:val="222222"/>
          <w:sz w:val="18"/>
          <w:szCs w:val="18"/>
          <w:lang w:val="es-CO" w:eastAsia="fr-FR"/>
        </w:rPr>
        <w:t xml:space="preserve">, ibídem), se notificó en el estado del 28-09-2016 y se ejecutorió el 04-10-2016 (Folio 95, ibídem). </w:t>
      </w:r>
      <w:r w:rsidRPr="00A815D7">
        <w:rPr>
          <w:rFonts w:ascii="Calibri" w:eastAsia="Calibri" w:hAnsi="Calibri" w:cs="Calibri"/>
          <w:bCs/>
          <w:iCs/>
          <w:color w:val="222222"/>
          <w:sz w:val="18"/>
          <w:szCs w:val="18"/>
          <w:lang w:eastAsia="fr-FR"/>
        </w:rPr>
        <w:t xml:space="preserve">A partir de lo dicho, </w:t>
      </w:r>
      <w:r w:rsidRPr="00A815D7">
        <w:rPr>
          <w:rFonts w:ascii="Calibri" w:eastAsia="Calibri" w:hAnsi="Calibri" w:cs="Calibri"/>
          <w:bCs/>
          <w:iCs/>
          <w:color w:val="222222"/>
          <w:sz w:val="18"/>
          <w:szCs w:val="18"/>
          <w:lang w:val="es-CO" w:eastAsia="fr-FR"/>
        </w:rPr>
        <w:t xml:space="preserve">inexiste </w:t>
      </w:r>
      <w:r w:rsidRPr="00A815D7">
        <w:rPr>
          <w:rFonts w:ascii="Calibri" w:eastAsia="Calibri" w:hAnsi="Calibri" w:cs="Calibri"/>
          <w:bCs/>
          <w:iCs/>
          <w:color w:val="222222"/>
          <w:sz w:val="18"/>
          <w:szCs w:val="18"/>
          <w:lang w:eastAsia="fr-FR"/>
        </w:rPr>
        <w:t xml:space="preserve">vulneración o amenaza a los derechos invocados, puesto que no se advierte arbitraria ni antojadiza la decisión controvertida. Comparta o no la Sala la posición de la jueza accionada, es evidente que tiene un fundamento jurídico claro, es decir, en normas vigentes aplicables a las acciones populares (Artículo 44 de la Ley 472). Tampoco se refleja una acción tendiente a esquivar el impulso oficioso, por el contrario el requerimiento que se hizo con base en el artículo 317 del </w:t>
      </w:r>
      <w:proofErr w:type="spellStart"/>
      <w:r w:rsidRPr="00A815D7">
        <w:rPr>
          <w:rFonts w:ascii="Calibri" w:eastAsia="Calibri" w:hAnsi="Calibri" w:cs="Calibri"/>
          <w:bCs/>
          <w:iCs/>
          <w:color w:val="222222"/>
          <w:sz w:val="18"/>
          <w:szCs w:val="18"/>
          <w:lang w:eastAsia="fr-FR"/>
        </w:rPr>
        <w:t>CGP</w:t>
      </w:r>
      <w:proofErr w:type="spellEnd"/>
      <w:r w:rsidRPr="00A815D7">
        <w:rPr>
          <w:rFonts w:ascii="Calibri" w:eastAsia="Calibri" w:hAnsi="Calibri" w:cs="Calibri"/>
          <w:bCs/>
          <w:iCs/>
          <w:color w:val="222222"/>
          <w:sz w:val="18"/>
          <w:szCs w:val="18"/>
          <w:lang w:eastAsia="fr-FR"/>
        </w:rPr>
        <w:t xml:space="preserve">, refiere un interés en la jueza de conocimiento de agotar el trámite de la acción popular con celeridad y eficacia, que nunca pudo lograr producto de la renuencia del actor. Ahora, que al presente amparo se adjunte </w:t>
      </w:r>
      <w:r w:rsidRPr="00A815D7">
        <w:rPr>
          <w:rFonts w:ascii="Calibri" w:eastAsia="Calibri" w:hAnsi="Calibri" w:cs="Calibri"/>
          <w:bCs/>
          <w:iCs/>
          <w:color w:val="222222"/>
          <w:sz w:val="18"/>
          <w:szCs w:val="18"/>
          <w:lang w:val="es-CO" w:eastAsia="fr-FR"/>
        </w:rPr>
        <w:t xml:space="preserve">por </w:t>
      </w:r>
      <w:r w:rsidRPr="00A815D7">
        <w:rPr>
          <w:rFonts w:ascii="Calibri" w:eastAsia="Calibri" w:hAnsi="Calibri" w:cs="Calibri"/>
          <w:bCs/>
          <w:iCs/>
          <w:color w:val="222222"/>
          <w:sz w:val="18"/>
          <w:szCs w:val="18"/>
          <w:lang w:eastAsia="fr-FR"/>
        </w:rPr>
        <w:t xml:space="preserve">el accionante escrito emanado de la emisora de la Policía Nacional que da cuenta sobre la difusión radial del aviso a la comunidad, nada desdice de la decisión tomada por el Juzgado accionado, pues dicha divulgación se hizo durante el mes de octubre del año 2016, es decir, con posterioridad al vencimiento del término de 30 días concedido al actor.”. </w:t>
      </w:r>
    </w:p>
    <w:p w:rsidR="00A815D7" w:rsidRDefault="00A815D7"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3178D8">
        <w:rPr>
          <w:rFonts w:ascii="Arial" w:hAnsi="Arial" w:cs="Arial"/>
          <w:sz w:val="22"/>
          <w:szCs w:val="22"/>
        </w:rPr>
        <w:t xml:space="preserve">Risaralda </w:t>
      </w:r>
      <w:r w:rsidR="00DB41DC">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B773EE">
        <w:rPr>
          <w:rFonts w:ascii="Arial" w:hAnsi="Arial" w:cs="Arial"/>
          <w:sz w:val="22"/>
        </w:rPr>
        <w:t>01232</w:t>
      </w:r>
      <w:r w:rsidR="000E7284">
        <w:rPr>
          <w:rFonts w:ascii="Arial" w:hAnsi="Arial" w:cs="Arial"/>
          <w:sz w:val="22"/>
        </w:rPr>
        <w:t>-00</w:t>
      </w:r>
      <w:r w:rsidR="007949D4">
        <w:rPr>
          <w:rFonts w:ascii="Arial" w:hAnsi="Arial" w:cs="Arial"/>
          <w:sz w:val="22"/>
        </w:rPr>
        <w:t xml:space="preserve"> </w:t>
      </w:r>
      <w:r w:rsidR="00CC4186">
        <w:rPr>
          <w:rFonts w:ascii="Arial" w:hAnsi="Arial" w:cs="Arial"/>
          <w:sz w:val="22"/>
        </w:rPr>
        <w:t xml:space="preserve">(Interna </w:t>
      </w:r>
      <w:proofErr w:type="spellStart"/>
      <w:r w:rsidR="00CC4186">
        <w:rPr>
          <w:rFonts w:ascii="Arial" w:hAnsi="Arial" w:cs="Arial"/>
          <w:sz w:val="22"/>
        </w:rPr>
        <w:t>No.</w:t>
      </w:r>
      <w:r w:rsidR="00B773EE">
        <w:rPr>
          <w:rFonts w:ascii="Arial" w:hAnsi="Arial" w:cs="Arial"/>
          <w:sz w:val="22"/>
        </w:rPr>
        <w:t>1232</w:t>
      </w:r>
      <w:proofErr w:type="spellEnd"/>
      <w:r w:rsidR="00CC4186">
        <w:rPr>
          <w:rFonts w:ascii="Arial" w:hAnsi="Arial" w:cs="Arial"/>
          <w:sz w:val="22"/>
        </w:rPr>
        <w:t>)</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3353DD">
        <w:rPr>
          <w:rFonts w:ascii="Arial" w:hAnsi="Arial" w:cs="Arial"/>
          <w:sz w:val="22"/>
          <w:szCs w:val="22"/>
        </w:rPr>
        <w:t>Subsidiariedad - Sin recursos</w:t>
      </w:r>
      <w:r w:rsidR="003353DD" w:rsidRPr="003178D8">
        <w:rPr>
          <w:rFonts w:ascii="Arial" w:hAnsi="Arial" w:cs="Arial"/>
          <w:sz w:val="22"/>
          <w:szCs w:val="22"/>
        </w:rPr>
        <w:t xml:space="preserve"> </w:t>
      </w:r>
      <w:r w:rsidR="003353DD">
        <w:rPr>
          <w:rFonts w:ascii="Arial" w:hAnsi="Arial" w:cs="Arial"/>
          <w:sz w:val="22"/>
          <w:szCs w:val="22"/>
        </w:rPr>
        <w:t xml:space="preserve">- </w:t>
      </w:r>
      <w:r w:rsidR="005118AB" w:rsidRPr="003178D8">
        <w:rPr>
          <w:rFonts w:ascii="Arial" w:hAnsi="Arial" w:cs="Arial"/>
          <w:sz w:val="22"/>
          <w:szCs w:val="22"/>
        </w:rPr>
        <w:t>Defecto sustantivo</w:t>
      </w:r>
      <w:r w:rsidR="00F325F0" w:rsidRPr="003178D8">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F905C2">
        <w:rPr>
          <w:rFonts w:ascii="Arial" w:hAnsi="Arial"/>
          <w:sz w:val="22"/>
          <w:szCs w:val="22"/>
        </w:rPr>
        <w:t>17 de 18-01-2017</w:t>
      </w:r>
    </w:p>
    <w:p w:rsidR="001E5C81" w:rsidRPr="00B773EE" w:rsidRDefault="001E5C81" w:rsidP="001E5C81">
      <w:pPr>
        <w:pBdr>
          <w:bottom w:val="double" w:sz="6" w:space="1" w:color="auto"/>
        </w:pBdr>
        <w:spacing w:line="360" w:lineRule="auto"/>
        <w:jc w:val="center"/>
        <w:rPr>
          <w:rFonts w:ascii="Arial" w:hAnsi="Arial" w:cs="Arial"/>
          <w:b/>
          <w:bCs/>
          <w:sz w:val="22"/>
          <w:szCs w:val="22"/>
          <w:lang w:val="es-CO"/>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13442E">
        <w:rPr>
          <w:rFonts w:ascii="Arial" w:hAnsi="Arial" w:cs="Arial"/>
          <w:iCs/>
          <w:smallCaps/>
          <w:sz w:val="28"/>
          <w:szCs w:val="28"/>
          <w:lang w:val="es-CO"/>
        </w:rPr>
        <w:t xml:space="preserve">dieciocho </w:t>
      </w:r>
      <w:r w:rsidRPr="00BC082A">
        <w:rPr>
          <w:rFonts w:ascii="Arial" w:hAnsi="Arial" w:cs="Arial"/>
          <w:iCs/>
          <w:smallCaps/>
          <w:sz w:val="28"/>
          <w:szCs w:val="28"/>
          <w:lang w:val="es-CO"/>
        </w:rPr>
        <w:t>(</w:t>
      </w:r>
      <w:r w:rsidR="0013442E">
        <w:rPr>
          <w:rFonts w:ascii="Arial" w:hAnsi="Arial" w:cs="Arial"/>
          <w:iCs/>
          <w:smallCaps/>
          <w:sz w:val="28"/>
          <w:szCs w:val="28"/>
          <w:lang w:val="es-CO"/>
        </w:rPr>
        <w:t>18</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3178D8">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3178D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3178D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Corpsdetexte"/>
        <w:spacing w:line="360" w:lineRule="auto"/>
        <w:rPr>
          <w:rFonts w:ascii="Arial" w:hAnsi="Arial"/>
          <w:sz w:val="20"/>
          <w:szCs w:val="24"/>
        </w:rPr>
      </w:pPr>
    </w:p>
    <w:p w:rsidR="00DB41DC" w:rsidRDefault="00EF2286" w:rsidP="00DB41DC">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Default="00DB41DC" w:rsidP="00DB41DC">
      <w:pPr>
        <w:pStyle w:val="Corpsdetexte"/>
        <w:spacing w:line="360" w:lineRule="auto"/>
        <w:rPr>
          <w:rFonts w:ascii="Arial" w:hAnsi="Arial"/>
          <w:sz w:val="20"/>
          <w:szCs w:val="24"/>
        </w:rPr>
      </w:pPr>
    </w:p>
    <w:p w:rsidR="00A815D7" w:rsidRPr="00F009CB" w:rsidRDefault="00A815D7"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lastRenderedPageBreak/>
        <w:t>L</w:t>
      </w:r>
      <w:r w:rsidRPr="00C57632">
        <w:rPr>
          <w:rFonts w:ascii="Arial" w:hAnsi="Arial"/>
          <w:smallCaps/>
          <w:sz w:val="28"/>
          <w:szCs w:val="24"/>
        </w:rPr>
        <w:t>a síntesis de los supuestos fácticos relevantes</w:t>
      </w:r>
    </w:p>
    <w:p w:rsidR="00DB41DC" w:rsidRPr="00F009CB" w:rsidRDefault="00DB41DC" w:rsidP="00DB41DC">
      <w:pPr>
        <w:pStyle w:val="Corpsdetex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B773EE">
        <w:rPr>
          <w:rFonts w:ascii="Arial" w:hAnsi="Arial" w:cs="Arial"/>
        </w:rPr>
        <w:t xml:space="preserve">las acciones populares </w:t>
      </w:r>
      <w:proofErr w:type="spellStart"/>
      <w:r>
        <w:rPr>
          <w:rFonts w:ascii="Arial" w:hAnsi="Arial" w:cs="Arial"/>
        </w:rPr>
        <w:t>No</w:t>
      </w:r>
      <w:r w:rsidR="00CC4186">
        <w:rPr>
          <w:rFonts w:ascii="Arial" w:hAnsi="Arial" w:cs="Arial"/>
        </w:rPr>
        <w:t>.</w:t>
      </w:r>
      <w:r w:rsidR="00B773EE">
        <w:rPr>
          <w:rFonts w:ascii="Arial" w:hAnsi="Arial" w:cs="Arial"/>
        </w:rPr>
        <w:t>2015</w:t>
      </w:r>
      <w:proofErr w:type="spellEnd"/>
      <w:r w:rsidR="00B773EE">
        <w:rPr>
          <w:rFonts w:ascii="Arial" w:hAnsi="Arial" w:cs="Arial"/>
        </w:rPr>
        <w:t>-00338-00 y 2015-00446-00</w:t>
      </w:r>
      <w:r w:rsidR="000E7284">
        <w:rPr>
          <w:rFonts w:ascii="Arial" w:hAnsi="Arial" w:cs="Arial"/>
        </w:rPr>
        <w:t xml:space="preserve">, </w:t>
      </w:r>
      <w:r w:rsidR="00B773EE">
        <w:rPr>
          <w:rFonts w:ascii="Arial" w:hAnsi="Arial" w:cs="Arial"/>
        </w:rPr>
        <w:t xml:space="preserve">que se declararon </w:t>
      </w:r>
      <w:r w:rsidR="00F009CB">
        <w:rPr>
          <w:rFonts w:ascii="Arial" w:hAnsi="Arial" w:cs="Arial"/>
        </w:rPr>
        <w:t>terminada</w:t>
      </w:r>
      <w:r w:rsidR="00B773EE">
        <w:rPr>
          <w:rFonts w:ascii="Arial" w:hAnsi="Arial" w:cs="Arial"/>
        </w:rPr>
        <w:t>s</w:t>
      </w:r>
      <w:r>
        <w:rPr>
          <w:rFonts w:ascii="Arial" w:hAnsi="Arial" w:cs="Arial"/>
        </w:rPr>
        <w:t xml:space="preserve"> por desistimiento tácito, a pesar de que la Ley 472 no lo contempla</w:t>
      </w:r>
      <w:r w:rsidR="00B773EE">
        <w:rPr>
          <w:rFonts w:ascii="Arial" w:hAnsi="Arial" w:cs="Arial"/>
        </w:rPr>
        <w:t xml:space="preserve">. Anotó que en el mes de octubre se hizo el aviso a la comunidad </w:t>
      </w:r>
      <w:r w:rsidR="00F009CB">
        <w:rPr>
          <w:rFonts w:ascii="Arial" w:hAnsi="Arial" w:cs="Arial"/>
        </w:rPr>
        <w:t>(Folio</w:t>
      </w:r>
      <w:r>
        <w:rPr>
          <w:rFonts w:ascii="Arial" w:hAnsi="Arial" w:cs="Arial"/>
        </w:rPr>
        <w:t xml:space="preserve"> 1</w:t>
      </w:r>
      <w:r w:rsidR="00B773EE">
        <w:rPr>
          <w:rFonts w:ascii="Arial" w:hAnsi="Arial" w:cs="Arial"/>
        </w:rPr>
        <w:t xml:space="preserve"> y 2</w:t>
      </w:r>
      <w:r w:rsidR="00EF2286">
        <w:rPr>
          <w:rFonts w:ascii="Arial" w:hAnsi="Arial" w:cs="Arial"/>
        </w:rPr>
        <w:t>,</w:t>
      </w:r>
      <w:r>
        <w:rPr>
          <w:rFonts w:ascii="Arial" w:hAnsi="Arial" w:cs="Arial"/>
        </w:rPr>
        <w:t xml:space="preserve">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178D8">
        <w:rPr>
          <w:rFonts w:ascii="Arial" w:hAnsi="Arial" w:cs="Arial"/>
          <w:spacing w:val="-3"/>
          <w:lang w:val="es-ES_tradnl"/>
        </w:rPr>
        <w:t xml:space="preserve"> y </w:t>
      </w:r>
      <w:r w:rsidR="003178D8" w:rsidRPr="003178D8">
        <w:rPr>
          <w:rFonts w:ascii="Arial" w:hAnsi="Arial" w:cs="Arial"/>
          <w:i/>
          <w:spacing w:val="-3"/>
          <w:sz w:val="22"/>
          <w:lang w:val="es-ES_tradnl"/>
        </w:rPr>
        <w:t>“mis garantías procesales”</w:t>
      </w:r>
      <w:r w:rsidR="004A4E9F" w:rsidRPr="003178D8">
        <w:rPr>
          <w:rFonts w:ascii="Arial" w:hAnsi="Arial" w:cs="Arial"/>
          <w:spacing w:val="-3"/>
          <w:sz w:val="22"/>
          <w:lang w:val="es-ES_tradnl"/>
        </w:rPr>
        <w:t xml:space="preserve"> </w:t>
      </w:r>
      <w:r w:rsidR="004A4E9F">
        <w:rPr>
          <w:rFonts w:ascii="Arial" w:hAnsi="Arial" w:cs="Arial"/>
          <w:spacing w:val="-3"/>
          <w:lang w:val="es-ES_tradnl"/>
        </w:rPr>
        <w:t xml:space="preserve">(Folio </w:t>
      </w:r>
      <w:r w:rsidR="003178D8">
        <w:rPr>
          <w:rFonts w:ascii="Arial" w:hAnsi="Arial" w:cs="Arial"/>
          <w:spacing w:val="-3"/>
          <w:lang w:val="es-ES_tradnl"/>
        </w:rPr>
        <w:t>2</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Corpsdetexte"/>
        <w:spacing w:line="360" w:lineRule="auto"/>
        <w:ind w:left="360"/>
        <w:rPr>
          <w:rFonts w:ascii="Arial" w:hAnsi="Arial"/>
          <w:sz w:val="20"/>
          <w:szCs w:val="24"/>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que</w:t>
      </w:r>
      <w:r w:rsidR="003178D8">
        <w:rPr>
          <w:rFonts w:ascii="Arial" w:hAnsi="Arial" w:cs="Arial"/>
          <w:color w:val="000000"/>
          <w:szCs w:val="24"/>
        </w:rPr>
        <w:t xml:space="preserve"> se </w:t>
      </w:r>
      <w:r w:rsidR="00B773EE">
        <w:rPr>
          <w:rFonts w:ascii="Arial" w:hAnsi="Arial" w:cs="Arial"/>
          <w:color w:val="000000"/>
          <w:szCs w:val="24"/>
        </w:rPr>
        <w:t xml:space="preserve">ordene continuar con el trámite de las acciones populares </w:t>
      </w:r>
      <w:r w:rsidR="00B1245A">
        <w:rPr>
          <w:rFonts w:ascii="Arial" w:hAnsi="Arial" w:cs="Arial"/>
          <w:szCs w:val="24"/>
        </w:rPr>
        <w:t>(Folio</w:t>
      </w:r>
      <w:r w:rsidR="00F009CB">
        <w:rPr>
          <w:rFonts w:ascii="Arial" w:hAnsi="Arial" w:cs="Arial"/>
          <w:szCs w:val="24"/>
        </w:rPr>
        <w:t xml:space="preserve"> </w:t>
      </w:r>
      <w:r w:rsidR="003178D8">
        <w:rPr>
          <w:rFonts w:ascii="Arial" w:hAnsi="Arial" w:cs="Arial"/>
          <w:szCs w:val="24"/>
        </w:rPr>
        <w:t>2</w:t>
      </w:r>
      <w:r w:rsidR="000E7284">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ansinterligne"/>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w:t>
      </w:r>
      <w:r w:rsidR="00B773EE">
        <w:rPr>
          <w:rFonts w:ascii="Arial" w:hAnsi="Arial"/>
        </w:rPr>
        <w:t>13</w:t>
      </w:r>
      <w:r w:rsidR="003178D8">
        <w:rPr>
          <w:rFonts w:ascii="Arial" w:hAnsi="Arial"/>
        </w:rPr>
        <w:t>-12-2016</w:t>
      </w:r>
      <w:r>
        <w:rPr>
          <w:rFonts w:ascii="Arial" w:hAnsi="Arial"/>
        </w:rPr>
        <w:t xml:space="preserve">,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B773EE">
        <w:rPr>
          <w:rFonts w:ascii="Arial" w:hAnsi="Arial"/>
        </w:rPr>
        <w:t>15</w:t>
      </w:r>
      <w:r w:rsidR="003178D8">
        <w:rPr>
          <w:rFonts w:ascii="Arial" w:hAnsi="Arial"/>
        </w:rPr>
        <w:t>-12</w:t>
      </w:r>
      <w:r w:rsidR="008765D0">
        <w:rPr>
          <w:rFonts w:ascii="Arial" w:hAnsi="Arial"/>
        </w:rPr>
        <w:t>-2016</w:t>
      </w:r>
      <w:r w:rsidR="008E6CF4" w:rsidRPr="008E5A62">
        <w:rPr>
          <w:rFonts w:ascii="Arial" w:hAnsi="Arial"/>
        </w:rPr>
        <w:t xml:space="preserve">, se </w:t>
      </w:r>
      <w:r w:rsidR="008765D0">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B773EE">
        <w:rPr>
          <w:rFonts w:ascii="Arial" w:hAnsi="Arial"/>
        </w:rPr>
        <w:t>7 y 8</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sidR="003178D8">
        <w:rPr>
          <w:rFonts w:ascii="Arial" w:hAnsi="Arial"/>
        </w:rPr>
        <w:t>s</w:t>
      </w:r>
      <w:r w:rsidR="008E6CF4" w:rsidRPr="008E5A62">
        <w:rPr>
          <w:rFonts w:ascii="Arial" w:hAnsi="Arial"/>
        </w:rPr>
        <w:t xml:space="preserve"> </w:t>
      </w:r>
      <w:r w:rsidR="00B773EE">
        <w:rPr>
          <w:rFonts w:ascii="Arial" w:hAnsi="Arial"/>
        </w:rPr>
        <w:t>9 y 10</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765D0">
        <w:rPr>
          <w:rFonts w:ascii="Arial" w:hAnsi="Arial"/>
        </w:rPr>
        <w:t xml:space="preserve"> </w:t>
      </w:r>
      <w:r w:rsidR="008765D0">
        <w:rPr>
          <w:rFonts w:ascii="Arial" w:hAnsi="Arial" w:cs="Arial"/>
          <w:spacing w:val="3"/>
        </w:rPr>
        <w:t xml:space="preserve">la </w:t>
      </w:r>
      <w:r w:rsidR="003178D8">
        <w:rPr>
          <w:rFonts w:ascii="Arial" w:hAnsi="Arial" w:cs="Arial"/>
          <w:spacing w:val="3"/>
        </w:rPr>
        <w:t xml:space="preserve">Alcaldía de Pereira </w:t>
      </w:r>
      <w:r w:rsidR="008765D0">
        <w:rPr>
          <w:rFonts w:ascii="Arial" w:hAnsi="Arial" w:cs="Arial"/>
          <w:spacing w:val="3"/>
        </w:rPr>
        <w:t>(</w:t>
      </w:r>
      <w:r w:rsidR="003178D8">
        <w:rPr>
          <w:rFonts w:ascii="Arial" w:hAnsi="Arial" w:cs="Arial"/>
          <w:spacing w:val="3"/>
        </w:rPr>
        <w:t>F</w:t>
      </w:r>
      <w:r w:rsidR="00B52C09">
        <w:rPr>
          <w:rFonts w:ascii="Arial" w:hAnsi="Arial" w:cs="Arial"/>
          <w:spacing w:val="3"/>
        </w:rPr>
        <w:t>olio</w:t>
      </w:r>
      <w:r w:rsidR="003178D8">
        <w:rPr>
          <w:rFonts w:ascii="Arial" w:hAnsi="Arial" w:cs="Arial"/>
          <w:spacing w:val="3"/>
        </w:rPr>
        <w:t>s</w:t>
      </w:r>
      <w:r w:rsidR="00B52C09">
        <w:rPr>
          <w:rFonts w:ascii="Arial" w:hAnsi="Arial" w:cs="Arial"/>
          <w:spacing w:val="3"/>
        </w:rPr>
        <w:t xml:space="preserve"> </w:t>
      </w:r>
      <w:r w:rsidR="00B773EE">
        <w:rPr>
          <w:rFonts w:ascii="Arial" w:hAnsi="Arial" w:cs="Arial"/>
          <w:spacing w:val="3"/>
        </w:rPr>
        <w:t>11 a 13</w:t>
      </w:r>
      <w:r w:rsidR="008765D0">
        <w:rPr>
          <w:rFonts w:ascii="Arial" w:hAnsi="Arial" w:cs="Arial"/>
          <w:spacing w:val="3"/>
        </w:rPr>
        <w:t>, ib.)</w:t>
      </w:r>
      <w:r w:rsidR="003178D8">
        <w:rPr>
          <w:rFonts w:ascii="Arial" w:hAnsi="Arial" w:cs="Arial"/>
          <w:spacing w:val="3"/>
        </w:rPr>
        <w:t xml:space="preserve">, </w:t>
      </w:r>
      <w:r w:rsidR="00B773EE">
        <w:rPr>
          <w:rFonts w:ascii="Arial" w:hAnsi="Arial" w:cs="Arial"/>
          <w:spacing w:val="3"/>
        </w:rPr>
        <w:t xml:space="preserve">la Personería de Pereira (Folios 18 a 20, ib.), la Procuraduría General de la Nación, Regional Risaralda (Folio 22, ib.), </w:t>
      </w:r>
      <w:r w:rsidR="003178D8">
        <w:rPr>
          <w:rFonts w:ascii="Arial" w:hAnsi="Arial" w:cs="Arial"/>
          <w:spacing w:val="3"/>
        </w:rPr>
        <w:t xml:space="preserve">el Banco </w:t>
      </w:r>
      <w:r w:rsidR="00B773EE">
        <w:rPr>
          <w:rFonts w:ascii="Arial" w:hAnsi="Arial" w:cs="Arial"/>
          <w:spacing w:val="3"/>
        </w:rPr>
        <w:t xml:space="preserve">Colpatria </w:t>
      </w:r>
      <w:proofErr w:type="spellStart"/>
      <w:r w:rsidR="003178D8">
        <w:rPr>
          <w:rFonts w:ascii="Arial" w:hAnsi="Arial" w:cs="Arial"/>
          <w:spacing w:val="3"/>
        </w:rPr>
        <w:t>SA</w:t>
      </w:r>
      <w:proofErr w:type="spellEnd"/>
      <w:r w:rsidR="003178D8">
        <w:rPr>
          <w:rFonts w:ascii="Arial" w:hAnsi="Arial" w:cs="Arial"/>
          <w:spacing w:val="3"/>
        </w:rPr>
        <w:t xml:space="preserve"> (Folios </w:t>
      </w:r>
      <w:r w:rsidR="00B773EE">
        <w:rPr>
          <w:rFonts w:ascii="Arial" w:hAnsi="Arial" w:cs="Arial"/>
          <w:spacing w:val="3"/>
        </w:rPr>
        <w:t>27 y 28</w:t>
      </w:r>
      <w:r w:rsidR="003178D8">
        <w:rPr>
          <w:rFonts w:ascii="Arial" w:hAnsi="Arial" w:cs="Arial"/>
          <w:spacing w:val="3"/>
        </w:rPr>
        <w:t>, ib.)</w:t>
      </w:r>
      <w:r w:rsidR="008E6CF4" w:rsidRPr="003B6DD2">
        <w:rPr>
          <w:rFonts w:ascii="Arial" w:hAnsi="Arial"/>
        </w:rPr>
        <w:t>.</w:t>
      </w:r>
      <w:r>
        <w:rPr>
          <w:rFonts w:ascii="Arial" w:hAnsi="Arial"/>
        </w:rPr>
        <w:t xml:space="preserve"> El accionado arrimó </w:t>
      </w:r>
      <w:r w:rsidR="00B773EE">
        <w:rPr>
          <w:rFonts w:ascii="Arial" w:hAnsi="Arial"/>
          <w:lang w:val="es-CO"/>
        </w:rPr>
        <w:t xml:space="preserve">los documentos requeridos </w:t>
      </w:r>
      <w:r w:rsidR="00B773EE">
        <w:rPr>
          <w:rFonts w:ascii="Arial" w:hAnsi="Arial"/>
        </w:rPr>
        <w:t>(Folio 34 y 35</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C57632" w:rsidRDefault="006F4450" w:rsidP="006F4450">
      <w:pPr>
        <w:spacing w:line="360" w:lineRule="auto"/>
        <w:jc w:val="both"/>
        <w:rPr>
          <w:rFonts w:ascii="Arial" w:hAnsi="Arial"/>
          <w:sz w:val="20"/>
        </w:rPr>
      </w:pPr>
    </w:p>
    <w:p w:rsidR="00500C1C" w:rsidRDefault="00500C1C" w:rsidP="00500C1C">
      <w:pPr>
        <w:spacing w:line="360" w:lineRule="auto"/>
        <w:jc w:val="both"/>
        <w:rPr>
          <w:rFonts w:ascii="Arial" w:hAnsi="Arial"/>
        </w:rPr>
      </w:pPr>
      <w:r>
        <w:rPr>
          <w:rFonts w:ascii="Arial" w:hAnsi="Arial"/>
        </w:rPr>
        <w:t>La Alcandía de Pereira 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En esas condiciones pidió </w:t>
      </w:r>
      <w:r w:rsidR="00946BDB">
        <w:rPr>
          <w:rFonts w:ascii="Arial" w:hAnsi="Arial"/>
        </w:rPr>
        <w:t xml:space="preserve">negar el amparo constitucional presentado en su contra </w:t>
      </w:r>
      <w:r>
        <w:rPr>
          <w:rFonts w:ascii="Arial" w:hAnsi="Arial"/>
        </w:rPr>
        <w:t xml:space="preserve">(Folios </w:t>
      </w:r>
      <w:r w:rsidR="00946BDB">
        <w:rPr>
          <w:rFonts w:ascii="Arial" w:hAnsi="Arial"/>
        </w:rPr>
        <w:t>11 a 13</w:t>
      </w:r>
      <w:r>
        <w:rPr>
          <w:rFonts w:ascii="Arial" w:hAnsi="Arial"/>
        </w:rPr>
        <w:t>, ib.).</w:t>
      </w:r>
    </w:p>
    <w:p w:rsidR="00500C1C" w:rsidRDefault="00500C1C" w:rsidP="00500C1C">
      <w:pPr>
        <w:spacing w:line="360" w:lineRule="auto"/>
        <w:jc w:val="both"/>
        <w:rPr>
          <w:rFonts w:ascii="Arial" w:hAnsi="Arial"/>
        </w:rPr>
      </w:pPr>
    </w:p>
    <w:p w:rsidR="00946BDB" w:rsidRPr="00FD594D" w:rsidRDefault="00946BDB" w:rsidP="00946BDB">
      <w:pPr>
        <w:spacing w:line="360" w:lineRule="auto"/>
        <w:jc w:val="both"/>
        <w:rPr>
          <w:rFonts w:ascii="Arial" w:hAnsi="Arial"/>
        </w:rPr>
      </w:pPr>
      <w:r>
        <w:rPr>
          <w:rFonts w:ascii="Arial" w:hAnsi="Arial"/>
        </w:rPr>
        <w:t>La Personería de Pereira anotó que es el aparato judicial el competente para tramitar las acciones populares, y por lo tanto, no se le puede imputar responsabilidad alguna en la vulneración de los derechos invocados (Folios 18 a 20, ib.).</w:t>
      </w:r>
    </w:p>
    <w:p w:rsidR="00946BDB" w:rsidRDefault="00946BDB" w:rsidP="00500C1C">
      <w:pPr>
        <w:spacing w:line="360" w:lineRule="auto"/>
        <w:jc w:val="both"/>
        <w:rPr>
          <w:rFonts w:ascii="Arial" w:hAnsi="Arial"/>
        </w:rPr>
      </w:pPr>
    </w:p>
    <w:p w:rsidR="00946BDB" w:rsidRDefault="00946BDB" w:rsidP="00500C1C">
      <w:pPr>
        <w:spacing w:line="360" w:lineRule="auto"/>
        <w:jc w:val="both"/>
        <w:rPr>
          <w:rFonts w:ascii="Arial" w:hAnsi="Arial"/>
        </w:rPr>
      </w:pPr>
      <w:r>
        <w:rPr>
          <w:rFonts w:ascii="Arial" w:hAnsi="Arial"/>
        </w:rPr>
        <w:t xml:space="preserve">La Procuraduría General de la Nación, Regional Risaralda, describió su papel en las </w:t>
      </w:r>
      <w:r>
        <w:rPr>
          <w:rFonts w:ascii="Arial" w:hAnsi="Arial"/>
        </w:rPr>
        <w:lastRenderedPageBreak/>
        <w:t xml:space="preserve">acciones populares y mencionó que la situación alegada, es ajena a su función, por lo que solicitó su desvinculación </w:t>
      </w:r>
      <w:r>
        <w:rPr>
          <w:rFonts w:ascii="Arial" w:hAnsi="Arial" w:cs="Arial"/>
          <w:spacing w:val="3"/>
        </w:rPr>
        <w:t>(Folio 22, ib.)</w:t>
      </w:r>
      <w:r>
        <w:rPr>
          <w:rFonts w:ascii="Arial" w:hAnsi="Arial"/>
        </w:rPr>
        <w:t>.</w:t>
      </w:r>
    </w:p>
    <w:p w:rsidR="00946BDB" w:rsidRDefault="00946BDB" w:rsidP="00500C1C">
      <w:pPr>
        <w:spacing w:line="360" w:lineRule="auto"/>
        <w:jc w:val="both"/>
        <w:rPr>
          <w:rFonts w:ascii="Arial" w:hAnsi="Arial"/>
        </w:rPr>
      </w:pPr>
    </w:p>
    <w:p w:rsidR="00500C1C" w:rsidRPr="00AB5001" w:rsidRDefault="00500C1C" w:rsidP="00500C1C">
      <w:pPr>
        <w:spacing w:line="360" w:lineRule="auto"/>
        <w:jc w:val="both"/>
        <w:rPr>
          <w:rFonts w:ascii="Arial" w:hAnsi="Arial"/>
        </w:rPr>
      </w:pPr>
      <w:r>
        <w:rPr>
          <w:rFonts w:ascii="Arial" w:hAnsi="Arial"/>
        </w:rPr>
        <w:t xml:space="preserve">El banco </w:t>
      </w:r>
      <w:r w:rsidR="00946BDB">
        <w:rPr>
          <w:rFonts w:ascii="Arial" w:hAnsi="Arial"/>
        </w:rPr>
        <w:t xml:space="preserve">Colpatria </w:t>
      </w:r>
      <w:proofErr w:type="spellStart"/>
      <w:r>
        <w:rPr>
          <w:rFonts w:ascii="Arial" w:hAnsi="Arial"/>
        </w:rPr>
        <w:t>SA</w:t>
      </w:r>
      <w:proofErr w:type="spellEnd"/>
      <w:r>
        <w:rPr>
          <w:rFonts w:ascii="Arial" w:hAnsi="Arial"/>
        </w:rPr>
        <w:t xml:space="preserve"> </w:t>
      </w:r>
      <w:r w:rsidR="00946BDB">
        <w:rPr>
          <w:rFonts w:ascii="Arial" w:hAnsi="Arial"/>
        </w:rPr>
        <w:t>adujo que la tutela es improcedente frente a una decisión judicial, cuando el accionante simplemente discrepa de una interpretación dada por el juez. Indicó que el accionante usa la tutela como un recurso extraordinario. S</w:t>
      </w:r>
      <w:r>
        <w:rPr>
          <w:rFonts w:ascii="Arial" w:hAnsi="Arial"/>
        </w:rPr>
        <w:t xml:space="preserve">olicitó </w:t>
      </w:r>
      <w:r w:rsidR="00946BDB">
        <w:rPr>
          <w:rFonts w:ascii="Arial" w:hAnsi="Arial"/>
        </w:rPr>
        <w:t>negar el amparo constitucional</w:t>
      </w:r>
      <w:r>
        <w:rPr>
          <w:rFonts w:ascii="Arial" w:hAnsi="Arial"/>
        </w:rPr>
        <w:t xml:space="preserve"> (Folios </w:t>
      </w:r>
      <w:r w:rsidR="000C5285">
        <w:rPr>
          <w:rFonts w:ascii="Arial" w:hAnsi="Arial"/>
        </w:rPr>
        <w:t>27 y 28</w:t>
      </w:r>
      <w:r>
        <w:rPr>
          <w:rFonts w:ascii="Arial" w:hAnsi="Arial"/>
        </w:rPr>
        <w:t>, ib.).</w:t>
      </w:r>
    </w:p>
    <w:p w:rsidR="00E04790" w:rsidRPr="00C57632" w:rsidRDefault="00E04790" w:rsidP="00A815D7">
      <w:pPr>
        <w:spacing w:line="600" w:lineRule="auto"/>
        <w:jc w:val="both"/>
        <w:rPr>
          <w:rFonts w:ascii="Arial" w:hAnsi="Arial"/>
          <w:sz w:val="20"/>
        </w:rPr>
      </w:pP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Corpsdetexte"/>
        <w:tabs>
          <w:tab w:val="clear" w:pos="708"/>
          <w:tab w:val="left" w:pos="709"/>
        </w:tabs>
        <w:spacing w:line="36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A815D7" w:rsidRDefault="00A815D7" w:rsidP="00CF429F">
      <w:pPr>
        <w:pStyle w:val="Retraitcorpsdetexte2"/>
        <w:spacing w:after="0" w:line="360" w:lineRule="auto"/>
        <w:ind w:left="0"/>
        <w:jc w:val="both"/>
        <w:rPr>
          <w:rFonts w:ascii="Arial" w:hAnsi="Arial" w:cs="Arial"/>
          <w:sz w:val="24"/>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C5285">
        <w:rPr>
          <w:rFonts w:ascii="Arial" w:hAnsi="Arial" w:cs="Arial"/>
          <w:spacing w:val="-3"/>
          <w:lang w:val="es-ES_tradnl"/>
        </w:rPr>
        <w:t xml:space="preserve">las acciones </w:t>
      </w:r>
      <w:r w:rsidR="00BB6450">
        <w:rPr>
          <w:rFonts w:ascii="Arial" w:hAnsi="Arial" w:cs="Arial"/>
          <w:spacing w:val="-3"/>
          <w:lang w:val="es-ES_tradnl"/>
        </w:rPr>
        <w:t>popular</w:t>
      </w:r>
      <w:r w:rsidR="000C5285">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A538AF" w:rsidRDefault="00C57632" w:rsidP="003353DD">
      <w:pPr>
        <w:pStyle w:val="Corpsdetexte"/>
        <w:numPr>
          <w:ilvl w:val="2"/>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0C5285">
        <w:rPr>
          <w:rFonts w:ascii="Arial" w:hAnsi="Arial" w:cs="Arial"/>
          <w:szCs w:val="24"/>
        </w:rPr>
        <w:t xml:space="preserve">presentó las acciones populares </w:t>
      </w:r>
      <w:r w:rsidR="00A538AF" w:rsidRPr="00765006">
        <w:rPr>
          <w:rFonts w:ascii="Arial" w:hAnsi="Arial" w:cs="Arial"/>
          <w:szCs w:val="24"/>
        </w:rPr>
        <w:t xml:space="preserve">en </w:t>
      </w:r>
      <w:r w:rsidR="000C5285">
        <w:rPr>
          <w:rFonts w:ascii="Arial" w:hAnsi="Arial" w:cs="Arial"/>
          <w:szCs w:val="24"/>
        </w:rPr>
        <w:t xml:space="preserve">las </w:t>
      </w:r>
      <w:r w:rsidR="00A538AF" w:rsidRPr="00765006">
        <w:rPr>
          <w:rFonts w:ascii="Arial" w:hAnsi="Arial" w:cs="Arial"/>
          <w:szCs w:val="24"/>
        </w:rPr>
        <w:t>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 xml:space="preserve">artículo 71 del </w:t>
      </w:r>
      <w:proofErr w:type="spellStart"/>
      <w:r w:rsidR="00765006" w:rsidRPr="00765006">
        <w:rPr>
          <w:rFonts w:ascii="Arial" w:hAnsi="Arial" w:cs="Arial"/>
          <w:color w:val="000000"/>
          <w:szCs w:val="27"/>
          <w:shd w:val="clear" w:color="auto" w:fill="FFFFFF"/>
        </w:rPr>
        <w:t>CGP</w:t>
      </w:r>
      <w:proofErr w:type="spellEnd"/>
      <w:r w:rsidR="00765006" w:rsidRPr="00765006">
        <w:rPr>
          <w:rFonts w:ascii="Arial" w:hAnsi="Arial" w:cs="Arial"/>
          <w:color w:val="000000"/>
          <w:szCs w:val="27"/>
          <w:shd w:val="clear" w:color="auto" w:fill="FFFFFF"/>
        </w:rPr>
        <w:t>)</w:t>
      </w:r>
      <w:r w:rsidR="00A538AF" w:rsidRPr="00765006">
        <w:rPr>
          <w:rFonts w:ascii="Arial" w:hAnsi="Arial" w:cs="Arial"/>
          <w:szCs w:val="24"/>
        </w:rPr>
        <w:t xml:space="preserve">. Y por pasiva, lo es el Juzgado </w:t>
      </w:r>
      <w:r w:rsidR="00C57632">
        <w:rPr>
          <w:rFonts w:ascii="Arial" w:hAnsi="Arial" w:cs="Arial"/>
          <w:szCs w:val="24"/>
        </w:rPr>
        <w:t>Tercero</w:t>
      </w:r>
      <w:r w:rsidR="00A538AF" w:rsidRPr="00765006">
        <w:rPr>
          <w:rFonts w:ascii="Arial" w:hAnsi="Arial" w:cs="Arial"/>
          <w:szCs w:val="24"/>
        </w:rPr>
        <w:t xml:space="preserve"> Civil del Circuito de Pereira, al ser la autoridad judicial que conoce de</w:t>
      </w:r>
      <w:r w:rsidR="000C5285">
        <w:rPr>
          <w:rFonts w:ascii="Arial" w:hAnsi="Arial" w:cs="Arial"/>
          <w:szCs w:val="24"/>
        </w:rPr>
        <w:t xml:space="preserve"> </w:t>
      </w:r>
      <w:r w:rsidR="001E5C81">
        <w:rPr>
          <w:rFonts w:ascii="Arial" w:hAnsi="Arial" w:cs="Arial"/>
          <w:szCs w:val="24"/>
        </w:rPr>
        <w:t>l</w:t>
      </w:r>
      <w:r w:rsidR="000C5285">
        <w:rPr>
          <w:rFonts w:ascii="Arial" w:hAnsi="Arial" w:cs="Arial"/>
          <w:szCs w:val="24"/>
        </w:rPr>
        <w:t>os</w:t>
      </w:r>
      <w:r w:rsidR="00A538AF" w:rsidRPr="00765006">
        <w:rPr>
          <w:rFonts w:ascii="Arial" w:hAnsi="Arial" w:cs="Arial"/>
          <w:szCs w:val="24"/>
        </w:rPr>
        <w:t xml:space="preserve"> </w:t>
      </w:r>
      <w:r w:rsidR="001E5C81">
        <w:rPr>
          <w:rFonts w:ascii="Arial" w:hAnsi="Arial" w:cs="Arial"/>
          <w:szCs w:val="24"/>
        </w:rPr>
        <w:t>juicio</w:t>
      </w:r>
      <w:r w:rsidR="000C5285">
        <w:rPr>
          <w:rFonts w:ascii="Arial" w:hAnsi="Arial" w:cs="Arial"/>
          <w:szCs w:val="24"/>
        </w:rPr>
        <w:t>s</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500C1C" w:rsidRDefault="00500C1C" w:rsidP="00500C1C">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Risaralda, y la Alcaldía y la Personería de Pereira no participaron en </w:t>
      </w:r>
      <w:r w:rsidR="000C5285">
        <w:rPr>
          <w:rFonts w:ascii="Arial" w:hAnsi="Arial" w:cs="Arial"/>
        </w:rPr>
        <w:t xml:space="preserve">las acciones </w:t>
      </w:r>
      <w:r>
        <w:rPr>
          <w:rFonts w:ascii="Arial" w:hAnsi="Arial" w:cs="Arial"/>
        </w:rPr>
        <w:t>popular</w:t>
      </w:r>
      <w:r w:rsidR="000C5285">
        <w:rPr>
          <w:rFonts w:ascii="Arial" w:hAnsi="Arial" w:cs="Arial"/>
        </w:rPr>
        <w:t>es</w:t>
      </w:r>
      <w:r>
        <w:rPr>
          <w:rFonts w:ascii="Arial" w:hAnsi="Arial" w:cs="Arial"/>
        </w:rPr>
        <w:t xml:space="preserve">, carecen de legitimación y se declarará improcedente el amparo; asimismo, y como quiera que </w:t>
      </w:r>
      <w:r w:rsidR="000C5285">
        <w:rPr>
          <w:rFonts w:ascii="Arial" w:hAnsi="Arial" w:cs="Arial"/>
        </w:rPr>
        <w:t xml:space="preserve">los </w:t>
      </w:r>
      <w:r>
        <w:rPr>
          <w:rFonts w:ascii="Arial" w:hAnsi="Arial" w:cs="Arial"/>
        </w:rPr>
        <w:t>banco</w:t>
      </w:r>
      <w:r w:rsidR="000C5285">
        <w:rPr>
          <w:rFonts w:ascii="Arial" w:hAnsi="Arial" w:cs="Arial"/>
        </w:rPr>
        <w:t>s</w:t>
      </w:r>
      <w:r>
        <w:rPr>
          <w:rFonts w:ascii="Arial" w:hAnsi="Arial" w:cs="Arial"/>
        </w:rPr>
        <w:t xml:space="preserve"> </w:t>
      </w:r>
      <w:r w:rsidR="000C5285">
        <w:rPr>
          <w:rFonts w:ascii="Arial" w:hAnsi="Arial" w:cs="Arial"/>
        </w:rPr>
        <w:t xml:space="preserve">Colpatria </w:t>
      </w:r>
      <w:proofErr w:type="spellStart"/>
      <w:r>
        <w:rPr>
          <w:rFonts w:ascii="Arial" w:hAnsi="Arial" w:cs="Arial"/>
        </w:rPr>
        <w:t>SA</w:t>
      </w:r>
      <w:proofErr w:type="spellEnd"/>
      <w:r w:rsidR="000C5285">
        <w:rPr>
          <w:rFonts w:ascii="Arial" w:hAnsi="Arial" w:cs="Arial"/>
        </w:rPr>
        <w:t xml:space="preserve"> y Davivienda </w:t>
      </w:r>
      <w:proofErr w:type="spellStart"/>
      <w:r w:rsidR="000C5285">
        <w:rPr>
          <w:rFonts w:ascii="Arial" w:hAnsi="Arial" w:cs="Arial"/>
        </w:rPr>
        <w:t>SA</w:t>
      </w:r>
      <w:proofErr w:type="spellEnd"/>
      <w:r>
        <w:rPr>
          <w:rFonts w:ascii="Arial" w:hAnsi="Arial" w:cs="Arial"/>
        </w:rPr>
        <w:t xml:space="preserve">, no </w:t>
      </w:r>
      <w:r w:rsidR="000C5285">
        <w:rPr>
          <w:rFonts w:ascii="Arial" w:hAnsi="Arial" w:cs="Arial"/>
        </w:rPr>
        <w:t xml:space="preserve">incurrieron </w:t>
      </w:r>
      <w:r>
        <w:rPr>
          <w:rFonts w:ascii="Arial" w:hAnsi="Arial" w:cs="Arial"/>
        </w:rPr>
        <w:t>en violación o amenaza alguna, se negará.</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815D7" w:rsidRDefault="00A815D7"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815D7" w:rsidRDefault="00A815D7"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500C1C" w:rsidRDefault="00500C1C" w:rsidP="00500C1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500C1C" w:rsidRPr="007251E6" w:rsidRDefault="00500C1C" w:rsidP="00500C1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0C5285" w:rsidRPr="00907C22" w:rsidRDefault="000C5285" w:rsidP="000C5285">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0C5285" w:rsidRPr="00E649FA" w:rsidRDefault="000C5285" w:rsidP="000C5285">
      <w:pPr>
        <w:pStyle w:val="Corpsdetexte"/>
        <w:spacing w:line="360" w:lineRule="auto"/>
        <w:rPr>
          <w:rFonts w:ascii="Arial" w:hAnsi="Arial" w:cs="Arial"/>
          <w:szCs w:val="24"/>
        </w:rPr>
      </w:pPr>
    </w:p>
    <w:p w:rsidR="000C5285" w:rsidRPr="00907C22" w:rsidRDefault="000C5285" w:rsidP="000C5285">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0C5285" w:rsidRPr="00E649FA" w:rsidRDefault="000C5285" w:rsidP="000C5285">
      <w:pPr>
        <w:pStyle w:val="Corpsdetexte"/>
        <w:spacing w:line="360" w:lineRule="auto"/>
        <w:rPr>
          <w:rFonts w:ascii="Arial" w:hAnsi="Arial" w:cs="Arial"/>
          <w:szCs w:val="24"/>
        </w:rPr>
      </w:pPr>
    </w:p>
    <w:p w:rsidR="000C5285" w:rsidRPr="00907C22" w:rsidRDefault="000C5285" w:rsidP="000C5285">
      <w:pPr>
        <w:pStyle w:val="Corpsdetex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0C5285" w:rsidRPr="00907C22" w:rsidRDefault="000C5285" w:rsidP="000C5285">
      <w:pPr>
        <w:pStyle w:val="Corpsdetexte"/>
        <w:spacing w:line="360" w:lineRule="auto"/>
        <w:rPr>
          <w:rFonts w:ascii="Arial" w:hAnsi="Arial" w:cs="Arial"/>
          <w:szCs w:val="24"/>
        </w:rPr>
      </w:pPr>
      <w:r w:rsidRPr="00907C22">
        <w:rPr>
          <w:rFonts w:ascii="Arial" w:hAnsi="Arial" w:cs="Arial"/>
          <w:szCs w:val="24"/>
        </w:rPr>
        <w:t>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0C5285" w:rsidRPr="00E649FA" w:rsidRDefault="000C5285" w:rsidP="000C5285">
      <w:pPr>
        <w:pStyle w:val="Corpsdetexte"/>
        <w:spacing w:line="360" w:lineRule="auto"/>
        <w:rPr>
          <w:rFonts w:ascii="Arial" w:hAnsi="Arial" w:cs="Arial"/>
          <w:szCs w:val="24"/>
        </w:rPr>
      </w:pPr>
    </w:p>
    <w:p w:rsidR="000C5285" w:rsidRPr="00907C22" w:rsidRDefault="000C5285" w:rsidP="000C5285">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907C22">
        <w:rPr>
          <w:rFonts w:ascii="Arial" w:hAnsi="Arial" w:cs="Arial"/>
          <w:szCs w:val="24"/>
        </w:rPr>
        <w:lastRenderedPageBreak/>
        <w:t>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243795" w:rsidRDefault="00243795" w:rsidP="00CD3E18">
      <w:pPr>
        <w:pStyle w:val="Corpsdetexte"/>
        <w:spacing w:line="360" w:lineRule="auto"/>
        <w:rPr>
          <w:rFonts w:ascii="Arial" w:hAnsi="Arial" w:cs="Arial"/>
          <w:sz w:val="20"/>
          <w:szCs w:val="24"/>
        </w:rPr>
      </w:pPr>
    </w:p>
    <w:p w:rsidR="003353DD" w:rsidRPr="003353DD" w:rsidRDefault="003353DD" w:rsidP="003353DD">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3353DD">
        <w:rPr>
          <w:rFonts w:ascii="Arial" w:hAnsi="Arial" w:cs="Arial"/>
          <w:szCs w:val="24"/>
        </w:rPr>
        <w:t>El carácter subsidiario de la acción de tutela</w:t>
      </w:r>
      <w:r w:rsidRPr="003353DD">
        <w:rPr>
          <w:rFonts w:ascii="Arial" w:hAnsi="Arial" w:cs="Arial"/>
          <w:szCs w:val="24"/>
        </w:rPr>
        <w:tab/>
      </w:r>
    </w:p>
    <w:p w:rsidR="003353DD" w:rsidRDefault="003353DD" w:rsidP="003353DD">
      <w:pPr>
        <w:pStyle w:val="Corpsdetexte"/>
        <w:tabs>
          <w:tab w:val="clear" w:pos="0"/>
        </w:tabs>
        <w:spacing w:line="360" w:lineRule="auto"/>
        <w:rPr>
          <w:rFonts w:ascii="Arial" w:hAnsi="Arial" w:cs="Arial"/>
          <w:szCs w:val="24"/>
        </w:rPr>
      </w:pPr>
    </w:p>
    <w:p w:rsidR="003353DD" w:rsidRDefault="003353DD" w:rsidP="003353DD">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3353DD" w:rsidRDefault="003353DD" w:rsidP="003353DD">
      <w:pPr>
        <w:pStyle w:val="Corpsdetexte"/>
        <w:tabs>
          <w:tab w:val="clear" w:pos="0"/>
        </w:tabs>
        <w:spacing w:line="360" w:lineRule="auto"/>
        <w:rPr>
          <w:rFonts w:ascii="Arial" w:hAnsi="Arial" w:cs="Arial"/>
          <w:szCs w:val="24"/>
          <w:u w:val="single"/>
        </w:rPr>
      </w:pPr>
    </w:p>
    <w:p w:rsidR="003353DD" w:rsidRDefault="003353DD" w:rsidP="003353DD">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3353DD" w:rsidRDefault="003353DD" w:rsidP="003353DD">
      <w:pPr>
        <w:widowControl/>
        <w:autoSpaceDE/>
        <w:adjustRightInd/>
        <w:spacing w:line="360" w:lineRule="auto"/>
        <w:jc w:val="both"/>
        <w:rPr>
          <w:rFonts w:ascii="Arial" w:hAnsi="Arial" w:cs="Arial"/>
          <w:szCs w:val="22"/>
          <w:lang w:val="es-ES_tradnl"/>
        </w:rPr>
      </w:pPr>
    </w:p>
    <w:p w:rsidR="003353DD" w:rsidRDefault="003353DD" w:rsidP="003353DD">
      <w:pPr>
        <w:pStyle w:val="Corpsdetexte"/>
        <w:tabs>
          <w:tab w:val="clear" w:pos="0"/>
        </w:tabs>
        <w:spacing w:line="360" w:lineRule="auto"/>
        <w:rPr>
          <w:rFonts w:ascii="Arial" w:hAnsi="Arial" w:cs="Arial"/>
          <w:szCs w:val="24"/>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(2016)</w:t>
      </w:r>
      <w:r>
        <w:rPr>
          <w:rStyle w:val="Appelnotedebasdep"/>
          <w:rFonts w:ascii="Arial" w:hAnsi="Arial"/>
          <w:szCs w:val="24"/>
        </w:rPr>
        <w:footnoteReference w:id="13"/>
      </w:r>
      <w:r>
        <w:rPr>
          <w:rFonts w:ascii="Arial" w:hAnsi="Arial" w:cs="Arial"/>
          <w:szCs w:val="24"/>
        </w:rPr>
        <w:t>.</w:t>
      </w:r>
    </w:p>
    <w:p w:rsidR="003353DD" w:rsidRDefault="003353DD" w:rsidP="003353DD">
      <w:pPr>
        <w:pStyle w:val="Corpsdetexte"/>
        <w:tabs>
          <w:tab w:val="clear" w:pos="0"/>
        </w:tabs>
        <w:spacing w:line="360" w:lineRule="auto"/>
        <w:rPr>
          <w:rFonts w:ascii="Arial" w:hAnsi="Arial" w:cs="Arial"/>
          <w:szCs w:val="24"/>
        </w:rPr>
      </w:pPr>
    </w:p>
    <w:p w:rsidR="003353DD" w:rsidRDefault="003353DD" w:rsidP="003353DD">
      <w:pPr>
        <w:spacing w:line="360" w:lineRule="auto"/>
        <w:jc w:val="both"/>
        <w:rPr>
          <w:rFonts w:ascii="Arial" w:hAnsi="Arial" w:cs="Arial"/>
          <w:lang w:val="es-ES_tradnl"/>
        </w:rPr>
      </w:pPr>
      <w:r>
        <w:rPr>
          <w:rFonts w:ascii="Arial" w:hAnsi="Arial" w:cs="Arial"/>
          <w:lang w:val="es-ES_tradnl"/>
        </w:rPr>
        <w:t>También la CSJ se ha referido al tema</w:t>
      </w:r>
      <w:r>
        <w:rPr>
          <w:rStyle w:val="Appelnotedebasdep"/>
          <w:rFonts w:ascii="Arial" w:hAnsi="Arial" w:cs="Arial"/>
        </w:rPr>
        <w:footnoteReference w:id="14"/>
      </w:r>
      <w:r>
        <w:rPr>
          <w:rFonts w:ascii="Arial" w:hAnsi="Arial" w:cs="Arial"/>
          <w:vertAlign w:val="superscript"/>
          <w:lang w:val="es-ES_tradnl"/>
        </w:rPr>
        <w:t>-</w:t>
      </w:r>
      <w:r>
        <w:rPr>
          <w:rStyle w:val="Appelnotedebasdep"/>
          <w:rFonts w:ascii="Arial" w:hAnsi="Arial"/>
        </w:rPr>
        <w:footnoteReference w:id="15"/>
      </w:r>
      <w:r>
        <w:rPr>
          <w:rFonts w:ascii="Arial" w:hAnsi="Arial" w:cs="Arial"/>
          <w:lang w:val="es-ES_tradnl"/>
        </w:rPr>
        <w:t xml:space="preserve"> (2016)</w:t>
      </w:r>
      <w:r>
        <w:rPr>
          <w:rStyle w:val="Appelnotedebasdep"/>
          <w:rFonts w:ascii="Arial" w:hAnsi="Arial"/>
        </w:rPr>
        <w:footnoteReference w:id="16"/>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3353DD" w:rsidRPr="00243795" w:rsidRDefault="003353DD" w:rsidP="00CD3E18">
      <w:pPr>
        <w:pStyle w:val="Corpsdetexte"/>
        <w:spacing w:line="360" w:lineRule="auto"/>
        <w:rPr>
          <w:rFonts w:ascii="Arial" w:hAnsi="Arial" w:cs="Arial"/>
          <w:sz w:val="20"/>
          <w:szCs w:val="24"/>
        </w:rPr>
      </w:pPr>
    </w:p>
    <w:p w:rsidR="00765006" w:rsidRPr="00500C1C" w:rsidRDefault="00765006" w:rsidP="00765006">
      <w:pPr>
        <w:pStyle w:val="Paragraphedeliste"/>
        <w:numPr>
          <w:ilvl w:val="2"/>
          <w:numId w:val="18"/>
        </w:numPr>
        <w:spacing w:line="360" w:lineRule="auto"/>
        <w:ind w:right="22"/>
        <w:jc w:val="both"/>
        <w:rPr>
          <w:rFonts w:ascii="Arial" w:hAnsi="Arial" w:cs="Arial"/>
          <w:szCs w:val="22"/>
          <w:lang w:val="es-ES_tradnl"/>
        </w:rPr>
      </w:pPr>
      <w:r w:rsidRPr="00500C1C">
        <w:rPr>
          <w:rFonts w:ascii="Arial" w:hAnsi="Arial" w:cs="Arial"/>
          <w:szCs w:val="22"/>
          <w:lang w:val="es-ES_tradnl"/>
        </w:rPr>
        <w:lastRenderedPageBreak/>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17"/>
      </w:r>
      <w:r>
        <w:rPr>
          <w:rFonts w:ascii="Arial" w:hAnsi="Arial" w:cs="Arial"/>
          <w:szCs w:val="22"/>
          <w:lang w:val="es-ES_tradnl"/>
        </w:rPr>
        <w:t>, luego en otra decisión</w:t>
      </w:r>
      <w:r>
        <w:rPr>
          <w:rStyle w:val="Appelnotedebasdep"/>
          <w:rFonts w:ascii="Arial" w:hAnsi="Arial"/>
          <w:szCs w:val="22"/>
          <w:lang w:val="es-ES_tradnl"/>
        </w:rPr>
        <w:footnoteReference w:id="18"/>
      </w:r>
      <w:r>
        <w:rPr>
          <w:rFonts w:ascii="Arial" w:hAnsi="Arial" w:cs="Arial"/>
          <w:szCs w:val="22"/>
          <w:lang w:val="es-ES_tradnl"/>
        </w:rPr>
        <w:t xml:space="preserve"> añadió que surge cuando quiera que </w:t>
      </w:r>
      <w:r w:rsidRPr="00E040DE">
        <w:rPr>
          <w:rFonts w:ascii="Arial" w:hAnsi="Arial" w:cs="Arial"/>
        </w:rPr>
        <w:t xml:space="preserve">la autoridad judicial </w:t>
      </w:r>
      <w:proofErr w:type="gramStart"/>
      <w:r>
        <w:rPr>
          <w:rFonts w:ascii="Arial" w:hAnsi="Arial" w:cs="Arial"/>
        </w:rPr>
        <w:t>desatiende</w:t>
      </w:r>
      <w:proofErr w:type="gramEnd"/>
      <w:r>
        <w:rPr>
          <w:rFonts w:ascii="Arial" w:hAnsi="Arial" w:cs="Arial"/>
        </w:rPr>
        <w:t xml:space="preserv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Appelnotedebasdep"/>
          <w:rFonts w:ascii="Arial" w:hAnsi="Arial"/>
          <w:szCs w:val="22"/>
          <w:lang w:val="es-ES_tradnl"/>
        </w:rPr>
        <w:footnoteReference w:id="19"/>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20"/>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1"/>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2"/>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Appelnotedebasdep"/>
          <w:rFonts w:ascii="Arial" w:hAnsi="Arial"/>
          <w:iCs/>
        </w:rPr>
        <w:footnoteReference w:id="23"/>
      </w:r>
      <w:r>
        <w:rPr>
          <w:rFonts w:ascii="Arial" w:hAnsi="Arial" w:cs="Arial"/>
          <w:iCs/>
          <w:vertAlign w:val="superscript"/>
        </w:rPr>
        <w:t>-</w:t>
      </w:r>
      <w:r>
        <w:rPr>
          <w:rStyle w:val="Appelnotedebasdep"/>
          <w:rFonts w:ascii="Arial" w:hAnsi="Arial"/>
          <w:iCs/>
        </w:rPr>
        <w:footnoteReference w:id="24"/>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Corpsdetexte"/>
        <w:spacing w:line="360" w:lineRule="auto"/>
        <w:rPr>
          <w:rFonts w:ascii="Arial" w:hAnsi="Arial" w:cs="Arial"/>
          <w:sz w:val="20"/>
        </w:rPr>
      </w:pPr>
    </w:p>
    <w:p w:rsidR="00765006" w:rsidRDefault="00765006" w:rsidP="00765006">
      <w:pPr>
        <w:pStyle w:val="Corpsdetexte"/>
        <w:spacing w:line="360" w:lineRule="auto"/>
        <w:rPr>
          <w:rFonts w:ascii="Arial" w:hAnsi="Arial" w:cs="Arial"/>
        </w:rPr>
      </w:pPr>
      <w:r w:rsidRPr="00651F25">
        <w:rPr>
          <w:rFonts w:ascii="Arial" w:hAnsi="Arial" w:cs="Arial"/>
        </w:rPr>
        <w:t>Así mismo el alto Tribunal Constitucional</w:t>
      </w:r>
      <w:r w:rsidRPr="00651F25">
        <w:rPr>
          <w:rStyle w:val="Appelnotedebasdep"/>
          <w:rFonts w:ascii="Arial" w:hAnsi="Arial"/>
        </w:rPr>
        <w:footnoteReference w:id="25"/>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Corpsdetexte"/>
        <w:spacing w:line="240" w:lineRule="auto"/>
        <w:rPr>
          <w:rFonts w:ascii="Arial" w:hAnsi="Arial" w:cs="Arial"/>
        </w:rPr>
      </w:pPr>
    </w:p>
    <w:p w:rsidR="00765006" w:rsidRDefault="00765006" w:rsidP="00765006">
      <w:pPr>
        <w:pStyle w:val="Corpsdetex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Default="008139F4" w:rsidP="00AA1E03">
      <w:pPr>
        <w:pStyle w:val="Corpsdetexte"/>
        <w:spacing w:line="360" w:lineRule="auto"/>
        <w:rPr>
          <w:rFonts w:ascii="Arial" w:hAnsi="Arial"/>
          <w:sz w:val="20"/>
          <w:szCs w:val="24"/>
        </w:rPr>
      </w:pPr>
    </w:p>
    <w:p w:rsidR="003353DD" w:rsidRPr="003353DD" w:rsidRDefault="003353DD" w:rsidP="003353DD">
      <w:pPr>
        <w:pStyle w:val="Corpsdetexte"/>
        <w:numPr>
          <w:ilvl w:val="1"/>
          <w:numId w:val="18"/>
        </w:numPr>
        <w:spacing w:line="360" w:lineRule="auto"/>
        <w:rPr>
          <w:rFonts w:ascii="Arial" w:hAnsi="Arial"/>
          <w:szCs w:val="24"/>
        </w:rPr>
      </w:pPr>
      <w:r w:rsidRPr="003353DD">
        <w:rPr>
          <w:rFonts w:ascii="Arial" w:hAnsi="Arial"/>
          <w:szCs w:val="24"/>
        </w:rPr>
        <w:t xml:space="preserve">La subsidiariedad </w:t>
      </w:r>
    </w:p>
    <w:p w:rsidR="003353DD" w:rsidRPr="00FE5FF3" w:rsidRDefault="003353DD" w:rsidP="00A815D7">
      <w:pPr>
        <w:pStyle w:val="Corpsdetexte"/>
        <w:spacing w:line="240" w:lineRule="auto"/>
        <w:ind w:left="720"/>
        <w:rPr>
          <w:rFonts w:ascii="Arial" w:hAnsi="Arial"/>
          <w:sz w:val="20"/>
          <w:szCs w:val="24"/>
        </w:rPr>
      </w:pPr>
    </w:p>
    <w:p w:rsidR="003353DD" w:rsidRDefault="003353DD" w:rsidP="003353DD">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w:t>
      </w:r>
      <w:r w:rsidRPr="003E0E8A">
        <w:rPr>
          <w:rFonts w:ascii="Arial" w:hAnsi="Arial" w:cs="Arial"/>
          <w:lang w:val="es-ES_tradnl"/>
        </w:rPr>
        <w:lastRenderedPageBreak/>
        <w:t xml:space="preserve">supuestos especiales, el análisis que sigue se concentrará en la subsidiariedad, porque es el elemento que se echa de menos y resulta suficiente para el fracaso </w:t>
      </w:r>
      <w:r>
        <w:rPr>
          <w:rFonts w:ascii="Arial" w:hAnsi="Arial" w:cs="Arial"/>
          <w:lang w:val="es-ES_tradnl"/>
        </w:rPr>
        <w:t>del amparo frente a la decisión judicial tomada dentro de la acción popular 2015-00338-00.</w:t>
      </w:r>
    </w:p>
    <w:p w:rsidR="003353DD" w:rsidRPr="00D54497" w:rsidRDefault="003353DD" w:rsidP="003353DD">
      <w:pPr>
        <w:spacing w:line="360" w:lineRule="auto"/>
        <w:jc w:val="both"/>
        <w:rPr>
          <w:rFonts w:ascii="Arial" w:hAnsi="Arial" w:cs="Arial"/>
          <w:sz w:val="20"/>
          <w:lang w:val="es-ES_tradnl"/>
        </w:rPr>
      </w:pPr>
    </w:p>
    <w:p w:rsidR="003353DD" w:rsidRDefault="003353DD" w:rsidP="003353DD">
      <w:pPr>
        <w:spacing w:line="360" w:lineRule="auto"/>
        <w:jc w:val="both"/>
        <w:rPr>
          <w:rFonts w:ascii="Arial" w:hAnsi="Arial" w:cs="Arial"/>
          <w:lang w:val="es-CO"/>
        </w:rPr>
      </w:pPr>
      <w:r w:rsidRPr="003E0E8A">
        <w:rPr>
          <w:rFonts w:ascii="Arial" w:hAnsi="Arial" w:cs="Arial"/>
        </w:rPr>
        <w:t xml:space="preserve">Conforme al acervo probatorio </w:t>
      </w:r>
      <w:r>
        <w:rPr>
          <w:rFonts w:ascii="Arial" w:hAnsi="Arial" w:cs="Arial"/>
        </w:rPr>
        <w:t xml:space="preserve">el accionado </w:t>
      </w:r>
      <w:r w:rsidRPr="00F54A43">
        <w:rPr>
          <w:rFonts w:ascii="Arial" w:hAnsi="Arial" w:cs="Arial"/>
          <w:lang w:val="es-CO"/>
        </w:rPr>
        <w:t xml:space="preserve">con proveído del </w:t>
      </w:r>
      <w:r>
        <w:rPr>
          <w:rFonts w:ascii="Arial" w:hAnsi="Arial" w:cs="Arial"/>
          <w:lang w:val="es-CO"/>
        </w:rPr>
        <w:t xml:space="preserve">26-08-2016 </w:t>
      </w:r>
      <w:r w:rsidRPr="00F54A43">
        <w:rPr>
          <w:rFonts w:ascii="Arial" w:hAnsi="Arial" w:cs="Arial"/>
          <w:lang w:val="es-CO"/>
        </w:rPr>
        <w:t xml:space="preserve">y con fundamento en el artículo 317 del </w:t>
      </w:r>
      <w:proofErr w:type="spellStart"/>
      <w:r w:rsidRPr="00F54A43">
        <w:rPr>
          <w:rFonts w:ascii="Arial" w:hAnsi="Arial" w:cs="Arial"/>
          <w:lang w:val="es-CO"/>
        </w:rPr>
        <w:t>CGP</w:t>
      </w:r>
      <w:proofErr w:type="spellEnd"/>
      <w:r w:rsidRPr="00F54A43">
        <w:rPr>
          <w:rFonts w:ascii="Arial" w:hAnsi="Arial" w:cs="Arial"/>
          <w:lang w:val="es-CO"/>
        </w:rPr>
        <w:t>, requirió al actor para que efectuara la publicación del aviso a la comunidad</w:t>
      </w:r>
      <w:r w:rsidR="00CE7149">
        <w:rPr>
          <w:rFonts w:ascii="Arial" w:hAnsi="Arial" w:cs="Arial"/>
          <w:lang w:val="es-CO"/>
        </w:rPr>
        <w:t xml:space="preserve"> </w:t>
      </w:r>
      <w:r w:rsidR="00CE7149" w:rsidRPr="00F54A43">
        <w:rPr>
          <w:rFonts w:ascii="Arial" w:hAnsi="Arial" w:cs="Arial"/>
          <w:lang w:val="es-CO"/>
        </w:rPr>
        <w:t xml:space="preserve">(Folio </w:t>
      </w:r>
      <w:r w:rsidR="00CE7149">
        <w:rPr>
          <w:rFonts w:ascii="Arial" w:hAnsi="Arial" w:cs="Arial"/>
          <w:lang w:val="es-CO"/>
        </w:rPr>
        <w:t>123</w:t>
      </w:r>
      <w:r w:rsidR="00CE7149" w:rsidRPr="00F54A43">
        <w:rPr>
          <w:rFonts w:ascii="Arial" w:hAnsi="Arial" w:cs="Arial"/>
          <w:lang w:val="es-CO"/>
        </w:rPr>
        <w:t xml:space="preserve">, </w:t>
      </w:r>
      <w:r w:rsidR="00CE7149">
        <w:rPr>
          <w:rFonts w:ascii="Arial" w:hAnsi="Arial"/>
        </w:rPr>
        <w:t>disco compacto visible a folio 36</w:t>
      </w:r>
      <w:r w:rsidR="00CE7149" w:rsidRPr="00F54A43">
        <w:rPr>
          <w:rFonts w:ascii="Arial" w:hAnsi="Arial" w:cs="Arial"/>
          <w:lang w:val="es-CO"/>
        </w:rPr>
        <w:t>)</w:t>
      </w:r>
      <w:r>
        <w:rPr>
          <w:rFonts w:ascii="Arial" w:hAnsi="Arial" w:cs="Arial"/>
          <w:lang w:val="es-CO"/>
        </w:rPr>
        <w:t>;</w:t>
      </w:r>
      <w:r w:rsidRPr="00F54A43">
        <w:rPr>
          <w:rFonts w:ascii="Arial" w:hAnsi="Arial" w:cs="Arial"/>
          <w:lang w:val="es-CO"/>
        </w:rPr>
        <w:t xml:space="preserve"> seguidamente y como quiera que dejó vencer el plazo sin atender la orden, mediante providencia del </w:t>
      </w:r>
      <w:r w:rsidR="00CE7149">
        <w:rPr>
          <w:rFonts w:ascii="Arial" w:hAnsi="Arial" w:cs="Arial"/>
          <w:lang w:val="es-CO"/>
        </w:rPr>
        <w:t>2</w:t>
      </w:r>
      <w:r>
        <w:rPr>
          <w:rFonts w:ascii="Arial" w:hAnsi="Arial" w:cs="Arial"/>
          <w:lang w:val="es-CO"/>
        </w:rPr>
        <w:t>6-09-2016</w:t>
      </w:r>
      <w:r w:rsidRPr="00F54A43">
        <w:rPr>
          <w:rFonts w:ascii="Arial" w:hAnsi="Arial" w:cs="Arial"/>
          <w:lang w:val="es-CO"/>
        </w:rPr>
        <w:t xml:space="preserve">, declaró terminado </w:t>
      </w:r>
      <w:r>
        <w:rPr>
          <w:rFonts w:ascii="Arial" w:hAnsi="Arial" w:cs="Arial"/>
          <w:lang w:val="es-CO"/>
        </w:rPr>
        <w:t xml:space="preserve">el </w:t>
      </w:r>
      <w:r w:rsidRPr="00F54A43">
        <w:rPr>
          <w:rFonts w:ascii="Arial" w:hAnsi="Arial" w:cs="Arial"/>
          <w:lang w:val="es-CO"/>
        </w:rPr>
        <w:t>amparo por desistimiento tácito (Folio</w:t>
      </w:r>
      <w:r>
        <w:rPr>
          <w:rFonts w:ascii="Arial" w:hAnsi="Arial" w:cs="Arial"/>
          <w:lang w:val="es-CO"/>
        </w:rPr>
        <w:t>s</w:t>
      </w:r>
      <w:r w:rsidRPr="00F54A43">
        <w:rPr>
          <w:rFonts w:ascii="Arial" w:hAnsi="Arial" w:cs="Arial"/>
          <w:lang w:val="es-CO"/>
        </w:rPr>
        <w:t xml:space="preserve"> </w:t>
      </w:r>
      <w:r w:rsidR="00CE7149">
        <w:rPr>
          <w:rFonts w:ascii="Arial" w:hAnsi="Arial" w:cs="Arial"/>
          <w:lang w:val="es-CO"/>
        </w:rPr>
        <w:t>130 a 131</w:t>
      </w:r>
      <w:r w:rsidRPr="00F54A43">
        <w:rPr>
          <w:rFonts w:ascii="Arial" w:hAnsi="Arial"/>
        </w:rPr>
        <w:t xml:space="preserve">, </w:t>
      </w:r>
      <w:r>
        <w:rPr>
          <w:rFonts w:ascii="Arial" w:hAnsi="Arial"/>
        </w:rPr>
        <w:t>disco compacto visible a folio 36</w:t>
      </w:r>
      <w:r w:rsidRPr="00F54A43">
        <w:rPr>
          <w:rFonts w:ascii="Arial" w:hAnsi="Arial" w:cs="Arial"/>
          <w:lang w:val="es-CO"/>
        </w:rPr>
        <w:t>);</w:t>
      </w:r>
      <w:r>
        <w:rPr>
          <w:rFonts w:ascii="Arial" w:hAnsi="Arial" w:cs="Arial"/>
          <w:lang w:val="es-CO"/>
        </w:rPr>
        <w:t xml:space="preserve"> se notificó en el estado del </w:t>
      </w:r>
      <w:r w:rsidR="00CE7149">
        <w:rPr>
          <w:rFonts w:ascii="Arial" w:hAnsi="Arial" w:cs="Arial"/>
          <w:lang w:val="es-CO"/>
        </w:rPr>
        <w:t xml:space="preserve">27-09-2016 </w:t>
      </w:r>
      <w:r>
        <w:rPr>
          <w:rFonts w:ascii="Arial" w:hAnsi="Arial" w:cs="Arial"/>
          <w:lang w:val="es-CO"/>
        </w:rPr>
        <w:t xml:space="preserve">y se ejecutorió el </w:t>
      </w:r>
      <w:r w:rsidR="00CE7149">
        <w:rPr>
          <w:rFonts w:ascii="Arial" w:hAnsi="Arial" w:cs="Arial"/>
          <w:lang w:val="es-CO"/>
        </w:rPr>
        <w:t>03</w:t>
      </w:r>
      <w:r>
        <w:rPr>
          <w:rFonts w:ascii="Arial" w:hAnsi="Arial" w:cs="Arial"/>
          <w:lang w:val="es-CO"/>
        </w:rPr>
        <w:t xml:space="preserve">-10-2016 (Folio </w:t>
      </w:r>
      <w:r w:rsidR="00CE7149">
        <w:rPr>
          <w:rFonts w:ascii="Arial" w:hAnsi="Arial" w:cs="Arial"/>
          <w:lang w:val="es-CO"/>
        </w:rPr>
        <w:t>131</w:t>
      </w:r>
      <w:r>
        <w:rPr>
          <w:rFonts w:ascii="Arial" w:hAnsi="Arial" w:cs="Arial"/>
          <w:lang w:val="es-CO"/>
        </w:rPr>
        <w:t>, ibídem).</w:t>
      </w:r>
    </w:p>
    <w:p w:rsidR="003353DD" w:rsidRPr="00A815D7" w:rsidRDefault="003353DD" w:rsidP="003353DD">
      <w:pPr>
        <w:spacing w:line="360" w:lineRule="auto"/>
        <w:jc w:val="both"/>
        <w:rPr>
          <w:rFonts w:ascii="Arial" w:hAnsi="Arial" w:cs="Arial"/>
          <w:sz w:val="20"/>
          <w:szCs w:val="20"/>
        </w:rPr>
      </w:pPr>
    </w:p>
    <w:p w:rsidR="003353DD" w:rsidRDefault="003353DD" w:rsidP="003353DD">
      <w:pPr>
        <w:spacing w:line="360" w:lineRule="auto"/>
        <w:jc w:val="both"/>
        <w:rPr>
          <w:rFonts w:ascii="Arial" w:hAnsi="Arial" w:cs="Arial"/>
        </w:rPr>
      </w:pPr>
      <w:r w:rsidRPr="0004784E">
        <w:rPr>
          <w:rFonts w:ascii="Arial" w:hAnsi="Arial" w:cs="Arial"/>
        </w:rPr>
        <w:t xml:space="preserve">En ese orden de ideas, se tiene que el accionante pretermitió agotar el recurso de reposición (Artículo 36, Ley 472), frente a los proveídos que </w:t>
      </w:r>
      <w:r w:rsidR="00CE7149">
        <w:rPr>
          <w:rFonts w:ascii="Arial" w:hAnsi="Arial" w:cs="Arial"/>
        </w:rPr>
        <w:t>declaró el desistimiento tácito de la acción popular</w:t>
      </w:r>
      <w:r w:rsidRPr="0004784E">
        <w:rPr>
          <w:rFonts w:ascii="Arial" w:hAnsi="Arial" w:cs="Arial"/>
        </w:rPr>
        <w:t>, cuando ese era el mecanismo ordinario y expedito que tenía para procurar que el estrado judicial accionado reconsiderara aquella determinación</w:t>
      </w:r>
      <w:r>
        <w:rPr>
          <w:rFonts w:ascii="Arial" w:hAnsi="Arial" w:cs="Arial"/>
        </w:rPr>
        <w:t xml:space="preserve">. </w:t>
      </w:r>
    </w:p>
    <w:p w:rsidR="003353DD" w:rsidRPr="00A815D7" w:rsidRDefault="003353DD" w:rsidP="003353DD">
      <w:pPr>
        <w:spacing w:line="360" w:lineRule="auto"/>
        <w:jc w:val="both"/>
        <w:rPr>
          <w:rFonts w:ascii="Arial" w:hAnsi="Arial" w:cs="Arial"/>
          <w:sz w:val="20"/>
          <w:szCs w:val="20"/>
        </w:rPr>
      </w:pPr>
    </w:p>
    <w:p w:rsidR="003353DD" w:rsidRDefault="003353DD" w:rsidP="003353DD">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CE7149">
        <w:rPr>
          <w:rFonts w:ascii="Arial" w:hAnsi="Arial"/>
        </w:rPr>
        <w:t>CC</w:t>
      </w:r>
      <w:r>
        <w:rPr>
          <w:rFonts w:ascii="Arial" w:hAnsi="Arial"/>
        </w:rPr>
        <w:t>,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26"/>
      </w:r>
      <w:r w:rsidRPr="00FF4929">
        <w:rPr>
          <w:rFonts w:ascii="Arial" w:hAnsi="Arial" w:cs="Arial"/>
          <w:sz w:val="22"/>
          <w:szCs w:val="22"/>
        </w:rPr>
        <w:t>.</w:t>
      </w:r>
    </w:p>
    <w:p w:rsidR="003353DD" w:rsidRPr="00D54497" w:rsidRDefault="003353DD" w:rsidP="003353DD">
      <w:pPr>
        <w:spacing w:line="360" w:lineRule="auto"/>
        <w:jc w:val="both"/>
        <w:rPr>
          <w:rFonts w:ascii="Arial" w:hAnsi="Arial" w:cs="Arial"/>
          <w:bCs/>
          <w:sz w:val="20"/>
          <w:lang w:val="es-CO"/>
        </w:rPr>
      </w:pPr>
    </w:p>
    <w:p w:rsidR="003353DD" w:rsidRDefault="003353DD" w:rsidP="003353DD">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3353DD" w:rsidRPr="00D54497" w:rsidRDefault="003353DD" w:rsidP="003353DD">
      <w:pPr>
        <w:spacing w:line="360" w:lineRule="auto"/>
        <w:ind w:right="51"/>
        <w:jc w:val="both"/>
        <w:rPr>
          <w:rFonts w:ascii="Arial" w:hAnsi="Arial"/>
          <w:sz w:val="20"/>
        </w:rPr>
      </w:pPr>
    </w:p>
    <w:p w:rsidR="003353DD" w:rsidRDefault="003353DD" w:rsidP="003353DD">
      <w:pPr>
        <w:spacing w:line="360" w:lineRule="auto"/>
        <w:ind w:right="51"/>
        <w:jc w:val="both"/>
        <w:rPr>
          <w:rFonts w:ascii="Arial" w:hAnsi="Arial"/>
        </w:rPr>
      </w:pPr>
      <w:r w:rsidRPr="0004784E">
        <w:rPr>
          <w:rFonts w:ascii="Arial" w:hAnsi="Arial" w:cs="Arial"/>
          <w:lang w:val="es-ES_tradnl"/>
        </w:rPr>
        <w:t xml:space="preserve">En ese contexto, </w:t>
      </w:r>
      <w:r w:rsidR="00CE7149">
        <w:rPr>
          <w:rFonts w:ascii="Arial" w:hAnsi="Arial" w:cs="Arial"/>
          <w:lang w:val="es-ES_tradnl"/>
        </w:rPr>
        <w:t xml:space="preserve">el presente amparo es improcedente en lo que respecta a la acción popular </w:t>
      </w:r>
      <w:proofErr w:type="spellStart"/>
      <w:r w:rsidR="00CE7149">
        <w:rPr>
          <w:rFonts w:ascii="Arial" w:hAnsi="Arial" w:cs="Arial"/>
          <w:lang w:val="es-ES_tradnl"/>
        </w:rPr>
        <w:t>No.2015</w:t>
      </w:r>
      <w:proofErr w:type="spellEnd"/>
      <w:r w:rsidR="00CE7149">
        <w:rPr>
          <w:rFonts w:ascii="Arial" w:hAnsi="Arial" w:cs="Arial"/>
          <w:lang w:val="es-ES_tradnl"/>
        </w:rPr>
        <w:t xml:space="preserve">-00338-00 </w:t>
      </w:r>
      <w:r w:rsidRPr="0004784E">
        <w:rPr>
          <w:rFonts w:ascii="Arial" w:hAnsi="Arial" w:cs="Arial"/>
          <w:lang w:val="es-ES_tradnl"/>
        </w:rPr>
        <w:t>toda vez que se incumple con uno de los siete (7) requisitos generales de procedibilidad, como lo es el de la subsidiariedad, pues no se formuló el recurso ordinario</w:t>
      </w:r>
      <w:r>
        <w:rPr>
          <w:rFonts w:ascii="Arial" w:hAnsi="Arial"/>
        </w:rPr>
        <w:t>.</w:t>
      </w:r>
    </w:p>
    <w:p w:rsidR="003353DD" w:rsidRDefault="003353DD" w:rsidP="00F54A43">
      <w:pPr>
        <w:pStyle w:val="Corpsdetexte"/>
        <w:spacing w:line="360" w:lineRule="auto"/>
        <w:rPr>
          <w:rFonts w:ascii="Arial" w:hAnsi="Arial"/>
          <w:szCs w:val="24"/>
        </w:rPr>
      </w:pPr>
    </w:p>
    <w:p w:rsidR="00CE7149" w:rsidRDefault="00CE7149" w:rsidP="00CE7149">
      <w:pPr>
        <w:pStyle w:val="Corpsdetexte"/>
        <w:numPr>
          <w:ilvl w:val="1"/>
          <w:numId w:val="18"/>
        </w:numPr>
        <w:spacing w:line="360" w:lineRule="auto"/>
        <w:rPr>
          <w:rFonts w:ascii="Arial" w:hAnsi="Arial"/>
          <w:szCs w:val="24"/>
        </w:rPr>
      </w:pPr>
      <w:r>
        <w:rPr>
          <w:rFonts w:ascii="Arial" w:hAnsi="Arial"/>
          <w:szCs w:val="24"/>
        </w:rPr>
        <w:t>El defecto sustantivo</w:t>
      </w:r>
    </w:p>
    <w:p w:rsidR="00CE7149" w:rsidRDefault="00CE7149" w:rsidP="00A815D7">
      <w:pPr>
        <w:pStyle w:val="Corpsdetexte"/>
        <w:spacing w:line="240" w:lineRule="auto"/>
        <w:ind w:left="720"/>
        <w:rPr>
          <w:rFonts w:ascii="Arial" w:hAnsi="Arial"/>
          <w:szCs w:val="24"/>
        </w:rPr>
      </w:pPr>
    </w:p>
    <w:p w:rsidR="00993BE7" w:rsidRPr="00A815D7" w:rsidRDefault="00CE7149" w:rsidP="00F54A43">
      <w:pPr>
        <w:pStyle w:val="Corpsdetexte"/>
        <w:spacing w:line="360" w:lineRule="auto"/>
        <w:rPr>
          <w:rFonts w:ascii="Arial" w:hAnsi="Arial"/>
          <w:szCs w:val="24"/>
        </w:rPr>
      </w:pPr>
      <w:r>
        <w:rPr>
          <w:rFonts w:ascii="Arial" w:hAnsi="Arial"/>
          <w:szCs w:val="24"/>
        </w:rPr>
        <w:t xml:space="preserve">No obstante lo anterior, considera la Sala que, en lo que se refiere a la acción popular </w:t>
      </w:r>
      <w:proofErr w:type="spellStart"/>
      <w:r>
        <w:rPr>
          <w:rFonts w:ascii="Arial" w:hAnsi="Arial"/>
          <w:szCs w:val="24"/>
        </w:rPr>
        <w:t>No.2015</w:t>
      </w:r>
      <w:proofErr w:type="spellEnd"/>
      <w:r>
        <w:rPr>
          <w:rFonts w:ascii="Arial" w:hAnsi="Arial"/>
          <w:szCs w:val="24"/>
        </w:rPr>
        <w:t xml:space="preserve">-00446-00, </w:t>
      </w:r>
      <w:r w:rsidRPr="00F54A43">
        <w:rPr>
          <w:rFonts w:ascii="Arial" w:hAnsi="Arial"/>
          <w:szCs w:val="24"/>
        </w:rPr>
        <w:t>los presupuestos generales de procedibilidad</w:t>
      </w:r>
      <w:r>
        <w:rPr>
          <w:rFonts w:ascii="Arial" w:hAnsi="Arial"/>
          <w:szCs w:val="24"/>
        </w:rPr>
        <w:t xml:space="preserve"> sí </w:t>
      </w:r>
      <w:r w:rsidR="00993BE7" w:rsidRPr="00F54A43">
        <w:rPr>
          <w:rFonts w:ascii="Arial" w:hAnsi="Arial"/>
          <w:szCs w:val="24"/>
        </w:rPr>
        <w:t xml:space="preserve">se hallan </w:t>
      </w:r>
      <w:r w:rsidR="00993BE7" w:rsidRPr="00F54A43">
        <w:rPr>
          <w:rFonts w:ascii="Arial" w:hAnsi="Arial"/>
          <w:szCs w:val="24"/>
        </w:rPr>
        <w:lastRenderedPageBreak/>
        <w:t>debidamente cumplidos. El asunto es de relevancia constitucional; se agotaron</w:t>
      </w:r>
      <w:r w:rsidR="00993BE7" w:rsidRPr="00F54A43">
        <w:rPr>
          <w:rFonts w:ascii="Arial" w:hAnsi="Arial"/>
          <w:szCs w:val="24"/>
          <w:lang w:val="es-CO"/>
        </w:rPr>
        <w:t xml:space="preserve"> los medios ordinarios </w:t>
      </w:r>
      <w:r w:rsidR="00993BE7" w:rsidRPr="00F54A43">
        <w:rPr>
          <w:rFonts w:ascii="Arial" w:hAnsi="Arial"/>
          <w:szCs w:val="24"/>
        </w:rPr>
        <w:t xml:space="preserve">ante la </w:t>
      </w:r>
      <w:r w:rsidR="00993BE7" w:rsidRPr="00F54A43">
        <w:rPr>
          <w:rFonts w:ascii="Arial" w:hAnsi="Arial"/>
          <w:i/>
          <w:szCs w:val="24"/>
        </w:rPr>
        <w:t>a quo</w:t>
      </w:r>
      <w:r w:rsidR="00993BE7" w:rsidRPr="00F54A43">
        <w:rPr>
          <w:rFonts w:ascii="Arial" w:hAnsi="Arial"/>
          <w:szCs w:val="24"/>
        </w:rPr>
        <w:t xml:space="preserve"> (Artículo </w:t>
      </w:r>
      <w:r w:rsidR="00993BE7" w:rsidRPr="00F54A43">
        <w:rPr>
          <w:rFonts w:ascii="Arial" w:hAnsi="Arial"/>
          <w:szCs w:val="24"/>
          <w:lang w:val="es-ES"/>
        </w:rPr>
        <w:t xml:space="preserve">36, Ley 472) </w:t>
      </w:r>
      <w:r w:rsidR="00993BE7" w:rsidRPr="00F54A43">
        <w:rPr>
          <w:rFonts w:ascii="Arial" w:hAnsi="Arial"/>
          <w:szCs w:val="24"/>
        </w:rPr>
        <w:t xml:space="preserve">(Subsidiariedad); </w:t>
      </w:r>
      <w:r w:rsidR="00855788">
        <w:rPr>
          <w:rFonts w:ascii="Arial" w:hAnsi="Arial"/>
          <w:szCs w:val="24"/>
        </w:rPr>
        <w:t>la actuación</w:t>
      </w:r>
      <w:r w:rsidR="00993BE7" w:rsidRPr="00F54A43">
        <w:rPr>
          <w:rFonts w:ascii="Arial" w:hAnsi="Arial"/>
          <w:szCs w:val="24"/>
        </w:rPr>
        <w:t xml:space="preserve"> reprochada no </w:t>
      </w:r>
      <w:r w:rsidR="00855788">
        <w:rPr>
          <w:rFonts w:ascii="Arial" w:hAnsi="Arial"/>
          <w:szCs w:val="24"/>
        </w:rPr>
        <w:t xml:space="preserve">es </w:t>
      </w:r>
      <w:r w:rsidR="00993BE7" w:rsidRPr="00F54A43">
        <w:rPr>
          <w:rFonts w:ascii="Arial" w:hAnsi="Arial"/>
          <w:szCs w:val="24"/>
        </w:rPr>
        <w:t>de tutela; ha</w:t>
      </w:r>
      <w:r w:rsidR="00993BE7" w:rsidRPr="00A815D7">
        <w:rPr>
          <w:rFonts w:ascii="Arial" w:hAnsi="Arial"/>
          <w:szCs w:val="24"/>
        </w:rPr>
        <w:t xml:space="preserve">y inmediatez porque la </w:t>
      </w:r>
      <w:r w:rsidR="008E06EC" w:rsidRPr="00A815D7">
        <w:rPr>
          <w:rFonts w:ascii="Arial" w:hAnsi="Arial"/>
          <w:szCs w:val="24"/>
        </w:rPr>
        <w:t>decisión</w:t>
      </w:r>
      <w:r w:rsidR="00855788" w:rsidRPr="00A815D7">
        <w:rPr>
          <w:rFonts w:ascii="Arial" w:hAnsi="Arial"/>
          <w:szCs w:val="24"/>
        </w:rPr>
        <w:t xml:space="preserve"> </w:t>
      </w:r>
      <w:r w:rsidR="00993BE7" w:rsidRPr="00A815D7">
        <w:rPr>
          <w:rFonts w:ascii="Arial" w:hAnsi="Arial"/>
          <w:szCs w:val="24"/>
        </w:rPr>
        <w:t xml:space="preserve">que </w:t>
      </w:r>
      <w:r w:rsidR="00BB6450" w:rsidRPr="00A815D7">
        <w:rPr>
          <w:rFonts w:ascii="Arial" w:hAnsi="Arial"/>
          <w:szCs w:val="24"/>
        </w:rPr>
        <w:t>resolvi</w:t>
      </w:r>
      <w:r w:rsidR="008E06EC" w:rsidRPr="00A815D7">
        <w:rPr>
          <w:rFonts w:ascii="Arial" w:hAnsi="Arial"/>
          <w:szCs w:val="24"/>
        </w:rPr>
        <w:t xml:space="preserve">ó </w:t>
      </w:r>
      <w:r w:rsidR="005A6EF5" w:rsidRPr="00A815D7">
        <w:rPr>
          <w:rFonts w:ascii="Arial" w:hAnsi="Arial"/>
          <w:szCs w:val="24"/>
        </w:rPr>
        <w:t xml:space="preserve">la </w:t>
      </w:r>
      <w:r w:rsidR="008E06EC" w:rsidRPr="00A815D7">
        <w:rPr>
          <w:rFonts w:ascii="Arial" w:hAnsi="Arial"/>
          <w:szCs w:val="24"/>
        </w:rPr>
        <w:t>reposición</w:t>
      </w:r>
      <w:r w:rsidR="00855788" w:rsidRPr="00A815D7">
        <w:rPr>
          <w:rFonts w:ascii="Arial" w:hAnsi="Arial"/>
          <w:szCs w:val="24"/>
        </w:rPr>
        <w:t xml:space="preserve"> presentada</w:t>
      </w:r>
      <w:r w:rsidR="00CD3E18" w:rsidRPr="00A815D7">
        <w:rPr>
          <w:rFonts w:ascii="Arial" w:hAnsi="Arial"/>
          <w:szCs w:val="24"/>
        </w:rPr>
        <w:t xml:space="preserve"> </w:t>
      </w:r>
      <w:r w:rsidR="005A6EF5" w:rsidRPr="00A815D7">
        <w:rPr>
          <w:rFonts w:ascii="Arial" w:hAnsi="Arial"/>
          <w:szCs w:val="24"/>
        </w:rPr>
        <w:t>data</w:t>
      </w:r>
      <w:r w:rsidR="00993BE7" w:rsidRPr="00A815D7">
        <w:rPr>
          <w:rFonts w:ascii="Arial" w:hAnsi="Arial"/>
          <w:szCs w:val="24"/>
        </w:rPr>
        <w:t xml:space="preserve"> del </w:t>
      </w:r>
      <w:r w:rsidR="000C5285" w:rsidRPr="00A815D7">
        <w:rPr>
          <w:rFonts w:ascii="Arial" w:hAnsi="Arial"/>
          <w:szCs w:val="24"/>
        </w:rPr>
        <w:t>27</w:t>
      </w:r>
      <w:r w:rsidR="00A761B3" w:rsidRPr="00A815D7">
        <w:rPr>
          <w:rFonts w:ascii="Arial" w:hAnsi="Arial"/>
          <w:szCs w:val="24"/>
        </w:rPr>
        <w:t>-</w:t>
      </w:r>
      <w:r w:rsidR="000C5285" w:rsidRPr="00A815D7">
        <w:rPr>
          <w:rFonts w:ascii="Arial" w:hAnsi="Arial"/>
          <w:szCs w:val="24"/>
        </w:rPr>
        <w:t>09</w:t>
      </w:r>
      <w:r w:rsidR="00A761B3" w:rsidRPr="00A815D7">
        <w:rPr>
          <w:rFonts w:ascii="Arial" w:hAnsi="Arial"/>
          <w:szCs w:val="24"/>
        </w:rPr>
        <w:t>-2016</w:t>
      </w:r>
      <w:r w:rsidR="001741B3" w:rsidRPr="00A815D7">
        <w:rPr>
          <w:rFonts w:ascii="Arial" w:hAnsi="Arial"/>
          <w:szCs w:val="24"/>
        </w:rPr>
        <w:t xml:space="preserve"> </w:t>
      </w:r>
      <w:r w:rsidR="00993BE7" w:rsidRPr="00A815D7">
        <w:rPr>
          <w:rFonts w:ascii="Arial" w:hAnsi="Arial"/>
          <w:szCs w:val="24"/>
        </w:rPr>
        <w:t>(Folio</w:t>
      </w:r>
      <w:r w:rsidR="00CD3E18" w:rsidRPr="00A815D7">
        <w:rPr>
          <w:rFonts w:ascii="Arial" w:hAnsi="Arial"/>
          <w:szCs w:val="24"/>
        </w:rPr>
        <w:t>s</w:t>
      </w:r>
      <w:r w:rsidR="00993BE7" w:rsidRPr="00A815D7">
        <w:rPr>
          <w:rFonts w:ascii="Arial" w:hAnsi="Arial"/>
          <w:szCs w:val="24"/>
        </w:rPr>
        <w:t xml:space="preserve"> </w:t>
      </w:r>
      <w:r w:rsidR="000C5285" w:rsidRPr="00A815D7">
        <w:rPr>
          <w:rFonts w:ascii="Arial" w:hAnsi="Arial"/>
          <w:szCs w:val="24"/>
        </w:rPr>
        <w:t>94 y 94</w:t>
      </w:r>
      <w:r w:rsidR="00993BE7" w:rsidRPr="00A815D7">
        <w:rPr>
          <w:rFonts w:ascii="Arial" w:hAnsi="Arial"/>
          <w:szCs w:val="24"/>
        </w:rPr>
        <w:t xml:space="preserve">, </w:t>
      </w:r>
      <w:r w:rsidR="000C5285" w:rsidRPr="00A815D7">
        <w:rPr>
          <w:rFonts w:ascii="Arial" w:hAnsi="Arial"/>
          <w:szCs w:val="24"/>
        </w:rPr>
        <w:t>disco compacto visible a folio 36</w:t>
      </w:r>
      <w:r w:rsidR="00993BE7" w:rsidRPr="00A815D7">
        <w:rPr>
          <w:rFonts w:ascii="Arial" w:hAnsi="Arial"/>
          <w:szCs w:val="24"/>
        </w:rPr>
        <w:t>)</w:t>
      </w:r>
      <w:r w:rsidR="00A70843" w:rsidRPr="00A815D7">
        <w:rPr>
          <w:rFonts w:ascii="Arial" w:hAnsi="Arial"/>
          <w:szCs w:val="24"/>
        </w:rPr>
        <w:t>;</w:t>
      </w:r>
      <w:r w:rsidR="00993BE7" w:rsidRPr="00A815D7">
        <w:rPr>
          <w:rFonts w:ascii="Arial" w:hAnsi="Arial"/>
          <w:szCs w:val="24"/>
        </w:rPr>
        <w:t xml:space="preserve"> </w:t>
      </w:r>
      <w:r w:rsidR="001741B3" w:rsidRPr="00A815D7">
        <w:rPr>
          <w:rFonts w:ascii="Arial" w:hAnsi="Arial"/>
          <w:szCs w:val="24"/>
        </w:rPr>
        <w:t xml:space="preserve">la </w:t>
      </w:r>
      <w:r w:rsidR="008E06EC" w:rsidRPr="00A815D7">
        <w:rPr>
          <w:rFonts w:ascii="Arial" w:hAnsi="Arial"/>
          <w:szCs w:val="24"/>
        </w:rPr>
        <w:t>acción</w:t>
      </w:r>
      <w:r w:rsidR="001741B3" w:rsidRPr="00A815D7">
        <w:rPr>
          <w:rFonts w:ascii="Arial" w:hAnsi="Arial"/>
          <w:szCs w:val="24"/>
        </w:rPr>
        <w:t xml:space="preserve"> </w:t>
      </w:r>
      <w:r w:rsidR="005A6EF5" w:rsidRPr="00A815D7">
        <w:rPr>
          <w:rFonts w:ascii="Arial" w:hAnsi="Arial"/>
          <w:szCs w:val="24"/>
        </w:rPr>
        <w:t xml:space="preserve">fue </w:t>
      </w:r>
      <w:r w:rsidR="00993BE7" w:rsidRPr="00A815D7">
        <w:rPr>
          <w:rFonts w:ascii="Arial" w:hAnsi="Arial"/>
          <w:szCs w:val="24"/>
        </w:rPr>
        <w:t xml:space="preserve">instaurada el </w:t>
      </w:r>
      <w:r w:rsidR="000C5285" w:rsidRPr="00A815D7">
        <w:rPr>
          <w:rFonts w:ascii="Arial" w:hAnsi="Arial"/>
          <w:szCs w:val="24"/>
        </w:rPr>
        <w:t>13-12</w:t>
      </w:r>
      <w:r w:rsidR="00CD3E18" w:rsidRPr="00A815D7">
        <w:rPr>
          <w:rFonts w:ascii="Arial" w:hAnsi="Arial"/>
          <w:szCs w:val="24"/>
        </w:rPr>
        <w:t>-</w:t>
      </w:r>
      <w:r w:rsidR="005A6EF5" w:rsidRPr="00A815D7">
        <w:rPr>
          <w:rFonts w:ascii="Arial" w:hAnsi="Arial"/>
          <w:szCs w:val="24"/>
        </w:rPr>
        <w:t xml:space="preserve">2016 </w:t>
      </w:r>
      <w:r w:rsidR="00855788" w:rsidRPr="00A815D7">
        <w:rPr>
          <w:rFonts w:ascii="Arial" w:hAnsi="Arial"/>
          <w:szCs w:val="24"/>
        </w:rPr>
        <w:t>(Folio</w:t>
      </w:r>
      <w:r w:rsidR="00CD3E18" w:rsidRPr="00A815D7">
        <w:rPr>
          <w:rFonts w:ascii="Arial" w:hAnsi="Arial"/>
          <w:szCs w:val="24"/>
        </w:rPr>
        <w:t xml:space="preserve"> </w:t>
      </w:r>
      <w:r w:rsidR="000C5285" w:rsidRPr="00A815D7">
        <w:rPr>
          <w:rFonts w:ascii="Arial" w:hAnsi="Arial"/>
          <w:szCs w:val="24"/>
        </w:rPr>
        <w:t>6</w:t>
      </w:r>
      <w:r w:rsidR="00993BE7" w:rsidRPr="00A815D7">
        <w:rPr>
          <w:rFonts w:ascii="Arial" w:hAnsi="Arial"/>
          <w:szCs w:val="24"/>
        </w:rPr>
        <w:t xml:space="preserve">, ib.); </w:t>
      </w:r>
      <w:r w:rsidR="00BA67C3" w:rsidRPr="00A815D7">
        <w:rPr>
          <w:rFonts w:ascii="Arial" w:hAnsi="Arial"/>
          <w:szCs w:val="24"/>
        </w:rPr>
        <w:t xml:space="preserve">y, </w:t>
      </w:r>
      <w:r w:rsidR="00993BE7" w:rsidRPr="00A815D7">
        <w:rPr>
          <w:rFonts w:ascii="Arial" w:hAnsi="Arial"/>
          <w:szCs w:val="24"/>
        </w:rPr>
        <w:t xml:space="preserve">la irregularidad realzada por la parte, resulta ser trascendente para el desarrollo de la </w:t>
      </w:r>
      <w:proofErr w:type="spellStart"/>
      <w:r w:rsidR="00993BE7" w:rsidRPr="00A815D7">
        <w:rPr>
          <w:rFonts w:ascii="Arial" w:hAnsi="Arial"/>
          <w:szCs w:val="24"/>
        </w:rPr>
        <w:t>litis</w:t>
      </w:r>
      <w:proofErr w:type="spellEnd"/>
      <w:r w:rsidR="00993BE7" w:rsidRPr="00A815D7">
        <w:rPr>
          <w:rFonts w:ascii="Arial" w:hAnsi="Arial"/>
          <w:szCs w:val="24"/>
        </w:rPr>
        <w:t>.</w:t>
      </w:r>
    </w:p>
    <w:p w:rsidR="001E5C81" w:rsidRPr="00A815D7" w:rsidRDefault="001E5C81" w:rsidP="00F54A43">
      <w:pPr>
        <w:pStyle w:val="Corpsdetexte"/>
        <w:spacing w:line="360" w:lineRule="auto"/>
        <w:rPr>
          <w:rFonts w:ascii="Arial" w:hAnsi="Arial"/>
          <w:szCs w:val="24"/>
        </w:rPr>
      </w:pPr>
    </w:p>
    <w:p w:rsidR="00993BE7" w:rsidRPr="00A815D7" w:rsidRDefault="00993BE7" w:rsidP="00F54A43">
      <w:pPr>
        <w:widowControl/>
        <w:spacing w:line="360" w:lineRule="auto"/>
        <w:jc w:val="both"/>
        <w:rPr>
          <w:rFonts w:ascii="Arial" w:hAnsi="Arial" w:cs="Arial"/>
          <w:color w:val="000000"/>
        </w:rPr>
      </w:pPr>
      <w:r w:rsidRPr="00A815D7">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A815D7">
        <w:rPr>
          <w:rFonts w:ascii="Arial" w:hAnsi="Arial" w:cs="Arial"/>
          <w:color w:val="000000"/>
        </w:rPr>
        <w:t xml:space="preserve">que </w:t>
      </w:r>
      <w:r w:rsidR="005A6EF5" w:rsidRPr="00A815D7">
        <w:rPr>
          <w:rFonts w:ascii="Arial" w:hAnsi="Arial" w:cs="Arial"/>
          <w:color w:val="000000"/>
        </w:rPr>
        <w:t xml:space="preserve">la </w:t>
      </w:r>
      <w:r w:rsidR="00CD3E18" w:rsidRPr="00A815D7">
        <w:rPr>
          <w:rFonts w:ascii="Arial" w:hAnsi="Arial" w:cs="Arial"/>
          <w:color w:val="000000"/>
        </w:rPr>
        <w:t xml:space="preserve">jueza </w:t>
      </w:r>
      <w:r w:rsidR="005A6EF5" w:rsidRPr="00A815D7">
        <w:rPr>
          <w:rFonts w:ascii="Arial" w:hAnsi="Arial" w:cs="Arial"/>
          <w:color w:val="000000"/>
        </w:rPr>
        <w:t xml:space="preserve">accionada no debió aplicar el desistimiento tácito porque la Ley </w:t>
      </w:r>
      <w:r w:rsidR="00BA67C3" w:rsidRPr="00A815D7">
        <w:rPr>
          <w:rFonts w:ascii="Arial" w:hAnsi="Arial" w:cs="Arial"/>
          <w:color w:val="000000"/>
        </w:rPr>
        <w:t xml:space="preserve">especial </w:t>
      </w:r>
      <w:r w:rsidR="00F64B96" w:rsidRPr="00A815D7">
        <w:rPr>
          <w:rFonts w:ascii="Arial" w:hAnsi="Arial" w:cs="Arial"/>
          <w:color w:val="000000"/>
        </w:rPr>
        <w:t>carece de esta figura</w:t>
      </w:r>
      <w:r w:rsidR="005A6EF5" w:rsidRPr="00A815D7">
        <w:rPr>
          <w:rFonts w:ascii="Arial" w:hAnsi="Arial" w:cs="Arial"/>
          <w:color w:val="000000"/>
        </w:rPr>
        <w:t>, máxime cuando su impulso es oficioso</w:t>
      </w:r>
      <w:r w:rsidR="000C5285" w:rsidRPr="00A815D7">
        <w:rPr>
          <w:rFonts w:ascii="Arial" w:hAnsi="Arial" w:cs="Arial"/>
          <w:color w:val="000000"/>
        </w:rPr>
        <w:t>, además de que ya se había realizada la publicación del aviso a la comunidad</w:t>
      </w:r>
      <w:r w:rsidRPr="00A815D7">
        <w:rPr>
          <w:rFonts w:ascii="Arial" w:hAnsi="Arial" w:cs="Arial"/>
          <w:color w:val="000000"/>
        </w:rPr>
        <w:t>.</w:t>
      </w:r>
    </w:p>
    <w:p w:rsidR="00993BE7" w:rsidRPr="00A815D7" w:rsidRDefault="00993BE7" w:rsidP="00F54A43">
      <w:pPr>
        <w:widowControl/>
        <w:spacing w:line="360" w:lineRule="auto"/>
        <w:jc w:val="both"/>
        <w:rPr>
          <w:rFonts w:ascii="Arial" w:hAnsi="Arial" w:cs="Arial"/>
        </w:rPr>
      </w:pPr>
    </w:p>
    <w:p w:rsidR="003F7ED1" w:rsidRPr="00A815D7" w:rsidRDefault="00BA67C3" w:rsidP="00F54A43">
      <w:pPr>
        <w:spacing w:line="360" w:lineRule="auto"/>
        <w:jc w:val="both"/>
        <w:rPr>
          <w:rFonts w:ascii="Arial" w:hAnsi="Arial" w:cs="Arial"/>
        </w:rPr>
      </w:pPr>
      <w:r w:rsidRPr="00A815D7">
        <w:rPr>
          <w:rFonts w:ascii="Arial" w:hAnsi="Arial" w:cs="Arial"/>
          <w:bCs/>
        </w:rPr>
        <w:t xml:space="preserve">El </w:t>
      </w:r>
      <w:r w:rsidR="00B216BF" w:rsidRPr="00A815D7">
        <w:rPr>
          <w:rFonts w:ascii="Arial" w:hAnsi="Arial" w:cs="Arial"/>
          <w:color w:val="000000"/>
        </w:rPr>
        <w:t>artículo 5º-3º de la Ley 472, prescribe como obligación del juez, impulsar oficiosamente el trámite de las acciones populares; por su parte el artículo 21, consagra</w:t>
      </w:r>
      <w:r w:rsidR="00494C58" w:rsidRPr="00A815D7">
        <w:rPr>
          <w:rFonts w:ascii="Arial" w:hAnsi="Arial" w:cs="Arial"/>
          <w:color w:val="000000"/>
        </w:rPr>
        <w:t>,</w:t>
      </w:r>
      <w:r w:rsidR="00B216BF" w:rsidRPr="00A815D7">
        <w:rPr>
          <w:rFonts w:ascii="Arial" w:hAnsi="Arial" w:cs="Arial"/>
          <w:color w:val="000000"/>
        </w:rPr>
        <w:t xml:space="preserve"> entre otras</w:t>
      </w:r>
      <w:r w:rsidR="00494C58" w:rsidRPr="00A815D7">
        <w:rPr>
          <w:rFonts w:ascii="Arial" w:hAnsi="Arial" w:cs="Arial"/>
          <w:color w:val="000000"/>
        </w:rPr>
        <w:t>,</w:t>
      </w:r>
      <w:r w:rsidR="00B216BF" w:rsidRPr="00A815D7">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A815D7">
        <w:rPr>
          <w:rFonts w:ascii="Arial" w:hAnsi="Arial" w:cs="Arial"/>
          <w:color w:val="000000"/>
        </w:rPr>
        <w:t>;</w:t>
      </w:r>
      <w:r w:rsidRPr="00A815D7">
        <w:rPr>
          <w:rFonts w:ascii="Arial" w:hAnsi="Arial" w:cs="Arial"/>
        </w:rPr>
        <w:t xml:space="preserve"> mientras </w:t>
      </w:r>
      <w:r w:rsidRPr="00A815D7">
        <w:rPr>
          <w:rFonts w:ascii="Arial" w:hAnsi="Arial" w:cs="Arial"/>
          <w:lang w:val="es-CO"/>
        </w:rPr>
        <w:t xml:space="preserve">que </w:t>
      </w:r>
      <w:r w:rsidR="00B216BF" w:rsidRPr="00A815D7">
        <w:rPr>
          <w:rFonts w:ascii="Arial" w:hAnsi="Arial" w:cs="Arial"/>
          <w:lang w:val="es-CO"/>
        </w:rPr>
        <w:t xml:space="preserve">el artículo 44 ídem </w:t>
      </w:r>
      <w:r w:rsidRPr="00A815D7">
        <w:rPr>
          <w:rFonts w:ascii="Arial" w:hAnsi="Arial" w:cs="Arial"/>
          <w:lang w:val="es-CO"/>
        </w:rPr>
        <w:t xml:space="preserve">establece que en estos asuntos </w:t>
      </w:r>
      <w:r w:rsidR="00B216BF" w:rsidRPr="00A815D7">
        <w:rPr>
          <w:rFonts w:ascii="Arial" w:hAnsi="Arial" w:cs="Arial"/>
        </w:rPr>
        <w:t xml:space="preserve">se aplicarán las disposiciones del </w:t>
      </w:r>
      <w:proofErr w:type="spellStart"/>
      <w:r w:rsidR="00B216BF" w:rsidRPr="00A815D7">
        <w:rPr>
          <w:rFonts w:ascii="Arial" w:hAnsi="Arial" w:cs="Arial"/>
        </w:rPr>
        <w:t>CPC</w:t>
      </w:r>
      <w:proofErr w:type="spellEnd"/>
      <w:r w:rsidR="00B216BF" w:rsidRPr="00A815D7">
        <w:rPr>
          <w:rFonts w:ascii="Arial" w:hAnsi="Arial" w:cs="Arial"/>
        </w:rPr>
        <w:t xml:space="preserve"> </w:t>
      </w:r>
      <w:r w:rsidR="00B216BF" w:rsidRPr="00A815D7">
        <w:rPr>
          <w:rFonts w:ascii="Arial" w:hAnsi="Arial" w:cs="Arial"/>
          <w:lang w:val="es-CO"/>
        </w:rPr>
        <w:t xml:space="preserve">(Hoy </w:t>
      </w:r>
      <w:proofErr w:type="spellStart"/>
      <w:r w:rsidR="00B216BF" w:rsidRPr="00A815D7">
        <w:rPr>
          <w:rFonts w:ascii="Arial" w:hAnsi="Arial" w:cs="Arial"/>
          <w:lang w:val="es-CO"/>
        </w:rPr>
        <w:t>CGP</w:t>
      </w:r>
      <w:proofErr w:type="spellEnd"/>
      <w:r w:rsidR="00B216BF" w:rsidRPr="00A815D7">
        <w:rPr>
          <w:rFonts w:ascii="Arial" w:hAnsi="Arial" w:cs="Arial"/>
          <w:lang w:val="es-CO"/>
        </w:rPr>
        <w:t>)</w:t>
      </w:r>
      <w:r w:rsidR="00B216BF" w:rsidRPr="00A815D7">
        <w:rPr>
          <w:rFonts w:ascii="Arial" w:hAnsi="Arial" w:cs="Arial"/>
        </w:rPr>
        <w:t>, en los aspectos no regulados en la Ley</w:t>
      </w:r>
      <w:r w:rsidRPr="00A815D7">
        <w:rPr>
          <w:rFonts w:ascii="Arial" w:hAnsi="Arial" w:cs="Arial"/>
        </w:rPr>
        <w:t>.</w:t>
      </w:r>
    </w:p>
    <w:p w:rsidR="00B216BF" w:rsidRPr="00A815D7" w:rsidRDefault="00A815D7" w:rsidP="00A815D7">
      <w:pPr>
        <w:tabs>
          <w:tab w:val="left" w:pos="1758"/>
        </w:tabs>
        <w:spacing w:line="360" w:lineRule="auto"/>
        <w:jc w:val="both"/>
        <w:rPr>
          <w:rFonts w:ascii="Arial" w:hAnsi="Arial" w:cs="Arial"/>
        </w:rPr>
      </w:pPr>
      <w:r w:rsidRPr="00A815D7">
        <w:rPr>
          <w:rFonts w:ascii="Arial" w:hAnsi="Arial" w:cs="Arial"/>
        </w:rPr>
        <w:tab/>
      </w:r>
    </w:p>
    <w:p w:rsidR="00ED7146" w:rsidRPr="00A815D7" w:rsidRDefault="00ED7146" w:rsidP="00F54A43">
      <w:pPr>
        <w:spacing w:line="360" w:lineRule="auto"/>
        <w:jc w:val="both"/>
        <w:rPr>
          <w:rFonts w:ascii="Arial" w:hAnsi="Arial" w:cs="Arial"/>
          <w:lang w:val="es-CO"/>
        </w:rPr>
      </w:pPr>
      <w:r w:rsidRPr="00A815D7">
        <w:rPr>
          <w:rFonts w:ascii="Arial" w:hAnsi="Arial" w:cs="Arial"/>
          <w:lang w:val="es-CO"/>
        </w:rPr>
        <w:t xml:space="preserve">En la </w:t>
      </w:r>
      <w:r w:rsidR="0077415B" w:rsidRPr="00A815D7">
        <w:rPr>
          <w:rFonts w:ascii="Arial" w:hAnsi="Arial" w:cs="Arial"/>
          <w:lang w:val="es-CO"/>
        </w:rPr>
        <w:t>acción</w:t>
      </w:r>
      <w:r w:rsidR="00CD3E18" w:rsidRPr="00A815D7">
        <w:rPr>
          <w:rFonts w:ascii="Arial" w:hAnsi="Arial" w:cs="Arial"/>
          <w:lang w:val="es-CO"/>
        </w:rPr>
        <w:t xml:space="preserve"> </w:t>
      </w:r>
      <w:r w:rsidRPr="00A815D7">
        <w:rPr>
          <w:rFonts w:ascii="Arial" w:hAnsi="Arial" w:cs="Arial"/>
          <w:lang w:val="es-CO"/>
        </w:rPr>
        <w:t xml:space="preserve">popular la </w:t>
      </w:r>
      <w:r w:rsidRPr="00A815D7">
        <w:rPr>
          <w:rFonts w:ascii="Arial" w:hAnsi="Arial" w:cs="Arial"/>
          <w:i/>
          <w:lang w:val="es-CO"/>
        </w:rPr>
        <w:t xml:space="preserve">a quo </w:t>
      </w:r>
      <w:r w:rsidRPr="00A815D7">
        <w:rPr>
          <w:rFonts w:ascii="Arial" w:hAnsi="Arial" w:cs="Arial"/>
          <w:lang w:val="es-CO"/>
        </w:rPr>
        <w:t xml:space="preserve">accionada con proveído del </w:t>
      </w:r>
      <w:r w:rsidR="00670B7C" w:rsidRPr="00A815D7">
        <w:rPr>
          <w:rFonts w:ascii="Arial" w:hAnsi="Arial" w:cs="Arial"/>
          <w:lang w:val="es-CO"/>
        </w:rPr>
        <w:t>26</w:t>
      </w:r>
      <w:r w:rsidR="00A761B3" w:rsidRPr="00A815D7">
        <w:rPr>
          <w:rFonts w:ascii="Arial" w:hAnsi="Arial" w:cs="Arial"/>
          <w:lang w:val="es-CO"/>
        </w:rPr>
        <w:t>-08-2016</w:t>
      </w:r>
      <w:r w:rsidR="001741B3" w:rsidRPr="00A815D7">
        <w:rPr>
          <w:rFonts w:ascii="Arial" w:hAnsi="Arial" w:cs="Arial"/>
          <w:lang w:val="es-CO"/>
        </w:rPr>
        <w:t xml:space="preserve"> </w:t>
      </w:r>
      <w:r w:rsidRPr="00A815D7">
        <w:rPr>
          <w:rFonts w:ascii="Arial" w:hAnsi="Arial" w:cs="Arial"/>
          <w:lang w:val="es-CO"/>
        </w:rPr>
        <w:t xml:space="preserve">y con fundamento en el artículo 317 del </w:t>
      </w:r>
      <w:proofErr w:type="spellStart"/>
      <w:r w:rsidRPr="00A815D7">
        <w:rPr>
          <w:rFonts w:ascii="Arial" w:hAnsi="Arial" w:cs="Arial"/>
          <w:lang w:val="es-CO"/>
        </w:rPr>
        <w:t>CGP</w:t>
      </w:r>
      <w:proofErr w:type="spellEnd"/>
      <w:r w:rsidRPr="00A815D7">
        <w:rPr>
          <w:rFonts w:ascii="Arial" w:hAnsi="Arial" w:cs="Arial"/>
          <w:lang w:val="es-CO"/>
        </w:rPr>
        <w:t>, requirió al actor para que efectuara la publicación del aviso a la comunidad</w:t>
      </w:r>
      <w:r w:rsidR="00CE7149" w:rsidRPr="00A815D7">
        <w:rPr>
          <w:rFonts w:ascii="Arial" w:hAnsi="Arial" w:cs="Arial"/>
          <w:lang w:val="es-CO"/>
        </w:rPr>
        <w:t xml:space="preserve"> (Folio 84, </w:t>
      </w:r>
      <w:r w:rsidR="00CE7149" w:rsidRPr="00A815D7">
        <w:rPr>
          <w:rFonts w:ascii="Arial" w:hAnsi="Arial"/>
        </w:rPr>
        <w:t>, disco compacto visible a folio 36</w:t>
      </w:r>
      <w:r w:rsidR="00CE7149" w:rsidRPr="00A815D7">
        <w:rPr>
          <w:rFonts w:ascii="Arial" w:hAnsi="Arial" w:cs="Arial"/>
          <w:lang w:val="es-CO"/>
        </w:rPr>
        <w:t>)</w:t>
      </w:r>
      <w:r w:rsidR="00A761B3" w:rsidRPr="00A815D7">
        <w:rPr>
          <w:rFonts w:ascii="Arial" w:hAnsi="Arial" w:cs="Arial"/>
          <w:lang w:val="es-CO"/>
        </w:rPr>
        <w:t>;</w:t>
      </w:r>
      <w:r w:rsidRPr="00A815D7">
        <w:rPr>
          <w:rFonts w:ascii="Arial" w:hAnsi="Arial" w:cs="Arial"/>
          <w:lang w:val="es-CO"/>
        </w:rPr>
        <w:t xml:space="preserve"> seguidamente y como quiera que dejó vencer el plazo sin atender la orden</w:t>
      </w:r>
      <w:r w:rsidR="002E2B16" w:rsidRPr="00A815D7">
        <w:rPr>
          <w:rFonts w:ascii="Arial" w:hAnsi="Arial" w:cs="Arial"/>
          <w:lang w:val="es-CO"/>
        </w:rPr>
        <w:t>,</w:t>
      </w:r>
      <w:r w:rsidRPr="00A815D7">
        <w:rPr>
          <w:rFonts w:ascii="Arial" w:hAnsi="Arial" w:cs="Arial"/>
          <w:lang w:val="es-CO"/>
        </w:rPr>
        <w:t xml:space="preserve"> mediante providencia del </w:t>
      </w:r>
      <w:r w:rsidR="00670B7C" w:rsidRPr="00A815D7">
        <w:rPr>
          <w:rFonts w:ascii="Arial" w:hAnsi="Arial" w:cs="Arial"/>
          <w:lang w:val="es-CO"/>
        </w:rPr>
        <w:t>16-09</w:t>
      </w:r>
      <w:r w:rsidR="00A761B3" w:rsidRPr="00A815D7">
        <w:rPr>
          <w:rFonts w:ascii="Arial" w:hAnsi="Arial" w:cs="Arial"/>
          <w:lang w:val="es-CO"/>
        </w:rPr>
        <w:t>-2016</w:t>
      </w:r>
      <w:r w:rsidR="002E2B16" w:rsidRPr="00A815D7">
        <w:rPr>
          <w:rFonts w:ascii="Arial" w:hAnsi="Arial" w:cs="Arial"/>
          <w:lang w:val="es-CO"/>
        </w:rPr>
        <w:t>,</w:t>
      </w:r>
      <w:r w:rsidRPr="00A815D7">
        <w:rPr>
          <w:rFonts w:ascii="Arial" w:hAnsi="Arial" w:cs="Arial"/>
          <w:lang w:val="es-CO"/>
        </w:rPr>
        <w:t xml:space="preserve"> declaró terminado </w:t>
      </w:r>
      <w:r w:rsidR="0077415B" w:rsidRPr="00A815D7">
        <w:rPr>
          <w:rFonts w:ascii="Arial" w:hAnsi="Arial" w:cs="Arial"/>
          <w:lang w:val="es-CO"/>
        </w:rPr>
        <w:t>e</w:t>
      </w:r>
      <w:r w:rsidR="001741B3" w:rsidRPr="00A815D7">
        <w:rPr>
          <w:rFonts w:ascii="Arial" w:hAnsi="Arial" w:cs="Arial"/>
          <w:lang w:val="es-CO"/>
        </w:rPr>
        <w:t>l</w:t>
      </w:r>
      <w:r w:rsidR="0077415B" w:rsidRPr="00A815D7">
        <w:rPr>
          <w:rFonts w:ascii="Arial" w:hAnsi="Arial" w:cs="Arial"/>
          <w:lang w:val="es-CO"/>
        </w:rPr>
        <w:t xml:space="preserve"> </w:t>
      </w:r>
      <w:r w:rsidRPr="00A815D7">
        <w:rPr>
          <w:rFonts w:ascii="Arial" w:hAnsi="Arial" w:cs="Arial"/>
          <w:lang w:val="es-CO"/>
        </w:rPr>
        <w:t>amparo por desistimiento tácito (Folio</w:t>
      </w:r>
      <w:r w:rsidR="001741B3" w:rsidRPr="00A815D7">
        <w:rPr>
          <w:rFonts w:ascii="Arial" w:hAnsi="Arial" w:cs="Arial"/>
          <w:lang w:val="es-CO"/>
        </w:rPr>
        <w:t>s</w:t>
      </w:r>
      <w:r w:rsidRPr="00A815D7">
        <w:rPr>
          <w:rFonts w:ascii="Arial" w:hAnsi="Arial" w:cs="Arial"/>
          <w:lang w:val="es-CO"/>
        </w:rPr>
        <w:t xml:space="preserve"> </w:t>
      </w:r>
      <w:r w:rsidR="00670B7C" w:rsidRPr="00A815D7">
        <w:rPr>
          <w:rFonts w:ascii="Arial" w:hAnsi="Arial" w:cs="Arial"/>
          <w:lang w:val="es-CO"/>
        </w:rPr>
        <w:t>89 a 91</w:t>
      </w:r>
      <w:r w:rsidR="00670B7C" w:rsidRPr="00A815D7">
        <w:rPr>
          <w:rFonts w:ascii="Arial" w:hAnsi="Arial"/>
        </w:rPr>
        <w:t>, disco compacto visible a folio 36</w:t>
      </w:r>
      <w:r w:rsidRPr="00A815D7">
        <w:rPr>
          <w:rFonts w:ascii="Arial" w:hAnsi="Arial" w:cs="Arial"/>
          <w:lang w:val="es-CO"/>
        </w:rPr>
        <w:t>); finalmente, con aut</w:t>
      </w:r>
      <w:r w:rsidR="00855788" w:rsidRPr="00A815D7">
        <w:rPr>
          <w:rFonts w:ascii="Arial" w:hAnsi="Arial" w:cs="Arial"/>
          <w:lang w:val="es-CO"/>
        </w:rPr>
        <w:t>o</w:t>
      </w:r>
      <w:r w:rsidRPr="00A815D7">
        <w:rPr>
          <w:rFonts w:ascii="Arial" w:hAnsi="Arial" w:cs="Arial"/>
          <w:lang w:val="es-CO"/>
        </w:rPr>
        <w:t xml:space="preserve"> del </w:t>
      </w:r>
      <w:r w:rsidR="00A761B3" w:rsidRPr="00A815D7">
        <w:rPr>
          <w:rFonts w:ascii="Arial" w:hAnsi="Arial" w:cs="Arial"/>
          <w:lang w:val="es-CO"/>
        </w:rPr>
        <w:t>26-</w:t>
      </w:r>
      <w:r w:rsidR="00670B7C" w:rsidRPr="00A815D7">
        <w:rPr>
          <w:rFonts w:ascii="Arial" w:hAnsi="Arial" w:cs="Arial"/>
          <w:lang w:val="es-CO"/>
        </w:rPr>
        <w:t>09</w:t>
      </w:r>
      <w:r w:rsidR="00A761B3" w:rsidRPr="00A815D7">
        <w:rPr>
          <w:rFonts w:ascii="Arial" w:hAnsi="Arial" w:cs="Arial"/>
          <w:lang w:val="es-CO"/>
        </w:rPr>
        <w:t xml:space="preserve">-2016 </w:t>
      </w:r>
      <w:r w:rsidR="00670B7C" w:rsidRPr="00A815D7">
        <w:rPr>
          <w:rFonts w:ascii="Arial" w:hAnsi="Arial" w:cs="Arial"/>
          <w:lang w:val="es-CO"/>
        </w:rPr>
        <w:t xml:space="preserve">desatendió </w:t>
      </w:r>
      <w:r w:rsidR="00F325F0" w:rsidRPr="00A815D7">
        <w:rPr>
          <w:rFonts w:ascii="Arial" w:hAnsi="Arial" w:cs="Arial"/>
          <w:lang w:val="es-CO"/>
        </w:rPr>
        <w:t>la</w:t>
      </w:r>
      <w:r w:rsidR="001741B3" w:rsidRPr="00A815D7">
        <w:rPr>
          <w:rFonts w:ascii="Arial" w:hAnsi="Arial" w:cs="Arial"/>
          <w:lang w:val="es-CO"/>
        </w:rPr>
        <w:t xml:space="preserve"> </w:t>
      </w:r>
      <w:r w:rsidR="0077415B" w:rsidRPr="00A815D7">
        <w:rPr>
          <w:rFonts w:ascii="Arial" w:hAnsi="Arial" w:cs="Arial"/>
          <w:lang w:val="es-CO"/>
        </w:rPr>
        <w:t>reposición</w:t>
      </w:r>
      <w:r w:rsidR="00F325F0" w:rsidRPr="00A815D7">
        <w:rPr>
          <w:rFonts w:ascii="Arial" w:hAnsi="Arial" w:cs="Arial"/>
          <w:lang w:val="es-CO"/>
        </w:rPr>
        <w:t xml:space="preserve"> formulada </w:t>
      </w:r>
      <w:r w:rsidR="00670B7C" w:rsidRPr="00A815D7">
        <w:rPr>
          <w:rFonts w:ascii="Arial" w:hAnsi="Arial" w:cs="Arial"/>
          <w:lang w:val="es-CO"/>
        </w:rPr>
        <w:t xml:space="preserve">porque no se expusieron las razones que fundamentan su inconformidad y negó la alzada </w:t>
      </w:r>
      <w:r w:rsidRPr="00A815D7">
        <w:rPr>
          <w:rFonts w:ascii="Arial" w:hAnsi="Arial" w:cs="Arial"/>
          <w:lang w:val="es-CO"/>
        </w:rPr>
        <w:t>(</w:t>
      </w:r>
      <w:r w:rsidR="0077415B" w:rsidRPr="00A815D7">
        <w:rPr>
          <w:rFonts w:ascii="Arial" w:hAnsi="Arial"/>
        </w:rPr>
        <w:t xml:space="preserve">Folios </w:t>
      </w:r>
      <w:r w:rsidR="00670B7C" w:rsidRPr="00A815D7">
        <w:rPr>
          <w:rFonts w:ascii="Arial" w:hAnsi="Arial"/>
        </w:rPr>
        <w:t>94 y 95</w:t>
      </w:r>
      <w:r w:rsidR="00A761B3" w:rsidRPr="00A815D7">
        <w:rPr>
          <w:rFonts w:ascii="Arial" w:hAnsi="Arial" w:cs="Arial"/>
          <w:lang w:val="es-CO"/>
        </w:rPr>
        <w:t xml:space="preserve">, </w:t>
      </w:r>
      <w:r w:rsidR="00670B7C" w:rsidRPr="00A815D7">
        <w:rPr>
          <w:rFonts w:ascii="Arial" w:hAnsi="Arial" w:cs="Arial"/>
          <w:lang w:val="es-CO"/>
        </w:rPr>
        <w:t>ibídem</w:t>
      </w:r>
      <w:r w:rsidR="00A761B3" w:rsidRPr="00A815D7">
        <w:rPr>
          <w:rFonts w:ascii="Arial" w:hAnsi="Arial" w:cs="Arial"/>
          <w:lang w:val="es-CO"/>
        </w:rPr>
        <w:t xml:space="preserve">), se notificó en el estado del </w:t>
      </w:r>
      <w:r w:rsidR="00670B7C" w:rsidRPr="00A815D7">
        <w:rPr>
          <w:rFonts w:ascii="Arial" w:hAnsi="Arial" w:cs="Arial"/>
          <w:lang w:val="es-CO"/>
        </w:rPr>
        <w:t>28-09</w:t>
      </w:r>
      <w:r w:rsidR="00A761B3" w:rsidRPr="00A815D7">
        <w:rPr>
          <w:rFonts w:ascii="Arial" w:hAnsi="Arial" w:cs="Arial"/>
          <w:lang w:val="es-CO"/>
        </w:rPr>
        <w:t xml:space="preserve">-2016 y se ejecutorió el </w:t>
      </w:r>
      <w:r w:rsidR="00670B7C" w:rsidRPr="00A815D7">
        <w:rPr>
          <w:rFonts w:ascii="Arial" w:hAnsi="Arial" w:cs="Arial"/>
          <w:lang w:val="es-CO"/>
        </w:rPr>
        <w:t xml:space="preserve">04-10-2016 </w:t>
      </w:r>
      <w:r w:rsidR="00A761B3" w:rsidRPr="00A815D7">
        <w:rPr>
          <w:rFonts w:ascii="Arial" w:hAnsi="Arial" w:cs="Arial"/>
          <w:lang w:val="es-CO"/>
        </w:rPr>
        <w:t xml:space="preserve">(Folio </w:t>
      </w:r>
      <w:r w:rsidR="00670B7C" w:rsidRPr="00A815D7">
        <w:rPr>
          <w:rFonts w:ascii="Arial" w:hAnsi="Arial" w:cs="Arial"/>
          <w:lang w:val="es-CO"/>
        </w:rPr>
        <w:t>95, ibídem</w:t>
      </w:r>
      <w:r w:rsidR="00A761B3" w:rsidRPr="00A815D7">
        <w:rPr>
          <w:rFonts w:ascii="Arial" w:hAnsi="Arial" w:cs="Arial"/>
          <w:lang w:val="es-CO"/>
        </w:rPr>
        <w:t>).</w:t>
      </w:r>
    </w:p>
    <w:p w:rsidR="00A761B3" w:rsidRPr="00A815D7" w:rsidRDefault="00A761B3" w:rsidP="00F54A43">
      <w:pPr>
        <w:spacing w:line="360" w:lineRule="auto"/>
        <w:jc w:val="both"/>
        <w:rPr>
          <w:rFonts w:ascii="Arial" w:hAnsi="Arial" w:cs="Arial"/>
          <w:lang w:val="es-CO"/>
        </w:rPr>
      </w:pPr>
    </w:p>
    <w:p w:rsidR="00A761B3" w:rsidRPr="00A815D7" w:rsidRDefault="003F7ED1" w:rsidP="00F54A43">
      <w:pPr>
        <w:pStyle w:val="Retraitcorpsdetexte"/>
        <w:spacing w:after="0" w:line="360" w:lineRule="auto"/>
        <w:ind w:left="0"/>
        <w:jc w:val="both"/>
        <w:rPr>
          <w:rFonts w:ascii="Arial" w:hAnsi="Arial"/>
        </w:rPr>
      </w:pPr>
      <w:r w:rsidRPr="00A815D7">
        <w:rPr>
          <w:rFonts w:ascii="Arial" w:hAnsi="Arial" w:cs="Arial"/>
          <w:color w:val="000000"/>
        </w:rPr>
        <w:t xml:space="preserve">A partir de lo dicho, </w:t>
      </w:r>
      <w:r w:rsidR="00A70843" w:rsidRPr="00A815D7">
        <w:rPr>
          <w:rFonts w:ascii="Arial" w:hAnsi="Arial" w:cs="Arial"/>
          <w:lang w:val="es-CO"/>
        </w:rPr>
        <w:t>inexiste</w:t>
      </w:r>
      <w:r w:rsidR="00ED7146" w:rsidRPr="00A815D7">
        <w:rPr>
          <w:rFonts w:ascii="Arial" w:hAnsi="Arial" w:cs="Arial"/>
          <w:lang w:val="es-CO"/>
        </w:rPr>
        <w:t xml:space="preserve"> </w:t>
      </w:r>
      <w:r w:rsidR="00ED7146" w:rsidRPr="00A815D7">
        <w:rPr>
          <w:rFonts w:ascii="Arial" w:hAnsi="Arial"/>
        </w:rPr>
        <w:t>vulneración o amenaza a los derechos invocados, puesto que no se advierte arbitraria ni antojadiza la decisión controvertida</w:t>
      </w:r>
      <w:r w:rsidR="002E2B16" w:rsidRPr="00A815D7">
        <w:rPr>
          <w:rFonts w:ascii="Arial" w:hAnsi="Arial"/>
        </w:rPr>
        <w:t>.</w:t>
      </w:r>
      <w:r w:rsidR="00ED7146" w:rsidRPr="00A815D7">
        <w:rPr>
          <w:rFonts w:ascii="Arial" w:hAnsi="Arial"/>
        </w:rPr>
        <w:t xml:space="preserve"> </w:t>
      </w:r>
      <w:r w:rsidR="002E2B16" w:rsidRPr="00A815D7">
        <w:rPr>
          <w:rFonts w:ascii="Arial" w:hAnsi="Arial"/>
        </w:rPr>
        <w:t>C</w:t>
      </w:r>
      <w:r w:rsidR="00ED7146" w:rsidRPr="00A815D7">
        <w:rPr>
          <w:rFonts w:ascii="Arial" w:hAnsi="Arial"/>
        </w:rPr>
        <w:t xml:space="preserve">omparta o no la Sala la posición de la jueza accionada, </w:t>
      </w:r>
      <w:r w:rsidR="001E5C81" w:rsidRPr="00A815D7">
        <w:rPr>
          <w:rFonts w:ascii="Arial" w:hAnsi="Arial"/>
        </w:rPr>
        <w:t>es evidente</w:t>
      </w:r>
      <w:r w:rsidR="00ED7146" w:rsidRPr="00A815D7">
        <w:rPr>
          <w:rFonts w:ascii="Arial" w:hAnsi="Arial"/>
        </w:rPr>
        <w:t xml:space="preserve"> </w:t>
      </w:r>
      <w:r w:rsidR="002E2B16" w:rsidRPr="00A815D7">
        <w:rPr>
          <w:rFonts w:ascii="Arial" w:hAnsi="Arial"/>
        </w:rPr>
        <w:t xml:space="preserve">que </w:t>
      </w:r>
      <w:r w:rsidR="00A70843" w:rsidRPr="00A815D7">
        <w:rPr>
          <w:rFonts w:ascii="Arial" w:hAnsi="Arial"/>
        </w:rPr>
        <w:t xml:space="preserve">tiene </w:t>
      </w:r>
      <w:r w:rsidR="00ED7146" w:rsidRPr="00A815D7">
        <w:rPr>
          <w:rFonts w:ascii="Arial" w:hAnsi="Arial"/>
        </w:rPr>
        <w:t>un fundamento jurídico claro</w:t>
      </w:r>
      <w:r w:rsidR="00494C58" w:rsidRPr="00A815D7">
        <w:rPr>
          <w:rFonts w:ascii="Arial" w:hAnsi="Arial"/>
        </w:rPr>
        <w:t xml:space="preserve">, es decir, en </w:t>
      </w:r>
      <w:r w:rsidR="00ED7146" w:rsidRPr="00A815D7">
        <w:rPr>
          <w:rFonts w:ascii="Arial" w:hAnsi="Arial"/>
        </w:rPr>
        <w:t>normas vigentes aplicable</w:t>
      </w:r>
      <w:r w:rsidR="00190359" w:rsidRPr="00A815D7">
        <w:rPr>
          <w:rFonts w:ascii="Arial" w:hAnsi="Arial"/>
        </w:rPr>
        <w:t>s a las acciones populares (</w:t>
      </w:r>
      <w:r w:rsidR="00494C58" w:rsidRPr="00A815D7">
        <w:rPr>
          <w:rFonts w:ascii="Arial" w:hAnsi="Arial"/>
        </w:rPr>
        <w:t>Artículo</w:t>
      </w:r>
      <w:r w:rsidR="00190359" w:rsidRPr="00A815D7">
        <w:rPr>
          <w:rFonts w:ascii="Arial" w:hAnsi="Arial"/>
        </w:rPr>
        <w:t xml:space="preserve"> 44 de la Ley 472). </w:t>
      </w:r>
    </w:p>
    <w:p w:rsidR="00A761B3" w:rsidRPr="00A815D7" w:rsidRDefault="00A761B3" w:rsidP="00F54A43">
      <w:pPr>
        <w:pStyle w:val="Retraitcorpsdetexte"/>
        <w:spacing w:after="0" w:line="360" w:lineRule="auto"/>
        <w:ind w:left="0"/>
        <w:jc w:val="both"/>
        <w:rPr>
          <w:rFonts w:ascii="Arial" w:hAnsi="Arial"/>
        </w:rPr>
      </w:pPr>
    </w:p>
    <w:p w:rsidR="003353DD" w:rsidRDefault="00F54A43" w:rsidP="00F54A43">
      <w:pPr>
        <w:pStyle w:val="Retraitcorpsdetexte"/>
        <w:spacing w:after="0" w:line="360" w:lineRule="auto"/>
        <w:ind w:left="0"/>
        <w:jc w:val="both"/>
        <w:rPr>
          <w:rFonts w:ascii="Arial" w:hAnsi="Arial" w:cs="Arial"/>
        </w:rPr>
      </w:pPr>
      <w:r w:rsidRPr="00A815D7">
        <w:rPr>
          <w:rFonts w:ascii="Arial" w:hAnsi="Arial" w:cs="Arial"/>
          <w:color w:val="000000"/>
        </w:rPr>
        <w:lastRenderedPageBreak/>
        <w:t>Tampoco se reflej</w:t>
      </w:r>
      <w:r w:rsidRPr="00F54A43">
        <w:rPr>
          <w:rFonts w:ascii="Arial" w:hAnsi="Arial" w:cs="Arial"/>
          <w:color w:val="000000"/>
        </w:rPr>
        <w:t>a una acción tendiente a e</w:t>
      </w:r>
      <w:r w:rsidRPr="00F54A43">
        <w:rPr>
          <w:rFonts w:ascii="Arial" w:hAnsi="Arial" w:cs="Arial"/>
        </w:rPr>
        <w:t xml:space="preserve">squivar el impulso oficioso, por el contrario el requerimiento que se hizo con base en el artículo 317 del </w:t>
      </w:r>
      <w:proofErr w:type="spellStart"/>
      <w:r w:rsidRPr="00F54A43">
        <w:rPr>
          <w:rFonts w:ascii="Arial" w:hAnsi="Arial" w:cs="Arial"/>
        </w:rPr>
        <w:t>CGP</w:t>
      </w:r>
      <w:proofErr w:type="spellEnd"/>
      <w:r w:rsidRPr="00F54A43">
        <w:rPr>
          <w:rFonts w:ascii="Arial" w:hAnsi="Arial" w:cs="Arial"/>
        </w:rPr>
        <w:t xml:space="preserve">, refiere un </w:t>
      </w:r>
      <w:r w:rsidR="00AA1E03" w:rsidRPr="00F54A43">
        <w:rPr>
          <w:rFonts w:ascii="Arial" w:hAnsi="Arial" w:cs="Arial"/>
        </w:rPr>
        <w:t>interés</w:t>
      </w:r>
      <w:r w:rsidRPr="00F54A43">
        <w:rPr>
          <w:rFonts w:ascii="Arial" w:hAnsi="Arial" w:cs="Arial"/>
        </w:rPr>
        <w:t xml:space="preserve"> en la jueza de conocimiento de agotar el trámite de la </w:t>
      </w:r>
      <w:r w:rsidR="00325F4F">
        <w:rPr>
          <w:rFonts w:ascii="Arial" w:hAnsi="Arial" w:cs="Arial"/>
        </w:rPr>
        <w:t>acción</w:t>
      </w:r>
      <w:r w:rsidR="0078274D">
        <w:rPr>
          <w:rFonts w:ascii="Arial" w:hAnsi="Arial" w:cs="Arial"/>
        </w:rPr>
        <w:t xml:space="preserve"> </w:t>
      </w:r>
      <w:r w:rsidRPr="00F54A43">
        <w:rPr>
          <w:rFonts w:ascii="Arial" w:hAnsi="Arial" w:cs="Arial"/>
        </w:rPr>
        <w:t xml:space="preserve">popular con celeridad y eficacia, que </w:t>
      </w:r>
      <w:r w:rsidR="001E5C81">
        <w:rPr>
          <w:rFonts w:ascii="Arial" w:hAnsi="Arial" w:cs="Arial"/>
        </w:rPr>
        <w:t xml:space="preserve">nunca </w:t>
      </w:r>
      <w:r w:rsidRPr="00F54A43">
        <w:rPr>
          <w:rFonts w:ascii="Arial" w:hAnsi="Arial" w:cs="Arial"/>
        </w:rPr>
        <w:t xml:space="preserve">pudo lograr producto de la renuencia del actor. </w:t>
      </w:r>
    </w:p>
    <w:p w:rsidR="003353DD" w:rsidRDefault="003353DD" w:rsidP="00F54A43">
      <w:pPr>
        <w:pStyle w:val="Retraitcorpsdetexte"/>
        <w:spacing w:after="0" w:line="360" w:lineRule="auto"/>
        <w:ind w:left="0"/>
        <w:jc w:val="both"/>
        <w:rPr>
          <w:rFonts w:ascii="Arial" w:hAnsi="Arial" w:cs="Arial"/>
        </w:rPr>
      </w:pPr>
    </w:p>
    <w:p w:rsidR="00F54A43" w:rsidRPr="00F54A43" w:rsidRDefault="00670B7C" w:rsidP="00F54A43">
      <w:pPr>
        <w:pStyle w:val="Retraitcorpsdetexte"/>
        <w:spacing w:after="0" w:line="360" w:lineRule="auto"/>
        <w:ind w:left="0"/>
        <w:jc w:val="both"/>
        <w:rPr>
          <w:rFonts w:ascii="Arial" w:hAnsi="Arial" w:cs="Arial"/>
        </w:rPr>
      </w:pPr>
      <w:r>
        <w:rPr>
          <w:rFonts w:ascii="Arial" w:hAnsi="Arial" w:cs="Arial"/>
        </w:rPr>
        <w:t xml:space="preserve">Ahora, que al presente amparo </w:t>
      </w:r>
      <w:r w:rsidR="003353DD">
        <w:rPr>
          <w:rFonts w:ascii="Arial" w:hAnsi="Arial" w:cs="Arial"/>
        </w:rPr>
        <w:t xml:space="preserve">se adjunte </w:t>
      </w:r>
      <w:r w:rsidR="003353DD">
        <w:rPr>
          <w:rFonts w:ascii="Arial" w:hAnsi="Arial" w:cs="Arial"/>
          <w:lang w:val="es-CO"/>
        </w:rPr>
        <w:t xml:space="preserve">por </w:t>
      </w:r>
      <w:r>
        <w:rPr>
          <w:rFonts w:ascii="Arial" w:hAnsi="Arial" w:cs="Arial"/>
        </w:rPr>
        <w:t xml:space="preserve">el accionante escrito emanado de la emisora de la Policía Nacional que da cuenta sobre la difusión radial del aviso a la comunidad, nada desdice de la decisión tomada por el Juzgado accionado, pues </w:t>
      </w:r>
      <w:r w:rsidR="003353DD">
        <w:rPr>
          <w:rFonts w:ascii="Arial" w:hAnsi="Arial" w:cs="Arial"/>
        </w:rPr>
        <w:t xml:space="preserve">dicha divulgación </w:t>
      </w:r>
      <w:r>
        <w:rPr>
          <w:rFonts w:ascii="Arial" w:hAnsi="Arial" w:cs="Arial"/>
        </w:rPr>
        <w:t xml:space="preserve">se </w:t>
      </w:r>
      <w:r w:rsidR="003353DD">
        <w:rPr>
          <w:rFonts w:ascii="Arial" w:hAnsi="Arial" w:cs="Arial"/>
        </w:rPr>
        <w:t xml:space="preserve">hizo </w:t>
      </w:r>
      <w:r>
        <w:rPr>
          <w:rFonts w:ascii="Arial" w:hAnsi="Arial" w:cs="Arial"/>
        </w:rPr>
        <w:t xml:space="preserve">durante el mes de octubre del año </w:t>
      </w:r>
      <w:r w:rsidR="0013442E">
        <w:rPr>
          <w:rFonts w:ascii="Arial" w:hAnsi="Arial" w:cs="Arial"/>
        </w:rPr>
        <w:t>2016</w:t>
      </w:r>
      <w:r>
        <w:rPr>
          <w:rFonts w:ascii="Arial" w:hAnsi="Arial" w:cs="Arial"/>
        </w:rPr>
        <w:t xml:space="preserve">, es decir, con posterioridad al vencimiento del término </w:t>
      </w:r>
      <w:r w:rsidR="003353DD">
        <w:rPr>
          <w:rFonts w:ascii="Arial" w:hAnsi="Arial" w:cs="Arial"/>
        </w:rPr>
        <w:t xml:space="preserve">de 30 días </w:t>
      </w:r>
      <w:r>
        <w:rPr>
          <w:rFonts w:ascii="Arial" w:hAnsi="Arial" w:cs="Arial"/>
        </w:rPr>
        <w:t xml:space="preserve">concedido </w:t>
      </w:r>
      <w:r w:rsidR="003353DD">
        <w:rPr>
          <w:rFonts w:ascii="Arial" w:hAnsi="Arial" w:cs="Arial"/>
        </w:rPr>
        <w:t>al actor.</w:t>
      </w:r>
      <w:r>
        <w:rPr>
          <w:rFonts w:ascii="Arial" w:hAnsi="Arial" w:cs="Arial"/>
        </w:rPr>
        <w:t xml:space="preserve"> </w:t>
      </w:r>
    </w:p>
    <w:p w:rsidR="00F54A43" w:rsidRPr="00194D63" w:rsidRDefault="00F54A43" w:rsidP="00F54A43">
      <w:pPr>
        <w:pStyle w:val="Retraitcorpsdetexte"/>
        <w:spacing w:after="0" w:line="360" w:lineRule="auto"/>
        <w:ind w:left="0"/>
        <w:jc w:val="both"/>
        <w:rPr>
          <w:rFonts w:ascii="Arial" w:hAnsi="Arial" w:cs="Arial"/>
          <w:sz w:val="20"/>
        </w:rPr>
      </w:pPr>
    </w:p>
    <w:p w:rsidR="00993BE7" w:rsidRPr="001E5C81" w:rsidRDefault="00993BE7" w:rsidP="00F54A43">
      <w:pPr>
        <w:pStyle w:val="Retraitcorpsdetexte"/>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Appelnotedebasdep"/>
          <w:rFonts w:ascii="Arial" w:hAnsi="Arial"/>
          <w:color w:val="000000"/>
        </w:rPr>
        <w:footnoteReference w:id="29"/>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A815D7" w:rsidRDefault="00993BE7" w:rsidP="00993BE7">
      <w:pPr>
        <w:widowControl/>
        <w:spacing w:line="360" w:lineRule="auto"/>
        <w:jc w:val="both"/>
        <w:rPr>
          <w:rFonts w:ascii="Arial" w:hAnsi="Arial" w:cs="Arial"/>
          <w:color w:val="000000"/>
          <w:sz w:val="6"/>
          <w:szCs w:val="6"/>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3353DD" w:rsidRDefault="003353DD" w:rsidP="003C7774">
      <w:pPr>
        <w:pStyle w:val="Textoindependiente21"/>
        <w:tabs>
          <w:tab w:val="left" w:pos="900"/>
        </w:tabs>
        <w:spacing w:line="240" w:lineRule="auto"/>
        <w:ind w:left="567" w:right="567"/>
        <w:rPr>
          <w:rFonts w:cs="Arial"/>
          <w:sz w:val="24"/>
          <w:szCs w:val="24"/>
          <w:lang w:val="es-MX"/>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w:t>
      </w:r>
      <w:r w:rsidR="00A14C8D">
        <w:rPr>
          <w:rFonts w:ascii="Arial" w:hAnsi="Arial"/>
          <w:szCs w:val="24"/>
        </w:rPr>
        <w:t>afectación</w:t>
      </w:r>
      <w:r>
        <w:rPr>
          <w:rFonts w:ascii="Arial" w:hAnsi="Arial"/>
          <w:szCs w:val="24"/>
        </w:rPr>
        <w:t xml:space="preserve">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sidR="00AA1E03">
        <w:rPr>
          <w:rFonts w:ascii="Arial" w:hAnsi="Arial"/>
          <w:szCs w:val="24"/>
        </w:rPr>
        <w:t>. No sobra acotar que este criterio ya ha sido expuesto por esta Corporación</w:t>
      </w:r>
      <w:r w:rsidRPr="003A2B28">
        <w:rPr>
          <w:rStyle w:val="Appelnotedebasdep"/>
          <w:rFonts w:ascii="Arial" w:eastAsia="Yu Gothic Light" w:hAnsi="Arial"/>
          <w:szCs w:val="24"/>
        </w:rPr>
        <w:footnoteReference w:id="30"/>
      </w:r>
      <w:r w:rsidRPr="0026679E">
        <w:rPr>
          <w:rFonts w:ascii="Arial" w:hAnsi="Arial" w:cs="Arial"/>
          <w:spacing w:val="3"/>
        </w:rPr>
        <w:t>.</w:t>
      </w:r>
    </w:p>
    <w:p w:rsidR="003E032C" w:rsidRDefault="003E032C" w:rsidP="003E032C">
      <w:pPr>
        <w:pStyle w:val="Corpsdetexte"/>
        <w:spacing w:line="360" w:lineRule="auto"/>
        <w:rPr>
          <w:rFonts w:ascii="Arial" w:hAnsi="Arial" w:cs="Arial"/>
          <w:spacing w:val="3"/>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A761B3" w:rsidRPr="00A80FCC" w:rsidRDefault="00CB3037" w:rsidP="00A761B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CE7149">
        <w:rPr>
          <w:rFonts w:ascii="Arial" w:hAnsi="Arial" w:cs="Arial"/>
        </w:rPr>
        <w:t xml:space="preserve">declarará improcedente el amparo constitucional respecto de la acción popular </w:t>
      </w:r>
      <w:proofErr w:type="spellStart"/>
      <w:r w:rsidR="00CE7149">
        <w:rPr>
          <w:rFonts w:ascii="Arial" w:hAnsi="Arial" w:cs="Arial"/>
        </w:rPr>
        <w:t>No.2015</w:t>
      </w:r>
      <w:proofErr w:type="spellEnd"/>
      <w:r w:rsidR="00CE7149">
        <w:rPr>
          <w:rFonts w:ascii="Arial" w:hAnsi="Arial" w:cs="Arial"/>
        </w:rPr>
        <w:t xml:space="preserve">-00338-00 por incumplirse el presupuesto de la subsidiariedad; (ii) Se negará </w:t>
      </w:r>
      <w:bookmarkStart w:id="0" w:name="_GoBack"/>
      <w:bookmarkEnd w:id="0"/>
      <w:r w:rsidR="00CE7149">
        <w:rPr>
          <w:rFonts w:ascii="Arial" w:hAnsi="Arial" w:cs="Arial"/>
        </w:rPr>
        <w:t xml:space="preserve">en relación con la acción popular </w:t>
      </w:r>
      <w:proofErr w:type="spellStart"/>
      <w:r w:rsidR="00CE7149">
        <w:rPr>
          <w:rFonts w:ascii="Arial" w:hAnsi="Arial" w:cs="Arial"/>
        </w:rPr>
        <w:t>No.</w:t>
      </w:r>
      <w:r w:rsidR="00542BCA">
        <w:rPr>
          <w:rFonts w:ascii="Arial" w:hAnsi="Arial" w:cs="Arial"/>
        </w:rPr>
        <w:t>2015</w:t>
      </w:r>
      <w:proofErr w:type="spellEnd"/>
      <w:r w:rsidR="00542BCA">
        <w:rPr>
          <w:rFonts w:ascii="Arial" w:hAnsi="Arial" w:cs="Arial"/>
        </w:rPr>
        <w:t>-00446-00</w:t>
      </w:r>
      <w:r w:rsidR="00CE7149">
        <w:rPr>
          <w:rFonts w:ascii="Arial" w:hAnsi="Arial" w:cs="Arial"/>
        </w:rPr>
        <w:t xml:space="preserve"> </w:t>
      </w:r>
      <w:r w:rsidR="00D75C31">
        <w:rPr>
          <w:rFonts w:ascii="Arial" w:hAnsi="Arial" w:cs="Arial"/>
        </w:rPr>
        <w:t>por inexistencia de vulneración o amenaza</w:t>
      </w:r>
      <w:r w:rsidR="00443C1C">
        <w:rPr>
          <w:rFonts w:ascii="Arial" w:hAnsi="Arial" w:cs="Arial"/>
        </w:rPr>
        <w:t xml:space="preserve"> </w:t>
      </w:r>
      <w:r w:rsidR="00542BCA">
        <w:rPr>
          <w:rFonts w:ascii="Arial" w:hAnsi="Arial" w:cs="Arial"/>
        </w:rPr>
        <w:t>de los derechos fundamentales</w:t>
      </w:r>
      <w:r w:rsidR="00D75C31">
        <w:rPr>
          <w:rFonts w:ascii="Arial" w:hAnsi="Arial" w:cs="Arial"/>
        </w:rPr>
        <w:t xml:space="preserve">; </w:t>
      </w:r>
      <w:r w:rsidR="00A761B3">
        <w:rPr>
          <w:rFonts w:ascii="Arial" w:hAnsi="Arial" w:cs="Arial"/>
        </w:rPr>
        <w:t xml:space="preserve">(ii) </w:t>
      </w:r>
      <w:r w:rsidR="00A761B3" w:rsidRPr="00F874D7">
        <w:rPr>
          <w:rFonts w:ascii="Arial" w:hAnsi="Arial" w:cs="Arial"/>
        </w:rPr>
        <w:t xml:space="preserve">Se declarará improcedente respecto </w:t>
      </w:r>
      <w:r w:rsidR="00A761B3">
        <w:rPr>
          <w:rFonts w:ascii="Arial" w:hAnsi="Arial" w:cs="Arial"/>
        </w:rPr>
        <w:t xml:space="preserve">de </w:t>
      </w:r>
      <w:r w:rsidR="00A761B3" w:rsidRPr="00F874D7">
        <w:rPr>
          <w:rFonts w:ascii="Arial" w:hAnsi="Arial" w:cs="Arial"/>
        </w:rPr>
        <w:t xml:space="preserve">la Defensoría del Pueblo y la Procuraduría General de la Nación, Regionales de </w:t>
      </w:r>
      <w:r w:rsidR="00A761B3">
        <w:rPr>
          <w:rFonts w:ascii="Arial" w:hAnsi="Arial" w:cs="Arial"/>
        </w:rPr>
        <w:t>Risaralda</w:t>
      </w:r>
      <w:r w:rsidR="00A761B3" w:rsidRPr="00F874D7">
        <w:rPr>
          <w:rFonts w:ascii="Arial" w:hAnsi="Arial" w:cs="Arial"/>
        </w:rPr>
        <w:t xml:space="preserve">, y </w:t>
      </w:r>
      <w:r w:rsidR="00A761B3">
        <w:rPr>
          <w:rFonts w:ascii="Arial" w:hAnsi="Arial" w:cs="Arial"/>
        </w:rPr>
        <w:t xml:space="preserve">de </w:t>
      </w:r>
      <w:r w:rsidR="00A761B3" w:rsidRPr="00F874D7">
        <w:rPr>
          <w:rFonts w:ascii="Arial" w:hAnsi="Arial" w:cs="Arial"/>
        </w:rPr>
        <w:t xml:space="preserve">la Alcaldía y </w:t>
      </w:r>
      <w:r w:rsidR="00A761B3">
        <w:rPr>
          <w:rFonts w:ascii="Arial" w:hAnsi="Arial" w:cs="Arial"/>
        </w:rPr>
        <w:t xml:space="preserve">la </w:t>
      </w:r>
      <w:r w:rsidR="00A761B3" w:rsidRPr="00F874D7">
        <w:rPr>
          <w:rFonts w:ascii="Arial" w:hAnsi="Arial" w:cs="Arial"/>
        </w:rPr>
        <w:t xml:space="preserve">Personería </w:t>
      </w:r>
      <w:r w:rsidR="00A761B3" w:rsidRPr="00F874D7">
        <w:rPr>
          <w:rFonts w:ascii="Arial" w:hAnsi="Arial" w:cs="Arial"/>
          <w:spacing w:val="3"/>
        </w:rPr>
        <w:t xml:space="preserve">de </w:t>
      </w:r>
      <w:r w:rsidR="00A761B3">
        <w:rPr>
          <w:rFonts w:ascii="Arial" w:hAnsi="Arial" w:cs="Arial"/>
          <w:spacing w:val="3"/>
        </w:rPr>
        <w:t xml:space="preserve">Pereira, </w:t>
      </w:r>
      <w:r w:rsidR="00A761B3" w:rsidRPr="00A80FCC">
        <w:rPr>
          <w:rFonts w:ascii="Arial" w:hAnsi="Arial" w:cs="Arial"/>
        </w:rPr>
        <w:t>por carecer de legitimación</w:t>
      </w:r>
      <w:r w:rsidR="00A761B3">
        <w:rPr>
          <w:rFonts w:ascii="Arial" w:hAnsi="Arial" w:cs="Arial"/>
        </w:rPr>
        <w:t xml:space="preserve">; y, (iii) Se negará frente </w:t>
      </w:r>
      <w:r w:rsidR="00542BCA">
        <w:rPr>
          <w:rFonts w:ascii="Arial" w:hAnsi="Arial" w:cs="Arial"/>
        </w:rPr>
        <w:t xml:space="preserve">a los bancos Colpatria </w:t>
      </w:r>
      <w:proofErr w:type="spellStart"/>
      <w:r w:rsidR="00542BCA">
        <w:rPr>
          <w:rFonts w:ascii="Arial" w:hAnsi="Arial" w:cs="Arial"/>
        </w:rPr>
        <w:t>SA</w:t>
      </w:r>
      <w:proofErr w:type="spellEnd"/>
      <w:r w:rsidR="00542BCA">
        <w:rPr>
          <w:rFonts w:ascii="Arial" w:hAnsi="Arial" w:cs="Arial"/>
        </w:rPr>
        <w:t xml:space="preserve"> y </w:t>
      </w:r>
      <w:r w:rsidR="00A761B3">
        <w:rPr>
          <w:rFonts w:ascii="Arial" w:hAnsi="Arial" w:cs="Arial"/>
        </w:rPr>
        <w:t xml:space="preserve">Davivienda </w:t>
      </w:r>
      <w:proofErr w:type="spellStart"/>
      <w:r w:rsidR="00A761B3">
        <w:rPr>
          <w:rFonts w:ascii="Arial" w:hAnsi="Arial" w:cs="Arial"/>
        </w:rPr>
        <w:t>SA</w:t>
      </w:r>
      <w:proofErr w:type="spellEnd"/>
      <w:r w:rsidR="00A761B3">
        <w:rPr>
          <w:rFonts w:ascii="Arial" w:hAnsi="Arial" w:cs="Arial"/>
        </w:rPr>
        <w:t xml:space="preserve"> por inexistencia de vulneración o amenaza de los derechos fundamentales invocados</w:t>
      </w:r>
      <w:r w:rsidR="00A761B3" w:rsidRPr="00A80FCC">
        <w:rPr>
          <w:rFonts w:ascii="Arial" w:hAnsi="Arial" w:cs="Arial"/>
        </w:rPr>
        <w:t>.</w:t>
      </w: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lastRenderedPageBreak/>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A761B3" w:rsidRPr="0013442E" w:rsidRDefault="00A761B3" w:rsidP="00FF5B57">
      <w:pPr>
        <w:pStyle w:val="Corpsdetexte"/>
        <w:spacing w:line="360" w:lineRule="auto"/>
        <w:jc w:val="center"/>
        <w:rPr>
          <w:rFonts w:ascii="Arial" w:hAnsi="Arial" w:cs="Arial"/>
          <w:bCs/>
          <w:smallCaps/>
          <w:sz w:val="6"/>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542BCA" w:rsidRPr="00542BCA" w:rsidRDefault="00542BCA" w:rsidP="00542BCA">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DECLARAR improcedente e</w:t>
      </w:r>
      <w:r>
        <w:rPr>
          <w:rFonts w:ascii="Arial" w:hAnsi="Arial" w:cs="Arial"/>
          <w:szCs w:val="24"/>
        </w:rPr>
        <w:t xml:space="preserve">l amparo constitucional presentado por </w:t>
      </w:r>
      <w:r w:rsidRPr="002C127D">
        <w:rPr>
          <w:rFonts w:ascii="Arial" w:hAnsi="Arial" w:cs="Arial"/>
          <w:lang w:val="es-CO"/>
        </w:rPr>
        <w:t xml:space="preserve">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w:t>
      </w:r>
      <w:r>
        <w:rPr>
          <w:rFonts w:ascii="Arial" w:hAnsi="Arial" w:cs="Arial"/>
          <w:szCs w:val="24"/>
        </w:rPr>
        <w:t xml:space="preserve">frente </w:t>
      </w:r>
      <w:r>
        <w:rPr>
          <w:rFonts w:ascii="Arial" w:hAnsi="Arial" w:cs="Arial"/>
        </w:rPr>
        <w:t xml:space="preserve">al Juzgado Tercero Civil del Circuito de Pereira, </w:t>
      </w:r>
      <w:r w:rsidRPr="00E538DC">
        <w:rPr>
          <w:rFonts w:ascii="Arial" w:hAnsi="Arial" w:cs="Arial"/>
        </w:rPr>
        <w:t>la Procuraduría General</w:t>
      </w:r>
      <w:r>
        <w:rPr>
          <w:rFonts w:ascii="Arial" w:hAnsi="Arial" w:cs="Arial"/>
        </w:rPr>
        <w:t xml:space="preserve"> de la Nación y a la </w:t>
      </w:r>
      <w:r w:rsidRPr="00E538DC">
        <w:rPr>
          <w:rFonts w:ascii="Arial" w:hAnsi="Arial" w:cs="Arial"/>
        </w:rPr>
        <w:t>Defensoría del Pueblo</w:t>
      </w:r>
      <w:r>
        <w:rPr>
          <w:rFonts w:ascii="Arial" w:hAnsi="Arial" w:cs="Arial"/>
        </w:rPr>
        <w:t>, Regionales de Risaralda</w:t>
      </w:r>
      <w:r w:rsidRPr="00E538DC">
        <w:rPr>
          <w:rFonts w:ascii="Arial" w:hAnsi="Arial" w:cs="Arial"/>
        </w:rPr>
        <w:t xml:space="preserve">, y, la Alcaldía y Personería de </w:t>
      </w:r>
      <w:r>
        <w:rPr>
          <w:rFonts w:ascii="Arial" w:hAnsi="Arial" w:cs="Arial"/>
        </w:rPr>
        <w:t>Pereira, según lo expuesto en la parte motiva</w:t>
      </w:r>
      <w:r>
        <w:rPr>
          <w:rFonts w:ascii="Arial" w:hAnsi="Arial" w:cs="Arial"/>
          <w:szCs w:val="24"/>
        </w:rPr>
        <w:t>.</w:t>
      </w:r>
    </w:p>
    <w:p w:rsidR="00542BCA" w:rsidRDefault="00542BCA" w:rsidP="00542BCA">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2C127D" w:rsidRDefault="002C127D" w:rsidP="002C127D">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contra el Juzgado </w:t>
      </w:r>
      <w:r>
        <w:rPr>
          <w:rFonts w:ascii="Arial" w:hAnsi="Arial" w:cs="Arial"/>
          <w:lang w:val="es-CO"/>
        </w:rPr>
        <w:t xml:space="preserve">Tercero </w:t>
      </w:r>
      <w:r w:rsidRPr="002C127D">
        <w:rPr>
          <w:rFonts w:ascii="Arial" w:hAnsi="Arial" w:cs="Arial"/>
          <w:lang w:val="es-CO"/>
        </w:rPr>
        <w:t>Civil del Circuito de Pereira</w:t>
      </w:r>
      <w:r w:rsidR="00542BCA">
        <w:rPr>
          <w:rFonts w:ascii="Arial" w:hAnsi="Arial" w:cs="Arial"/>
          <w:lang w:val="es-CO"/>
        </w:rPr>
        <w:t xml:space="preserve">, y los </w:t>
      </w:r>
      <w:r w:rsidR="00542BCA">
        <w:rPr>
          <w:rFonts w:ascii="Arial" w:hAnsi="Arial" w:cs="Arial"/>
        </w:rPr>
        <w:t xml:space="preserve">bancos Colpatria </w:t>
      </w:r>
      <w:proofErr w:type="spellStart"/>
      <w:r w:rsidR="00542BCA">
        <w:rPr>
          <w:rFonts w:ascii="Arial" w:hAnsi="Arial" w:cs="Arial"/>
        </w:rPr>
        <w:t>SA</w:t>
      </w:r>
      <w:proofErr w:type="spellEnd"/>
      <w:r w:rsidR="00542BCA">
        <w:rPr>
          <w:rFonts w:ascii="Arial" w:hAnsi="Arial" w:cs="Arial"/>
        </w:rPr>
        <w:t xml:space="preserve"> y Davivienda </w:t>
      </w:r>
      <w:proofErr w:type="spellStart"/>
      <w:r w:rsidR="00542BCA">
        <w:rPr>
          <w:rFonts w:ascii="Arial" w:hAnsi="Arial" w:cs="Arial"/>
        </w:rPr>
        <w:t>SA</w:t>
      </w:r>
      <w:proofErr w:type="spellEnd"/>
      <w:r>
        <w:rPr>
          <w:rFonts w:ascii="Arial" w:hAnsi="Arial" w:cs="Arial"/>
          <w:lang w:val="es-CO"/>
        </w:rPr>
        <w:t xml:space="preserve"> </w:t>
      </w:r>
      <w:r w:rsidR="00A14C8D">
        <w:rPr>
          <w:rFonts w:ascii="Arial" w:hAnsi="Arial" w:cs="Arial"/>
        </w:rPr>
        <w:t>por inexistencia de vulneración o amenaza</w:t>
      </w:r>
      <w:r w:rsidR="00542BCA">
        <w:rPr>
          <w:rFonts w:ascii="Arial" w:hAnsi="Arial" w:cs="Arial"/>
        </w:rPr>
        <w:t>, conforme lo dicho previamente</w:t>
      </w:r>
      <w:r w:rsidRPr="002C127D">
        <w:rPr>
          <w:rFonts w:ascii="Arial" w:hAnsi="Arial" w:cs="Arial"/>
        </w:rPr>
        <w:t>.</w:t>
      </w:r>
    </w:p>
    <w:p w:rsidR="00A761B3" w:rsidRDefault="00A761B3" w:rsidP="00A761B3">
      <w:pPr>
        <w:pStyle w:val="Paragraphedeliste"/>
        <w:rPr>
          <w:rFonts w:ascii="Arial" w:hAnsi="Arial" w:cs="Arial"/>
        </w:rPr>
      </w:pPr>
    </w:p>
    <w:p w:rsidR="00FF5B57" w:rsidRPr="00A3043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Corpsdetexte"/>
        <w:spacing w:line="360" w:lineRule="auto"/>
        <w:jc w:val="center"/>
        <w:rPr>
          <w:rFonts w:ascii="Arial" w:hAnsi="Arial"/>
          <w:sz w:val="22"/>
          <w:szCs w:val="24"/>
          <w:lang w:val="en-US"/>
        </w:rPr>
      </w:pPr>
    </w:p>
    <w:p w:rsidR="003E66CE" w:rsidRPr="000E7284" w:rsidRDefault="003E66CE" w:rsidP="00417DA5">
      <w:pPr>
        <w:pStyle w:val="Corpsdetexte"/>
        <w:spacing w:line="360" w:lineRule="auto"/>
        <w:jc w:val="center"/>
        <w:rPr>
          <w:rFonts w:ascii="Arial" w:hAnsi="Arial"/>
          <w:sz w:val="22"/>
          <w:szCs w:val="24"/>
          <w:lang w:val="en-US"/>
        </w:rPr>
      </w:pPr>
    </w:p>
    <w:p w:rsidR="00B30152" w:rsidRPr="000E7284" w:rsidRDefault="00B30152" w:rsidP="00417DA5">
      <w:pPr>
        <w:pStyle w:val="Corpsdetex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0E7284">
        <w:rPr>
          <w:rFonts w:ascii="Arial" w:hAnsi="Arial" w:cs="Arial"/>
          <w:i/>
          <w:spacing w:val="-3"/>
          <w:w w:val="150"/>
          <w:sz w:val="28"/>
          <w:lang w:val="en-US"/>
        </w:rPr>
        <w:t>D</w:t>
      </w:r>
      <w:r w:rsidRPr="000E7284">
        <w:rPr>
          <w:rFonts w:ascii="Arial" w:hAnsi="Arial" w:cs="Arial"/>
          <w:i/>
          <w:spacing w:val="-3"/>
          <w:w w:val="150"/>
          <w:sz w:val="18"/>
          <w:szCs w:val="16"/>
          <w:lang w:val="en-US"/>
        </w:rPr>
        <w:t>UBERNEY</w:t>
      </w:r>
      <w:proofErr w:type="spellEnd"/>
      <w:r w:rsidRPr="000E7284">
        <w:rPr>
          <w:rFonts w:ascii="Arial" w:hAnsi="Arial" w:cs="Arial"/>
          <w:i/>
          <w:spacing w:val="-3"/>
          <w:w w:val="150"/>
          <w:sz w:val="18"/>
          <w:szCs w:val="16"/>
          <w:lang w:val="en-US"/>
        </w:rPr>
        <w:t xml:space="preserve"> </w:t>
      </w:r>
      <w:proofErr w:type="spellStart"/>
      <w:r w:rsidRPr="000E7284">
        <w:rPr>
          <w:rFonts w:ascii="Arial" w:hAnsi="Arial" w:cs="Arial"/>
          <w:i/>
          <w:spacing w:val="-3"/>
          <w:w w:val="150"/>
          <w:sz w:val="28"/>
          <w:lang w:val="en-US"/>
        </w:rPr>
        <w:t>G</w:t>
      </w:r>
      <w:r w:rsidRPr="000E7284">
        <w:rPr>
          <w:rFonts w:ascii="Arial" w:hAnsi="Arial" w:cs="Arial"/>
          <w:i/>
          <w:spacing w:val="-3"/>
          <w:w w:val="150"/>
          <w:sz w:val="18"/>
          <w:szCs w:val="16"/>
          <w:lang w:val="en-US"/>
        </w:rPr>
        <w:t>RISALES</w:t>
      </w:r>
      <w:proofErr w:type="spellEnd"/>
      <w:r w:rsidRPr="000E7284">
        <w:rPr>
          <w:rFonts w:ascii="Arial" w:hAnsi="Arial" w:cs="Arial"/>
          <w:i/>
          <w:spacing w:val="-3"/>
          <w:w w:val="150"/>
          <w:sz w:val="18"/>
          <w:szCs w:val="16"/>
          <w:lang w:val="en-US"/>
        </w:rPr>
        <w:t xml:space="preserve">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0E7284">
        <w:rPr>
          <w:rFonts w:ascii="Arial" w:hAnsi="Arial"/>
          <w:i/>
          <w:w w:val="150"/>
          <w:sz w:val="28"/>
          <w:szCs w:val="18"/>
          <w:lang w:val="en-US"/>
        </w:rPr>
        <w:t>E</w:t>
      </w:r>
      <w:r w:rsidRPr="000E7284">
        <w:rPr>
          <w:rFonts w:ascii="Arial" w:hAnsi="Arial"/>
          <w:i/>
          <w:w w:val="150"/>
          <w:sz w:val="18"/>
          <w:szCs w:val="18"/>
          <w:lang w:val="en-US"/>
        </w:rPr>
        <w:t>DDER</w:t>
      </w:r>
      <w:proofErr w:type="spellEnd"/>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proofErr w:type="gramEnd"/>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proofErr w:type="spellStart"/>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ARAZA</w:t>
      </w:r>
      <w:proofErr w:type="spellEnd"/>
      <w:r w:rsidRPr="000E7284">
        <w:rPr>
          <w:rFonts w:ascii="Arial" w:hAnsi="Arial" w:cs="Arial"/>
          <w:i/>
          <w:spacing w:val="-3"/>
          <w:w w:val="150"/>
          <w:sz w:val="18"/>
          <w:szCs w:val="16"/>
          <w:lang w:val="en-US"/>
        </w:rPr>
        <w:t xml:space="preserve">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proofErr w:type="spellStart"/>
      <w:r w:rsidR="00445605">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66173D">
        <w:rPr>
          <w:rFonts w:ascii="Arial" w:hAnsi="Arial"/>
          <w:w w:val="150"/>
          <w:sz w:val="8"/>
          <w:szCs w:val="10"/>
          <w:lang w:val="en-US"/>
        </w:rPr>
        <w:t>JEGG</w:t>
      </w:r>
      <w:proofErr w:type="spellEnd"/>
      <w:r w:rsidR="005C4C0F">
        <w:rPr>
          <w:rFonts w:ascii="Arial" w:hAnsi="Arial"/>
          <w:w w:val="150"/>
          <w:sz w:val="8"/>
          <w:szCs w:val="10"/>
          <w:lang w:val="en-US"/>
        </w:rPr>
        <w:t>/2016</w:t>
      </w:r>
    </w:p>
    <w:sectPr w:rsidR="00C87D22" w:rsidSect="00F025A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B3" w:rsidRDefault="002D77B3" w:rsidP="0099045D">
      <w:r>
        <w:separator/>
      </w:r>
    </w:p>
  </w:endnote>
  <w:endnote w:type="continuationSeparator" w:id="0">
    <w:p w:rsidR="002D77B3" w:rsidRDefault="002D77B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B3" w:rsidRDefault="002D77B3" w:rsidP="0099045D">
      <w:r>
        <w:separator/>
      </w:r>
    </w:p>
  </w:footnote>
  <w:footnote w:type="continuationSeparator" w:id="0">
    <w:p w:rsidR="002D77B3" w:rsidRDefault="002D77B3" w:rsidP="0099045D">
      <w:r>
        <w:continuationSeparator/>
      </w:r>
    </w:p>
  </w:footnote>
  <w:footnote w:id="1">
    <w:p w:rsidR="000C5285" w:rsidRPr="00E17BD7" w:rsidRDefault="000C5285" w:rsidP="000C5285">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w:t>
      </w:r>
      <w:proofErr w:type="spellStart"/>
      <w:r w:rsidRPr="00E17BD7">
        <w:rPr>
          <w:rFonts w:asciiTheme="minorHAnsi" w:hAnsiTheme="minorHAnsi" w:cs="Calibri"/>
        </w:rPr>
        <w:t>SA</w:t>
      </w:r>
      <w:proofErr w:type="spellEnd"/>
      <w:r w:rsidRPr="00E17BD7">
        <w:rPr>
          <w:rFonts w:asciiTheme="minorHAnsi" w:hAnsiTheme="minorHAnsi" w:cs="Calibri"/>
        </w:rPr>
        <w:t xml:space="preserve">, Bogotá, 2013, </w:t>
      </w:r>
      <w:proofErr w:type="spellStart"/>
      <w:r w:rsidRPr="00E17BD7">
        <w:rPr>
          <w:rFonts w:asciiTheme="minorHAnsi" w:hAnsiTheme="minorHAnsi" w:cs="Calibri"/>
        </w:rPr>
        <w:t>p.103</w:t>
      </w:r>
      <w:proofErr w:type="spellEnd"/>
      <w:r w:rsidRPr="00E17BD7">
        <w:rPr>
          <w:rFonts w:asciiTheme="minorHAnsi" w:hAnsiTheme="minorHAnsi" w:cs="Calibri"/>
        </w:rPr>
        <w:t>.</w:t>
      </w:r>
    </w:p>
  </w:footnote>
  <w:footnote w:id="2">
    <w:p w:rsidR="000C5285" w:rsidRPr="00E17BD7" w:rsidRDefault="000C5285" w:rsidP="000C5285">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 xml:space="preserve">QUIROGA </w:t>
      </w:r>
      <w:proofErr w:type="spellStart"/>
      <w:r w:rsidRPr="00E17BD7">
        <w:rPr>
          <w:rFonts w:asciiTheme="minorHAnsi" w:hAnsiTheme="minorHAnsi" w:cs="Calibri"/>
        </w:rPr>
        <w:t>NATALE</w:t>
      </w:r>
      <w:proofErr w:type="spellEnd"/>
      <w:r w:rsidRPr="00E17BD7">
        <w:rPr>
          <w:rFonts w:asciiTheme="minorHAnsi" w:hAnsiTheme="minorHAnsi" w:cs="Calibri"/>
        </w:rPr>
        <w:t xml:space="preserve">, Édgar Andrés. Tutela contra decisiones judiciales, Universidad Santo Tomás y editorial Ibáñez, Bogotá DC, 2014, </w:t>
      </w:r>
      <w:proofErr w:type="spellStart"/>
      <w:r w:rsidRPr="00E17BD7">
        <w:rPr>
          <w:rFonts w:asciiTheme="minorHAnsi" w:hAnsiTheme="minorHAnsi" w:cs="Calibri"/>
        </w:rPr>
        <w:t>p.83</w:t>
      </w:r>
      <w:proofErr w:type="spellEnd"/>
      <w:r w:rsidRPr="00E17BD7">
        <w:rPr>
          <w:rFonts w:asciiTheme="minorHAnsi" w:hAnsiTheme="minorHAnsi" w:cs="Calibri"/>
        </w:rPr>
        <w:t>.</w:t>
      </w:r>
    </w:p>
  </w:footnote>
  <w:footnote w:id="3">
    <w:p w:rsidR="000C5285" w:rsidRPr="00E17BD7" w:rsidRDefault="000C5285" w:rsidP="000C5285">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0C5285" w:rsidRPr="00E17BD7" w:rsidRDefault="000C5285" w:rsidP="000C5285">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0C5285" w:rsidRPr="00E17BD7" w:rsidRDefault="000C5285" w:rsidP="000C5285">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0C5285" w:rsidRPr="00E17BD7" w:rsidRDefault="000C5285" w:rsidP="000C5285">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0C5285" w:rsidRPr="00E17BD7" w:rsidRDefault="000C5285" w:rsidP="000C5285">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w:t>
      </w:r>
      <w:proofErr w:type="spellStart"/>
      <w:r w:rsidRPr="00E17BD7">
        <w:rPr>
          <w:rFonts w:asciiTheme="minorHAnsi" w:hAnsiTheme="minorHAnsi" w:cs="Calibri"/>
          <w:lang w:val="es-CO"/>
        </w:rPr>
        <w:t>p.61</w:t>
      </w:r>
      <w:proofErr w:type="spellEnd"/>
      <w:r w:rsidRPr="00E17BD7">
        <w:rPr>
          <w:rFonts w:asciiTheme="minorHAnsi" w:hAnsiTheme="minorHAnsi" w:cs="Calibri"/>
          <w:lang w:val="es-CO"/>
        </w:rPr>
        <w:t>-75.</w:t>
      </w:r>
    </w:p>
  </w:footnote>
  <w:footnote w:id="8">
    <w:p w:rsidR="000C5285" w:rsidRPr="00E17BD7" w:rsidRDefault="000C5285" w:rsidP="000C5285">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w:t>
      </w:r>
      <w:proofErr w:type="spellStart"/>
      <w:r w:rsidRPr="00E17BD7">
        <w:rPr>
          <w:rFonts w:asciiTheme="minorHAnsi" w:hAnsiTheme="minorHAnsi" w:cs="Calibri"/>
        </w:rPr>
        <w:t>p.233</w:t>
      </w:r>
      <w:proofErr w:type="spellEnd"/>
      <w:r w:rsidRPr="00E17BD7">
        <w:rPr>
          <w:rFonts w:asciiTheme="minorHAnsi" w:hAnsiTheme="minorHAnsi" w:cs="Calibri"/>
        </w:rPr>
        <w:t>-285.</w:t>
      </w:r>
    </w:p>
  </w:footnote>
  <w:footnote w:id="9">
    <w:p w:rsidR="003353DD" w:rsidRPr="00A815D7" w:rsidRDefault="003353DD" w:rsidP="003353DD">
      <w:pPr>
        <w:pStyle w:val="Notedebasdepage"/>
        <w:jc w:val="both"/>
        <w:rPr>
          <w:lang w:val="fr-FR"/>
        </w:rPr>
      </w:pPr>
      <w:r>
        <w:rPr>
          <w:rStyle w:val="Appelnotedebasdep"/>
          <w:rFonts w:asciiTheme="minorHAnsi" w:hAnsiTheme="minorHAnsi"/>
        </w:rPr>
        <w:footnoteRef/>
      </w:r>
      <w:r w:rsidRPr="00A815D7">
        <w:rPr>
          <w:rFonts w:asciiTheme="minorHAnsi" w:hAnsiTheme="minorHAnsi"/>
          <w:lang w:val="fr-FR"/>
        </w:rPr>
        <w:t xml:space="preserve"> </w:t>
      </w:r>
      <w:r w:rsidRPr="00A815D7">
        <w:rPr>
          <w:rFonts w:asciiTheme="minorHAnsi" w:hAnsiTheme="minorHAnsi" w:cs="Calibri"/>
          <w:lang w:val="fr-FR"/>
        </w:rPr>
        <w:t xml:space="preserve">CC. Sentencia T-134 de 1994. </w:t>
      </w:r>
    </w:p>
  </w:footnote>
  <w:footnote w:id="10">
    <w:p w:rsidR="003353DD" w:rsidRPr="00A815D7" w:rsidRDefault="003353DD" w:rsidP="003353DD">
      <w:pPr>
        <w:pStyle w:val="Notedebasdepage"/>
        <w:rPr>
          <w:lang w:val="fr-FR"/>
        </w:rPr>
      </w:pPr>
      <w:r>
        <w:rPr>
          <w:rStyle w:val="Appelnotedebasdep"/>
        </w:rPr>
        <w:footnoteRef/>
      </w:r>
      <w:r w:rsidRPr="00A815D7">
        <w:rPr>
          <w:lang w:val="fr-FR"/>
        </w:rPr>
        <w:t xml:space="preserve"> </w:t>
      </w:r>
      <w:r w:rsidRPr="00A815D7">
        <w:rPr>
          <w:rFonts w:asciiTheme="minorHAnsi" w:hAnsiTheme="minorHAnsi" w:cs="Calibri"/>
          <w:lang w:val="fr-FR"/>
        </w:rPr>
        <w:t>CC. Sentencia T-103 de 2014.</w:t>
      </w:r>
    </w:p>
  </w:footnote>
  <w:footnote w:id="11">
    <w:p w:rsidR="003353DD" w:rsidRPr="00A815D7" w:rsidRDefault="003353DD" w:rsidP="003353DD">
      <w:pPr>
        <w:pStyle w:val="Notedebasdepage"/>
        <w:jc w:val="both"/>
        <w:rPr>
          <w:lang w:val="fr-FR"/>
        </w:rPr>
      </w:pPr>
      <w:r>
        <w:rPr>
          <w:rStyle w:val="Appelnotedebasdep"/>
          <w:rFonts w:asciiTheme="minorHAnsi" w:hAnsiTheme="minorHAnsi" w:cs="Calibri"/>
        </w:rPr>
        <w:footnoteRef/>
      </w:r>
      <w:r w:rsidRPr="00A815D7">
        <w:rPr>
          <w:rFonts w:asciiTheme="minorHAnsi" w:hAnsiTheme="minorHAnsi" w:cs="Calibri"/>
          <w:lang w:val="fr-FR"/>
        </w:rPr>
        <w:t xml:space="preserve"> CC. Sentencia T-567 de 1998.</w:t>
      </w:r>
    </w:p>
  </w:footnote>
  <w:footnote w:id="12">
    <w:p w:rsidR="003353DD" w:rsidRPr="00A815D7" w:rsidRDefault="003353DD" w:rsidP="003353DD">
      <w:pPr>
        <w:pStyle w:val="Notedebasdepage"/>
        <w:jc w:val="both"/>
        <w:rPr>
          <w:lang w:val="fr-FR"/>
        </w:rPr>
      </w:pPr>
      <w:r>
        <w:rPr>
          <w:rStyle w:val="Appelnotedebasdep"/>
          <w:rFonts w:asciiTheme="minorHAnsi" w:hAnsiTheme="minorHAnsi"/>
        </w:rPr>
        <w:footnoteRef/>
      </w:r>
      <w:r w:rsidRPr="00A815D7">
        <w:rPr>
          <w:rFonts w:asciiTheme="minorHAnsi" w:hAnsiTheme="minorHAnsi"/>
          <w:lang w:val="fr-FR"/>
        </w:rPr>
        <w:t xml:space="preserve"> </w:t>
      </w:r>
      <w:r w:rsidRPr="00A815D7">
        <w:rPr>
          <w:rFonts w:asciiTheme="minorHAnsi" w:hAnsiTheme="minorHAnsi" w:cs="Calibri"/>
          <w:lang w:val="fr-FR"/>
        </w:rPr>
        <w:t>CC. Sentencia T-662 de 2013.</w:t>
      </w:r>
      <w:r w:rsidRPr="00A815D7">
        <w:rPr>
          <w:b/>
          <w:bCs/>
          <w:color w:val="2D2D2D"/>
          <w:sz w:val="28"/>
          <w:szCs w:val="28"/>
          <w:bdr w:val="none" w:sz="0" w:space="0" w:color="auto" w:frame="1"/>
          <w:shd w:val="clear" w:color="auto" w:fill="FFFFFF"/>
          <w:lang w:val="fr-FR"/>
        </w:rPr>
        <w:t xml:space="preserve"> </w:t>
      </w:r>
    </w:p>
  </w:footnote>
  <w:footnote w:id="13">
    <w:p w:rsidR="003353DD" w:rsidRPr="00A815D7" w:rsidRDefault="003353DD" w:rsidP="003353DD">
      <w:pPr>
        <w:pStyle w:val="Notedebasdepage"/>
        <w:jc w:val="both"/>
        <w:rPr>
          <w:lang w:val="fr-FR"/>
        </w:rPr>
      </w:pPr>
      <w:r>
        <w:rPr>
          <w:rStyle w:val="Appelnotedebasdep"/>
        </w:rPr>
        <w:footnoteRef/>
      </w:r>
      <w:r w:rsidRPr="00A815D7">
        <w:rPr>
          <w:lang w:val="fr-FR"/>
        </w:rPr>
        <w:t xml:space="preserve"> </w:t>
      </w:r>
      <w:r w:rsidRPr="00A815D7">
        <w:rPr>
          <w:rFonts w:asciiTheme="minorHAnsi" w:hAnsiTheme="minorHAnsi" w:cs="Calibri"/>
          <w:lang w:val="fr-FR"/>
        </w:rPr>
        <w:t xml:space="preserve">CC. </w:t>
      </w:r>
      <w:r w:rsidRPr="00A815D7">
        <w:rPr>
          <w:rFonts w:ascii="Calibri" w:hAnsi="Calibri"/>
          <w:bCs/>
          <w:bdr w:val="none" w:sz="0" w:space="0" w:color="auto" w:frame="1"/>
          <w:shd w:val="clear" w:color="auto" w:fill="FFFFFF"/>
          <w:lang w:val="fr-FR"/>
        </w:rPr>
        <w:t>Sentencia T-037 de 2016 y T-120 de 2016.</w:t>
      </w:r>
    </w:p>
  </w:footnote>
  <w:footnote w:id="14">
    <w:p w:rsidR="003353DD" w:rsidRDefault="003353DD" w:rsidP="003353DD">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Blanco, </w:t>
      </w:r>
      <w:proofErr w:type="spellStart"/>
      <w:r>
        <w:rPr>
          <w:rFonts w:asciiTheme="minorHAnsi" w:hAnsiTheme="minorHAnsi" w:cs="Calibri"/>
          <w:lang w:val="es-CO"/>
        </w:rPr>
        <w:t>exp</w:t>
      </w:r>
      <w:proofErr w:type="spellEnd"/>
      <w:r>
        <w:rPr>
          <w:rFonts w:asciiTheme="minorHAnsi" w:hAnsiTheme="minorHAnsi" w:cs="Calibri"/>
          <w:lang w:val="es-CO"/>
        </w:rPr>
        <w:t xml:space="preserve">. </w:t>
      </w:r>
      <w:proofErr w:type="spellStart"/>
      <w:r>
        <w:rPr>
          <w:rFonts w:asciiTheme="minorHAnsi" w:hAnsiTheme="minorHAnsi" w:cs="Calibri"/>
          <w:lang w:val="es-CO"/>
        </w:rPr>
        <w:t>No.23001</w:t>
      </w:r>
      <w:proofErr w:type="spellEnd"/>
      <w:r>
        <w:rPr>
          <w:rFonts w:asciiTheme="minorHAnsi" w:hAnsiTheme="minorHAnsi" w:cs="Calibri"/>
          <w:lang w:val="es-CO"/>
        </w:rPr>
        <w:t>-22-14-000-2014-00097-01</w:t>
      </w:r>
      <w:r>
        <w:rPr>
          <w:rFonts w:asciiTheme="minorHAnsi" w:hAnsiTheme="minorHAnsi" w:cs="Calibri"/>
          <w:w w:val="110"/>
          <w:lang w:val="es-CO"/>
        </w:rPr>
        <w:t>.</w:t>
      </w:r>
    </w:p>
  </w:footnote>
  <w:footnote w:id="15">
    <w:p w:rsidR="003353DD" w:rsidRDefault="003353DD" w:rsidP="003353DD">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cs="Calibri"/>
        </w:rPr>
        <w:t>STC6121</w:t>
      </w:r>
      <w:proofErr w:type="spellEnd"/>
      <w:r>
        <w:rPr>
          <w:rFonts w:ascii="Calibri" w:hAnsi="Calibri" w:cs="Calibri"/>
        </w:rPr>
        <w:t>-2015.</w:t>
      </w:r>
    </w:p>
  </w:footnote>
  <w:footnote w:id="16">
    <w:p w:rsidR="003353DD" w:rsidRDefault="003353DD" w:rsidP="003353DD">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proofErr w:type="spellStart"/>
      <w:r>
        <w:rPr>
          <w:rFonts w:ascii="Calibri" w:hAnsi="Calibri"/>
          <w:lang w:val="es-CO"/>
        </w:rPr>
        <w:t>STC3931</w:t>
      </w:r>
      <w:proofErr w:type="spellEnd"/>
      <w:r>
        <w:rPr>
          <w:rFonts w:ascii="Calibri" w:hAnsi="Calibri"/>
          <w:lang w:val="es-CO"/>
        </w:rPr>
        <w:t>-2016.</w:t>
      </w:r>
    </w:p>
  </w:footnote>
  <w:footnote w:id="17">
    <w:p w:rsidR="00066B58" w:rsidRPr="00A815D7"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A815D7">
        <w:rPr>
          <w:rFonts w:asciiTheme="minorHAnsi" w:hAnsiTheme="minorHAnsi" w:cs="Calibri"/>
          <w:lang w:val="fr-FR"/>
        </w:rPr>
        <w:t xml:space="preserve"> CC. Sentencia T-231 de 1994.</w:t>
      </w:r>
    </w:p>
  </w:footnote>
  <w:footnote w:id="18">
    <w:p w:rsidR="00066B58" w:rsidRPr="00A815D7"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A815D7">
        <w:rPr>
          <w:rFonts w:asciiTheme="minorHAnsi" w:hAnsiTheme="minorHAnsi" w:cs="Calibri"/>
          <w:lang w:val="fr-FR"/>
        </w:rPr>
        <w:t xml:space="preserve"> CC. Sentencia T-831 de 2012.</w:t>
      </w:r>
    </w:p>
  </w:footnote>
  <w:footnote w:id="19">
    <w:p w:rsidR="00066B58" w:rsidRPr="00052412" w:rsidRDefault="00066B58"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w:t>
      </w:r>
      <w:proofErr w:type="spellStart"/>
      <w:r w:rsidRPr="00052412">
        <w:rPr>
          <w:rFonts w:asciiTheme="minorHAnsi" w:hAnsiTheme="minorHAnsi" w:cs="Calibri"/>
        </w:rPr>
        <w:t>p.268</w:t>
      </w:r>
      <w:proofErr w:type="spellEnd"/>
      <w:r w:rsidRPr="00052412">
        <w:rPr>
          <w:rFonts w:asciiTheme="minorHAnsi" w:hAnsiTheme="minorHAnsi" w:cs="Calibri"/>
        </w:rPr>
        <w:t>.</w:t>
      </w:r>
    </w:p>
  </w:footnote>
  <w:footnote w:id="20">
    <w:p w:rsidR="00066B58" w:rsidRPr="00A815D7"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A815D7">
        <w:rPr>
          <w:rFonts w:asciiTheme="minorHAnsi" w:hAnsiTheme="minorHAnsi"/>
          <w:lang w:val="fr-FR"/>
        </w:rPr>
        <w:t xml:space="preserve"> </w:t>
      </w:r>
      <w:r w:rsidRPr="00A815D7">
        <w:rPr>
          <w:rFonts w:asciiTheme="minorHAnsi" w:hAnsiTheme="minorHAnsi" w:cs="Calibri"/>
          <w:lang w:val="fr-FR"/>
        </w:rPr>
        <w:t>CC</w:t>
      </w:r>
      <w:r w:rsidRPr="00A815D7">
        <w:rPr>
          <w:rFonts w:asciiTheme="minorHAnsi" w:hAnsiTheme="minorHAnsi"/>
          <w:lang w:val="fr-FR"/>
        </w:rPr>
        <w:t>. Sentencia T-573 de 1997.</w:t>
      </w:r>
    </w:p>
  </w:footnote>
  <w:footnote w:id="21">
    <w:p w:rsidR="00066B58" w:rsidRPr="00A815D7"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A815D7">
        <w:rPr>
          <w:rFonts w:asciiTheme="minorHAnsi" w:hAnsiTheme="minorHAnsi"/>
          <w:lang w:val="fr-FR"/>
        </w:rPr>
        <w:t xml:space="preserve"> </w:t>
      </w:r>
      <w:r w:rsidRPr="00A815D7">
        <w:rPr>
          <w:rFonts w:asciiTheme="minorHAnsi" w:hAnsiTheme="minorHAnsi" w:cs="Calibri"/>
          <w:lang w:val="fr-FR"/>
        </w:rPr>
        <w:t>CC</w:t>
      </w:r>
      <w:r w:rsidRPr="00A815D7">
        <w:rPr>
          <w:rFonts w:asciiTheme="minorHAnsi" w:hAnsiTheme="minorHAnsi"/>
          <w:lang w:val="fr-FR"/>
        </w:rPr>
        <w:t>. Sentencia T-567 de 1998.</w:t>
      </w:r>
    </w:p>
  </w:footnote>
  <w:footnote w:id="22">
    <w:p w:rsidR="00066B58" w:rsidRPr="000A1B5D" w:rsidRDefault="00066B58" w:rsidP="00765006">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23">
    <w:p w:rsidR="00066B58" w:rsidRPr="000A1B5D" w:rsidRDefault="00066B58" w:rsidP="00765006">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24">
    <w:p w:rsidR="00066B58" w:rsidRPr="00993BE7" w:rsidRDefault="00066B58" w:rsidP="00765006">
      <w:pPr>
        <w:pStyle w:val="Notedebasdepage"/>
        <w:rPr>
          <w:rFonts w:asciiTheme="minorHAnsi" w:hAnsiTheme="minorHAnsi" w:cs="Calibri"/>
          <w:lang w:val="es-MX"/>
        </w:rPr>
      </w:pPr>
      <w:r>
        <w:rPr>
          <w:rStyle w:val="Appelnotedebasdep"/>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25">
    <w:p w:rsidR="00066B58" w:rsidRPr="003F120A" w:rsidRDefault="00066B58"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26">
    <w:p w:rsidR="003353DD" w:rsidRPr="00A815D7" w:rsidRDefault="003353DD" w:rsidP="003353DD">
      <w:pPr>
        <w:pStyle w:val="Notedebasdepage"/>
        <w:jc w:val="both"/>
        <w:rPr>
          <w:lang w:val="fr-FR"/>
        </w:rPr>
      </w:pPr>
      <w:r w:rsidRPr="0088104A">
        <w:rPr>
          <w:rStyle w:val="Appelnotedebasdep"/>
          <w:rFonts w:asciiTheme="minorHAnsi" w:hAnsiTheme="minorHAnsi" w:cs="Calibri"/>
        </w:rPr>
        <w:footnoteRef/>
      </w:r>
      <w:r w:rsidRPr="00A815D7">
        <w:rPr>
          <w:rFonts w:asciiTheme="minorHAnsi" w:hAnsiTheme="minorHAnsi" w:cs="Calibri"/>
          <w:lang w:val="fr-FR"/>
        </w:rPr>
        <w:t xml:space="preserve"> CC.  Sentencia T-567 de 1998.</w:t>
      </w:r>
    </w:p>
  </w:footnote>
  <w:footnote w:id="27">
    <w:p w:rsidR="003353DD" w:rsidRPr="00A815D7" w:rsidRDefault="003353DD" w:rsidP="003353DD">
      <w:pPr>
        <w:pStyle w:val="Notedebasdepage"/>
        <w:rPr>
          <w:lang w:val="fr-FR"/>
        </w:rPr>
      </w:pPr>
      <w:r>
        <w:rPr>
          <w:rStyle w:val="Appelnotedebasdep"/>
        </w:rPr>
        <w:footnoteRef/>
      </w:r>
      <w:r w:rsidRPr="00A815D7">
        <w:rPr>
          <w:lang w:val="fr-FR"/>
        </w:rPr>
        <w:t xml:space="preserve"> </w:t>
      </w:r>
      <w:r w:rsidRPr="00A815D7">
        <w:rPr>
          <w:rFonts w:asciiTheme="minorHAnsi" w:hAnsiTheme="minorHAnsi" w:cs="Calibri"/>
          <w:lang w:val="fr-FR"/>
        </w:rPr>
        <w:t>CC.  Sentencia T-717 de 22-09-2011.</w:t>
      </w:r>
    </w:p>
  </w:footnote>
  <w:footnote w:id="28">
    <w:p w:rsidR="003353DD" w:rsidRPr="008B43C6" w:rsidRDefault="003353DD" w:rsidP="003353DD">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29">
    <w:p w:rsidR="00066B58" w:rsidRPr="003C7774" w:rsidRDefault="00066B58" w:rsidP="00993BE7">
      <w:pPr>
        <w:jc w:val="both"/>
        <w:rPr>
          <w:rFonts w:asciiTheme="minorHAnsi" w:hAnsiTheme="minorHAnsi" w:cs="Arial"/>
          <w:b/>
          <w:sz w:val="20"/>
          <w:szCs w:val="20"/>
        </w:rPr>
      </w:pPr>
      <w:r w:rsidRPr="000D1189">
        <w:rPr>
          <w:rStyle w:val="Appelnotedebasdep"/>
          <w:rFonts w:asciiTheme="minorHAnsi" w:hAnsiTheme="minorHAnsi" w:cs="Arial"/>
          <w:sz w:val="20"/>
          <w:szCs w:val="20"/>
        </w:rPr>
        <w:footnoteRef/>
      </w:r>
      <w:r w:rsidRPr="000D1189">
        <w:rPr>
          <w:rFonts w:asciiTheme="minorHAnsi" w:hAnsiTheme="minorHAnsi" w:cs="Arial"/>
          <w:sz w:val="20"/>
          <w:szCs w:val="20"/>
        </w:rPr>
        <w:t xml:space="preserve"> </w:t>
      </w:r>
      <w:r>
        <w:rPr>
          <w:rFonts w:asciiTheme="minorHAnsi" w:hAnsiTheme="minorHAnsi" w:cs="Arial"/>
          <w:sz w:val="20"/>
          <w:szCs w:val="20"/>
          <w:lang w:val="es-CO"/>
        </w:rPr>
        <w:t>CSJ</w:t>
      </w:r>
      <w:r w:rsidRPr="000D1189">
        <w:rPr>
          <w:rFonts w:asciiTheme="minorHAnsi" w:hAnsiTheme="minorHAnsi" w:cs="Arial"/>
          <w:sz w:val="20"/>
          <w:szCs w:val="20"/>
          <w:lang w:val="es-CO"/>
        </w:rPr>
        <w:t>,</w:t>
      </w:r>
      <w:r w:rsidR="0013442E">
        <w:rPr>
          <w:rFonts w:asciiTheme="minorHAnsi" w:hAnsiTheme="minorHAnsi" w:cs="Arial"/>
          <w:sz w:val="20"/>
          <w:szCs w:val="20"/>
          <w:lang w:val="es-CO"/>
        </w:rPr>
        <w:t xml:space="preserve"> Sala</w:t>
      </w:r>
      <w:r w:rsidRPr="000D1189">
        <w:rPr>
          <w:rFonts w:asciiTheme="minorHAnsi" w:hAnsiTheme="minorHAnsi" w:cs="Arial"/>
          <w:sz w:val="20"/>
          <w:szCs w:val="20"/>
          <w:lang w:val="es-CO"/>
        </w:rPr>
        <w:t xml:space="preserve"> Civil</w:t>
      </w:r>
      <w:r>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proofErr w:type="spellStart"/>
      <w:r w:rsidRPr="003C7774">
        <w:rPr>
          <w:rFonts w:asciiTheme="minorHAnsi" w:hAnsiTheme="minorHAnsi" w:cs="Arial"/>
          <w:sz w:val="20"/>
          <w:szCs w:val="20"/>
        </w:rPr>
        <w:t>STC6596</w:t>
      </w:r>
      <w:proofErr w:type="spellEnd"/>
      <w:r w:rsidRPr="003C7774">
        <w:rPr>
          <w:rFonts w:asciiTheme="minorHAnsi" w:hAnsiTheme="minorHAnsi" w:cs="Arial"/>
          <w:sz w:val="20"/>
          <w:szCs w:val="20"/>
        </w:rPr>
        <w:t>-2016</w:t>
      </w:r>
      <w:r w:rsidRPr="000D1189">
        <w:rPr>
          <w:rFonts w:asciiTheme="minorHAnsi" w:hAnsiTheme="minorHAnsi" w:cs="Arial"/>
          <w:sz w:val="20"/>
          <w:szCs w:val="20"/>
          <w:lang w:val="es-CO"/>
        </w:rPr>
        <w:t>.</w:t>
      </w:r>
    </w:p>
  </w:footnote>
  <w:footnote w:id="30">
    <w:p w:rsidR="00066B58" w:rsidRPr="00D75C31" w:rsidRDefault="00066B58" w:rsidP="00993BE7">
      <w:pPr>
        <w:pStyle w:val="Notedebasdepage"/>
        <w:jc w:val="both"/>
        <w:rPr>
          <w:rFonts w:ascii="Calibri" w:hAnsi="Calibri" w:cs="Calibri"/>
          <w:b/>
          <w:bCs/>
        </w:rPr>
      </w:pPr>
      <w:r w:rsidRPr="00140D59">
        <w:rPr>
          <w:rStyle w:val="Appelnotedebasdep"/>
          <w:rFonts w:asciiTheme="minorHAnsi" w:hAnsiTheme="minorHAnsi"/>
        </w:rPr>
        <w:footnoteRef/>
      </w:r>
      <w:r w:rsidRPr="00140D59">
        <w:rPr>
          <w:rFonts w:asciiTheme="minorHAnsi" w:hAnsiTheme="minorHAnsi"/>
        </w:rPr>
        <w:t xml:space="preserve"> </w:t>
      </w:r>
      <w:proofErr w:type="spellStart"/>
      <w:r>
        <w:rPr>
          <w:rFonts w:ascii="Calibri" w:hAnsi="Calibri" w:cs="Calibri"/>
          <w:lang w:val="es-CO"/>
        </w:rPr>
        <w:t>TSP</w:t>
      </w:r>
      <w:proofErr w:type="spellEnd"/>
      <w:r w:rsidRPr="00D75C31">
        <w:rPr>
          <w:rFonts w:ascii="Calibri" w:hAnsi="Calibri" w:cs="Calibri"/>
          <w:lang w:val="es-CO"/>
        </w:rPr>
        <w:t>, Civil – Familia. Sentencia</w:t>
      </w:r>
      <w:r>
        <w:rPr>
          <w:rFonts w:ascii="Calibri" w:hAnsi="Calibri" w:cs="Calibri"/>
          <w:lang w:val="es-CO"/>
        </w:rPr>
        <w:t>s</w:t>
      </w:r>
      <w:r w:rsidRPr="00D75C31">
        <w:rPr>
          <w:rFonts w:ascii="Calibri" w:hAnsi="Calibri" w:cs="Calibri"/>
          <w:lang w:val="es-CO"/>
        </w:rPr>
        <w:t xml:space="preserve"> </w:t>
      </w:r>
      <w:r>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10-08-2016; </w:t>
      </w:r>
      <w:proofErr w:type="spellStart"/>
      <w:r w:rsidRPr="00D75C31">
        <w:rPr>
          <w:rFonts w:ascii="Calibri" w:hAnsi="Calibri" w:cs="Calibri"/>
        </w:rPr>
        <w:t>MP</w:t>
      </w:r>
      <w:proofErr w:type="spellEnd"/>
      <w:r w:rsidRPr="00D75C31">
        <w:rPr>
          <w:rFonts w:ascii="Calibri" w:hAnsi="Calibri" w:cs="Calibri"/>
        </w:rPr>
        <w:t xml:space="preserve">: Jaime </w:t>
      </w:r>
      <w:r>
        <w:rPr>
          <w:rFonts w:ascii="Calibri" w:hAnsi="Calibri" w:cs="Calibri"/>
        </w:rPr>
        <w:t xml:space="preserve">A. </w:t>
      </w:r>
      <w:r w:rsidRPr="00D75C31">
        <w:rPr>
          <w:rFonts w:ascii="Calibri" w:hAnsi="Calibri" w:cs="Calibri"/>
        </w:rPr>
        <w:t xml:space="preserve">Saraza </w:t>
      </w:r>
      <w:r>
        <w:rPr>
          <w:rFonts w:ascii="Calibri" w:hAnsi="Calibri" w:cs="Calibri"/>
        </w:rPr>
        <w:t>N.</w:t>
      </w:r>
      <w:r w:rsidRPr="00D75C31">
        <w:rPr>
          <w:rFonts w:ascii="Calibri" w:hAnsi="Calibri" w:cs="Calibri"/>
        </w:rPr>
        <w:t xml:space="preserve">, </w:t>
      </w:r>
      <w:proofErr w:type="spellStart"/>
      <w:r w:rsidRPr="00D75C31">
        <w:rPr>
          <w:rFonts w:ascii="Calibri" w:hAnsi="Calibri" w:cs="Calibri"/>
        </w:rPr>
        <w:t>exp</w:t>
      </w:r>
      <w:proofErr w:type="spellEnd"/>
      <w:r>
        <w:rPr>
          <w:rFonts w:ascii="Calibri" w:hAnsi="Calibri" w:cs="Calibri"/>
        </w:rPr>
        <w:t xml:space="preserve">. </w:t>
      </w:r>
      <w:proofErr w:type="spellStart"/>
      <w:r w:rsidRPr="00D75C31">
        <w:rPr>
          <w:rFonts w:ascii="Calibri" w:hAnsi="Calibri" w:cs="Calibri"/>
        </w:rPr>
        <w:t>No.2016</w:t>
      </w:r>
      <w:proofErr w:type="spellEnd"/>
      <w:r w:rsidRPr="00D75C31">
        <w:rPr>
          <w:rFonts w:ascii="Calibri" w:hAnsi="Calibri" w:cs="Calibri"/>
        </w:rPr>
        <w:t>-00730-00</w:t>
      </w:r>
      <w:r>
        <w:rPr>
          <w:rFonts w:ascii="Calibri" w:hAnsi="Calibri" w:cs="Calibri"/>
        </w:rPr>
        <w:t>; y, ii) D</w:t>
      </w:r>
      <w:r w:rsidRPr="00D75C31">
        <w:rPr>
          <w:rFonts w:ascii="Calibri" w:hAnsi="Calibri" w:cs="Calibri"/>
          <w:lang w:val="es-CO"/>
        </w:rPr>
        <w:t>el</w:t>
      </w:r>
      <w:r w:rsidRPr="00D75C31">
        <w:rPr>
          <w:rFonts w:ascii="Calibri" w:hAnsi="Calibri" w:cs="Calibri"/>
        </w:rPr>
        <w:t xml:space="preserve"> </w:t>
      </w:r>
      <w:r>
        <w:rPr>
          <w:rFonts w:ascii="Calibri" w:hAnsi="Calibri" w:cs="Calibri"/>
        </w:rPr>
        <w:t>23</w:t>
      </w:r>
      <w:r w:rsidRPr="00D75C31">
        <w:rPr>
          <w:rFonts w:ascii="Calibri" w:hAnsi="Calibri" w:cs="Calibri"/>
        </w:rPr>
        <w:t xml:space="preserve">-08-2016; </w:t>
      </w:r>
      <w:proofErr w:type="spellStart"/>
      <w:r w:rsidRPr="00D75C31">
        <w:rPr>
          <w:rFonts w:ascii="Calibri" w:hAnsi="Calibri" w:cs="Calibri"/>
        </w:rPr>
        <w:t>MP</w:t>
      </w:r>
      <w:proofErr w:type="spellEnd"/>
      <w:r w:rsidRPr="00D75C31">
        <w:rPr>
          <w:rFonts w:ascii="Calibri" w:hAnsi="Calibri" w:cs="Calibri"/>
        </w:rPr>
        <w:t xml:space="preserve">: </w:t>
      </w:r>
      <w:proofErr w:type="spellStart"/>
      <w:r>
        <w:rPr>
          <w:rFonts w:ascii="Calibri" w:hAnsi="Calibri" w:cs="Calibri"/>
        </w:rPr>
        <w:t>Duberney</w:t>
      </w:r>
      <w:proofErr w:type="spellEnd"/>
      <w:r>
        <w:rPr>
          <w:rFonts w:ascii="Calibri" w:hAnsi="Calibri" w:cs="Calibri"/>
        </w:rPr>
        <w:t xml:space="preserve"> Grisales H.</w:t>
      </w:r>
      <w:r w:rsidRPr="00D75C31">
        <w:rPr>
          <w:rFonts w:ascii="Calibri" w:hAnsi="Calibri" w:cs="Calibri"/>
        </w:rPr>
        <w:t xml:space="preserve">, </w:t>
      </w:r>
      <w:proofErr w:type="spellStart"/>
      <w:r>
        <w:rPr>
          <w:rFonts w:ascii="Calibri" w:hAnsi="Calibri" w:cs="Calibri"/>
        </w:rPr>
        <w:t>exp</w:t>
      </w:r>
      <w:proofErr w:type="spellEnd"/>
      <w:r>
        <w:rPr>
          <w:rFonts w:ascii="Calibri" w:hAnsi="Calibri" w:cs="Calibri"/>
        </w:rPr>
        <w:t xml:space="preserve">. </w:t>
      </w:r>
      <w:proofErr w:type="spellStart"/>
      <w:r w:rsidRPr="00D75C31">
        <w:rPr>
          <w:rFonts w:ascii="Calibri" w:hAnsi="Calibri" w:cs="Calibri"/>
        </w:rPr>
        <w:t>No.2016</w:t>
      </w:r>
      <w:proofErr w:type="spellEnd"/>
      <w:r w:rsidRPr="00D75C31">
        <w:rPr>
          <w:rFonts w:ascii="Calibri" w:hAnsi="Calibri" w:cs="Calibri"/>
        </w:rPr>
        <w:t>-</w:t>
      </w:r>
      <w:r>
        <w:rPr>
          <w:rFonts w:ascii="Calibri" w:hAnsi="Calibri" w:cs="Calibri"/>
        </w:rPr>
        <w:t>00794</w:t>
      </w:r>
      <w:r w:rsidRPr="00D75C31">
        <w:rPr>
          <w:rFonts w:ascii="Calibri" w:hAnsi="Calibri" w:cs="Calibri"/>
        </w:rPr>
        <w:t>-00</w:t>
      </w:r>
      <w:r>
        <w:rPr>
          <w:rFonts w:ascii="Calibri" w:hAnsi="Calibri" w:cs="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815D7">
      <w:rPr>
        <w:rFonts w:ascii="Calibri" w:hAnsi="Calibri" w:cs="Calibri"/>
        <w:i/>
        <w:noProof/>
        <w:sz w:val="20"/>
      </w:rPr>
      <w:t>9</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2016-</w:t>
    </w:r>
    <w:r w:rsidR="00B773EE">
      <w:rPr>
        <w:rFonts w:ascii="Calibri" w:hAnsi="Calibri" w:cs="Calibri"/>
        <w:i/>
        <w:sz w:val="20"/>
        <w:szCs w:val="22"/>
      </w:rPr>
      <w:t>01232</w:t>
    </w:r>
    <w:r w:rsidR="00CF1715">
      <w:rPr>
        <w:rFonts w:ascii="Calibri" w:hAnsi="Calibri" w:cs="Calibri"/>
        <w:i/>
        <w:sz w:val="20"/>
        <w:szCs w:val="22"/>
      </w:rPr>
      <w:t>-00</w:t>
    </w:r>
    <w:r w:rsidR="00CC4186">
      <w:rPr>
        <w:rFonts w:ascii="Calibri" w:hAnsi="Calibri" w:cs="Calibri"/>
        <w:i/>
        <w:sz w:val="20"/>
        <w:szCs w:val="22"/>
      </w:rPr>
      <w:t xml:space="preserve"> </w:t>
    </w:r>
    <w:proofErr w:type="spellStart"/>
    <w:r w:rsidR="00CC4186">
      <w:rPr>
        <w:rFonts w:ascii="Calibri" w:hAnsi="Calibri" w:cs="Calibri"/>
        <w:i/>
        <w:sz w:val="20"/>
        <w:szCs w:val="22"/>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285"/>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42E"/>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7B3"/>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3DD"/>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67A"/>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551"/>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2BCA"/>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16B"/>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698"/>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B7C"/>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4EBE"/>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BD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5D7"/>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3EE"/>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2ED"/>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49"/>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2FF4"/>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05C2"/>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0AD6-DFEB-4EA2-B1F9-01F69E8A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3383</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9</cp:revision>
  <cp:lastPrinted>2017-01-18T22:17:00Z</cp:lastPrinted>
  <dcterms:created xsi:type="dcterms:W3CDTF">2017-01-17T22:54:00Z</dcterms:created>
  <dcterms:modified xsi:type="dcterms:W3CDTF">2017-04-27T21:04:00Z</dcterms:modified>
</cp:coreProperties>
</file>