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47" w:rsidRPr="006E4540" w:rsidRDefault="00956F47" w:rsidP="00956F4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956F47" w:rsidRDefault="00956F47" w:rsidP="002403C8">
      <w:pPr>
        <w:pStyle w:val="Sansinterligne"/>
        <w:tabs>
          <w:tab w:val="left" w:pos="3579"/>
        </w:tabs>
        <w:spacing w:line="360" w:lineRule="auto"/>
        <w:jc w:val="center"/>
        <w:rPr>
          <w:rFonts w:ascii="Arial" w:hAnsi="Arial" w:cs="Arial"/>
          <w:w w:val="140"/>
          <w:sz w:val="14"/>
          <w:lang w:val="es-CO"/>
        </w:rPr>
      </w:pPr>
    </w:p>
    <w:p w:rsidR="00542954" w:rsidRDefault="00542954"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56F47">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956F47">
        <w:rPr>
          <w:rFonts w:ascii="Arial" w:hAnsi="Arial" w:cs="Arial"/>
          <w:sz w:val="22"/>
          <w:szCs w:val="22"/>
        </w:rPr>
        <w:t>– 1ª instancia – 08 de febrero de 2017</w:t>
      </w:r>
    </w:p>
    <w:p w:rsidR="00956F47" w:rsidRPr="002060F5" w:rsidRDefault="00956F47"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68647B" w:rsidRP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Accionante</w:t>
      </w:r>
      <w:r w:rsidRPr="0068647B">
        <w:rPr>
          <w:rFonts w:ascii="Arial" w:hAnsi="Arial" w:cs="Arial"/>
          <w:sz w:val="22"/>
        </w:rPr>
        <w:tab/>
      </w:r>
      <w:r w:rsidRPr="0068647B">
        <w:rPr>
          <w:rFonts w:ascii="Arial" w:hAnsi="Arial" w:cs="Arial"/>
          <w:sz w:val="22"/>
        </w:rPr>
        <w:tab/>
        <w:t xml:space="preserve">: </w:t>
      </w:r>
      <w:r w:rsidR="00A9348E">
        <w:rPr>
          <w:rFonts w:ascii="Arial" w:hAnsi="Arial" w:cs="Arial"/>
          <w:sz w:val="22"/>
        </w:rPr>
        <w:t>Alfonso Bonilla Cardona</w:t>
      </w:r>
    </w:p>
    <w:p w:rsidR="0068647B" w:rsidRP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Accionado (s)</w:t>
      </w:r>
      <w:r w:rsidRPr="0068647B">
        <w:rPr>
          <w:rFonts w:ascii="Arial" w:hAnsi="Arial" w:cs="Arial"/>
          <w:sz w:val="22"/>
        </w:rPr>
        <w:tab/>
      </w:r>
      <w:r w:rsidRPr="0068647B">
        <w:rPr>
          <w:rFonts w:ascii="Arial" w:hAnsi="Arial" w:cs="Arial"/>
          <w:sz w:val="22"/>
        </w:rPr>
        <w:tab/>
        <w:t xml:space="preserve">: </w:t>
      </w:r>
      <w:r w:rsidR="00A9348E">
        <w:rPr>
          <w:rFonts w:ascii="Arial" w:hAnsi="Arial" w:cs="Arial"/>
          <w:sz w:val="22"/>
          <w:lang w:val="es-CO"/>
        </w:rPr>
        <w:t>Comisión Nacional del Servicio Civil y otra</w:t>
      </w:r>
    </w:p>
    <w:p w:rsidR="00A9348E" w:rsidRDefault="0068647B" w:rsidP="00A9348E">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Litisconsorte (s)</w:t>
      </w:r>
      <w:r w:rsidRPr="0068647B">
        <w:rPr>
          <w:rFonts w:ascii="Arial" w:hAnsi="Arial" w:cs="Arial"/>
          <w:sz w:val="22"/>
        </w:rPr>
        <w:tab/>
        <w:t xml:space="preserve">: </w:t>
      </w:r>
      <w:r w:rsidR="00A9348E">
        <w:rPr>
          <w:rFonts w:ascii="Arial" w:hAnsi="Arial" w:cs="Arial"/>
          <w:sz w:val="22"/>
        </w:rPr>
        <w:t xml:space="preserve">Elegibles para el cargo de profesional especializado, código </w:t>
      </w:r>
    </w:p>
    <w:p w:rsidR="0068647B" w:rsidRPr="0068647B" w:rsidRDefault="00A9348E" w:rsidP="00A9348E">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A9348E">
        <w:rPr>
          <w:rFonts w:ascii="Arial" w:hAnsi="Arial" w:cs="Arial"/>
          <w:color w:val="FFFFFF" w:themeColor="background1"/>
          <w:sz w:val="22"/>
        </w:rPr>
        <w:t xml:space="preserve">; </w:t>
      </w:r>
      <w:r>
        <w:rPr>
          <w:rFonts w:ascii="Arial" w:hAnsi="Arial" w:cs="Arial"/>
          <w:sz w:val="22"/>
        </w:rPr>
        <w:t>2028, grado 13 y otra</w:t>
      </w:r>
    </w:p>
    <w:p w:rsid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Radicación</w:t>
      </w:r>
      <w:r w:rsidRPr="0068647B">
        <w:rPr>
          <w:rFonts w:ascii="Arial" w:hAnsi="Arial" w:cs="Arial"/>
          <w:sz w:val="22"/>
        </w:rPr>
        <w:tab/>
      </w:r>
      <w:r w:rsidRPr="0068647B">
        <w:rPr>
          <w:rFonts w:ascii="Arial" w:hAnsi="Arial" w:cs="Arial"/>
          <w:sz w:val="22"/>
        </w:rPr>
        <w:tab/>
        <w:t xml:space="preserve">: </w:t>
      </w:r>
      <w:r w:rsidR="00A9348E">
        <w:rPr>
          <w:rFonts w:ascii="Arial" w:hAnsi="Arial" w:cs="Arial"/>
          <w:sz w:val="22"/>
        </w:rPr>
        <w:t>2017-00040-00 (Interna No.40)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sidR="00A3743E">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5B5611">
        <w:rPr>
          <w:rFonts w:ascii="Arial" w:hAnsi="Arial"/>
          <w:sz w:val="22"/>
          <w:szCs w:val="22"/>
        </w:rPr>
        <w:t xml:space="preserve"> </w:t>
      </w:r>
      <w:r w:rsidR="00770C55">
        <w:rPr>
          <w:rFonts w:ascii="Arial" w:hAnsi="Arial"/>
          <w:sz w:val="22"/>
          <w:szCs w:val="22"/>
        </w:rPr>
        <w:t>56 de 08-02-2017</w:t>
      </w:r>
    </w:p>
    <w:p w:rsidR="00542954" w:rsidRDefault="00542954" w:rsidP="00D70A1B">
      <w:pPr>
        <w:spacing w:line="360" w:lineRule="auto"/>
        <w:ind w:left="708" w:firstLine="708"/>
        <w:rPr>
          <w:rFonts w:ascii="Arial" w:hAnsi="Arial"/>
          <w:sz w:val="22"/>
          <w:szCs w:val="22"/>
        </w:rPr>
      </w:pPr>
    </w:p>
    <w:p w:rsidR="00956F47" w:rsidRDefault="00542954" w:rsidP="00542954">
      <w:pPr>
        <w:pBdr>
          <w:bottom w:val="double" w:sz="6" w:space="1" w:color="auto"/>
        </w:pBdr>
        <w:tabs>
          <w:tab w:val="left" w:pos="1276"/>
        </w:tabs>
        <w:ind w:left="1276" w:hanging="1276"/>
        <w:jc w:val="both"/>
        <w:rPr>
          <w:rFonts w:ascii="Arial" w:hAnsi="Arial" w:cs="Arial"/>
          <w:b/>
          <w:bCs/>
          <w:sz w:val="22"/>
          <w:szCs w:val="22"/>
        </w:rPr>
      </w:pPr>
      <w:r>
        <w:rPr>
          <w:rFonts w:ascii="Arial" w:hAnsi="Arial" w:cs="Arial"/>
          <w:sz w:val="22"/>
        </w:rPr>
        <w:tab/>
      </w:r>
      <w:r w:rsidR="00956F47" w:rsidRPr="0068647B">
        <w:rPr>
          <w:rFonts w:ascii="Arial" w:hAnsi="Arial" w:cs="Arial"/>
          <w:sz w:val="22"/>
        </w:rPr>
        <w:t>Temas</w:t>
      </w:r>
      <w:r w:rsidR="00956F47" w:rsidRPr="0068647B">
        <w:rPr>
          <w:rFonts w:ascii="Arial" w:hAnsi="Arial" w:cs="Arial"/>
          <w:sz w:val="22"/>
        </w:rPr>
        <w:tab/>
      </w:r>
      <w:r w:rsidR="00956F47" w:rsidRPr="0068647B">
        <w:rPr>
          <w:rFonts w:ascii="Arial" w:hAnsi="Arial" w:cs="Arial"/>
          <w:sz w:val="22"/>
        </w:rPr>
        <w:tab/>
      </w:r>
      <w:r w:rsidR="00956F47" w:rsidRPr="0068647B">
        <w:rPr>
          <w:rFonts w:ascii="Arial" w:hAnsi="Arial" w:cs="Arial"/>
          <w:sz w:val="22"/>
        </w:rPr>
        <w:tab/>
        <w:t>:</w:t>
      </w:r>
      <w:r w:rsidR="00956F47" w:rsidRPr="00304ACE">
        <w:rPr>
          <w:rFonts w:ascii="Arial" w:hAnsi="Arial" w:cs="Arial"/>
          <w:sz w:val="22"/>
          <w:szCs w:val="22"/>
        </w:rPr>
        <w:t xml:space="preserve"> </w:t>
      </w:r>
      <w:r w:rsidRPr="00542954">
        <w:rPr>
          <w:rFonts w:ascii="Arial" w:hAnsi="Arial" w:cs="Arial"/>
          <w:b/>
          <w:bCs/>
          <w:iCs/>
          <w:sz w:val="22"/>
          <w:szCs w:val="18"/>
        </w:rPr>
        <w:t xml:space="preserve">CONCURSO DE MÉRITOS / ACTO ADMINISTRATIVO GENERAL / CARÁCTER RESIDUAL DE LA ACCIÓN DE TUTELA / EXISTE OTRO MEDIO DE DEFENSA JUDICIAL / IMPROCEDENCIA. </w:t>
      </w:r>
      <w:r w:rsidRPr="00542954">
        <w:rPr>
          <w:rFonts w:ascii="Arial" w:hAnsi="Arial" w:cs="Arial"/>
          <w:bCs/>
          <w:iCs/>
          <w:sz w:val="22"/>
          <w:szCs w:val="18"/>
        </w:rPr>
        <w:t>“</w:t>
      </w:r>
      <w:r w:rsidRPr="00542954">
        <w:rPr>
          <w:rFonts w:ascii="Arial" w:hAnsi="Arial" w:cs="Arial"/>
          <w:bCs/>
          <w:iCs/>
          <w:sz w:val="22"/>
          <w:szCs w:val="18"/>
          <w:lang w:val="es-ES_tradnl"/>
        </w:rPr>
        <w:t xml:space="preserve">[E]l acto administrativo atacado, aun cuando fue dictado dentro de un trámite en el que se investiga la posibilidad de excluir de la lista de elegibles a una persona diferente del actor, guarda directa relación con sus intereses individuales, pues supuso la imposibilidad de que haya sido nombrado en el cargo para el cual concursó, de tal suerte, que se advierte su legitimación para cuestionarlo, además, es claro su carácter particular, pues suspendió la firmeza y ejecución de una lista de elegibles conformada por un grupo determinado de personas, incluido, el accionante. </w:t>
      </w:r>
      <w:r w:rsidRPr="00542954">
        <w:rPr>
          <w:rFonts w:ascii="Arial" w:hAnsi="Arial" w:cs="Arial"/>
          <w:bCs/>
          <w:iCs/>
          <w:sz w:val="22"/>
          <w:szCs w:val="18"/>
          <w:lang w:val="es-CO"/>
        </w:rPr>
        <w:t>Nuestro sistema jurídico</w:t>
      </w:r>
      <w:r w:rsidRPr="00542954">
        <w:rPr>
          <w:rFonts w:ascii="Arial" w:hAnsi="Arial" w:cs="Arial"/>
          <w:bCs/>
          <w:iCs/>
          <w:sz w:val="22"/>
          <w:szCs w:val="18"/>
          <w:lang w:val="es-ES_tradnl"/>
        </w:rPr>
        <w:t xml:space="preserve">, tiene </w:t>
      </w:r>
      <w:r w:rsidRPr="00542954">
        <w:rPr>
          <w:rFonts w:ascii="Arial" w:hAnsi="Arial" w:cs="Arial"/>
          <w:bCs/>
          <w:iCs/>
          <w:sz w:val="22"/>
          <w:szCs w:val="18"/>
          <w:lang w:val="es-CO"/>
        </w:rPr>
        <w:t>previstos mecanismos de defensa, como los medios de control de nulidad y restablecimiento del derecho y de simple nulidad (Reguladas</w:t>
      </w:r>
      <w:r w:rsidRPr="00542954">
        <w:rPr>
          <w:rFonts w:ascii="Arial" w:hAnsi="Arial" w:cs="Arial"/>
          <w:bCs/>
          <w:iCs/>
          <w:sz w:val="22"/>
          <w:szCs w:val="18"/>
        </w:rPr>
        <w:t xml:space="preserve"> en los artículos 137 y 138-2 del </w:t>
      </w:r>
      <w:proofErr w:type="spellStart"/>
      <w:r w:rsidRPr="00542954">
        <w:rPr>
          <w:rFonts w:ascii="Arial" w:hAnsi="Arial" w:cs="Arial"/>
          <w:bCs/>
          <w:iCs/>
          <w:sz w:val="22"/>
          <w:szCs w:val="18"/>
        </w:rPr>
        <w:t>CPACA</w:t>
      </w:r>
      <w:proofErr w:type="spellEnd"/>
      <w:r w:rsidRPr="00542954">
        <w:rPr>
          <w:rFonts w:ascii="Arial" w:hAnsi="Arial" w:cs="Arial"/>
          <w:bCs/>
          <w:iCs/>
          <w:sz w:val="22"/>
          <w:szCs w:val="18"/>
        </w:rPr>
        <w:t xml:space="preserve">) </w:t>
      </w:r>
      <w:r w:rsidRPr="00542954">
        <w:rPr>
          <w:rFonts w:ascii="Arial" w:hAnsi="Arial" w:cs="Arial"/>
          <w:bCs/>
          <w:iCs/>
          <w:sz w:val="22"/>
          <w:szCs w:val="18"/>
          <w:lang w:val="es-CO"/>
        </w:rPr>
        <w:t xml:space="preserve">a través de los cuales el accionante puede demandar y solicitar la medida cautelar de suspensión provisional (Artículo 230, </w:t>
      </w:r>
      <w:proofErr w:type="spellStart"/>
      <w:r w:rsidRPr="00542954">
        <w:rPr>
          <w:rFonts w:ascii="Arial" w:hAnsi="Arial" w:cs="Arial"/>
          <w:bCs/>
          <w:iCs/>
          <w:sz w:val="22"/>
          <w:szCs w:val="18"/>
          <w:lang w:val="es-CO"/>
        </w:rPr>
        <w:t>CPACA</w:t>
      </w:r>
      <w:proofErr w:type="spellEnd"/>
      <w:r w:rsidRPr="00542954">
        <w:rPr>
          <w:rFonts w:ascii="Arial" w:hAnsi="Arial" w:cs="Arial"/>
          <w:bCs/>
          <w:iCs/>
          <w:sz w:val="22"/>
          <w:szCs w:val="18"/>
          <w:lang w:val="es-CO"/>
        </w:rPr>
        <w:t>), es decir, cuenta con</w:t>
      </w:r>
      <w:r w:rsidRPr="00542954">
        <w:rPr>
          <w:rFonts w:ascii="Arial" w:hAnsi="Arial" w:cs="Arial"/>
          <w:bCs/>
          <w:iCs/>
          <w:sz w:val="22"/>
          <w:szCs w:val="18"/>
          <w:lang w:val="es-ES_tradnl"/>
        </w:rPr>
        <w:t xml:space="preserve"> los medios de control contencioso administrativos, que aún no ha agotado, o al menos en el expediente falta prueba en ese sentido. </w:t>
      </w:r>
      <w:r w:rsidRPr="00542954">
        <w:rPr>
          <w:rFonts w:ascii="Arial" w:hAnsi="Arial" w:cs="Arial"/>
          <w:bCs/>
          <w:iCs/>
          <w:sz w:val="22"/>
          <w:szCs w:val="18"/>
        </w:rPr>
        <w:t xml:space="preserve">También es viable que a pesar de la existencia de los medios ordinarios, el actor pueda acudir a la justicia constitucional, pero a condición de que acredite un perjuicio irremediable, que aquí ni siquiera se alegó; pese a ello, si se considerara como argumento la imposibilidad de ser nombrado hasta tanto se resuelva la exclusión presentada, estima la Sala que sería insuficiente para promulgar la supuesta </w:t>
      </w:r>
      <w:proofErr w:type="spellStart"/>
      <w:r w:rsidRPr="00542954">
        <w:rPr>
          <w:rFonts w:ascii="Arial" w:hAnsi="Arial" w:cs="Arial"/>
          <w:bCs/>
          <w:iCs/>
          <w:sz w:val="22"/>
          <w:szCs w:val="18"/>
        </w:rPr>
        <w:t>irremediabilidad</w:t>
      </w:r>
      <w:proofErr w:type="spellEnd"/>
      <w:r w:rsidRPr="00542954">
        <w:rPr>
          <w:rFonts w:ascii="Arial" w:hAnsi="Arial" w:cs="Arial"/>
          <w:bCs/>
          <w:iCs/>
          <w:sz w:val="22"/>
          <w:szCs w:val="18"/>
        </w:rPr>
        <w:t xml:space="preserve">, ya que no concurren las características de inminencia del daño, gravedad, urgencia e </w:t>
      </w:r>
      <w:proofErr w:type="spellStart"/>
      <w:r w:rsidRPr="00542954">
        <w:rPr>
          <w:rFonts w:ascii="Arial" w:hAnsi="Arial" w:cs="Arial"/>
          <w:bCs/>
          <w:iCs/>
          <w:sz w:val="22"/>
          <w:szCs w:val="18"/>
        </w:rPr>
        <w:t>impostergabilidad</w:t>
      </w:r>
      <w:proofErr w:type="spellEnd"/>
      <w:r w:rsidRPr="00542954">
        <w:rPr>
          <w:rFonts w:ascii="Arial" w:hAnsi="Arial" w:cs="Arial"/>
          <w:bCs/>
          <w:iCs/>
          <w:sz w:val="22"/>
          <w:szCs w:val="18"/>
        </w:rPr>
        <w:t>. (…) El accionante sabía con antelación que era viable la promoción de cualquier objeción o solicitud de exclusión, que diera lugar a iniciar un trámite administrativo, por cuya virtud se aplazara la firmeza y ejecución de la lista de elegibles, por lo tanto, es sorpresivo que ahora pretenda desnaturalizar el procedimiento reglado para la provisión de empleos de carrera a través de concurso de méritos, cuando pudo cuestionarlo oportunamente, si es que consideraba que afectaba sus intereses.”.</w:t>
      </w:r>
      <w:r w:rsidR="00956F47" w:rsidRPr="00542954">
        <w:rPr>
          <w:rFonts w:ascii="Arial" w:hAnsi="Arial"/>
          <w:sz w:val="22"/>
          <w:szCs w:val="22"/>
        </w:rPr>
        <w:tab/>
      </w:r>
    </w:p>
    <w:p w:rsidR="00D809D6" w:rsidRDefault="00D809D6" w:rsidP="00F373C4">
      <w:pPr>
        <w:spacing w:line="360" w:lineRule="auto"/>
        <w:jc w:val="center"/>
        <w:rPr>
          <w:rFonts w:ascii="Arial" w:hAnsi="Arial" w:cs="Arial"/>
          <w:b/>
          <w:bCs/>
          <w:sz w:val="22"/>
          <w:szCs w:val="22"/>
        </w:rPr>
      </w:pPr>
    </w:p>
    <w:p w:rsidR="006617DD" w:rsidRPr="00D06248" w:rsidRDefault="006617DD" w:rsidP="006617DD">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Pereira, R</w:t>
      </w:r>
      <w:r w:rsidR="007949D4" w:rsidRPr="00D06248">
        <w:rPr>
          <w:rFonts w:ascii="Arial" w:hAnsi="Arial" w:cs="Arial"/>
          <w:iCs/>
          <w:smallCaps/>
          <w:sz w:val="28"/>
          <w:szCs w:val="28"/>
          <w:lang w:val="es-CO"/>
        </w:rPr>
        <w:t>.</w:t>
      </w:r>
      <w:r w:rsidRPr="00D06248">
        <w:rPr>
          <w:rFonts w:ascii="Arial" w:hAnsi="Arial" w:cs="Arial"/>
          <w:iCs/>
          <w:smallCaps/>
          <w:sz w:val="28"/>
          <w:szCs w:val="28"/>
          <w:lang w:val="es-CO"/>
        </w:rPr>
        <w:t xml:space="preserve">, </w:t>
      </w:r>
      <w:r w:rsidR="00770C55">
        <w:rPr>
          <w:rFonts w:ascii="Arial" w:hAnsi="Arial" w:cs="Arial"/>
          <w:iCs/>
          <w:smallCaps/>
          <w:sz w:val="28"/>
          <w:szCs w:val="28"/>
          <w:lang w:val="es-CO"/>
        </w:rPr>
        <w:t>ocho</w:t>
      </w:r>
      <w:r w:rsidR="00A9348E">
        <w:rPr>
          <w:rFonts w:ascii="Arial" w:hAnsi="Arial" w:cs="Arial"/>
          <w:iCs/>
          <w:smallCaps/>
          <w:sz w:val="28"/>
          <w:szCs w:val="28"/>
          <w:lang w:val="es-CO"/>
        </w:rPr>
        <w:t xml:space="preserve"> </w:t>
      </w:r>
      <w:r w:rsidR="00437198" w:rsidRPr="00D06248">
        <w:rPr>
          <w:rFonts w:ascii="Arial" w:hAnsi="Arial" w:cs="Arial"/>
          <w:iCs/>
          <w:smallCaps/>
          <w:sz w:val="28"/>
          <w:szCs w:val="28"/>
          <w:lang w:val="es-CO"/>
        </w:rPr>
        <w:t>(</w:t>
      </w:r>
      <w:r w:rsidR="00770C55">
        <w:rPr>
          <w:rFonts w:ascii="Arial" w:hAnsi="Arial" w:cs="Arial"/>
          <w:iCs/>
          <w:smallCaps/>
          <w:sz w:val="28"/>
          <w:szCs w:val="28"/>
          <w:lang w:val="es-CO"/>
        </w:rPr>
        <w:t>8</w:t>
      </w:r>
      <w:r w:rsidR="00304ACE" w:rsidRPr="00D06248">
        <w:rPr>
          <w:rFonts w:ascii="Arial" w:hAnsi="Arial" w:cs="Arial"/>
          <w:iCs/>
          <w:smallCaps/>
          <w:sz w:val="28"/>
          <w:szCs w:val="28"/>
          <w:lang w:val="es-CO"/>
        </w:rPr>
        <w:t xml:space="preserve">) </w:t>
      </w:r>
      <w:r w:rsidRPr="00D06248">
        <w:rPr>
          <w:rFonts w:ascii="Arial" w:hAnsi="Arial" w:cs="Arial"/>
          <w:iCs/>
          <w:smallCaps/>
          <w:sz w:val="28"/>
          <w:szCs w:val="28"/>
          <w:lang w:val="es-CO"/>
        </w:rPr>
        <w:t xml:space="preserve">de </w:t>
      </w:r>
      <w:r w:rsidR="00A9348E">
        <w:rPr>
          <w:rFonts w:ascii="Arial" w:hAnsi="Arial" w:cs="Arial"/>
          <w:iCs/>
          <w:smallCaps/>
          <w:sz w:val="28"/>
          <w:szCs w:val="28"/>
          <w:lang w:val="es-CO"/>
        </w:rPr>
        <w:t xml:space="preserve">febrero </w:t>
      </w:r>
      <w:r w:rsidRPr="00D06248">
        <w:rPr>
          <w:rFonts w:ascii="Arial" w:hAnsi="Arial" w:cs="Arial"/>
          <w:iCs/>
          <w:smallCaps/>
          <w:sz w:val="28"/>
          <w:szCs w:val="28"/>
          <w:lang w:val="es-CO"/>
        </w:rPr>
        <w:t xml:space="preserve">de dos mil </w:t>
      </w:r>
      <w:r w:rsidR="00A9348E">
        <w:rPr>
          <w:rFonts w:ascii="Arial" w:hAnsi="Arial" w:cs="Arial"/>
          <w:iCs/>
          <w:smallCaps/>
          <w:sz w:val="28"/>
          <w:szCs w:val="28"/>
          <w:lang w:val="es-CO"/>
        </w:rPr>
        <w:t xml:space="preserve">diecisiete </w:t>
      </w:r>
      <w:r w:rsidRPr="00D06248">
        <w:rPr>
          <w:rFonts w:ascii="Arial" w:hAnsi="Arial" w:cs="Arial"/>
          <w:iCs/>
          <w:smallCaps/>
          <w:sz w:val="28"/>
          <w:szCs w:val="28"/>
          <w:lang w:val="es-CO"/>
        </w:rPr>
        <w:t>(</w:t>
      </w:r>
      <w:r w:rsidR="00A9348E">
        <w:rPr>
          <w:rFonts w:ascii="Arial" w:hAnsi="Arial" w:cs="Arial"/>
          <w:iCs/>
          <w:smallCaps/>
          <w:sz w:val="28"/>
          <w:szCs w:val="28"/>
          <w:lang w:val="es-CO"/>
        </w:rPr>
        <w:t>2017</w:t>
      </w:r>
      <w:r w:rsidRPr="00D06248">
        <w:rPr>
          <w:rFonts w:ascii="Arial" w:hAnsi="Arial" w:cs="Arial"/>
          <w:iCs/>
          <w:smallCaps/>
          <w:sz w:val="28"/>
          <w:szCs w:val="28"/>
          <w:lang w:val="es-CO"/>
        </w:rPr>
        <w:t>)</w:t>
      </w:r>
      <w:r w:rsidRPr="00D06248">
        <w:rPr>
          <w:rFonts w:ascii="Arial" w:hAnsi="Arial" w:cs="Arial"/>
          <w:iCs/>
          <w:sz w:val="28"/>
          <w:szCs w:val="28"/>
          <w:lang w:val="es-CO"/>
        </w:rPr>
        <w:t>.</w:t>
      </w:r>
    </w:p>
    <w:p w:rsidR="00152300" w:rsidRPr="00F9418E" w:rsidRDefault="00152300" w:rsidP="00152300">
      <w:pPr>
        <w:pStyle w:val="Corpsdetexte"/>
        <w:numPr>
          <w:ilvl w:val="0"/>
          <w:numId w:val="1"/>
        </w:numPr>
        <w:spacing w:line="360" w:lineRule="auto"/>
        <w:rPr>
          <w:rFonts w:ascii="Arial" w:hAnsi="Arial"/>
          <w:szCs w:val="24"/>
        </w:rPr>
      </w:pPr>
      <w:r w:rsidRPr="00F9418E">
        <w:rPr>
          <w:rFonts w:ascii="Arial" w:hAnsi="Arial"/>
          <w:szCs w:val="24"/>
        </w:rPr>
        <w:lastRenderedPageBreak/>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542954">
      <w:pPr>
        <w:pStyle w:val="Corpsdetexte"/>
        <w:spacing w:line="240" w:lineRule="auto"/>
        <w:rPr>
          <w:rFonts w:ascii="Arial" w:hAnsi="Arial"/>
          <w:szCs w:val="24"/>
        </w:rPr>
      </w:pPr>
    </w:p>
    <w:p w:rsidR="00235C5D" w:rsidRDefault="0043570B" w:rsidP="00235C5D">
      <w:pPr>
        <w:pStyle w:val="Corpsdetex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Pr="00D06248" w:rsidRDefault="00152300" w:rsidP="00152300">
      <w:pPr>
        <w:pStyle w:val="Corpsdetexte"/>
        <w:spacing w:line="360" w:lineRule="auto"/>
        <w:rPr>
          <w:rFonts w:ascii="Arial" w:hAnsi="Arial"/>
          <w:szCs w:val="24"/>
          <w:lang w:val="es-CO"/>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542954">
      <w:pPr>
        <w:pStyle w:val="Corpsdetexte"/>
        <w:spacing w:line="240" w:lineRule="auto"/>
        <w:rPr>
          <w:rFonts w:ascii="Arial" w:hAnsi="Arial" w:cs="Arial"/>
          <w:szCs w:val="24"/>
        </w:rPr>
      </w:pPr>
    </w:p>
    <w:p w:rsidR="003F6118" w:rsidRPr="008644AE" w:rsidRDefault="0073451A" w:rsidP="00152300">
      <w:pPr>
        <w:spacing w:line="360" w:lineRule="auto"/>
        <w:jc w:val="both"/>
        <w:rPr>
          <w:rFonts w:ascii="Arial" w:hAnsi="Arial" w:cs="Arial"/>
        </w:rPr>
      </w:pPr>
      <w:r w:rsidRPr="008644AE">
        <w:rPr>
          <w:rFonts w:ascii="Arial" w:hAnsi="Arial" w:cs="Arial"/>
        </w:rPr>
        <w:t xml:space="preserve">Expuso </w:t>
      </w:r>
      <w:r w:rsidR="00A9348E" w:rsidRPr="008644AE">
        <w:rPr>
          <w:rFonts w:ascii="Arial" w:hAnsi="Arial" w:cs="Arial"/>
        </w:rPr>
        <w:t xml:space="preserve">el actor </w:t>
      </w:r>
      <w:r w:rsidR="00AA2369" w:rsidRPr="008644AE">
        <w:rPr>
          <w:rFonts w:ascii="Arial" w:hAnsi="Arial" w:cs="Arial"/>
        </w:rPr>
        <w:t>que</w:t>
      </w:r>
      <w:r w:rsidR="00A9348E" w:rsidRPr="008644AE">
        <w:rPr>
          <w:rFonts w:ascii="Arial" w:hAnsi="Arial" w:cs="Arial"/>
        </w:rPr>
        <w:t xml:space="preserve"> es el primero de la lista </w:t>
      </w:r>
      <w:r w:rsidR="00865F5F" w:rsidRPr="008644AE">
        <w:rPr>
          <w:rFonts w:ascii="Arial" w:hAnsi="Arial" w:cs="Arial"/>
          <w:lang w:val="es-CO"/>
        </w:rPr>
        <w:t xml:space="preserve">que conformó </w:t>
      </w:r>
      <w:r w:rsidR="00A9348E" w:rsidRPr="008644AE">
        <w:rPr>
          <w:rFonts w:ascii="Arial" w:hAnsi="Arial" w:cs="Arial"/>
          <w:lang w:val="es-CO"/>
        </w:rPr>
        <w:t>la accionada</w:t>
      </w:r>
      <w:r w:rsidR="00865F5F" w:rsidRPr="008644AE">
        <w:rPr>
          <w:rFonts w:ascii="Arial" w:hAnsi="Arial" w:cs="Arial"/>
          <w:lang w:val="es-CO"/>
        </w:rPr>
        <w:t>,</w:t>
      </w:r>
      <w:r w:rsidR="00A9348E" w:rsidRPr="008644AE">
        <w:rPr>
          <w:rFonts w:ascii="Arial" w:hAnsi="Arial" w:cs="Arial"/>
          <w:lang w:val="es-CO"/>
        </w:rPr>
        <w:t xml:space="preserve"> </w:t>
      </w:r>
      <w:r w:rsidR="00A9348E" w:rsidRPr="008644AE">
        <w:rPr>
          <w:rFonts w:ascii="Arial" w:hAnsi="Arial" w:cs="Arial"/>
        </w:rPr>
        <w:t xml:space="preserve">mediante </w:t>
      </w:r>
      <w:r w:rsidR="008D32DD">
        <w:rPr>
          <w:rFonts w:ascii="Arial" w:hAnsi="Arial" w:cs="Arial"/>
        </w:rPr>
        <w:t xml:space="preserve">la </w:t>
      </w:r>
      <w:r w:rsidR="00A9348E" w:rsidRPr="008644AE">
        <w:rPr>
          <w:rFonts w:ascii="Arial" w:hAnsi="Arial" w:cs="Arial"/>
        </w:rPr>
        <w:t>resolución No.CNSC-20162210035485 de 03-10-2016</w:t>
      </w:r>
      <w:r w:rsidR="00865F5F" w:rsidRPr="008644AE">
        <w:rPr>
          <w:rFonts w:ascii="Arial" w:hAnsi="Arial" w:cs="Arial"/>
        </w:rPr>
        <w:t>,</w:t>
      </w:r>
      <w:r w:rsidR="00A9348E" w:rsidRPr="008644AE">
        <w:rPr>
          <w:rFonts w:ascii="Arial" w:hAnsi="Arial" w:cs="Arial"/>
        </w:rPr>
        <w:t xml:space="preserve"> para proveer una vacante</w:t>
      </w:r>
      <w:r w:rsidR="008D32DD">
        <w:rPr>
          <w:rFonts w:ascii="Arial" w:hAnsi="Arial" w:cs="Arial"/>
        </w:rPr>
        <w:t xml:space="preserve"> en el DPS</w:t>
      </w:r>
      <w:r w:rsidR="007C6CE9" w:rsidRPr="008644AE">
        <w:rPr>
          <w:rFonts w:ascii="Arial" w:hAnsi="Arial" w:cs="Arial"/>
        </w:rPr>
        <w:t xml:space="preserve">, </w:t>
      </w:r>
      <w:r w:rsidR="00865F5F" w:rsidRPr="008644AE">
        <w:rPr>
          <w:rFonts w:ascii="Arial" w:hAnsi="Arial" w:cs="Arial"/>
        </w:rPr>
        <w:t xml:space="preserve">acto administrativo </w:t>
      </w:r>
      <w:r w:rsidR="00A63585">
        <w:rPr>
          <w:rFonts w:ascii="Arial" w:hAnsi="Arial" w:cs="Arial"/>
        </w:rPr>
        <w:t>que esa misma entidad</w:t>
      </w:r>
      <w:r w:rsidR="00E931E8" w:rsidRPr="008644AE">
        <w:rPr>
          <w:rFonts w:ascii="Arial" w:hAnsi="Arial" w:cs="Arial"/>
        </w:rPr>
        <w:t>,</w:t>
      </w:r>
      <w:r w:rsidR="007C6CE9" w:rsidRPr="008644AE">
        <w:rPr>
          <w:rFonts w:ascii="Arial" w:hAnsi="Arial" w:cs="Arial"/>
        </w:rPr>
        <w:t xml:space="preserve"> </w:t>
      </w:r>
      <w:r w:rsidR="00865F5F" w:rsidRPr="008644AE">
        <w:rPr>
          <w:rFonts w:ascii="Arial" w:hAnsi="Arial" w:cs="Arial"/>
        </w:rPr>
        <w:t>de forma extemporánea</w:t>
      </w:r>
      <w:r w:rsidR="00E931E8" w:rsidRPr="008644AE">
        <w:rPr>
          <w:rFonts w:ascii="Arial" w:hAnsi="Arial" w:cs="Arial"/>
        </w:rPr>
        <w:t>,</w:t>
      </w:r>
      <w:r w:rsidR="00865F5F" w:rsidRPr="008644AE">
        <w:rPr>
          <w:rFonts w:ascii="Arial" w:hAnsi="Arial" w:cs="Arial"/>
        </w:rPr>
        <w:t xml:space="preserve"> </w:t>
      </w:r>
      <w:r w:rsidR="007C6CE9" w:rsidRPr="008644AE">
        <w:rPr>
          <w:rFonts w:ascii="Arial" w:hAnsi="Arial" w:cs="Arial"/>
        </w:rPr>
        <w:t xml:space="preserve">solicitó la exclusión de </w:t>
      </w:r>
      <w:r w:rsidR="00A63585">
        <w:rPr>
          <w:rFonts w:ascii="Arial" w:hAnsi="Arial" w:cs="Arial"/>
        </w:rPr>
        <w:t xml:space="preserve">quien </w:t>
      </w:r>
      <w:r w:rsidR="007C6CE9" w:rsidRPr="008644AE">
        <w:rPr>
          <w:rFonts w:ascii="Arial" w:hAnsi="Arial" w:cs="Arial"/>
        </w:rPr>
        <w:t xml:space="preserve">ocupa el segundo </w:t>
      </w:r>
      <w:r w:rsidR="003F6118" w:rsidRPr="008644AE">
        <w:rPr>
          <w:rFonts w:ascii="Arial" w:hAnsi="Arial" w:cs="Arial"/>
        </w:rPr>
        <w:t>puesto</w:t>
      </w:r>
      <w:r w:rsidR="00E931E8" w:rsidRPr="008644AE">
        <w:rPr>
          <w:rFonts w:ascii="Arial" w:hAnsi="Arial" w:cs="Arial"/>
        </w:rPr>
        <w:t xml:space="preserve">, lo que dio lugar a que la CNSC, con decisión del 09-11-2016, iniciara el trámite correspondiente y dispusiera que </w:t>
      </w:r>
      <w:r w:rsidR="008D32DD">
        <w:rPr>
          <w:rFonts w:ascii="Arial" w:hAnsi="Arial" w:cs="Arial"/>
        </w:rPr>
        <w:t xml:space="preserve">dicha lista </w:t>
      </w:r>
      <w:r w:rsidR="00E931E8" w:rsidRPr="008644AE">
        <w:rPr>
          <w:rFonts w:ascii="Arial" w:hAnsi="Arial" w:cs="Arial"/>
        </w:rPr>
        <w:t xml:space="preserve">no </w:t>
      </w:r>
      <w:r w:rsidR="003F6118" w:rsidRPr="008644AE">
        <w:rPr>
          <w:rFonts w:ascii="Arial" w:hAnsi="Arial" w:cs="Arial"/>
        </w:rPr>
        <w:t>cobrara</w:t>
      </w:r>
      <w:r w:rsidR="00E931E8" w:rsidRPr="008644AE">
        <w:rPr>
          <w:rFonts w:ascii="Arial" w:hAnsi="Arial" w:cs="Arial"/>
        </w:rPr>
        <w:t xml:space="preserve"> firmeza </w:t>
      </w:r>
      <w:r w:rsidR="003F6118" w:rsidRPr="008644AE">
        <w:rPr>
          <w:rFonts w:ascii="Arial" w:hAnsi="Arial" w:cs="Arial"/>
        </w:rPr>
        <w:t xml:space="preserve">ni </w:t>
      </w:r>
      <w:r w:rsidR="00E931E8" w:rsidRPr="008644AE">
        <w:rPr>
          <w:rFonts w:ascii="Arial" w:hAnsi="Arial" w:cs="Arial"/>
        </w:rPr>
        <w:t>ejecutoria</w:t>
      </w:r>
      <w:r w:rsidR="008D32DD">
        <w:rPr>
          <w:rFonts w:ascii="Arial" w:hAnsi="Arial" w:cs="Arial"/>
        </w:rPr>
        <w:t>,</w:t>
      </w:r>
      <w:r w:rsidR="00E931E8" w:rsidRPr="008644AE">
        <w:rPr>
          <w:rFonts w:ascii="Arial" w:hAnsi="Arial" w:cs="Arial"/>
        </w:rPr>
        <w:t xml:space="preserve"> hasta tanto </w:t>
      </w:r>
      <w:r w:rsidR="003F6118" w:rsidRPr="008644AE">
        <w:rPr>
          <w:rFonts w:ascii="Arial" w:hAnsi="Arial" w:cs="Arial"/>
        </w:rPr>
        <w:t xml:space="preserve">se </w:t>
      </w:r>
      <w:r w:rsidR="00E931E8" w:rsidRPr="008644AE">
        <w:rPr>
          <w:rFonts w:ascii="Arial" w:hAnsi="Arial" w:cs="Arial"/>
        </w:rPr>
        <w:t>resolviera</w:t>
      </w:r>
      <w:r w:rsidR="003F6118" w:rsidRPr="008644AE">
        <w:rPr>
          <w:rFonts w:ascii="Arial" w:hAnsi="Arial" w:cs="Arial"/>
        </w:rPr>
        <w:t xml:space="preserve"> </w:t>
      </w:r>
      <w:r w:rsidR="008D32DD">
        <w:rPr>
          <w:rFonts w:ascii="Arial" w:hAnsi="Arial" w:cs="Arial"/>
        </w:rPr>
        <w:t xml:space="preserve">aquel </w:t>
      </w:r>
      <w:r w:rsidR="003F6118" w:rsidRPr="008644AE">
        <w:rPr>
          <w:rFonts w:ascii="Arial" w:hAnsi="Arial" w:cs="Arial"/>
        </w:rPr>
        <w:t>asunto.</w:t>
      </w:r>
    </w:p>
    <w:p w:rsidR="003F6118" w:rsidRPr="008644AE" w:rsidRDefault="003F6118" w:rsidP="00152300">
      <w:pPr>
        <w:spacing w:line="360" w:lineRule="auto"/>
        <w:jc w:val="both"/>
        <w:rPr>
          <w:rFonts w:ascii="Arial" w:hAnsi="Arial" w:cs="Arial"/>
        </w:rPr>
      </w:pPr>
    </w:p>
    <w:p w:rsidR="007C6CE9" w:rsidRDefault="003F6118" w:rsidP="00152300">
      <w:pPr>
        <w:spacing w:line="360" w:lineRule="auto"/>
        <w:jc w:val="both"/>
        <w:rPr>
          <w:rFonts w:ascii="Arial" w:hAnsi="Arial" w:cs="Arial"/>
        </w:rPr>
      </w:pPr>
      <w:r w:rsidRPr="008644AE">
        <w:rPr>
          <w:rFonts w:ascii="Arial" w:hAnsi="Arial" w:cs="Arial"/>
        </w:rPr>
        <w:t>Agregó que desde la expedición de la resolución tiene un derecho adquirido</w:t>
      </w:r>
      <w:r w:rsidR="00A63585">
        <w:rPr>
          <w:rFonts w:ascii="Arial" w:hAnsi="Arial" w:cs="Arial"/>
        </w:rPr>
        <w:t>,</w:t>
      </w:r>
      <w:r w:rsidRPr="008644AE">
        <w:rPr>
          <w:rFonts w:ascii="Arial" w:hAnsi="Arial" w:cs="Arial"/>
        </w:rPr>
        <w:t xml:space="preserve"> a ser nombrado</w:t>
      </w:r>
      <w:r w:rsidR="008D32DD">
        <w:rPr>
          <w:rFonts w:ascii="Arial" w:hAnsi="Arial" w:cs="Arial"/>
        </w:rPr>
        <w:t xml:space="preserve"> en propiedad</w:t>
      </w:r>
      <w:r w:rsidRPr="008644AE">
        <w:rPr>
          <w:rFonts w:ascii="Arial" w:hAnsi="Arial" w:cs="Arial"/>
        </w:rPr>
        <w:t xml:space="preserve">, </w:t>
      </w:r>
      <w:r w:rsidR="008644AE" w:rsidRPr="008644AE">
        <w:rPr>
          <w:rFonts w:ascii="Arial" w:hAnsi="Arial" w:cs="Arial"/>
        </w:rPr>
        <w:t xml:space="preserve">porque la </w:t>
      </w:r>
      <w:r w:rsidRPr="008644AE">
        <w:rPr>
          <w:rFonts w:ascii="Arial" w:hAnsi="Arial" w:cs="Arial"/>
        </w:rPr>
        <w:t xml:space="preserve">exclusión adelantada </w:t>
      </w:r>
      <w:r w:rsidR="008D32DD">
        <w:rPr>
          <w:rFonts w:ascii="Arial" w:hAnsi="Arial" w:cs="Arial"/>
        </w:rPr>
        <w:t xml:space="preserve">no </w:t>
      </w:r>
      <w:r w:rsidR="008644AE" w:rsidRPr="008644AE">
        <w:rPr>
          <w:rFonts w:ascii="Arial" w:hAnsi="Arial" w:cs="Arial"/>
        </w:rPr>
        <w:t xml:space="preserve">afecta el orden de elegibilidad, además de que ninguna objeción se presentó respecto al puntaje obtenido por las </w:t>
      </w:r>
      <w:r w:rsidR="008D32DD">
        <w:rPr>
          <w:rFonts w:ascii="Arial" w:hAnsi="Arial" w:cs="Arial"/>
        </w:rPr>
        <w:t xml:space="preserve">demás </w:t>
      </w:r>
      <w:r w:rsidR="008644AE" w:rsidRPr="008644AE">
        <w:rPr>
          <w:rFonts w:ascii="Arial" w:hAnsi="Arial" w:cs="Arial"/>
        </w:rPr>
        <w:t>personas incluidas en la lista</w:t>
      </w:r>
      <w:r w:rsidR="003E18C4">
        <w:rPr>
          <w:rFonts w:ascii="Arial" w:hAnsi="Arial" w:cs="Arial"/>
        </w:rPr>
        <w:t xml:space="preserve"> (Folios 2 a 19, este cuaderno)</w:t>
      </w:r>
      <w:r w:rsidR="008644AE" w:rsidRPr="008644AE">
        <w:rPr>
          <w:rFonts w:ascii="Arial" w:hAnsi="Arial" w:cs="Arial"/>
        </w:rPr>
        <w:t>.</w:t>
      </w:r>
      <w:r w:rsidR="008644AE">
        <w:rPr>
          <w:rFonts w:ascii="Arial" w:hAnsi="Arial" w:cs="Arial"/>
          <w:highlight w:val="yellow"/>
        </w:rPr>
        <w:t xml:space="preserve"> </w:t>
      </w:r>
    </w:p>
    <w:p w:rsidR="007C6CE9" w:rsidRDefault="007C6CE9" w:rsidP="00152300">
      <w:pPr>
        <w:spacing w:line="360" w:lineRule="auto"/>
        <w:jc w:val="both"/>
        <w:rPr>
          <w:rFonts w:ascii="Arial" w:hAnsi="Arial" w:cs="Arial"/>
        </w:rPr>
      </w:pPr>
    </w:p>
    <w:p w:rsidR="0099045D"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542954" w:rsidRPr="00F9418E" w:rsidRDefault="00542954" w:rsidP="00542954">
      <w:pPr>
        <w:pStyle w:val="Corpsdetexte"/>
        <w:spacing w:line="240" w:lineRule="auto"/>
        <w:ind w:left="360"/>
        <w:rPr>
          <w:rFonts w:ascii="Arial" w:hAnsi="Arial"/>
          <w:szCs w:val="24"/>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3E18C4">
        <w:rPr>
          <w:rFonts w:ascii="Arial" w:hAnsi="Arial" w:cs="Arial"/>
          <w:spacing w:val="-3"/>
          <w:lang w:val="es-ES_tradnl"/>
        </w:rPr>
        <w:t xml:space="preserve">trabajo, el </w:t>
      </w:r>
      <w:r w:rsidR="002F2C09">
        <w:rPr>
          <w:rFonts w:ascii="Arial" w:hAnsi="Arial" w:cs="Arial"/>
          <w:spacing w:val="-3"/>
          <w:lang w:val="es-ES_tradnl"/>
        </w:rPr>
        <w:t>debido proceso</w:t>
      </w:r>
      <w:r w:rsidR="003E18C4">
        <w:rPr>
          <w:rFonts w:ascii="Arial" w:hAnsi="Arial" w:cs="Arial"/>
          <w:spacing w:val="-3"/>
          <w:lang w:val="es-ES_tradnl"/>
        </w:rPr>
        <w:t xml:space="preserve">, los fines esenciales del Estado </w:t>
      </w:r>
      <w:r w:rsidR="00196C98">
        <w:rPr>
          <w:rFonts w:ascii="Arial" w:hAnsi="Arial" w:cs="Arial"/>
          <w:spacing w:val="-3"/>
          <w:lang w:val="es-ES_tradnl"/>
        </w:rPr>
        <w:t xml:space="preserve"> </w:t>
      </w:r>
      <w:r w:rsidR="003E18C4">
        <w:rPr>
          <w:rFonts w:ascii="Arial" w:hAnsi="Arial" w:cs="Arial"/>
          <w:spacing w:val="-3"/>
          <w:lang w:val="es-ES_tradnl"/>
        </w:rPr>
        <w:t xml:space="preserve">y el estado social de derecho </w:t>
      </w:r>
      <w:r w:rsidR="00235C5D" w:rsidRPr="00AF753A">
        <w:rPr>
          <w:rFonts w:ascii="Arial" w:hAnsi="Arial" w:cs="Arial"/>
        </w:rPr>
        <w:t>(Folio</w:t>
      </w:r>
      <w:r w:rsidR="00235C5D">
        <w:rPr>
          <w:rFonts w:ascii="Arial" w:hAnsi="Arial" w:cs="Arial"/>
        </w:rPr>
        <w:t xml:space="preserve"> </w:t>
      </w:r>
      <w:r w:rsidR="003E18C4">
        <w:rPr>
          <w:rFonts w:ascii="Arial" w:hAnsi="Arial" w:cs="Arial"/>
        </w:rPr>
        <w:t>2</w:t>
      </w:r>
      <w:r w:rsidR="00235C5D" w:rsidRPr="00AF753A">
        <w:rPr>
          <w:rFonts w:ascii="Arial" w:hAnsi="Arial" w:cs="Arial"/>
        </w:rPr>
        <w:t xml:space="preserve">, </w:t>
      </w:r>
      <w:r w:rsidR="00235C5D">
        <w:rPr>
          <w:rFonts w:ascii="Arial" w:hAnsi="Arial" w:cs="Arial"/>
        </w:rPr>
        <w:t>este cuaderno)</w:t>
      </w:r>
      <w:r w:rsidR="00235C5D" w:rsidRPr="00AF753A">
        <w:rPr>
          <w:rFonts w:ascii="Arial" w:hAnsi="Arial" w:cs="Arial"/>
        </w:rPr>
        <w:t>.</w:t>
      </w:r>
    </w:p>
    <w:p w:rsidR="00F02C33"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542954">
      <w:pPr>
        <w:pStyle w:val="Corpsdetexte"/>
        <w:spacing w:line="240" w:lineRule="auto"/>
        <w:ind w:left="360"/>
        <w:rPr>
          <w:rFonts w:ascii="Arial" w:hAnsi="Arial"/>
          <w:szCs w:val="24"/>
        </w:rPr>
      </w:pPr>
    </w:p>
    <w:p w:rsidR="008154F0" w:rsidRPr="004B019A"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sidR="00A63585">
        <w:rPr>
          <w:rFonts w:ascii="Arial" w:hAnsi="Arial" w:cs="Arial"/>
          <w:color w:val="000000"/>
          <w:szCs w:val="24"/>
        </w:rPr>
        <w:t>el</w:t>
      </w:r>
      <w:r>
        <w:rPr>
          <w:rFonts w:ascii="Arial" w:hAnsi="Arial" w:cs="Arial"/>
          <w:color w:val="000000"/>
          <w:szCs w:val="24"/>
        </w:rPr>
        <w:t xml:space="preserve">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w:t>
      </w:r>
      <w:r w:rsidR="003E18C4">
        <w:rPr>
          <w:rFonts w:ascii="Arial" w:hAnsi="Arial" w:cs="Arial"/>
          <w:szCs w:val="24"/>
        </w:rPr>
        <w:t>al DPS nombrar</w:t>
      </w:r>
      <w:r w:rsidR="008D32DD">
        <w:rPr>
          <w:rFonts w:ascii="Arial" w:hAnsi="Arial" w:cs="Arial"/>
          <w:szCs w:val="24"/>
        </w:rPr>
        <w:t>lo</w:t>
      </w:r>
      <w:r w:rsidR="003E18C4">
        <w:rPr>
          <w:rFonts w:ascii="Arial" w:hAnsi="Arial" w:cs="Arial"/>
          <w:szCs w:val="24"/>
        </w:rPr>
        <w:t xml:space="preserve"> en el cargo vacante; o en su defecto, (iii) Se disponga que la CNSC resuelva de forma inmediata el trámite administrativo de exclusión para que quede en firme la lista de elegibles</w:t>
      </w:r>
      <w:r w:rsidR="003E18C4">
        <w:rPr>
          <w:rFonts w:ascii="Arial" w:hAnsi="Arial" w:cs="Arial"/>
          <w:szCs w:val="24"/>
          <w:lang w:val="es-CO"/>
        </w:rPr>
        <w:t xml:space="preserve">; y, (iv) Se </w:t>
      </w:r>
      <w:r w:rsidR="00A63585">
        <w:rPr>
          <w:rFonts w:ascii="Arial" w:hAnsi="Arial" w:cs="Arial"/>
          <w:szCs w:val="24"/>
          <w:lang w:val="es-CO"/>
        </w:rPr>
        <w:t xml:space="preserve">paguen </w:t>
      </w:r>
      <w:r w:rsidR="003E18C4">
        <w:rPr>
          <w:rFonts w:ascii="Arial" w:hAnsi="Arial" w:cs="Arial"/>
          <w:szCs w:val="24"/>
          <w:lang w:val="es-CO"/>
        </w:rPr>
        <w:t xml:space="preserve">los dineros dejados de percibir desde la </w:t>
      </w:r>
      <w:r w:rsidR="008D32DD">
        <w:rPr>
          <w:rFonts w:ascii="Arial" w:hAnsi="Arial" w:cs="Arial"/>
          <w:szCs w:val="24"/>
          <w:lang w:val="es-CO"/>
        </w:rPr>
        <w:t xml:space="preserve">fecha de </w:t>
      </w:r>
      <w:r w:rsidR="003E18C4">
        <w:rPr>
          <w:rFonts w:ascii="Arial" w:hAnsi="Arial" w:cs="Arial"/>
          <w:szCs w:val="24"/>
          <w:lang w:val="es-CO"/>
        </w:rPr>
        <w:t xml:space="preserve">emisión del acto administrativo suspendido </w:t>
      </w:r>
      <w:r w:rsidR="00235C5D" w:rsidRPr="00AF753A">
        <w:rPr>
          <w:rFonts w:ascii="Arial" w:hAnsi="Arial" w:cs="Arial"/>
        </w:rPr>
        <w:t>(Folio</w:t>
      </w:r>
      <w:r w:rsidR="003E18C4">
        <w:rPr>
          <w:rFonts w:ascii="Arial" w:hAnsi="Arial" w:cs="Arial"/>
        </w:rPr>
        <w:t>s</w:t>
      </w:r>
      <w:r w:rsidR="00235C5D">
        <w:rPr>
          <w:rFonts w:ascii="Arial" w:hAnsi="Arial" w:cs="Arial"/>
        </w:rPr>
        <w:t xml:space="preserve"> </w:t>
      </w:r>
      <w:r w:rsidR="003E18C4">
        <w:rPr>
          <w:rFonts w:ascii="Arial" w:hAnsi="Arial" w:cs="Arial"/>
        </w:rPr>
        <w:t>17 y 18, este cuaderno</w:t>
      </w:r>
      <w:r w:rsidR="00235C5D">
        <w:rPr>
          <w:rFonts w:ascii="Arial" w:hAnsi="Arial" w:cs="Arial"/>
        </w:rPr>
        <w:t>)</w:t>
      </w:r>
      <w:r w:rsidR="00235C5D" w:rsidRPr="00AF753A">
        <w:rPr>
          <w:rFonts w:ascii="Arial" w:hAnsi="Arial" w:cs="Arial"/>
        </w:rPr>
        <w:t>.</w:t>
      </w:r>
    </w:p>
    <w:p w:rsidR="00CE71D8" w:rsidRPr="00B5411C"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día </w:t>
      </w:r>
      <w:r w:rsidR="00196C98">
        <w:rPr>
          <w:rFonts w:ascii="Arial" w:hAnsi="Arial"/>
        </w:rPr>
        <w:t>26</w:t>
      </w:r>
      <w:r w:rsidR="00D06248">
        <w:rPr>
          <w:rFonts w:ascii="Arial" w:hAnsi="Arial"/>
        </w:rPr>
        <w:t>-</w:t>
      </w:r>
      <w:r w:rsidR="003E18C4">
        <w:rPr>
          <w:rFonts w:ascii="Arial" w:hAnsi="Arial"/>
        </w:rPr>
        <w:t>01</w:t>
      </w:r>
      <w:r w:rsidR="00EF10BF">
        <w:rPr>
          <w:rFonts w:ascii="Arial" w:hAnsi="Arial"/>
        </w:rPr>
        <w:t>-</w:t>
      </w:r>
      <w:r w:rsidR="003E18C4">
        <w:rPr>
          <w:rFonts w:ascii="Arial" w:hAnsi="Arial"/>
        </w:rPr>
        <w:t xml:space="preserve">2017 </w:t>
      </w:r>
      <w:r w:rsidR="00EF10BF">
        <w:rPr>
          <w:rFonts w:ascii="Arial" w:hAnsi="Arial"/>
        </w:rPr>
        <w:t xml:space="preserve">fue asignada </w:t>
      </w:r>
      <w:r w:rsidR="00EF10BF" w:rsidRPr="00D55E5A">
        <w:rPr>
          <w:rFonts w:ascii="Arial" w:hAnsi="Arial"/>
        </w:rPr>
        <w:t>a este Despacho,</w:t>
      </w:r>
      <w:r>
        <w:rPr>
          <w:rFonts w:ascii="Arial" w:hAnsi="Arial"/>
        </w:rPr>
        <w:t xml:space="preserve"> </w:t>
      </w:r>
      <w:r w:rsidRPr="00B74361">
        <w:rPr>
          <w:rFonts w:ascii="Arial" w:hAnsi="Arial"/>
        </w:rPr>
        <w:t>con providencia</w:t>
      </w:r>
      <w:r w:rsidRPr="008E5A62">
        <w:rPr>
          <w:rFonts w:ascii="Arial" w:hAnsi="Arial"/>
        </w:rPr>
        <w:t xml:space="preserve"> </w:t>
      </w:r>
      <w:r w:rsidR="00D06248">
        <w:rPr>
          <w:rFonts w:ascii="Arial" w:hAnsi="Arial"/>
        </w:rPr>
        <w:t>de</w:t>
      </w:r>
      <w:r w:rsidR="00196C98">
        <w:rPr>
          <w:rFonts w:ascii="Arial" w:hAnsi="Arial"/>
        </w:rPr>
        <w:t xml:space="preserve"> </w:t>
      </w:r>
      <w:r w:rsidR="00D06248">
        <w:rPr>
          <w:rFonts w:ascii="Arial" w:hAnsi="Arial"/>
        </w:rPr>
        <w:t>l</w:t>
      </w:r>
      <w:r w:rsidR="00196C98">
        <w:rPr>
          <w:rFonts w:ascii="Arial" w:hAnsi="Arial"/>
        </w:rPr>
        <w:t>a misma fecha</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 </w:t>
      </w:r>
      <w:r w:rsidR="00A323EA">
        <w:rPr>
          <w:rFonts w:ascii="Arial" w:hAnsi="Arial"/>
        </w:rPr>
        <w:t>43</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notificados l</w:t>
      </w:r>
      <w:r w:rsidR="00D06248">
        <w:rPr>
          <w:rFonts w:ascii="Arial" w:hAnsi="Arial"/>
        </w:rPr>
        <w:t>os extremos de la acción (Folio</w:t>
      </w:r>
      <w:r w:rsidR="00A323EA">
        <w:rPr>
          <w:rFonts w:ascii="Arial" w:hAnsi="Arial"/>
        </w:rPr>
        <w:t>s</w:t>
      </w:r>
      <w:r w:rsidRPr="00D55E5A">
        <w:rPr>
          <w:rFonts w:ascii="Arial" w:hAnsi="Arial"/>
        </w:rPr>
        <w:t xml:space="preserve"> </w:t>
      </w:r>
      <w:r w:rsidR="00A323EA">
        <w:rPr>
          <w:rFonts w:ascii="Arial" w:hAnsi="Arial"/>
        </w:rPr>
        <w:t>44 a 48 y 72 a 82</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A323EA">
        <w:rPr>
          <w:rFonts w:ascii="Arial" w:hAnsi="Arial"/>
        </w:rPr>
        <w:t xml:space="preserve">el DPS (Folios 49 a 54, ibídem) y la CNSC </w:t>
      </w:r>
      <w:r w:rsidR="00C175A2">
        <w:rPr>
          <w:rFonts w:ascii="Arial" w:hAnsi="Arial" w:cs="Arial"/>
          <w:spacing w:val="3"/>
        </w:rPr>
        <w:t>(Folio</w:t>
      </w:r>
      <w:r w:rsidR="00D06248">
        <w:rPr>
          <w:rFonts w:ascii="Arial" w:hAnsi="Arial" w:cs="Arial"/>
          <w:spacing w:val="3"/>
        </w:rPr>
        <w:t>s</w:t>
      </w:r>
      <w:r w:rsidR="00C175A2">
        <w:rPr>
          <w:rFonts w:ascii="Arial" w:hAnsi="Arial" w:cs="Arial"/>
          <w:spacing w:val="3"/>
        </w:rPr>
        <w:t xml:space="preserve"> </w:t>
      </w:r>
      <w:r w:rsidR="00A323EA">
        <w:rPr>
          <w:rFonts w:ascii="Arial" w:hAnsi="Arial" w:cs="Arial"/>
          <w:spacing w:val="3"/>
        </w:rPr>
        <w:t>66 a 69 y 153 a 155</w:t>
      </w:r>
      <w:r w:rsidR="00C175A2">
        <w:rPr>
          <w:rFonts w:ascii="Arial" w:hAnsi="Arial" w:cs="Arial"/>
          <w:spacing w:val="3"/>
        </w:rPr>
        <w:t xml:space="preserve">, </w:t>
      </w:r>
      <w:r w:rsidR="006064E0">
        <w:rPr>
          <w:rFonts w:ascii="Arial" w:hAnsi="Arial" w:cs="Arial"/>
          <w:spacing w:val="3"/>
        </w:rPr>
        <w:t>ib</w:t>
      </w:r>
      <w:r w:rsidR="0073451A">
        <w:rPr>
          <w:rFonts w:ascii="Arial" w:hAnsi="Arial" w:cs="Arial"/>
          <w:spacing w:val="3"/>
        </w:rPr>
        <w:t>.</w:t>
      </w:r>
      <w:r w:rsidR="00C175A2">
        <w:rPr>
          <w:rFonts w:ascii="Arial" w:hAnsi="Arial" w:cs="Arial"/>
          <w:spacing w:val="3"/>
        </w:rPr>
        <w:t>)</w:t>
      </w:r>
      <w:r>
        <w:rPr>
          <w:rFonts w:ascii="Arial" w:hAnsi="Arial" w:cs="Arial"/>
          <w:spacing w:val="3"/>
        </w:rPr>
        <w:t>.</w:t>
      </w:r>
      <w:r w:rsidR="00A323EA">
        <w:rPr>
          <w:rFonts w:ascii="Arial" w:hAnsi="Arial" w:cs="Arial"/>
          <w:spacing w:val="3"/>
        </w:rPr>
        <w:t xml:space="preserve"> </w:t>
      </w:r>
    </w:p>
    <w:p w:rsidR="00CF429F" w:rsidRDefault="00CF429F" w:rsidP="00CF429F">
      <w:pPr>
        <w:numPr>
          <w:ilvl w:val="0"/>
          <w:numId w:val="18"/>
        </w:numPr>
        <w:spacing w:line="360" w:lineRule="auto"/>
        <w:jc w:val="both"/>
        <w:rPr>
          <w:rFonts w:ascii="Arial" w:hAnsi="Arial"/>
        </w:rPr>
      </w:pPr>
      <w:r>
        <w:rPr>
          <w:rFonts w:ascii="Arial" w:hAnsi="Arial"/>
        </w:rPr>
        <w:lastRenderedPageBreak/>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901486" w:rsidRDefault="00A323EA" w:rsidP="006064E0">
      <w:pPr>
        <w:spacing w:line="360" w:lineRule="auto"/>
        <w:jc w:val="both"/>
        <w:rPr>
          <w:rFonts w:ascii="Arial" w:hAnsi="Arial"/>
        </w:rPr>
      </w:pPr>
      <w:r>
        <w:rPr>
          <w:rFonts w:ascii="Arial" w:hAnsi="Arial"/>
        </w:rPr>
        <w:t xml:space="preserve">La Jefe de la Oficina Asesora Jurídica del DPS refirió que conforme el Acuerdo No.524 del 13-08-2014 y el Decreto Ley 760 de 2005, </w:t>
      </w:r>
      <w:r w:rsidR="00901486">
        <w:rPr>
          <w:rFonts w:ascii="Arial" w:hAnsi="Arial"/>
        </w:rPr>
        <w:t xml:space="preserve">su representado </w:t>
      </w:r>
      <w:r>
        <w:rPr>
          <w:rFonts w:ascii="Arial" w:hAnsi="Arial"/>
        </w:rPr>
        <w:t>está</w:t>
      </w:r>
      <w:r w:rsidR="00901486">
        <w:rPr>
          <w:rFonts w:ascii="Arial" w:hAnsi="Arial"/>
        </w:rPr>
        <w:t xml:space="preserve"> facultado</w:t>
      </w:r>
      <w:r>
        <w:rPr>
          <w:rFonts w:ascii="Arial" w:hAnsi="Arial"/>
        </w:rPr>
        <w:t xml:space="preserve"> para solicitar la exclusión de la lista de elegibles y que lo hizo de forma oportuna </w:t>
      </w:r>
      <w:r w:rsidR="00901486">
        <w:rPr>
          <w:rFonts w:ascii="Arial" w:hAnsi="Arial"/>
        </w:rPr>
        <w:t>el 12-10-2016; agregó que son inexistentes los derechos laborales adquiridos alegados por el actor, porque solo se predican de los afianzados durante la relación laboral, del efectivo ingreso a su patrimonio, y nunca de una simple expectativa; también expuso que carece de legitimación debido a que no le compete resolver las solicitudes de exclusión. Pidió</w:t>
      </w:r>
      <w:r w:rsidR="008D32DD">
        <w:rPr>
          <w:rFonts w:ascii="Arial" w:hAnsi="Arial"/>
        </w:rPr>
        <w:t xml:space="preserve"> </w:t>
      </w:r>
      <w:r w:rsidR="00901486">
        <w:rPr>
          <w:rFonts w:ascii="Arial" w:hAnsi="Arial"/>
        </w:rPr>
        <w:t xml:space="preserve">negar </w:t>
      </w:r>
      <w:r w:rsidR="000644F0">
        <w:rPr>
          <w:rFonts w:ascii="Arial" w:hAnsi="Arial"/>
        </w:rPr>
        <w:t>la tutela</w:t>
      </w:r>
      <w:r w:rsidR="004A294B">
        <w:rPr>
          <w:rFonts w:ascii="Arial" w:hAnsi="Arial"/>
        </w:rPr>
        <w:t xml:space="preserve"> (Folios 49 a 54, ib.)</w:t>
      </w:r>
      <w:r w:rsidR="00901486">
        <w:rPr>
          <w:rFonts w:ascii="Arial" w:hAnsi="Arial"/>
        </w:rPr>
        <w:t xml:space="preserve">. </w:t>
      </w:r>
    </w:p>
    <w:p w:rsidR="00901486" w:rsidRDefault="00901486" w:rsidP="006064E0">
      <w:pPr>
        <w:spacing w:line="360" w:lineRule="auto"/>
        <w:jc w:val="both"/>
        <w:rPr>
          <w:rFonts w:ascii="Arial" w:hAnsi="Arial"/>
        </w:rPr>
      </w:pPr>
    </w:p>
    <w:p w:rsidR="006064E0" w:rsidRDefault="00901486" w:rsidP="006064E0">
      <w:pPr>
        <w:spacing w:line="360" w:lineRule="auto"/>
        <w:jc w:val="both"/>
        <w:rPr>
          <w:rFonts w:ascii="Arial" w:hAnsi="Arial"/>
        </w:rPr>
      </w:pPr>
      <w:r>
        <w:rPr>
          <w:rFonts w:ascii="Arial" w:hAnsi="Arial"/>
        </w:rPr>
        <w:t xml:space="preserve">El Asesor Jurídico de la CNSC </w:t>
      </w:r>
      <w:r w:rsidR="004A294B">
        <w:rPr>
          <w:rFonts w:ascii="Arial" w:hAnsi="Arial"/>
        </w:rPr>
        <w:t xml:space="preserve">adujo que el presente </w:t>
      </w:r>
      <w:r>
        <w:rPr>
          <w:rFonts w:ascii="Arial" w:hAnsi="Arial"/>
        </w:rPr>
        <w:t xml:space="preserve">amparo </w:t>
      </w:r>
      <w:r w:rsidR="0006271E">
        <w:rPr>
          <w:rFonts w:ascii="Arial" w:hAnsi="Arial"/>
        </w:rPr>
        <w:t xml:space="preserve">constitucional </w:t>
      </w:r>
      <w:r>
        <w:rPr>
          <w:rFonts w:ascii="Arial" w:hAnsi="Arial"/>
        </w:rPr>
        <w:t xml:space="preserve">es improcedente </w:t>
      </w:r>
      <w:r w:rsidR="0006271E">
        <w:rPr>
          <w:rFonts w:ascii="Arial" w:hAnsi="Arial"/>
        </w:rPr>
        <w:t>porque el actor cuenta con otro mecanismo judicial idóneo ante la Jurisdicción Contenciosa Administrativa para controvertir las normas que regulan el proceso de selección</w:t>
      </w:r>
      <w:r w:rsidR="000644F0">
        <w:rPr>
          <w:rFonts w:ascii="Arial" w:hAnsi="Arial"/>
        </w:rPr>
        <w:t xml:space="preserve"> y puede solicitar </w:t>
      </w:r>
      <w:r w:rsidR="0006271E">
        <w:rPr>
          <w:rFonts w:ascii="Arial" w:hAnsi="Arial"/>
        </w:rPr>
        <w:t xml:space="preserve">medidas </w:t>
      </w:r>
      <w:r w:rsidR="004A294B">
        <w:rPr>
          <w:rFonts w:ascii="Arial" w:hAnsi="Arial"/>
        </w:rPr>
        <w:t xml:space="preserve">cautelares </w:t>
      </w:r>
      <w:r w:rsidR="0006271E">
        <w:rPr>
          <w:rFonts w:ascii="Arial" w:hAnsi="Arial"/>
        </w:rPr>
        <w:t xml:space="preserve">destinadas a precaver </w:t>
      </w:r>
      <w:r w:rsidR="004A294B">
        <w:rPr>
          <w:rFonts w:ascii="Arial" w:hAnsi="Arial"/>
        </w:rPr>
        <w:t xml:space="preserve">un </w:t>
      </w:r>
      <w:r w:rsidR="0006271E">
        <w:rPr>
          <w:rFonts w:ascii="Arial" w:hAnsi="Arial"/>
        </w:rPr>
        <w:t xml:space="preserve">perjuicio irremediable. </w:t>
      </w:r>
      <w:r w:rsidR="004A294B">
        <w:rPr>
          <w:rFonts w:ascii="Arial" w:hAnsi="Arial"/>
        </w:rPr>
        <w:t>Indicó</w:t>
      </w:r>
      <w:r w:rsidR="000644F0">
        <w:rPr>
          <w:rFonts w:ascii="Arial" w:hAnsi="Arial"/>
        </w:rPr>
        <w:t xml:space="preserve">, además, que en el trámite administrativo que </w:t>
      </w:r>
      <w:r w:rsidR="008D32DD">
        <w:rPr>
          <w:rFonts w:ascii="Arial" w:hAnsi="Arial"/>
        </w:rPr>
        <w:t xml:space="preserve">se </w:t>
      </w:r>
      <w:r w:rsidR="000644F0">
        <w:rPr>
          <w:rFonts w:ascii="Arial" w:hAnsi="Arial"/>
        </w:rPr>
        <w:t>adelanta debe</w:t>
      </w:r>
      <w:r w:rsidR="008D32DD">
        <w:rPr>
          <w:rFonts w:ascii="Arial" w:hAnsi="Arial"/>
        </w:rPr>
        <w:t>n</w:t>
      </w:r>
      <w:r w:rsidR="000644F0">
        <w:rPr>
          <w:rFonts w:ascii="Arial" w:hAnsi="Arial"/>
        </w:rPr>
        <w:t xml:space="preserve"> garantizar</w:t>
      </w:r>
      <w:r w:rsidR="004A294B">
        <w:rPr>
          <w:rFonts w:ascii="Arial" w:hAnsi="Arial"/>
        </w:rPr>
        <w:t>se</w:t>
      </w:r>
      <w:r w:rsidR="000644F0">
        <w:rPr>
          <w:rFonts w:ascii="Arial" w:hAnsi="Arial"/>
        </w:rPr>
        <w:t xml:space="preserve"> </w:t>
      </w:r>
      <w:r w:rsidR="008D32DD">
        <w:rPr>
          <w:rFonts w:ascii="Arial" w:hAnsi="Arial"/>
        </w:rPr>
        <w:t xml:space="preserve">los derechos al </w:t>
      </w:r>
      <w:r w:rsidR="000644F0">
        <w:rPr>
          <w:rFonts w:ascii="Arial" w:hAnsi="Arial"/>
        </w:rPr>
        <w:t>debido proceso y defensa de la persona objeto de exclusión, por lo que no le es dable tomar una decisión sin agotar íntegramente el procedimiento para la provisión definitiva de empleos de carrera</w:t>
      </w:r>
      <w:r w:rsidR="004A294B">
        <w:rPr>
          <w:rFonts w:ascii="Arial" w:hAnsi="Arial"/>
        </w:rPr>
        <w:t xml:space="preserve"> a través de concursos públicos de mérito </w:t>
      </w:r>
      <w:r w:rsidR="006064E0">
        <w:rPr>
          <w:rFonts w:ascii="Arial" w:hAnsi="Arial"/>
        </w:rPr>
        <w:t xml:space="preserve">(Folios </w:t>
      </w:r>
      <w:r w:rsidR="004A294B">
        <w:rPr>
          <w:rFonts w:ascii="Arial" w:hAnsi="Arial"/>
        </w:rPr>
        <w:t>66 a 68</w:t>
      </w:r>
      <w:r w:rsidR="006064E0">
        <w:rPr>
          <w:rFonts w:ascii="Arial" w:hAnsi="Arial"/>
        </w:rPr>
        <w:t>, ib.)</w:t>
      </w:r>
      <w:r w:rsidR="007D7C78">
        <w:rPr>
          <w:rFonts w:ascii="Arial" w:hAnsi="Arial"/>
        </w:rPr>
        <w:t>.</w:t>
      </w:r>
    </w:p>
    <w:p w:rsidR="006064E0" w:rsidRDefault="006064E0" w:rsidP="00264032">
      <w:pPr>
        <w:spacing w:line="360" w:lineRule="auto"/>
        <w:jc w:val="both"/>
        <w:rPr>
          <w:rFonts w:ascii="Arial" w:hAnsi="Arial"/>
        </w:rPr>
      </w:pPr>
    </w:p>
    <w:p w:rsidR="00E06BFF" w:rsidRPr="00832CC5" w:rsidRDefault="00E06BFF" w:rsidP="00832CC5">
      <w:pPr>
        <w:pStyle w:val="Paragraphedeliste"/>
        <w:numPr>
          <w:ilvl w:val="0"/>
          <w:numId w:val="18"/>
        </w:numPr>
        <w:spacing w:line="360" w:lineRule="auto"/>
        <w:jc w:val="both"/>
        <w:rPr>
          <w:rFonts w:ascii="Arial" w:hAnsi="Arial"/>
        </w:rPr>
      </w:pPr>
      <w:r w:rsidRPr="00832CC5">
        <w:rPr>
          <w:rFonts w:ascii="Arial" w:hAnsi="Arial"/>
        </w:rPr>
        <w:t>LA FUNDAMENTACIÓN JURÍDICA PARA DECIDIR</w:t>
      </w:r>
    </w:p>
    <w:p w:rsidR="00E06BFF" w:rsidRDefault="00E06BFF" w:rsidP="00E06BFF">
      <w:pPr>
        <w:pStyle w:val="Corpsdetexte"/>
        <w:numPr>
          <w:ilvl w:val="1"/>
          <w:numId w:val="1"/>
        </w:numPr>
        <w:tabs>
          <w:tab w:val="clear" w:pos="708"/>
          <w:tab w:val="left" w:pos="709"/>
        </w:tabs>
        <w:spacing w:line="360" w:lineRule="auto"/>
        <w:ind w:left="720" w:hanging="720"/>
        <w:rPr>
          <w:rFonts w:ascii="Arial" w:hAnsi="Arial"/>
          <w:szCs w:val="24"/>
        </w:rPr>
      </w:pPr>
    </w:p>
    <w:p w:rsidR="00E06BFF" w:rsidRPr="003D6220" w:rsidRDefault="00E06BFF" w:rsidP="00E06BFF">
      <w:pPr>
        <w:pStyle w:val="Paragraphedeliste"/>
        <w:numPr>
          <w:ilvl w:val="0"/>
          <w:numId w:val="18"/>
        </w:numPr>
        <w:spacing w:line="360" w:lineRule="auto"/>
        <w:jc w:val="both"/>
        <w:rPr>
          <w:rFonts w:ascii="Arial" w:hAnsi="Arial"/>
          <w:vanish/>
        </w:rPr>
      </w:pPr>
    </w:p>
    <w:p w:rsidR="00E06BFF" w:rsidRPr="00832CC5" w:rsidRDefault="00E06BFF" w:rsidP="00832CC5">
      <w:pPr>
        <w:pStyle w:val="Paragraphedeliste"/>
        <w:numPr>
          <w:ilvl w:val="1"/>
          <w:numId w:val="31"/>
        </w:numPr>
        <w:spacing w:line="360" w:lineRule="auto"/>
        <w:jc w:val="both"/>
        <w:rPr>
          <w:rFonts w:ascii="Arial" w:hAnsi="Arial"/>
        </w:rPr>
      </w:pPr>
      <w:r w:rsidRPr="00832CC5">
        <w:rPr>
          <w:rFonts w:ascii="Arial" w:hAnsi="Arial"/>
        </w:rPr>
        <w:t>La competencia</w:t>
      </w:r>
    </w:p>
    <w:p w:rsidR="00E06BFF" w:rsidRPr="003A3570" w:rsidRDefault="00E06BFF" w:rsidP="00E06BFF">
      <w:pPr>
        <w:pStyle w:val="Corpsdetexte"/>
        <w:tabs>
          <w:tab w:val="clear" w:pos="708"/>
          <w:tab w:val="left" w:pos="709"/>
        </w:tabs>
        <w:spacing w:line="360" w:lineRule="auto"/>
        <w:rPr>
          <w:rFonts w:ascii="Arial" w:hAnsi="Arial" w:cs="Arial"/>
          <w:szCs w:val="24"/>
        </w:rPr>
      </w:pPr>
    </w:p>
    <w:p w:rsidR="00E06BFF" w:rsidRDefault="00E06BFF" w:rsidP="00E06BFF">
      <w:pPr>
        <w:pStyle w:val="Retraitcorpsdetexte2"/>
        <w:spacing w:after="0" w:line="360" w:lineRule="auto"/>
        <w:ind w:left="0"/>
        <w:jc w:val="both"/>
        <w:rPr>
          <w:rFonts w:ascii="Arial" w:hAnsi="Arial" w:cs="Arial"/>
          <w:sz w:val="24"/>
          <w:szCs w:val="22"/>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 la accionante su domicilio en este Distrito</w:t>
      </w:r>
      <w:r w:rsidR="00832CC5">
        <w:rPr>
          <w:rFonts w:ascii="Arial" w:hAnsi="Arial" w:cs="Arial"/>
          <w:sz w:val="24"/>
          <w:szCs w:val="24"/>
        </w:rPr>
        <w:t xml:space="preserve">, </w:t>
      </w:r>
      <w:r w:rsidR="000E4EBE">
        <w:rPr>
          <w:rFonts w:ascii="Arial" w:hAnsi="Arial" w:cs="Arial"/>
          <w:sz w:val="24"/>
          <w:szCs w:val="24"/>
        </w:rPr>
        <w:t xml:space="preserve">también, </w:t>
      </w:r>
      <w:r w:rsidR="00832CC5">
        <w:rPr>
          <w:rFonts w:ascii="Arial" w:hAnsi="Arial" w:cs="Arial"/>
          <w:sz w:val="24"/>
          <w:szCs w:val="24"/>
        </w:rPr>
        <w:t xml:space="preserve">por el factor </w:t>
      </w:r>
      <w:r w:rsidR="000E4EBE">
        <w:rPr>
          <w:rFonts w:ascii="Arial" w:hAnsi="Arial" w:cs="Arial"/>
          <w:sz w:val="24"/>
          <w:szCs w:val="24"/>
        </w:rPr>
        <w:t>orgánico,</w:t>
      </w:r>
      <w:r w:rsidR="00832CC5">
        <w:rPr>
          <w:rFonts w:ascii="Arial" w:hAnsi="Arial" w:cs="Arial"/>
          <w:sz w:val="24"/>
          <w:szCs w:val="24"/>
        </w:rPr>
        <w:t xml:space="preserve"> dado que </w:t>
      </w:r>
      <w:r w:rsidR="00A3743E">
        <w:rPr>
          <w:rFonts w:ascii="Arial" w:hAnsi="Arial" w:cs="Arial"/>
          <w:sz w:val="24"/>
          <w:szCs w:val="24"/>
        </w:rPr>
        <w:t xml:space="preserve">las accionadas </w:t>
      </w:r>
      <w:r w:rsidR="00832CC5">
        <w:rPr>
          <w:rFonts w:ascii="Arial" w:hAnsi="Arial" w:cs="Arial"/>
          <w:sz w:val="24"/>
          <w:szCs w:val="24"/>
        </w:rPr>
        <w:t xml:space="preserve">son </w:t>
      </w:r>
      <w:r w:rsidRPr="008F2E47">
        <w:rPr>
          <w:rFonts w:ascii="Arial" w:hAnsi="Arial" w:cs="Arial"/>
          <w:sz w:val="24"/>
          <w:szCs w:val="22"/>
        </w:rPr>
        <w:t>autoridad</w:t>
      </w:r>
      <w:r w:rsidR="00832CC5">
        <w:rPr>
          <w:rFonts w:ascii="Arial" w:hAnsi="Arial" w:cs="Arial"/>
          <w:sz w:val="24"/>
          <w:szCs w:val="22"/>
        </w:rPr>
        <w:t>es</w:t>
      </w:r>
      <w:r w:rsidRPr="008F2E47">
        <w:rPr>
          <w:rFonts w:ascii="Arial" w:hAnsi="Arial" w:cs="Arial"/>
          <w:sz w:val="24"/>
          <w:szCs w:val="22"/>
        </w:rPr>
        <w:t xml:space="preserve"> pública</w:t>
      </w:r>
      <w:r w:rsidR="00832CC5">
        <w:rPr>
          <w:rFonts w:ascii="Arial" w:hAnsi="Arial" w:cs="Arial"/>
          <w:sz w:val="24"/>
          <w:szCs w:val="22"/>
        </w:rPr>
        <w:t>s</w:t>
      </w:r>
      <w:r w:rsidRPr="008F2E47">
        <w:rPr>
          <w:rFonts w:ascii="Arial" w:hAnsi="Arial" w:cs="Arial"/>
          <w:sz w:val="24"/>
          <w:szCs w:val="22"/>
        </w:rPr>
        <w:t xml:space="preserve"> del orden nacional</w:t>
      </w:r>
      <w:r>
        <w:rPr>
          <w:rFonts w:ascii="Arial" w:hAnsi="Arial" w:cs="Arial"/>
          <w:sz w:val="24"/>
          <w:szCs w:val="22"/>
        </w:rPr>
        <w:t xml:space="preserve"> </w:t>
      </w:r>
      <w:r w:rsidRPr="008F2E47">
        <w:rPr>
          <w:rFonts w:ascii="Arial" w:hAnsi="Arial" w:cs="Arial"/>
          <w:sz w:val="24"/>
          <w:szCs w:val="22"/>
        </w:rPr>
        <w:t>(Artículos 1°, numeral 1° del Decreto 1382 del 2000).</w:t>
      </w:r>
    </w:p>
    <w:p w:rsidR="000E4EBE" w:rsidRDefault="000E4EBE" w:rsidP="00E06BFF">
      <w:pPr>
        <w:pStyle w:val="Retraitcorpsdetexte2"/>
        <w:spacing w:after="0" w:line="360" w:lineRule="auto"/>
        <w:ind w:left="0"/>
        <w:jc w:val="both"/>
        <w:rPr>
          <w:rFonts w:ascii="Arial" w:hAnsi="Arial" w:cs="Arial"/>
          <w:sz w:val="24"/>
          <w:szCs w:val="22"/>
        </w:rPr>
      </w:pPr>
    </w:p>
    <w:p w:rsidR="00B567E3" w:rsidRPr="00AE73C7" w:rsidRDefault="00B567E3" w:rsidP="00B567E3">
      <w:pPr>
        <w:pStyle w:val="Corpsdetexte"/>
        <w:numPr>
          <w:ilvl w:val="1"/>
          <w:numId w:val="31"/>
        </w:numPr>
        <w:spacing w:line="360" w:lineRule="auto"/>
        <w:rPr>
          <w:rFonts w:ascii="Arial" w:hAnsi="Arial"/>
          <w:szCs w:val="24"/>
        </w:rPr>
      </w:pPr>
      <w:r w:rsidRPr="00AE73C7">
        <w:rPr>
          <w:rFonts w:ascii="Arial" w:hAnsi="Arial"/>
          <w:szCs w:val="24"/>
        </w:rPr>
        <w:t>El problema jurídico a resolver</w:t>
      </w:r>
    </w:p>
    <w:p w:rsidR="00B567E3" w:rsidRPr="00F06C11" w:rsidRDefault="00B567E3" w:rsidP="00B567E3">
      <w:pPr>
        <w:pStyle w:val="Corpsdetexte"/>
        <w:tabs>
          <w:tab w:val="clear" w:pos="708"/>
          <w:tab w:val="clear" w:pos="1416"/>
          <w:tab w:val="left" w:pos="709"/>
          <w:tab w:val="left" w:pos="1418"/>
        </w:tabs>
        <w:spacing w:line="360" w:lineRule="auto"/>
        <w:rPr>
          <w:rFonts w:ascii="Arial" w:hAnsi="Arial"/>
          <w:sz w:val="20"/>
          <w:szCs w:val="24"/>
        </w:rPr>
      </w:pPr>
    </w:p>
    <w:p w:rsidR="00B567E3" w:rsidRPr="00B567E3" w:rsidRDefault="00B567E3" w:rsidP="00B567E3">
      <w:pPr>
        <w:pStyle w:val="Corpsdetexte"/>
        <w:spacing w:line="360" w:lineRule="auto"/>
        <w:rPr>
          <w:rFonts w:ascii="Arial" w:hAnsi="Arial" w:cs="Arial"/>
          <w:lang w:val="es-CO"/>
        </w:rPr>
      </w:pPr>
      <w:r>
        <w:rPr>
          <w:rFonts w:ascii="Arial" w:hAnsi="Arial" w:cs="Arial"/>
        </w:rPr>
        <w:t>¿Es procedente el amparo constitucional, como mecanismo transitorio, para conjurar la supuesta afectación de derechos fundamentales</w:t>
      </w:r>
      <w:r w:rsidR="008C6364">
        <w:rPr>
          <w:rFonts w:ascii="Arial" w:hAnsi="Arial" w:cs="Arial"/>
        </w:rPr>
        <w:t xml:space="preserve"> con ocasión de las decisiones administrativas tomadas </w:t>
      </w:r>
      <w:r>
        <w:rPr>
          <w:rFonts w:ascii="Arial" w:hAnsi="Arial" w:cs="Arial"/>
        </w:rPr>
        <w:t>durante el trámite de un concurso de méritos?</w:t>
      </w:r>
    </w:p>
    <w:p w:rsidR="00B567E3" w:rsidRPr="00F06C11" w:rsidRDefault="00B567E3" w:rsidP="00B56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B567E3" w:rsidRDefault="00B567E3" w:rsidP="00B567E3">
      <w:pPr>
        <w:pStyle w:val="Corpsdetexte"/>
        <w:numPr>
          <w:ilvl w:val="0"/>
          <w:numId w:val="31"/>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B567E3" w:rsidRPr="008F2E47" w:rsidRDefault="00B567E3" w:rsidP="00E06BFF">
      <w:pPr>
        <w:pStyle w:val="Retraitcorpsdetexte2"/>
        <w:spacing w:after="0" w:line="360" w:lineRule="auto"/>
        <w:ind w:left="0"/>
        <w:jc w:val="both"/>
        <w:rPr>
          <w:rFonts w:ascii="Arial" w:hAnsi="Arial" w:cs="Arial"/>
          <w:sz w:val="24"/>
          <w:szCs w:val="22"/>
        </w:rPr>
      </w:pPr>
    </w:p>
    <w:p w:rsidR="000E4EBE" w:rsidRPr="00027D70" w:rsidRDefault="000E4EBE" w:rsidP="000E4EBE">
      <w:pPr>
        <w:pStyle w:val="Corpsdetexte"/>
        <w:numPr>
          <w:ilvl w:val="1"/>
          <w:numId w:val="31"/>
        </w:numPr>
        <w:tabs>
          <w:tab w:val="clear" w:pos="708"/>
          <w:tab w:val="clear" w:pos="1416"/>
          <w:tab w:val="left" w:pos="709"/>
          <w:tab w:val="left" w:pos="1418"/>
        </w:tabs>
        <w:spacing w:line="360" w:lineRule="auto"/>
        <w:rPr>
          <w:rFonts w:ascii="Arial" w:hAnsi="Arial"/>
          <w:szCs w:val="24"/>
        </w:rPr>
      </w:pPr>
      <w:r w:rsidRPr="00027D70">
        <w:rPr>
          <w:rFonts w:ascii="Arial" w:hAnsi="Arial"/>
          <w:szCs w:val="24"/>
        </w:rPr>
        <w:lastRenderedPageBreak/>
        <w:t>Los presupuestos generales de procedencia</w:t>
      </w:r>
    </w:p>
    <w:p w:rsidR="000E4EBE" w:rsidRDefault="000E4EBE" w:rsidP="000E4EBE">
      <w:pPr>
        <w:pStyle w:val="Sansinterligne"/>
        <w:spacing w:line="360" w:lineRule="auto"/>
        <w:jc w:val="both"/>
        <w:rPr>
          <w:rFonts w:ascii="Arial" w:hAnsi="Arial" w:cs="Arial"/>
          <w:szCs w:val="24"/>
        </w:rPr>
      </w:pPr>
    </w:p>
    <w:p w:rsidR="000E4EBE" w:rsidRPr="000E4EBE" w:rsidRDefault="000E4EBE" w:rsidP="000E4EBE">
      <w:pPr>
        <w:pStyle w:val="Paragraphedeliste"/>
        <w:numPr>
          <w:ilvl w:val="2"/>
          <w:numId w:val="31"/>
        </w:numPr>
        <w:spacing w:line="360" w:lineRule="auto"/>
        <w:jc w:val="both"/>
        <w:rPr>
          <w:rFonts w:ascii="Arial" w:hAnsi="Arial"/>
        </w:rPr>
      </w:pPr>
      <w:r w:rsidRPr="000E4EBE">
        <w:rPr>
          <w:rFonts w:ascii="Arial" w:hAnsi="Arial"/>
        </w:rPr>
        <w:t>La legitimación en la causa</w:t>
      </w:r>
    </w:p>
    <w:p w:rsidR="000E4EBE" w:rsidRPr="00407788" w:rsidRDefault="000E4EBE" w:rsidP="000E4EBE">
      <w:pPr>
        <w:pStyle w:val="Corpsdetexte"/>
        <w:numPr>
          <w:ilvl w:val="1"/>
          <w:numId w:val="1"/>
        </w:numPr>
        <w:spacing w:line="360" w:lineRule="auto"/>
        <w:ind w:left="720" w:hanging="720"/>
        <w:rPr>
          <w:rFonts w:ascii="Arial" w:hAnsi="Arial"/>
          <w:szCs w:val="24"/>
        </w:rPr>
      </w:pPr>
    </w:p>
    <w:p w:rsidR="000E4EBE" w:rsidRDefault="000E4EBE" w:rsidP="000E4EBE">
      <w:pPr>
        <w:pStyle w:val="Corpsdetexte"/>
        <w:spacing w:line="360" w:lineRule="auto"/>
        <w:rPr>
          <w:rFonts w:ascii="Arial" w:hAnsi="Arial" w:cs="Arial"/>
          <w:szCs w:val="22"/>
        </w:rPr>
      </w:pPr>
      <w:r w:rsidRPr="008F2E47">
        <w:rPr>
          <w:rFonts w:ascii="Arial" w:hAnsi="Arial" w:cs="Arial"/>
          <w:szCs w:val="22"/>
        </w:rPr>
        <w:t xml:space="preserve">Por activa se cumple en consideración a que quien ejerce la acción, </w:t>
      </w:r>
      <w:r>
        <w:rPr>
          <w:rFonts w:ascii="Arial" w:hAnsi="Arial" w:cs="Arial"/>
          <w:szCs w:val="22"/>
        </w:rPr>
        <w:t>el señor Alfonso Bonilla Cardona</w:t>
      </w:r>
      <w:r w:rsidRPr="00B95F25">
        <w:rPr>
          <w:rFonts w:ascii="Arial" w:hAnsi="Arial" w:cs="Arial"/>
          <w:szCs w:val="24"/>
        </w:rPr>
        <w:t xml:space="preserve">, </w:t>
      </w:r>
      <w:r w:rsidR="00725BFB">
        <w:rPr>
          <w:rFonts w:ascii="Arial" w:hAnsi="Arial" w:cs="Arial"/>
          <w:szCs w:val="24"/>
        </w:rPr>
        <w:t xml:space="preserve">está incluido en la lista de legibles de la que </w:t>
      </w:r>
      <w:r w:rsidR="008A1A1B">
        <w:rPr>
          <w:rFonts w:ascii="Arial" w:hAnsi="Arial" w:cs="Arial"/>
          <w:szCs w:val="24"/>
        </w:rPr>
        <w:t xml:space="preserve">se </w:t>
      </w:r>
      <w:r w:rsidR="00725BFB">
        <w:rPr>
          <w:rFonts w:ascii="Arial" w:hAnsi="Arial" w:cs="Arial"/>
          <w:szCs w:val="24"/>
        </w:rPr>
        <w:t>exige su ejecución</w:t>
      </w:r>
      <w:r w:rsidRPr="008F2E47">
        <w:rPr>
          <w:rFonts w:ascii="Arial" w:hAnsi="Arial" w:cs="Arial"/>
          <w:szCs w:val="22"/>
        </w:rPr>
        <w:t>.</w:t>
      </w:r>
      <w:r>
        <w:rPr>
          <w:rFonts w:ascii="Arial" w:hAnsi="Arial" w:cs="Arial"/>
          <w:szCs w:val="22"/>
        </w:rPr>
        <w:t xml:space="preserve"> </w:t>
      </w:r>
      <w:r w:rsidRPr="008F2E47">
        <w:rPr>
          <w:rFonts w:ascii="Arial" w:hAnsi="Arial" w:cs="Arial"/>
          <w:szCs w:val="22"/>
        </w:rPr>
        <w:t xml:space="preserve">Por pasiva, </w:t>
      </w:r>
      <w:r>
        <w:rPr>
          <w:rFonts w:ascii="Arial" w:hAnsi="Arial" w:cs="Arial"/>
          <w:szCs w:val="22"/>
        </w:rPr>
        <w:t xml:space="preserve">la </w:t>
      </w:r>
      <w:r w:rsidR="00725BFB">
        <w:rPr>
          <w:rFonts w:ascii="Arial" w:hAnsi="Arial" w:cs="Arial"/>
          <w:szCs w:val="22"/>
        </w:rPr>
        <w:t>docto</w:t>
      </w:r>
      <w:r w:rsidR="00B567E3">
        <w:rPr>
          <w:rFonts w:ascii="Arial" w:hAnsi="Arial" w:cs="Arial"/>
          <w:szCs w:val="22"/>
        </w:rPr>
        <w:t xml:space="preserve">ra Mónica María Moreno </w:t>
      </w:r>
      <w:proofErr w:type="spellStart"/>
      <w:r w:rsidR="00B567E3">
        <w:rPr>
          <w:rFonts w:ascii="Arial" w:hAnsi="Arial" w:cs="Arial"/>
          <w:szCs w:val="22"/>
        </w:rPr>
        <w:t>Bareño</w:t>
      </w:r>
      <w:proofErr w:type="spellEnd"/>
      <w:r w:rsidR="00B567E3">
        <w:rPr>
          <w:rFonts w:ascii="Arial" w:hAnsi="Arial" w:cs="Arial"/>
          <w:szCs w:val="22"/>
        </w:rPr>
        <w:t>, c</w:t>
      </w:r>
      <w:r w:rsidR="00725BFB">
        <w:rPr>
          <w:rFonts w:ascii="Arial" w:hAnsi="Arial" w:cs="Arial"/>
          <w:szCs w:val="22"/>
        </w:rPr>
        <w:t xml:space="preserve">omisionada </w:t>
      </w:r>
      <w:r w:rsidR="008A1A1B">
        <w:rPr>
          <w:rFonts w:ascii="Arial" w:hAnsi="Arial" w:cs="Arial"/>
          <w:szCs w:val="22"/>
        </w:rPr>
        <w:t xml:space="preserve">(E) de la </w:t>
      </w:r>
      <w:r w:rsidR="00725BFB">
        <w:rPr>
          <w:rFonts w:ascii="Arial" w:hAnsi="Arial" w:cs="Arial"/>
          <w:szCs w:val="22"/>
        </w:rPr>
        <w:t xml:space="preserve">CNSC, porque </w:t>
      </w:r>
      <w:r w:rsidR="008A1A1B">
        <w:rPr>
          <w:rFonts w:ascii="Arial" w:hAnsi="Arial" w:cs="Arial"/>
          <w:szCs w:val="22"/>
        </w:rPr>
        <w:t xml:space="preserve">fue la funcionaria que emitió el acto administrativo que suspendió la </w:t>
      </w:r>
      <w:r w:rsidR="00725BFB">
        <w:rPr>
          <w:rFonts w:ascii="Arial" w:hAnsi="Arial" w:cs="Arial"/>
          <w:szCs w:val="22"/>
        </w:rPr>
        <w:t xml:space="preserve">firmeza de la aludida lista </w:t>
      </w:r>
      <w:r>
        <w:rPr>
          <w:rFonts w:ascii="Arial" w:hAnsi="Arial" w:cs="Arial"/>
          <w:szCs w:val="22"/>
        </w:rPr>
        <w:t>(Artíc</w:t>
      </w:r>
      <w:r w:rsidR="00725BFB">
        <w:rPr>
          <w:rFonts w:ascii="Arial" w:hAnsi="Arial" w:cs="Arial"/>
          <w:szCs w:val="22"/>
        </w:rPr>
        <w:t>ulos 14, 15, 16 y 17, Decreto Ley 760 de 2005 y 56, Acuerdo No.524 de 13-08-2014</w:t>
      </w:r>
      <w:r>
        <w:rPr>
          <w:rFonts w:ascii="Arial" w:hAnsi="Arial" w:cs="Arial"/>
          <w:szCs w:val="22"/>
        </w:rPr>
        <w:t xml:space="preserve">), </w:t>
      </w:r>
      <w:r w:rsidR="00725BFB">
        <w:rPr>
          <w:rFonts w:ascii="Arial" w:hAnsi="Arial" w:cs="Arial"/>
          <w:szCs w:val="22"/>
        </w:rPr>
        <w:t xml:space="preserve">y el DPS, debido a que es la encargada de realizar el nombramiento que </w:t>
      </w:r>
      <w:r w:rsidR="008A1A1B">
        <w:rPr>
          <w:rFonts w:ascii="Arial" w:hAnsi="Arial" w:cs="Arial"/>
          <w:szCs w:val="22"/>
        </w:rPr>
        <w:t xml:space="preserve">pide </w:t>
      </w:r>
      <w:r w:rsidR="00725BFB">
        <w:rPr>
          <w:rFonts w:ascii="Arial" w:hAnsi="Arial" w:cs="Arial"/>
          <w:szCs w:val="22"/>
        </w:rPr>
        <w:t>el actor</w:t>
      </w:r>
      <w:r>
        <w:rPr>
          <w:rFonts w:ascii="Arial" w:hAnsi="Arial" w:cs="Arial"/>
          <w:szCs w:val="22"/>
        </w:rPr>
        <w:t>.</w:t>
      </w:r>
    </w:p>
    <w:p w:rsidR="000E4EBE" w:rsidRDefault="000E4EBE" w:rsidP="000E4EBE">
      <w:pPr>
        <w:pStyle w:val="Corpsdetexte"/>
        <w:spacing w:line="360" w:lineRule="auto"/>
        <w:rPr>
          <w:rFonts w:ascii="Arial" w:hAnsi="Arial" w:cs="Arial"/>
          <w:szCs w:val="22"/>
        </w:rPr>
      </w:pPr>
    </w:p>
    <w:p w:rsidR="000E4EBE" w:rsidRPr="008F2E47" w:rsidRDefault="000E4EBE" w:rsidP="000E4EBE">
      <w:pPr>
        <w:widowControl/>
        <w:spacing w:line="360" w:lineRule="auto"/>
        <w:jc w:val="both"/>
        <w:rPr>
          <w:rFonts w:ascii="Arial" w:hAnsi="Arial" w:cs="Arial"/>
          <w:szCs w:val="22"/>
        </w:rPr>
      </w:pPr>
      <w:r>
        <w:rPr>
          <w:rFonts w:ascii="Arial" w:hAnsi="Arial" w:cs="Arial"/>
          <w:szCs w:val="22"/>
        </w:rPr>
        <w:t xml:space="preserve">Como los litisconsortes vinculados, no expidieron los actos administrativos </w:t>
      </w:r>
      <w:r w:rsidR="00725BFB">
        <w:rPr>
          <w:rFonts w:ascii="Arial" w:hAnsi="Arial" w:cs="Arial"/>
          <w:szCs w:val="22"/>
        </w:rPr>
        <w:t xml:space="preserve">que supuestamente </w:t>
      </w:r>
      <w:r>
        <w:rPr>
          <w:rFonts w:ascii="Arial" w:hAnsi="Arial" w:cs="Arial"/>
          <w:szCs w:val="22"/>
        </w:rPr>
        <w:t xml:space="preserve">vulneran o amenazan los derechos fundamentales invocados, </w:t>
      </w:r>
      <w:r>
        <w:rPr>
          <w:rFonts w:ascii="Arial" w:hAnsi="Arial" w:cs="Arial"/>
        </w:rPr>
        <w:t>carecen de legitimación, por lo que se declarará improcedente el amparo en su contra.</w:t>
      </w:r>
    </w:p>
    <w:p w:rsidR="00386A76" w:rsidRPr="00542954" w:rsidRDefault="00386A76" w:rsidP="00542954">
      <w:pPr>
        <w:pStyle w:val="Sansinterligne"/>
        <w:spacing w:line="480" w:lineRule="auto"/>
        <w:jc w:val="both"/>
        <w:rPr>
          <w:rFonts w:ascii="Arial" w:hAnsi="Arial" w:cs="Arial"/>
          <w:sz w:val="28"/>
          <w:szCs w:val="28"/>
        </w:rPr>
      </w:pPr>
    </w:p>
    <w:p w:rsidR="00386A76" w:rsidRPr="00386A76" w:rsidRDefault="00386A76" w:rsidP="00832CC5">
      <w:pPr>
        <w:pStyle w:val="Paragraphedeliste"/>
        <w:numPr>
          <w:ilvl w:val="3"/>
          <w:numId w:val="31"/>
        </w:numPr>
        <w:spacing w:line="360" w:lineRule="auto"/>
        <w:jc w:val="both"/>
        <w:rPr>
          <w:rFonts w:ascii="Arial" w:hAnsi="Arial"/>
        </w:rPr>
      </w:pPr>
      <w:r w:rsidRPr="00386A76">
        <w:rPr>
          <w:rFonts w:ascii="Arial" w:hAnsi="Arial"/>
        </w:rPr>
        <w:t>L</w:t>
      </w:r>
      <w:r>
        <w:rPr>
          <w:rFonts w:ascii="Arial" w:hAnsi="Arial"/>
        </w:rPr>
        <w:t>a inmediatez y la subsidiariedad</w:t>
      </w:r>
    </w:p>
    <w:p w:rsidR="00386A76" w:rsidRPr="00C3390C" w:rsidRDefault="00386A76" w:rsidP="00E06BFF">
      <w:pPr>
        <w:pStyle w:val="Sansinterligne"/>
        <w:spacing w:line="360" w:lineRule="auto"/>
        <w:jc w:val="both"/>
        <w:rPr>
          <w:rFonts w:ascii="Arial" w:hAnsi="Arial" w:cs="Arial"/>
          <w:szCs w:val="24"/>
        </w:rPr>
      </w:pPr>
    </w:p>
    <w:p w:rsidR="00E06BFF" w:rsidRPr="00C3390C" w:rsidRDefault="00E06BFF" w:rsidP="00E06BFF">
      <w:pPr>
        <w:pStyle w:val="Sansinterligne"/>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27D70">
        <w:rPr>
          <w:rFonts w:ascii="Arial" w:hAnsi="Arial" w:cs="Arial"/>
          <w:i/>
          <w:sz w:val="22"/>
          <w:szCs w:val="24"/>
        </w:rPr>
        <w:t>“(…) solo procederá cuando el afectado no disponga de otro medio de defensa judicial, salvo que aquella se utilice como mecanismo transitorio para evitar un perjuicio irremediable.”.</w:t>
      </w:r>
      <w:r w:rsidRPr="00027D70">
        <w:rPr>
          <w:rFonts w:ascii="Arial" w:hAnsi="Arial" w:cs="Arial"/>
          <w:sz w:val="22"/>
          <w:szCs w:val="24"/>
        </w:rPr>
        <w:t xml:space="preserve"> </w:t>
      </w:r>
    </w:p>
    <w:p w:rsidR="00E06BFF" w:rsidRPr="00D31C92" w:rsidRDefault="00E06BFF" w:rsidP="00E06BFF">
      <w:pPr>
        <w:pStyle w:val="Sansinterligne"/>
        <w:spacing w:line="360" w:lineRule="auto"/>
        <w:jc w:val="both"/>
        <w:rPr>
          <w:rFonts w:ascii="Arial" w:hAnsi="Arial" w:cs="Arial"/>
          <w:noProof/>
          <w:sz w:val="20"/>
          <w:szCs w:val="24"/>
        </w:rPr>
      </w:pPr>
    </w:p>
    <w:p w:rsidR="00E06BFF" w:rsidRDefault="00E06BFF" w:rsidP="00E06BFF">
      <w:pPr>
        <w:pStyle w:val="Sansinterligne"/>
        <w:spacing w:line="360" w:lineRule="auto"/>
        <w:jc w:val="both"/>
        <w:rPr>
          <w:rFonts w:ascii="Arial" w:hAnsi="Arial" w:cs="Arial"/>
        </w:rPr>
      </w:pPr>
      <w:r w:rsidRPr="00C3390C">
        <w:rPr>
          <w:rFonts w:ascii="Arial" w:hAnsi="Arial" w:cs="Arial"/>
          <w:noProof/>
          <w:szCs w:val="24"/>
        </w:rPr>
        <w:t>Nuestra Corte Constitucional tiene establecido que</w:t>
      </w:r>
      <w:r w:rsidR="00E0756B">
        <w:rPr>
          <w:rFonts w:ascii="Arial" w:hAnsi="Arial" w:cs="Arial"/>
          <w:noProof/>
          <w:szCs w:val="24"/>
        </w:rPr>
        <w:t>:</w:t>
      </w:r>
      <w:r w:rsidRPr="00C3390C">
        <w:rPr>
          <w:rFonts w:ascii="Arial" w:hAnsi="Arial" w:cs="Arial"/>
          <w:noProof/>
          <w:szCs w:val="24"/>
        </w:rPr>
        <w:t xml:space="preserv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Appelnotedebasdep"/>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p>
    <w:p w:rsidR="00E06BFF" w:rsidRPr="00D31C92" w:rsidRDefault="00E06BFF" w:rsidP="00E06BFF">
      <w:pPr>
        <w:spacing w:line="360" w:lineRule="auto"/>
        <w:jc w:val="both"/>
        <w:rPr>
          <w:rFonts w:ascii="Arial" w:hAnsi="Arial" w:cs="Arial"/>
          <w:sz w:val="20"/>
        </w:rPr>
      </w:pPr>
    </w:p>
    <w:p w:rsidR="00386A76" w:rsidRPr="008A4FAF" w:rsidRDefault="00E06BFF" w:rsidP="00386A76">
      <w:pPr>
        <w:spacing w:line="360" w:lineRule="auto"/>
        <w:ind w:right="51"/>
        <w:jc w:val="both"/>
        <w:rPr>
          <w:rFonts w:ascii="Arial" w:hAnsi="Arial" w:cs="Arial"/>
          <w:bCs/>
        </w:rPr>
      </w:pPr>
      <w:r>
        <w:rPr>
          <w:rFonts w:ascii="Arial" w:hAnsi="Arial" w:cs="Arial"/>
        </w:rPr>
        <w:t xml:space="preserve">El presupuesto de la inmediatez, </w:t>
      </w:r>
      <w:r>
        <w:rPr>
          <w:rFonts w:ascii="Arial" w:hAnsi="Arial" w:cs="Arial"/>
          <w:noProof/>
          <w:szCs w:val="22"/>
        </w:rPr>
        <w:t xml:space="preserve">no merece reparo, pues la acción se formuló dentro de los seis (6) meses siguientes a los hechos supuestamente violatarios, que es el plazo general, </w:t>
      </w:r>
      <w:r w:rsidR="00DC3B4F">
        <w:rPr>
          <w:rFonts w:ascii="Arial" w:hAnsi="Arial" w:cs="Arial"/>
          <w:noProof/>
          <w:szCs w:val="22"/>
          <w:lang w:val="es-CO"/>
        </w:rPr>
        <w:t>fijado por la doctrina constitucional</w:t>
      </w:r>
      <w:r w:rsidR="00276D37" w:rsidRPr="00276D37">
        <w:rPr>
          <w:rFonts w:ascii="Arial" w:hAnsi="Arial" w:cs="Arial"/>
          <w:noProof/>
          <w:szCs w:val="22"/>
          <w:vertAlign w:val="superscript"/>
          <w:lang w:val="es-CO"/>
        </w:rPr>
        <w:footnoteReference w:id="2"/>
      </w:r>
      <w:r>
        <w:rPr>
          <w:rFonts w:ascii="Arial" w:hAnsi="Arial" w:cs="Arial"/>
          <w:noProof/>
          <w:szCs w:val="22"/>
        </w:rPr>
        <w:t xml:space="preserve">; nótese que </w:t>
      </w:r>
      <w:r w:rsidR="00276D37">
        <w:rPr>
          <w:rFonts w:ascii="Arial" w:hAnsi="Arial" w:cs="Arial"/>
          <w:noProof/>
          <w:szCs w:val="22"/>
        </w:rPr>
        <w:t xml:space="preserve">el auto que dispuso la suspensión de la firmeza y ejecutoria de la lista de elegibles data del 09-11-2016 </w:t>
      </w:r>
      <w:r>
        <w:rPr>
          <w:rFonts w:ascii="Arial" w:hAnsi="Arial" w:cs="Arial"/>
          <w:noProof/>
          <w:szCs w:val="22"/>
        </w:rPr>
        <w:t>(Folio</w:t>
      </w:r>
      <w:r w:rsidR="00276D37">
        <w:rPr>
          <w:rFonts w:ascii="Arial" w:hAnsi="Arial" w:cs="Arial"/>
          <w:noProof/>
          <w:szCs w:val="22"/>
        </w:rPr>
        <w:t>s</w:t>
      </w:r>
      <w:r w:rsidR="00E0756B">
        <w:rPr>
          <w:rFonts w:ascii="Arial" w:hAnsi="Arial" w:cs="Arial"/>
          <w:noProof/>
          <w:szCs w:val="22"/>
        </w:rPr>
        <w:t xml:space="preserve"> </w:t>
      </w:r>
      <w:r w:rsidR="00276D37">
        <w:rPr>
          <w:rFonts w:ascii="Arial" w:hAnsi="Arial" w:cs="Arial"/>
          <w:noProof/>
          <w:szCs w:val="22"/>
        </w:rPr>
        <w:t>36 y 37</w:t>
      </w:r>
      <w:r w:rsidR="00E0756B">
        <w:rPr>
          <w:rFonts w:ascii="Arial" w:hAnsi="Arial" w:cs="Arial"/>
          <w:noProof/>
          <w:szCs w:val="22"/>
        </w:rPr>
        <w:t>, ib.)</w:t>
      </w:r>
      <w:r>
        <w:rPr>
          <w:rFonts w:ascii="Arial" w:hAnsi="Arial" w:cs="Arial"/>
          <w:noProof/>
          <w:szCs w:val="22"/>
        </w:rPr>
        <w:t xml:space="preserve"> y la tutela se radicó el </w:t>
      </w:r>
      <w:r w:rsidR="00276D37">
        <w:rPr>
          <w:rFonts w:ascii="Arial" w:hAnsi="Arial" w:cs="Arial"/>
          <w:noProof/>
          <w:szCs w:val="22"/>
        </w:rPr>
        <w:t xml:space="preserve">26-01-2017 </w:t>
      </w:r>
      <w:r>
        <w:rPr>
          <w:rFonts w:ascii="Arial" w:hAnsi="Arial" w:cs="Arial"/>
          <w:noProof/>
          <w:szCs w:val="22"/>
        </w:rPr>
        <w:t>(Folio</w:t>
      </w:r>
      <w:r w:rsidR="00E0756B">
        <w:rPr>
          <w:rFonts w:ascii="Arial" w:hAnsi="Arial" w:cs="Arial"/>
          <w:noProof/>
          <w:szCs w:val="22"/>
        </w:rPr>
        <w:t xml:space="preserve"> </w:t>
      </w:r>
      <w:r w:rsidR="00276D37">
        <w:rPr>
          <w:rFonts w:ascii="Arial" w:hAnsi="Arial" w:cs="Arial"/>
          <w:noProof/>
          <w:szCs w:val="22"/>
        </w:rPr>
        <w:t>41</w:t>
      </w:r>
      <w:r w:rsidR="00E0756B">
        <w:rPr>
          <w:rFonts w:ascii="Arial" w:hAnsi="Arial" w:cs="Arial"/>
          <w:noProof/>
          <w:szCs w:val="22"/>
        </w:rPr>
        <w:t>, ib.</w:t>
      </w:r>
      <w:r>
        <w:rPr>
          <w:rFonts w:ascii="Arial" w:hAnsi="Arial" w:cs="Arial"/>
          <w:noProof/>
          <w:szCs w:val="22"/>
        </w:rPr>
        <w:t xml:space="preserve">). </w:t>
      </w:r>
      <w:r w:rsidR="00386A76">
        <w:rPr>
          <w:rFonts w:ascii="Arial" w:hAnsi="Arial" w:cs="Arial"/>
          <w:noProof/>
          <w:szCs w:val="22"/>
          <w:lang w:val="es-CO"/>
        </w:rPr>
        <w:t xml:space="preserve">En cambio la </w:t>
      </w:r>
      <w:r w:rsidR="00386A76" w:rsidRPr="00AD2F16">
        <w:rPr>
          <w:rFonts w:ascii="Arial" w:hAnsi="Arial" w:cs="Arial"/>
          <w:iCs/>
          <w:noProof/>
        </w:rPr>
        <w:t>subsidiariedad</w:t>
      </w:r>
      <w:r w:rsidR="00386A76" w:rsidRPr="00AD2F16">
        <w:rPr>
          <w:rFonts w:ascii="Arial" w:hAnsi="Arial" w:cs="Arial"/>
          <w:noProof/>
        </w:rPr>
        <w:t xml:space="preserve"> </w:t>
      </w:r>
      <w:r w:rsidR="00386A76">
        <w:rPr>
          <w:rFonts w:ascii="Arial" w:hAnsi="Arial" w:cs="Arial"/>
          <w:noProof/>
          <w:szCs w:val="22"/>
          <w:lang w:val="es-CO"/>
        </w:rPr>
        <w:t>esta incumplida, tal como pasará a explicarse.</w:t>
      </w:r>
    </w:p>
    <w:p w:rsidR="00E06BFF" w:rsidRDefault="00E06BFF" w:rsidP="00E06BFF">
      <w:pPr>
        <w:pStyle w:val="Corpsdetexte"/>
        <w:tabs>
          <w:tab w:val="clear" w:pos="708"/>
          <w:tab w:val="clear" w:pos="1416"/>
          <w:tab w:val="left" w:pos="709"/>
          <w:tab w:val="left" w:pos="1418"/>
        </w:tabs>
        <w:spacing w:line="360" w:lineRule="auto"/>
        <w:ind w:left="720"/>
        <w:rPr>
          <w:rFonts w:ascii="Arial" w:hAnsi="Arial"/>
          <w:szCs w:val="24"/>
        </w:rPr>
      </w:pPr>
    </w:p>
    <w:p w:rsidR="00E06BFF" w:rsidRDefault="00E06BFF" w:rsidP="00832CC5">
      <w:pPr>
        <w:pStyle w:val="Corpsdetexte"/>
        <w:numPr>
          <w:ilvl w:val="2"/>
          <w:numId w:val="31"/>
        </w:numPr>
        <w:spacing w:line="360" w:lineRule="auto"/>
        <w:rPr>
          <w:rFonts w:ascii="Arial" w:hAnsi="Arial" w:cs="Arial"/>
          <w:szCs w:val="22"/>
        </w:rPr>
      </w:pPr>
      <w:r w:rsidRPr="008F2E47">
        <w:rPr>
          <w:rFonts w:ascii="Arial" w:hAnsi="Arial" w:cs="Arial"/>
          <w:szCs w:val="22"/>
        </w:rPr>
        <w:lastRenderedPageBreak/>
        <w:t>El debido proceso administrativo en desarrollo de concursos de méritos</w:t>
      </w:r>
    </w:p>
    <w:p w:rsidR="00E06BFF" w:rsidRPr="003A3570" w:rsidRDefault="00E06BFF" w:rsidP="00E06BFF">
      <w:pPr>
        <w:pStyle w:val="Corpsdetexte"/>
        <w:spacing w:line="360" w:lineRule="auto"/>
        <w:rPr>
          <w:rFonts w:ascii="Arial" w:hAnsi="Arial" w:cs="Arial"/>
          <w:szCs w:val="22"/>
        </w:rPr>
      </w:pPr>
    </w:p>
    <w:p w:rsidR="00E06BFF" w:rsidRPr="00A474AF" w:rsidRDefault="00E06BFF" w:rsidP="00E06BFF">
      <w:pPr>
        <w:pStyle w:val="Corpsdetexte"/>
        <w:spacing w:line="360" w:lineRule="auto"/>
        <w:rPr>
          <w:rFonts w:ascii="Arial" w:hAnsi="Arial" w:cs="Arial"/>
          <w:szCs w:val="22"/>
        </w:rPr>
      </w:pPr>
      <w:r w:rsidRPr="008F2E47">
        <w:rPr>
          <w:rFonts w:ascii="Arial" w:hAnsi="Arial" w:cs="Arial"/>
          <w:szCs w:val="22"/>
        </w:rPr>
        <w:t>El debido proceso es de contenido constitucional, está consagrado principalmente en el artículo 29 de la Carta Política e implica necesariamen</w:t>
      </w:r>
      <w:r>
        <w:rPr>
          <w:rFonts w:ascii="Arial" w:hAnsi="Arial" w:cs="Arial"/>
          <w:szCs w:val="22"/>
        </w:rPr>
        <w:t>te tener la posibilidad de (i) C</w:t>
      </w:r>
      <w:r w:rsidRPr="008F2E47">
        <w:rPr>
          <w:rFonts w:ascii="Arial" w:hAnsi="Arial" w:cs="Arial"/>
          <w:szCs w:val="22"/>
        </w:rPr>
        <w:t xml:space="preserve">onocer a quien investiga, (ii) </w:t>
      </w:r>
      <w:r>
        <w:rPr>
          <w:rFonts w:ascii="Arial" w:hAnsi="Arial" w:cs="Arial"/>
          <w:szCs w:val="22"/>
        </w:rPr>
        <w:t>P</w:t>
      </w:r>
      <w:r w:rsidRPr="008F2E47">
        <w:rPr>
          <w:rFonts w:ascii="Arial" w:hAnsi="Arial" w:cs="Arial"/>
          <w:szCs w:val="22"/>
        </w:rPr>
        <w:t>oder controvertir la</w:t>
      </w:r>
      <w:r>
        <w:rPr>
          <w:rFonts w:ascii="Arial" w:hAnsi="Arial" w:cs="Arial"/>
          <w:szCs w:val="22"/>
        </w:rPr>
        <w:t>s</w:t>
      </w:r>
      <w:r w:rsidRPr="008F2E47">
        <w:rPr>
          <w:rFonts w:ascii="Arial" w:hAnsi="Arial" w:cs="Arial"/>
          <w:szCs w:val="22"/>
        </w:rPr>
        <w:t xml:space="preserve"> probanzas que se tengan en cuenta para adoptar las decisiones, (iii) </w:t>
      </w:r>
      <w:r>
        <w:rPr>
          <w:rFonts w:ascii="Arial" w:hAnsi="Arial" w:cs="Arial"/>
          <w:szCs w:val="22"/>
        </w:rPr>
        <w:t>A</w:t>
      </w:r>
      <w:r w:rsidRPr="008F2E47">
        <w:rPr>
          <w:rFonts w:ascii="Arial" w:hAnsi="Arial" w:cs="Arial"/>
          <w:szCs w:val="22"/>
        </w:rPr>
        <w:t xml:space="preserve">portar el material probatorio que se estime del caso, (iv) </w:t>
      </w:r>
      <w:r>
        <w:rPr>
          <w:rFonts w:ascii="Arial" w:hAnsi="Arial" w:cs="Arial"/>
          <w:szCs w:val="22"/>
        </w:rPr>
        <w:t>T</w:t>
      </w:r>
      <w:r w:rsidRPr="008F2E47">
        <w:rPr>
          <w:rFonts w:ascii="Arial" w:hAnsi="Arial" w:cs="Arial"/>
          <w:szCs w:val="22"/>
        </w:rPr>
        <w:t xml:space="preserve">ener acceso al expediente o actuación, (v) </w:t>
      </w:r>
      <w:r>
        <w:rPr>
          <w:rFonts w:ascii="Arial" w:hAnsi="Arial" w:cs="Arial"/>
          <w:szCs w:val="22"/>
        </w:rPr>
        <w:t>C</w:t>
      </w:r>
      <w:r w:rsidRPr="008F2E47">
        <w:rPr>
          <w:rFonts w:ascii="Arial" w:hAnsi="Arial" w:cs="Arial"/>
          <w:szCs w:val="22"/>
        </w:rPr>
        <w:t xml:space="preserve">onocer las fases que ha de seguir el trámite de la investigación adelantada en su contra, (vi) </w:t>
      </w:r>
      <w:r>
        <w:rPr>
          <w:rFonts w:ascii="Arial" w:hAnsi="Arial" w:cs="Arial"/>
          <w:szCs w:val="22"/>
        </w:rPr>
        <w:t>P</w:t>
      </w:r>
      <w:r w:rsidRPr="008F2E47">
        <w:rPr>
          <w:rFonts w:ascii="Arial" w:hAnsi="Arial" w:cs="Arial"/>
          <w:szCs w:val="22"/>
        </w:rPr>
        <w:t xml:space="preserve">oder presentar alegaciones para la defensa de los intereses propios; aspectos que constituyen sus principios integradores, así lo entiende la </w:t>
      </w:r>
      <w:r w:rsidR="001619BD">
        <w:rPr>
          <w:rFonts w:ascii="Arial" w:hAnsi="Arial" w:cs="Arial"/>
          <w:szCs w:val="22"/>
        </w:rPr>
        <w:t>CC</w:t>
      </w:r>
      <w:r w:rsidRPr="00A474AF">
        <w:rPr>
          <w:rStyle w:val="Appelnotedebasdep"/>
          <w:rFonts w:ascii="Arial" w:hAnsi="Arial" w:cs="Arial"/>
          <w:szCs w:val="22"/>
        </w:rPr>
        <w:footnoteReference w:id="3"/>
      </w:r>
      <w:r w:rsidRPr="00A474AF">
        <w:rPr>
          <w:rFonts w:ascii="Arial" w:hAnsi="Arial" w:cs="Arial"/>
          <w:szCs w:val="22"/>
        </w:rPr>
        <w:t>, en análisis que hace el profesor Bernal Pulido</w:t>
      </w:r>
      <w:r w:rsidRPr="00A474AF">
        <w:rPr>
          <w:rStyle w:val="Appelnotedebasdep"/>
          <w:rFonts w:ascii="Arial" w:hAnsi="Arial" w:cs="Arial"/>
          <w:szCs w:val="22"/>
        </w:rPr>
        <w:footnoteReference w:id="4"/>
      </w:r>
      <w:r w:rsidRPr="00A474AF">
        <w:rPr>
          <w:rFonts w:ascii="Arial" w:hAnsi="Arial" w:cs="Arial"/>
          <w:szCs w:val="22"/>
        </w:rPr>
        <w:t xml:space="preserve"> en su obra.</w:t>
      </w:r>
      <w:r w:rsidR="001619BD">
        <w:rPr>
          <w:rFonts w:ascii="Arial" w:hAnsi="Arial" w:cs="Arial"/>
          <w:szCs w:val="22"/>
        </w:rPr>
        <w:t xml:space="preserve"> Criterio ampliado y desarrollado</w:t>
      </w:r>
      <w:r w:rsidR="008D32DD">
        <w:rPr>
          <w:rFonts w:ascii="Arial" w:hAnsi="Arial" w:cs="Arial"/>
          <w:szCs w:val="22"/>
        </w:rPr>
        <w:t xml:space="preserve"> por la jurisprudencia constitucional</w:t>
      </w:r>
      <w:r w:rsidR="001619BD">
        <w:rPr>
          <w:rStyle w:val="Appelnotedebasdep"/>
          <w:rFonts w:ascii="Arial" w:hAnsi="Arial"/>
          <w:szCs w:val="22"/>
        </w:rPr>
        <w:footnoteReference w:id="5"/>
      </w:r>
      <w:r w:rsidR="001619BD">
        <w:rPr>
          <w:rFonts w:ascii="Arial" w:hAnsi="Arial" w:cs="Arial"/>
          <w:szCs w:val="22"/>
        </w:rPr>
        <w:t>.</w:t>
      </w:r>
    </w:p>
    <w:p w:rsidR="00E06BFF" w:rsidRPr="003A3570" w:rsidRDefault="00E06BFF" w:rsidP="00E06BFF">
      <w:pPr>
        <w:pStyle w:val="Corpsdetexte"/>
        <w:spacing w:line="360" w:lineRule="auto"/>
        <w:ind w:left="708" w:hanging="708"/>
        <w:rPr>
          <w:rFonts w:ascii="Arial" w:hAnsi="Arial" w:cs="Arial"/>
          <w:szCs w:val="24"/>
        </w:rPr>
      </w:pPr>
    </w:p>
    <w:p w:rsidR="00E06BFF" w:rsidRDefault="00E06BFF" w:rsidP="00E06BFF">
      <w:pPr>
        <w:pStyle w:val="Corpsdetexte"/>
        <w:tabs>
          <w:tab w:val="clear" w:pos="708"/>
          <w:tab w:val="left" w:pos="-284"/>
        </w:tabs>
        <w:spacing w:line="360" w:lineRule="auto"/>
        <w:rPr>
          <w:rFonts w:ascii="Arial" w:hAnsi="Arial" w:cs="Arial"/>
          <w:szCs w:val="24"/>
        </w:rPr>
      </w:pPr>
      <w:r w:rsidRPr="003E5D53">
        <w:rPr>
          <w:rFonts w:ascii="Arial" w:hAnsi="Arial"/>
          <w:szCs w:val="24"/>
        </w:rPr>
        <w:t>La Corte</w:t>
      </w:r>
      <w:r w:rsidRPr="003E5D53">
        <w:rPr>
          <w:rStyle w:val="Appelnotedebasdep"/>
          <w:rFonts w:ascii="Arial" w:hAnsi="Arial"/>
          <w:szCs w:val="24"/>
        </w:rPr>
        <w:footnoteReference w:id="6"/>
      </w:r>
      <w:r w:rsidRPr="003E5D53">
        <w:rPr>
          <w:rFonts w:ascii="Arial" w:hAnsi="Arial"/>
          <w:szCs w:val="24"/>
        </w:rPr>
        <w:t xml:space="preserve"> enseña que </w:t>
      </w:r>
      <w:r w:rsidRPr="003E5D53">
        <w:rPr>
          <w:rFonts w:ascii="Arial" w:hAnsi="Arial" w:cs="Arial"/>
          <w:szCs w:val="24"/>
        </w:rPr>
        <w:t xml:space="preserve">el juez de tutela no puede asumir la facultad para sustituir al juez administrativo en la definición </w:t>
      </w:r>
      <w:r>
        <w:rPr>
          <w:rFonts w:ascii="Arial" w:hAnsi="Arial" w:cs="Arial"/>
          <w:szCs w:val="24"/>
        </w:rPr>
        <w:t xml:space="preserve">de </w:t>
      </w:r>
      <w:r w:rsidRPr="003E5D53">
        <w:rPr>
          <w:rFonts w:ascii="Arial" w:hAnsi="Arial" w:cs="Arial"/>
          <w:szCs w:val="24"/>
        </w:rPr>
        <w:t>la validez de los actos, ni suponer que podría suspenderlos provisionalmente pues ello representaría invadir el ámbito constitucional de dicha jurisdicción.</w:t>
      </w:r>
    </w:p>
    <w:p w:rsidR="00542954" w:rsidRPr="003E5D53" w:rsidRDefault="00542954" w:rsidP="00E06BFF">
      <w:pPr>
        <w:pStyle w:val="Corpsdetexte"/>
        <w:tabs>
          <w:tab w:val="clear" w:pos="708"/>
          <w:tab w:val="left" w:pos="-284"/>
        </w:tabs>
        <w:spacing w:line="360" w:lineRule="auto"/>
        <w:rPr>
          <w:rFonts w:ascii="Arial" w:hAnsi="Arial" w:cs="Arial"/>
          <w:szCs w:val="24"/>
        </w:rPr>
      </w:pPr>
    </w:p>
    <w:p w:rsidR="00E06BFF" w:rsidRDefault="00E06BFF" w:rsidP="00E06BFF">
      <w:pPr>
        <w:spacing w:line="360" w:lineRule="auto"/>
        <w:ind w:right="51"/>
        <w:jc w:val="both"/>
        <w:rPr>
          <w:rFonts w:ascii="Arial" w:hAnsi="Arial" w:cs="Arial"/>
        </w:rPr>
      </w:pPr>
      <w:r w:rsidRPr="00A474AF">
        <w:rPr>
          <w:rFonts w:ascii="Arial" w:hAnsi="Arial" w:cs="Arial"/>
        </w:rPr>
        <w:t>En tratándose de actos administrativos que ejecutan un proceso de concurso de méritos</w:t>
      </w:r>
      <w:r w:rsidRPr="00A474AF">
        <w:rPr>
          <w:rFonts w:ascii="Arial" w:hAnsi="Arial" w:cs="Arial"/>
          <w:vertAlign w:val="superscript"/>
        </w:rPr>
        <w:footnoteReference w:id="7"/>
      </w:r>
      <w:r w:rsidR="008D32DD">
        <w:rPr>
          <w:rFonts w:ascii="Arial" w:hAnsi="Arial" w:cs="Arial"/>
          <w:vertAlign w:val="superscript"/>
        </w:rPr>
        <w:t>-</w:t>
      </w:r>
      <w:r w:rsidR="008D32DD">
        <w:rPr>
          <w:rStyle w:val="Appelnotedebasdep"/>
          <w:rFonts w:ascii="Arial" w:hAnsi="Arial"/>
        </w:rPr>
        <w:footnoteReference w:id="8"/>
      </w:r>
      <w:r w:rsidRPr="00A474AF">
        <w:rPr>
          <w:rFonts w:ascii="Arial" w:hAnsi="Arial" w:cs="Arial"/>
        </w:rPr>
        <w:t xml:space="preserve"> tiene explicado la </w:t>
      </w:r>
      <w:r w:rsidR="001619BD">
        <w:rPr>
          <w:rFonts w:ascii="Arial" w:hAnsi="Arial" w:cs="Arial"/>
        </w:rPr>
        <w:t>CC</w:t>
      </w:r>
      <w:r w:rsidRPr="00A474AF">
        <w:rPr>
          <w:rFonts w:ascii="Arial" w:hAnsi="Arial" w:cs="Arial"/>
        </w:rPr>
        <w:t xml:space="preserve">, como órgano de cierre en la especialidad, que es </w:t>
      </w:r>
      <w:r>
        <w:rPr>
          <w:rFonts w:ascii="Arial" w:hAnsi="Arial" w:cs="Arial"/>
        </w:rPr>
        <w:t xml:space="preserve">improcedente la acción de tutela, por regla general, y quien pretenda discutir </w:t>
      </w:r>
      <w:r w:rsidRPr="00A75AE4">
        <w:rPr>
          <w:rFonts w:ascii="Arial" w:hAnsi="Arial" w:cs="Arial"/>
          <w:lang w:val="es-CO"/>
        </w:rPr>
        <w:t>el contenido de un acto administrativo, debe acudir a las acciones que para tales fines existe</w:t>
      </w:r>
      <w:r>
        <w:rPr>
          <w:rFonts w:ascii="Arial" w:hAnsi="Arial" w:cs="Arial"/>
          <w:lang w:val="es-CO"/>
        </w:rPr>
        <w:t>n</w:t>
      </w:r>
      <w:r w:rsidRPr="00A75AE4">
        <w:rPr>
          <w:rFonts w:ascii="Arial" w:hAnsi="Arial" w:cs="Arial"/>
          <w:lang w:val="es-CO"/>
        </w:rPr>
        <w:t xml:space="preserve"> en la </w:t>
      </w:r>
      <w:r w:rsidRPr="00A75AE4">
        <w:rPr>
          <w:rFonts w:ascii="Arial" w:hAnsi="Arial" w:cs="Arial"/>
        </w:rPr>
        <w:t>jurisdicción administrativa.</w:t>
      </w:r>
    </w:p>
    <w:p w:rsidR="00B567E3" w:rsidRDefault="00B567E3" w:rsidP="00E06BFF">
      <w:pPr>
        <w:spacing w:line="360" w:lineRule="auto"/>
        <w:ind w:right="51"/>
        <w:jc w:val="both"/>
        <w:rPr>
          <w:rFonts w:ascii="Arial" w:hAnsi="Arial" w:cs="Arial"/>
        </w:rPr>
      </w:pPr>
    </w:p>
    <w:p w:rsidR="00F63BA1" w:rsidRPr="00367616" w:rsidRDefault="00F63BA1" w:rsidP="00F63BA1">
      <w:pPr>
        <w:spacing w:line="360" w:lineRule="auto"/>
        <w:ind w:right="51"/>
        <w:jc w:val="both"/>
        <w:rPr>
          <w:rFonts w:ascii="Arial" w:hAnsi="Arial" w:cs="Arial"/>
          <w:sz w:val="22"/>
        </w:rPr>
      </w:pPr>
      <w:r>
        <w:rPr>
          <w:rFonts w:ascii="Arial" w:hAnsi="Arial" w:cs="Arial"/>
        </w:rPr>
        <w:t>No sobra memorar que la C</w:t>
      </w:r>
      <w:r w:rsidRPr="00F63BA1">
        <w:rPr>
          <w:rFonts w:ascii="Arial" w:hAnsi="Arial" w:cs="Arial"/>
        </w:rPr>
        <w:t>orte</w:t>
      </w:r>
      <w:r w:rsidRPr="00F63BA1">
        <w:rPr>
          <w:rStyle w:val="Appelnotedebasdep"/>
          <w:rFonts w:ascii="Arial" w:hAnsi="Arial" w:cs="Arial"/>
        </w:rPr>
        <w:footnoteReference w:id="9"/>
      </w:r>
      <w:r w:rsidRPr="00F63BA1">
        <w:rPr>
          <w:rFonts w:ascii="Arial" w:hAnsi="Arial" w:cs="Arial"/>
        </w:rPr>
        <w:t xml:space="preserve">, luego de analizar la Ley 1437, concluyó </w:t>
      </w:r>
      <w:r w:rsidR="00EE0D9D">
        <w:rPr>
          <w:rFonts w:ascii="Arial" w:hAnsi="Arial" w:cs="Arial"/>
        </w:rPr>
        <w:t xml:space="preserve">también que la </w:t>
      </w:r>
      <w:r w:rsidRPr="00F63BA1">
        <w:rPr>
          <w:rFonts w:ascii="Arial" w:hAnsi="Arial" w:cs="Arial"/>
        </w:rPr>
        <w:t xml:space="preserve">tutela </w:t>
      </w:r>
      <w:r w:rsidR="00EE0D9D">
        <w:rPr>
          <w:rFonts w:ascii="Arial" w:hAnsi="Arial" w:cs="Arial"/>
        </w:rPr>
        <w:t xml:space="preserve">es improcedente </w:t>
      </w:r>
      <w:r w:rsidRPr="00F63BA1">
        <w:rPr>
          <w:rFonts w:ascii="Arial" w:hAnsi="Arial" w:cs="Arial"/>
          <w:color w:val="000000"/>
        </w:rPr>
        <w:t>en materia de concursos de méritos</w:t>
      </w:r>
      <w:r>
        <w:rPr>
          <w:rFonts w:ascii="Arial" w:hAnsi="Arial" w:cs="Arial"/>
          <w:color w:val="000000"/>
        </w:rPr>
        <w:t>,</w:t>
      </w:r>
      <w:r w:rsidRPr="00F63BA1">
        <w:rPr>
          <w:rFonts w:ascii="Arial" w:hAnsi="Arial" w:cs="Arial"/>
        </w:rPr>
        <w:t xml:space="preserve"> porque </w:t>
      </w:r>
      <w:r w:rsidR="00EE0D9D">
        <w:rPr>
          <w:rFonts w:ascii="Arial" w:hAnsi="Arial" w:cs="Arial"/>
        </w:rPr>
        <w:t xml:space="preserve">el actor </w:t>
      </w:r>
      <w:r w:rsidRPr="00F63BA1">
        <w:rPr>
          <w:rFonts w:ascii="Arial" w:hAnsi="Arial" w:cs="Arial"/>
        </w:rPr>
        <w:t xml:space="preserve">cuenta con un mecanismo </w:t>
      </w:r>
      <w:r>
        <w:rPr>
          <w:rFonts w:ascii="Arial" w:hAnsi="Arial" w:cs="Arial"/>
        </w:rPr>
        <w:t xml:space="preserve">judicial </w:t>
      </w:r>
      <w:r w:rsidRPr="00F63BA1">
        <w:rPr>
          <w:rFonts w:ascii="Arial" w:hAnsi="Arial" w:cs="Arial"/>
        </w:rPr>
        <w:t>idóneo y eficaz</w:t>
      </w:r>
      <w:r>
        <w:rPr>
          <w:rFonts w:ascii="Arial" w:hAnsi="Arial" w:cs="Arial"/>
        </w:rPr>
        <w:t>,</w:t>
      </w:r>
      <w:r w:rsidRPr="00F63BA1">
        <w:rPr>
          <w:rFonts w:ascii="Arial" w:hAnsi="Arial" w:cs="Arial"/>
        </w:rPr>
        <w:t xml:space="preserve"> </w:t>
      </w:r>
      <w:r>
        <w:rPr>
          <w:rFonts w:ascii="Arial" w:hAnsi="Arial" w:cs="Arial"/>
        </w:rPr>
        <w:t xml:space="preserve">que puede promover ante el juez natural, </w:t>
      </w:r>
      <w:r w:rsidR="00EE0D9D">
        <w:rPr>
          <w:rFonts w:ascii="Arial" w:hAnsi="Arial" w:cs="Arial"/>
        </w:rPr>
        <w:t xml:space="preserve">cual es, </w:t>
      </w:r>
      <w:r w:rsidRPr="00F63BA1">
        <w:rPr>
          <w:rFonts w:ascii="Arial" w:hAnsi="Arial" w:cs="Arial"/>
        </w:rPr>
        <w:t xml:space="preserve">la acción de nulidad o de nulidad y restablecimiento, junto con la solicitud de medidas cautelares, </w:t>
      </w:r>
      <w:r w:rsidR="00EE0D9D">
        <w:rPr>
          <w:rFonts w:ascii="Arial" w:hAnsi="Arial" w:cs="Arial"/>
        </w:rPr>
        <w:t xml:space="preserve">y </w:t>
      </w:r>
      <w:r>
        <w:rPr>
          <w:rFonts w:ascii="Arial" w:hAnsi="Arial" w:cs="Arial"/>
        </w:rPr>
        <w:t xml:space="preserve">que solo </w:t>
      </w:r>
      <w:r w:rsidRPr="00F63BA1">
        <w:rPr>
          <w:rFonts w:ascii="Arial" w:hAnsi="Arial" w:cs="Arial"/>
        </w:rPr>
        <w:t xml:space="preserve">podría </w:t>
      </w:r>
      <w:r w:rsidR="00EE0D9D">
        <w:rPr>
          <w:rFonts w:ascii="Arial" w:hAnsi="Arial" w:cs="Arial"/>
        </w:rPr>
        <w:t xml:space="preserve">considerarse deficiente si en juez constitucional advierte que </w:t>
      </w:r>
      <w:r w:rsidRPr="00367616">
        <w:rPr>
          <w:rFonts w:ascii="Arial" w:hAnsi="Arial" w:cs="Arial"/>
          <w:i/>
          <w:sz w:val="22"/>
        </w:rPr>
        <w:t xml:space="preserve">“(…) </w:t>
      </w:r>
      <w:r w:rsidRPr="00367616">
        <w:rPr>
          <w:rFonts w:ascii="Arial" w:hAnsi="Arial" w:cs="Arial"/>
          <w:i/>
          <w:sz w:val="22"/>
          <w:lang w:val="es-CO"/>
        </w:rPr>
        <w:t xml:space="preserve">(i) </w:t>
      </w:r>
      <w:r w:rsidR="00EE0D9D">
        <w:rPr>
          <w:rFonts w:ascii="Arial" w:hAnsi="Arial" w:cs="Arial"/>
          <w:i/>
          <w:sz w:val="22"/>
          <w:lang w:val="es-CO"/>
        </w:rPr>
        <w:t>…</w:t>
      </w:r>
      <w:r w:rsidRPr="00367616">
        <w:rPr>
          <w:rFonts w:ascii="Arial" w:hAnsi="Arial" w:cs="Arial"/>
          <w:i/>
          <w:sz w:val="22"/>
          <w:lang w:val="es-CO"/>
        </w:rPr>
        <w:t>la aplicación de las normas del CPACA no proporcione una protección oportuna de los derechos fundamentales o (ii) cuando el contenido o interpretación de las disposiciones de dicho Código no provean un amparo integral de tales derechos (…)”</w:t>
      </w:r>
      <w:r w:rsidRPr="00367616">
        <w:rPr>
          <w:rFonts w:ascii="Arial" w:hAnsi="Arial" w:cs="Arial"/>
          <w:lang w:val="es-CO"/>
        </w:rPr>
        <w:t xml:space="preserve">  </w:t>
      </w:r>
    </w:p>
    <w:p w:rsidR="00F63BA1" w:rsidRPr="00F93426" w:rsidRDefault="00F63BA1" w:rsidP="00F63BA1">
      <w:pPr>
        <w:spacing w:line="360" w:lineRule="auto"/>
        <w:ind w:right="51"/>
        <w:jc w:val="both"/>
        <w:rPr>
          <w:rFonts w:ascii="Arial" w:hAnsi="Arial" w:cs="Arial"/>
          <w:sz w:val="20"/>
        </w:rPr>
      </w:pPr>
      <w:r w:rsidRPr="00F93426">
        <w:rPr>
          <w:rFonts w:ascii="Arial" w:hAnsi="Arial" w:cs="Arial"/>
          <w:sz w:val="20"/>
          <w:lang w:val="es-CO"/>
        </w:rPr>
        <w:t> </w:t>
      </w:r>
    </w:p>
    <w:p w:rsidR="00F63BA1" w:rsidRPr="00006C83" w:rsidRDefault="00F63BA1" w:rsidP="00F63BA1">
      <w:pPr>
        <w:spacing w:line="360" w:lineRule="auto"/>
        <w:ind w:right="51"/>
        <w:jc w:val="both"/>
        <w:rPr>
          <w:rFonts w:ascii="Arial" w:hAnsi="Arial" w:cs="Arial"/>
          <w:sz w:val="22"/>
          <w:szCs w:val="22"/>
        </w:rPr>
      </w:pPr>
      <w:r w:rsidRPr="00367616">
        <w:rPr>
          <w:rFonts w:ascii="Arial" w:hAnsi="Arial" w:cs="Arial"/>
        </w:rPr>
        <w:lastRenderedPageBreak/>
        <w:t xml:space="preserve">Otro evento excepcional, </w:t>
      </w:r>
      <w:r>
        <w:rPr>
          <w:rFonts w:ascii="Arial" w:hAnsi="Arial" w:cs="Arial"/>
        </w:rPr>
        <w:t>alude a las personas que ocupan los primeros puestos</w:t>
      </w:r>
      <w:r w:rsidR="008D32DD">
        <w:rPr>
          <w:rFonts w:ascii="Arial" w:hAnsi="Arial" w:cs="Arial"/>
        </w:rPr>
        <w:t xml:space="preserve"> de las listas de elegibles</w:t>
      </w:r>
      <w:r w:rsidRPr="00367616">
        <w:rPr>
          <w:rFonts w:ascii="Arial" w:hAnsi="Arial" w:cs="Arial"/>
          <w:sz w:val="22"/>
        </w:rPr>
        <w:t xml:space="preserve">, </w:t>
      </w:r>
      <w:r w:rsidRPr="00367616">
        <w:rPr>
          <w:rFonts w:ascii="Arial" w:hAnsi="Arial" w:cs="Arial"/>
        </w:rPr>
        <w:t xml:space="preserve">pero </w:t>
      </w:r>
      <w:r w:rsidR="00EE0D9D">
        <w:rPr>
          <w:rFonts w:ascii="Arial" w:hAnsi="Arial" w:cs="Arial"/>
        </w:rPr>
        <w:t xml:space="preserve">con la condición </w:t>
      </w:r>
      <w:r w:rsidRPr="00367616">
        <w:rPr>
          <w:rFonts w:ascii="Arial" w:hAnsi="Arial" w:cs="Arial"/>
        </w:rPr>
        <w:t xml:space="preserve">indiscutible </w:t>
      </w:r>
      <w:r w:rsidR="00EE0D9D">
        <w:rPr>
          <w:rFonts w:ascii="Arial" w:hAnsi="Arial" w:cs="Arial"/>
        </w:rPr>
        <w:t xml:space="preserve">de </w:t>
      </w:r>
      <w:r w:rsidRPr="00367616">
        <w:rPr>
          <w:rFonts w:ascii="Arial" w:hAnsi="Arial" w:cs="Arial"/>
        </w:rPr>
        <w:t xml:space="preserve">que haya sido publicada y </w:t>
      </w:r>
      <w:r w:rsidR="00EE0D9D">
        <w:rPr>
          <w:rFonts w:ascii="Arial" w:hAnsi="Arial" w:cs="Arial"/>
        </w:rPr>
        <w:t xml:space="preserve">esté </w:t>
      </w:r>
      <w:r w:rsidRPr="00367616">
        <w:rPr>
          <w:rFonts w:ascii="Arial" w:hAnsi="Arial" w:cs="Arial"/>
        </w:rPr>
        <w:t>en firme</w:t>
      </w:r>
      <w:r>
        <w:rPr>
          <w:rFonts w:ascii="Arial" w:hAnsi="Arial" w:cs="Arial"/>
        </w:rPr>
        <w:t>, pues:</w:t>
      </w:r>
      <w:r w:rsidRPr="00367616">
        <w:rPr>
          <w:rFonts w:ascii="Arial" w:hAnsi="Arial" w:cs="Arial"/>
        </w:rPr>
        <w:t xml:space="preserve"> </w:t>
      </w:r>
      <w:r w:rsidRPr="00006C83">
        <w:rPr>
          <w:rFonts w:ascii="Arial" w:hAnsi="Arial" w:cs="Arial"/>
          <w:i/>
          <w:sz w:val="22"/>
          <w:szCs w:val="22"/>
        </w:rPr>
        <w:t xml:space="preserve">“(…) </w:t>
      </w:r>
      <w:r w:rsidRPr="00006C83">
        <w:rPr>
          <w:rFonts w:ascii="Arial" w:hAnsi="Arial" w:cs="Arial"/>
          <w:i/>
          <w:color w:val="000000"/>
          <w:sz w:val="22"/>
          <w:szCs w:val="22"/>
        </w:rPr>
        <w:t>las listas de elegibles que se encuentran en firme son inmodificables, en virtud del principio constitucional de buena fe y de la confianza legítima que ampara a quienes participan en estos procesos (...), una vez en firme, crean derechos subjetivos de carácter particular y concreto que no pueden ser desconocidos por </w:t>
      </w:r>
      <w:r w:rsidRPr="00006C83">
        <w:rPr>
          <w:rFonts w:ascii="Arial" w:hAnsi="Arial" w:cs="Arial"/>
          <w:i/>
          <w:sz w:val="22"/>
          <w:szCs w:val="22"/>
        </w:rPr>
        <w:t>la Administración</w:t>
      </w:r>
      <w:r w:rsidRPr="00006C83">
        <w:rPr>
          <w:rFonts w:ascii="Arial" w:hAnsi="Arial" w:cs="Arial"/>
          <w:i/>
          <w:color w:val="000000"/>
          <w:sz w:val="22"/>
          <w:szCs w:val="22"/>
        </w:rPr>
        <w:t>: (…)”</w:t>
      </w:r>
      <w:r>
        <w:rPr>
          <w:rStyle w:val="Appelnotedebasdep"/>
          <w:rFonts w:ascii="Arial" w:hAnsi="Arial"/>
          <w:i/>
          <w:color w:val="000000"/>
          <w:sz w:val="22"/>
          <w:szCs w:val="22"/>
        </w:rPr>
        <w:footnoteReference w:id="10"/>
      </w:r>
      <w:r w:rsidRPr="00006C83">
        <w:rPr>
          <w:rFonts w:ascii="Arial" w:hAnsi="Arial" w:cs="Arial"/>
          <w:i/>
          <w:color w:val="000000"/>
          <w:sz w:val="22"/>
          <w:szCs w:val="22"/>
        </w:rPr>
        <w:t>.</w:t>
      </w:r>
      <w:r w:rsidRPr="00006C83">
        <w:rPr>
          <w:rFonts w:ascii="Arial" w:hAnsi="Arial" w:cs="Arial"/>
          <w:sz w:val="22"/>
          <w:szCs w:val="22"/>
        </w:rPr>
        <w:t xml:space="preserve"> </w:t>
      </w:r>
    </w:p>
    <w:p w:rsidR="00F63BA1" w:rsidRDefault="00F63BA1" w:rsidP="00E06BFF">
      <w:pPr>
        <w:spacing w:line="360" w:lineRule="auto"/>
        <w:ind w:right="51"/>
        <w:jc w:val="both"/>
        <w:rPr>
          <w:rFonts w:ascii="Arial" w:hAnsi="Arial" w:cs="Arial"/>
          <w:sz w:val="20"/>
        </w:rPr>
      </w:pPr>
    </w:p>
    <w:p w:rsidR="00E06BFF" w:rsidRPr="00362E4A" w:rsidRDefault="00E06BFF" w:rsidP="00362E4A">
      <w:pPr>
        <w:pStyle w:val="Paragraphedeliste"/>
        <w:numPr>
          <w:ilvl w:val="2"/>
          <w:numId w:val="31"/>
        </w:numPr>
        <w:spacing w:line="360" w:lineRule="auto"/>
        <w:ind w:right="51"/>
        <w:jc w:val="both"/>
        <w:rPr>
          <w:rFonts w:ascii="Arial" w:hAnsi="Arial" w:cs="Arial"/>
        </w:rPr>
      </w:pPr>
      <w:r w:rsidRPr="00362E4A">
        <w:rPr>
          <w:rFonts w:ascii="Arial" w:hAnsi="Arial" w:cs="Arial"/>
        </w:rPr>
        <w:t>La procedencia excepcional de la tutela</w:t>
      </w:r>
    </w:p>
    <w:p w:rsidR="00E06BFF" w:rsidRPr="00D31C92" w:rsidRDefault="00E06BFF" w:rsidP="00E06BFF">
      <w:pPr>
        <w:pStyle w:val="Paragraphedeliste"/>
        <w:spacing w:line="360" w:lineRule="auto"/>
        <w:ind w:left="720" w:right="51"/>
        <w:jc w:val="both"/>
        <w:rPr>
          <w:rFonts w:ascii="Arial" w:hAnsi="Arial" w:cs="Arial"/>
          <w:sz w:val="20"/>
        </w:rPr>
      </w:pPr>
    </w:p>
    <w:p w:rsidR="00E06BFF" w:rsidRDefault="00362E4A" w:rsidP="00E06BFF">
      <w:pPr>
        <w:spacing w:line="360" w:lineRule="auto"/>
        <w:ind w:right="51"/>
        <w:jc w:val="both"/>
        <w:rPr>
          <w:rFonts w:ascii="Arial" w:hAnsi="Arial" w:cs="Arial"/>
        </w:rPr>
      </w:pPr>
      <w:r>
        <w:rPr>
          <w:rFonts w:ascii="Arial" w:hAnsi="Arial" w:cs="Arial"/>
        </w:rPr>
        <w:t xml:space="preserve">Además de </w:t>
      </w:r>
      <w:r w:rsidR="00E06BFF">
        <w:rPr>
          <w:rFonts w:ascii="Arial" w:hAnsi="Arial" w:cs="Arial"/>
        </w:rPr>
        <w:t xml:space="preserve">lo anterior, esa </w:t>
      </w:r>
      <w:r w:rsidR="00E06BFF" w:rsidRPr="00A75AE4">
        <w:rPr>
          <w:rFonts w:ascii="Arial" w:hAnsi="Arial" w:cs="Arial"/>
        </w:rPr>
        <w:t xml:space="preserve">Corporación también ha señalado que existen, al menos, dos excepciones a la regla </w:t>
      </w:r>
      <w:r w:rsidR="00E06BFF">
        <w:rPr>
          <w:rFonts w:ascii="Arial" w:hAnsi="Arial" w:cs="Arial"/>
        </w:rPr>
        <w:t>general</w:t>
      </w:r>
      <w:r w:rsidR="00E06BFF" w:rsidRPr="00A75AE4">
        <w:rPr>
          <w:rFonts w:ascii="Arial" w:hAnsi="Arial" w:cs="Arial"/>
          <w:vertAlign w:val="superscript"/>
        </w:rPr>
        <w:footnoteReference w:id="11"/>
      </w:r>
      <w:r w:rsidR="00E06BFF">
        <w:rPr>
          <w:rFonts w:ascii="Arial" w:hAnsi="Arial" w:cs="Arial"/>
        </w:rPr>
        <w:t>:</w:t>
      </w:r>
      <w:r w:rsidR="00E06BFF" w:rsidRPr="00A75AE4">
        <w:rPr>
          <w:rFonts w:ascii="Arial" w:hAnsi="Arial" w:cs="Arial"/>
        </w:rPr>
        <w:t xml:space="preserve"> (i) </w:t>
      </w:r>
      <w:r w:rsidR="00E06BFF">
        <w:rPr>
          <w:rFonts w:ascii="Arial" w:hAnsi="Arial" w:cs="Arial"/>
        </w:rPr>
        <w:t>C</w:t>
      </w:r>
      <w:r w:rsidR="00E06BFF"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00E06BFF" w:rsidRPr="00A75AE4">
        <w:rPr>
          <w:rFonts w:ascii="Arial" w:hAnsi="Arial" w:cs="Arial"/>
          <w:vertAlign w:val="superscript"/>
        </w:rPr>
        <w:footnoteReference w:id="12"/>
      </w:r>
      <w:r w:rsidR="00E06BFF" w:rsidRPr="00A75AE4">
        <w:rPr>
          <w:rFonts w:ascii="Arial" w:hAnsi="Arial" w:cs="Arial"/>
        </w:rPr>
        <w:t xml:space="preserve"> o porque la cuestión debatida es eminentemente constitucional</w:t>
      </w:r>
      <w:r w:rsidR="00E06BFF" w:rsidRPr="00A75AE4">
        <w:rPr>
          <w:rFonts w:ascii="Arial" w:hAnsi="Arial" w:cs="Arial"/>
          <w:vertAlign w:val="superscript"/>
        </w:rPr>
        <w:footnoteReference w:id="13"/>
      </w:r>
      <w:r w:rsidR="00E06BFF">
        <w:rPr>
          <w:rFonts w:ascii="Arial" w:hAnsi="Arial" w:cs="Arial"/>
        </w:rPr>
        <w:t>,</w:t>
      </w:r>
      <w:r w:rsidR="00E06BFF" w:rsidRPr="00A75AE4">
        <w:rPr>
          <w:rFonts w:ascii="Arial" w:hAnsi="Arial" w:cs="Arial"/>
        </w:rPr>
        <w:t xml:space="preserve"> y </w:t>
      </w:r>
      <w:r w:rsidR="00E06BFF" w:rsidRPr="00362E4A">
        <w:rPr>
          <w:rFonts w:ascii="Arial" w:hAnsi="Arial" w:cs="Arial"/>
        </w:rPr>
        <w:t>(ii) cuando se trata de evitar la ocurrencia de un perjuicio irremediable</w:t>
      </w:r>
      <w:r w:rsidR="00E06BFF" w:rsidRPr="00362E4A">
        <w:rPr>
          <w:rFonts w:ascii="Arial" w:hAnsi="Arial" w:cs="Arial"/>
          <w:vertAlign w:val="superscript"/>
        </w:rPr>
        <w:footnoteReference w:id="14"/>
      </w:r>
      <w:r w:rsidR="00E06BFF" w:rsidRPr="00362E4A">
        <w:rPr>
          <w:rFonts w:ascii="Arial" w:hAnsi="Arial" w:cs="Arial"/>
        </w:rPr>
        <w:t>.</w:t>
      </w:r>
    </w:p>
    <w:p w:rsidR="008D32DD" w:rsidRDefault="008D32DD" w:rsidP="00E06BFF">
      <w:pPr>
        <w:spacing w:line="360" w:lineRule="auto"/>
        <w:ind w:right="51"/>
        <w:jc w:val="both"/>
        <w:rPr>
          <w:rFonts w:ascii="Arial" w:hAnsi="Arial" w:cs="Arial"/>
          <w:u w:val="single"/>
        </w:rPr>
      </w:pPr>
    </w:p>
    <w:p w:rsidR="00E06BFF" w:rsidRPr="00B308B5" w:rsidRDefault="00E06BFF" w:rsidP="00E06BFF">
      <w:pPr>
        <w:spacing w:line="360" w:lineRule="auto"/>
        <w:ind w:right="-6"/>
        <w:jc w:val="both"/>
        <w:rPr>
          <w:rFonts w:ascii="Arial" w:hAnsi="Arial" w:cs="Arial"/>
          <w:szCs w:val="28"/>
        </w:rPr>
      </w:pPr>
      <w:r w:rsidRPr="00B308B5">
        <w:rPr>
          <w:rFonts w:ascii="Arial" w:hAnsi="Arial" w:cs="Arial"/>
          <w:szCs w:val="28"/>
        </w:rPr>
        <w:t xml:space="preserve">Así las cosas, sobreviene </w:t>
      </w:r>
      <w:r w:rsidRPr="00E42A6F">
        <w:rPr>
          <w:rFonts w:ascii="Arial" w:hAnsi="Arial" w:cs="Arial"/>
          <w:szCs w:val="28"/>
        </w:rPr>
        <w:t>memorar la noción de perjuicio irremediable, puesto</w:t>
      </w:r>
      <w:r>
        <w:rPr>
          <w:rFonts w:ascii="Arial" w:hAnsi="Arial" w:cs="Arial"/>
          <w:szCs w:val="28"/>
        </w:rPr>
        <w:t xml:space="preserve"> que como se ha visto, es </w:t>
      </w:r>
      <w:r w:rsidR="00A2767C">
        <w:rPr>
          <w:rFonts w:ascii="Arial" w:hAnsi="Arial" w:cs="Arial"/>
          <w:szCs w:val="28"/>
        </w:rPr>
        <w:t xml:space="preserve">presupuesto de procedibilidad para </w:t>
      </w:r>
      <w:r>
        <w:rPr>
          <w:rFonts w:ascii="Arial" w:hAnsi="Arial" w:cs="Arial"/>
          <w:szCs w:val="28"/>
        </w:rPr>
        <w:t>examinar</w:t>
      </w:r>
      <w:r w:rsidR="00A2767C">
        <w:rPr>
          <w:rFonts w:ascii="Arial" w:hAnsi="Arial" w:cs="Arial"/>
          <w:szCs w:val="28"/>
        </w:rPr>
        <w:t>,</w:t>
      </w:r>
      <w:r>
        <w:rPr>
          <w:rFonts w:ascii="Arial" w:hAnsi="Arial" w:cs="Arial"/>
          <w:szCs w:val="28"/>
        </w:rPr>
        <w:t xml:space="preserve"> en sede constitucional</w:t>
      </w:r>
      <w:r w:rsidR="00A2767C">
        <w:rPr>
          <w:rFonts w:ascii="Arial" w:hAnsi="Arial" w:cs="Arial"/>
          <w:szCs w:val="28"/>
        </w:rPr>
        <w:t>,</w:t>
      </w:r>
      <w:r>
        <w:rPr>
          <w:rFonts w:ascii="Arial" w:hAnsi="Arial" w:cs="Arial"/>
          <w:szCs w:val="28"/>
        </w:rPr>
        <w:t xml:space="preserve"> la violación o amenaza al debido proceso administrativo, que alega la parte actora. A propósito, valga recordar que ninguna discusión amerita comprender que ese derecho alegado, tiene la estirpe </w:t>
      </w:r>
      <w:proofErr w:type="spellStart"/>
      <w:r w:rsidRPr="0082008F">
        <w:rPr>
          <w:rFonts w:ascii="Arial" w:hAnsi="Arial" w:cs="Arial"/>
          <w:i/>
          <w:szCs w:val="28"/>
        </w:rPr>
        <w:t>iusfundamental</w:t>
      </w:r>
      <w:proofErr w:type="spellEnd"/>
      <w:r>
        <w:rPr>
          <w:rFonts w:ascii="Arial" w:hAnsi="Arial" w:cs="Arial"/>
          <w:szCs w:val="28"/>
        </w:rPr>
        <w:t xml:space="preserve"> pretendida; en realidad, la cuestión medular se centra en la viabilidad por virtud del daño irreparable que se logre invocar y probar.</w:t>
      </w:r>
    </w:p>
    <w:p w:rsidR="00E06BFF" w:rsidRPr="00895D52" w:rsidRDefault="00E06BFF" w:rsidP="00E06BFF">
      <w:pPr>
        <w:spacing w:line="360" w:lineRule="auto"/>
        <w:ind w:right="-6"/>
        <w:rPr>
          <w:rFonts w:ascii="Arial" w:hAnsi="Arial" w:cs="Arial"/>
          <w:sz w:val="20"/>
        </w:rPr>
      </w:pPr>
    </w:p>
    <w:p w:rsidR="00E06BFF" w:rsidRDefault="00E06BFF" w:rsidP="00E06BFF">
      <w:pPr>
        <w:spacing w:line="360" w:lineRule="auto"/>
        <w:ind w:right="51"/>
        <w:jc w:val="both"/>
        <w:rPr>
          <w:rFonts w:ascii="Arial" w:hAnsi="Arial"/>
          <w:szCs w:val="22"/>
          <w:lang w:val="es-ES_tradnl"/>
        </w:rPr>
      </w:pPr>
      <w:r>
        <w:rPr>
          <w:rFonts w:ascii="Arial" w:hAnsi="Arial" w:cs="Arial"/>
        </w:rPr>
        <w:t>Sobre la</w:t>
      </w:r>
      <w:r w:rsidRPr="00B308B5">
        <w:rPr>
          <w:rFonts w:ascii="Arial" w:hAnsi="Arial" w:cs="Arial"/>
        </w:rPr>
        <w:t xml:space="preserve"> </w:t>
      </w:r>
      <w:proofErr w:type="spellStart"/>
      <w:r w:rsidRPr="00B308B5">
        <w:rPr>
          <w:rFonts w:ascii="Arial" w:hAnsi="Arial" w:cs="Arial"/>
        </w:rPr>
        <w:t>irremediabilidad</w:t>
      </w:r>
      <w:proofErr w:type="spellEnd"/>
      <w:r w:rsidRPr="00B308B5">
        <w:rPr>
          <w:rFonts w:ascii="Arial" w:hAnsi="Arial" w:cs="Arial"/>
        </w:rPr>
        <w:t xml:space="preserve"> del perjuicio, la </w:t>
      </w:r>
      <w:r w:rsidR="00EE0D9D">
        <w:rPr>
          <w:rFonts w:ascii="Arial" w:hAnsi="Arial" w:cs="Arial"/>
        </w:rPr>
        <w:t>CC</w:t>
      </w:r>
      <w:r>
        <w:rPr>
          <w:rStyle w:val="Appelnotedebasdep"/>
          <w:rFonts w:ascii="Arial" w:hAnsi="Arial"/>
        </w:rPr>
        <w:footnoteReference w:id="15"/>
      </w:r>
      <w:r>
        <w:rPr>
          <w:rFonts w:ascii="Arial" w:hAnsi="Arial" w:cs="Arial"/>
        </w:rPr>
        <w:t xml:space="preserve"> estima indispensable concurran las siguientes notas características</w:t>
      </w:r>
      <w:r w:rsidRPr="00B308B5">
        <w:rPr>
          <w:rFonts w:ascii="Arial" w:hAnsi="Arial" w:cs="Arial"/>
        </w:rPr>
        <w:t xml:space="preserve">: </w:t>
      </w:r>
      <w:r>
        <w:rPr>
          <w:rFonts w:ascii="Arial" w:hAnsi="Arial" w:cs="Arial"/>
        </w:rPr>
        <w:t>“</w:t>
      </w:r>
      <w:r w:rsidRPr="00E06BD5">
        <w:rPr>
          <w:rFonts w:ascii="Arial" w:hAnsi="Arial" w:cs="Arial"/>
          <w:i/>
          <w:sz w:val="22"/>
        </w:rPr>
        <w:t xml:space="preserve">(i) </w:t>
      </w:r>
      <w:r w:rsidRPr="00E06BD5">
        <w:rPr>
          <w:rFonts w:ascii="Arial" w:hAnsi="Arial" w:cs="Arial"/>
          <w:i/>
          <w:sz w:val="22"/>
          <w:u w:val="single"/>
        </w:rPr>
        <w:t>la inminencia del daño</w:t>
      </w:r>
      <w:r w:rsidRPr="00E06BD5">
        <w:rPr>
          <w:rFonts w:ascii="Arial" w:hAnsi="Arial" w:cs="Arial"/>
          <w:i/>
          <w:sz w:val="22"/>
        </w:rPr>
        <w:t xml:space="preserve">, es decir, que se trate de una </w:t>
      </w:r>
      <w:r w:rsidRPr="00E06BD5">
        <w:rPr>
          <w:rFonts w:ascii="Arial" w:hAnsi="Arial" w:cs="Arial"/>
          <w:i/>
          <w:sz w:val="22"/>
        </w:rPr>
        <w:lastRenderedPageBreak/>
        <w:t xml:space="preserve">amenaza que está por suceder prontamente, entendiendo por amenaza no la simple posibilidad de lesión, sino la probabilidad de sufrir un mal irreparable y grave de forma injustificada; (ii) </w:t>
      </w:r>
      <w:r w:rsidRPr="00E06BD5">
        <w:rPr>
          <w:rFonts w:ascii="Arial" w:hAnsi="Arial" w:cs="Arial"/>
          <w:i/>
          <w:sz w:val="22"/>
          <w:u w:val="single"/>
        </w:rPr>
        <w:t>la gravedad</w:t>
      </w:r>
      <w:r w:rsidRPr="00E06BD5">
        <w:rPr>
          <w:rFonts w:ascii="Arial" w:hAnsi="Arial" w:cs="Arial"/>
          <w:i/>
          <w:sz w:val="22"/>
        </w:rPr>
        <w:t xml:space="preserve">, esto es, que el daño o menoscabo material o moral en el haber jurídico de la persona sea de gran intensidad; (iii) </w:t>
      </w:r>
      <w:r w:rsidRPr="00E06BD5">
        <w:rPr>
          <w:rFonts w:ascii="Arial" w:hAnsi="Arial" w:cs="Arial"/>
          <w:i/>
          <w:sz w:val="22"/>
          <w:u w:val="single"/>
        </w:rPr>
        <w:t>la urgencia</w:t>
      </w:r>
      <w:r w:rsidRPr="00E06BD5">
        <w:rPr>
          <w:rFonts w:ascii="Arial" w:hAnsi="Arial" w:cs="Arial"/>
          <w:i/>
          <w:sz w:val="22"/>
        </w:rPr>
        <w:t xml:space="preserve">, que exige la adopción de medidas prontas o inmediatas para conjurar la amenaza; (iv) </w:t>
      </w:r>
      <w:r w:rsidRPr="00E06BD5">
        <w:rPr>
          <w:rFonts w:ascii="Arial" w:hAnsi="Arial" w:cs="Arial"/>
          <w:i/>
          <w:sz w:val="22"/>
          <w:u w:val="single"/>
        </w:rPr>
        <w:t xml:space="preserve">la </w:t>
      </w:r>
      <w:proofErr w:type="spellStart"/>
      <w:r w:rsidRPr="00E06BD5">
        <w:rPr>
          <w:rFonts w:ascii="Arial" w:hAnsi="Arial" w:cs="Arial"/>
          <w:i/>
          <w:sz w:val="22"/>
          <w:u w:val="single"/>
        </w:rPr>
        <w:t>impostergabilidad</w:t>
      </w:r>
      <w:proofErr w:type="spellEnd"/>
      <w:r w:rsidRPr="00E06BD5">
        <w:rPr>
          <w:rFonts w:ascii="Arial" w:hAnsi="Arial" w:cs="Arial"/>
          <w:i/>
          <w:sz w:val="22"/>
        </w:rPr>
        <w:t xml:space="preserve"> de la tutela, que implica acreditar la necesidad de recurrir al amparo como mecanismo expedito y necesario para la protección de los derechos fundamentales</w:t>
      </w:r>
      <w:r w:rsidRPr="00B308B5">
        <w:rPr>
          <w:rFonts w:ascii="Arial" w:hAnsi="Arial" w:cs="Arial"/>
          <w:szCs w:val="28"/>
          <w:vertAlign w:val="superscript"/>
        </w:rPr>
        <w:footnoteReference w:id="16"/>
      </w:r>
      <w:r w:rsidRPr="00B308B5">
        <w:rPr>
          <w:rFonts w:ascii="Arial" w:hAnsi="Arial" w:cs="Arial"/>
          <w:vertAlign w:val="superscript"/>
        </w:rPr>
        <w:t xml:space="preserve"> </w:t>
      </w:r>
      <w:r>
        <w:rPr>
          <w:rFonts w:ascii="Arial" w:hAnsi="Arial" w:cs="Arial"/>
        </w:rPr>
        <w:t xml:space="preserve">”.  </w:t>
      </w:r>
    </w:p>
    <w:p w:rsidR="00E06BFF" w:rsidRPr="00895D52" w:rsidRDefault="00E06BFF" w:rsidP="00E06BFF">
      <w:pPr>
        <w:spacing w:line="360" w:lineRule="auto"/>
        <w:ind w:right="51"/>
        <w:jc w:val="both"/>
        <w:rPr>
          <w:rFonts w:ascii="Arial" w:hAnsi="Arial"/>
          <w:sz w:val="20"/>
          <w:lang w:val="es-ES_tradnl"/>
        </w:rPr>
      </w:pPr>
    </w:p>
    <w:p w:rsidR="00E06BFF" w:rsidRDefault="00E06BFF" w:rsidP="00E06BFF">
      <w:pPr>
        <w:spacing w:line="360" w:lineRule="auto"/>
        <w:ind w:right="51"/>
        <w:jc w:val="both"/>
        <w:rPr>
          <w:rFonts w:ascii="Arial" w:hAnsi="Arial" w:cs="Arial"/>
          <w:i/>
          <w:sz w:val="22"/>
          <w:szCs w:val="22"/>
        </w:rPr>
      </w:pPr>
      <w:r w:rsidRPr="001405D8">
        <w:rPr>
          <w:rFonts w:ascii="Arial" w:hAnsi="Arial" w:cs="Arial"/>
        </w:rPr>
        <w:t>Es que no basta la constatación de cualquier perjuicio, en sede de tutela es insuficiente pregonar que todo daño pueda precaverse por esta excepcionalísima vía, debe estar provisto de las características apuntadas, explica la Corte</w:t>
      </w:r>
      <w:r>
        <w:rPr>
          <w:rStyle w:val="Appelnotedebasdep"/>
          <w:rFonts w:ascii="Arial" w:hAnsi="Arial"/>
          <w:sz w:val="22"/>
        </w:rPr>
        <w:footnoteReference w:id="17"/>
      </w:r>
      <w:r>
        <w:rPr>
          <w:rFonts w:ascii="Arial" w:hAnsi="Arial" w:cs="Arial"/>
          <w:sz w:val="22"/>
        </w:rPr>
        <w:t xml:space="preserve">: </w:t>
      </w:r>
      <w:r w:rsidRPr="001405D8">
        <w:rPr>
          <w:rFonts w:ascii="Arial" w:hAnsi="Arial" w:cs="Arial"/>
        </w:rPr>
        <w:t>“</w:t>
      </w:r>
      <w:r w:rsidRPr="001405D8">
        <w:rPr>
          <w:rFonts w:ascii="Arial" w:hAnsi="Arial" w:cs="Arial"/>
          <w:i/>
          <w:sz w:val="22"/>
          <w:szCs w:val="22"/>
        </w:rPr>
        <w:t>En consecuencia, no todo perjuicio puede ser considerado como irremediable, sino solo aquel que por sus características de inminencia y gravedad, requiera de medidas de protección urgentes e impostergables.”.</w:t>
      </w:r>
    </w:p>
    <w:p w:rsidR="00E06BFF" w:rsidRPr="00895D52" w:rsidRDefault="00E06BFF" w:rsidP="00E06BFF">
      <w:pPr>
        <w:pStyle w:val="Corpsdetexte"/>
        <w:tabs>
          <w:tab w:val="clear" w:pos="708"/>
          <w:tab w:val="clear" w:pos="1416"/>
          <w:tab w:val="left" w:pos="709"/>
          <w:tab w:val="left" w:pos="1418"/>
        </w:tabs>
        <w:spacing w:line="360" w:lineRule="auto"/>
        <w:rPr>
          <w:rFonts w:ascii="Arial" w:hAnsi="Arial"/>
          <w:szCs w:val="24"/>
        </w:rPr>
      </w:pPr>
    </w:p>
    <w:p w:rsidR="00E06BFF" w:rsidRDefault="00E06BFF" w:rsidP="00E06BFF">
      <w:pPr>
        <w:spacing w:line="360" w:lineRule="auto"/>
        <w:ind w:right="51"/>
        <w:jc w:val="both"/>
        <w:rPr>
          <w:rFonts w:ascii="Arial" w:hAnsi="Arial"/>
        </w:rPr>
      </w:pPr>
      <w:r>
        <w:rPr>
          <w:rFonts w:ascii="Arial" w:hAnsi="Arial"/>
        </w:rPr>
        <w:t>Las características del perjuicio irremediable conservan vigencia</w:t>
      </w:r>
      <w:r>
        <w:rPr>
          <w:rStyle w:val="Appelnotedebasdep"/>
          <w:rFonts w:ascii="Arial" w:hAnsi="Arial"/>
        </w:rPr>
        <w:footnoteReference w:id="18"/>
      </w:r>
      <w:r>
        <w:rPr>
          <w:rFonts w:ascii="Arial" w:hAnsi="Arial"/>
        </w:rPr>
        <w:t>, conforme a doctrina reciente (2016)</w:t>
      </w:r>
      <w:r>
        <w:rPr>
          <w:rStyle w:val="Appelnotedebasdep"/>
          <w:rFonts w:ascii="Arial" w:hAnsi="Arial"/>
        </w:rPr>
        <w:footnoteReference w:id="19"/>
      </w:r>
      <w:r>
        <w:rPr>
          <w:rFonts w:ascii="Arial" w:hAnsi="Arial"/>
        </w:rPr>
        <w:t>. Al respecto existe precedente horizontal de esta Sala del Tribunal</w:t>
      </w:r>
      <w:r>
        <w:rPr>
          <w:rStyle w:val="Appelnotedebasdep"/>
          <w:rFonts w:ascii="Arial" w:hAnsi="Arial"/>
        </w:rPr>
        <w:footnoteReference w:id="20"/>
      </w:r>
      <w:r>
        <w:rPr>
          <w:rFonts w:ascii="Arial" w:hAnsi="Arial"/>
        </w:rPr>
        <w:t>.</w:t>
      </w:r>
    </w:p>
    <w:p w:rsidR="00E06BFF" w:rsidRPr="00D31C92" w:rsidRDefault="00E06BFF" w:rsidP="00E06BFF">
      <w:pPr>
        <w:spacing w:line="360" w:lineRule="auto"/>
        <w:ind w:right="51"/>
        <w:jc w:val="both"/>
        <w:rPr>
          <w:rFonts w:ascii="Arial" w:hAnsi="Arial"/>
          <w:sz w:val="20"/>
        </w:rPr>
      </w:pPr>
    </w:p>
    <w:p w:rsidR="004C6ED5" w:rsidRDefault="00E06BFF" w:rsidP="00E06BFF">
      <w:pPr>
        <w:spacing w:line="360" w:lineRule="auto"/>
        <w:ind w:right="51"/>
        <w:jc w:val="both"/>
        <w:rPr>
          <w:rFonts w:ascii="Arial" w:hAnsi="Arial"/>
        </w:rPr>
      </w:pPr>
      <w:r>
        <w:rPr>
          <w:rFonts w:ascii="Arial" w:hAnsi="Arial"/>
        </w:rPr>
        <w:t>También la Sala de Casación Civil de la CSJ</w:t>
      </w:r>
      <w:r>
        <w:rPr>
          <w:rStyle w:val="Appelnotedebasdep"/>
          <w:rFonts w:ascii="Arial" w:hAnsi="Arial"/>
        </w:rPr>
        <w:footnoteReference w:id="21"/>
      </w:r>
      <w:r>
        <w:rPr>
          <w:rFonts w:ascii="Arial" w:hAnsi="Arial"/>
        </w:rPr>
        <w:t>, órgano de cierre de esta Corporación, ha sido reiterativa en cuanto a la improcedencia del amparo constitucional por el incumplimiento del supuesto de subsidiariedad y la ausencia de demostración del perjuicio irremediable y al efecto ha dicho</w:t>
      </w:r>
      <w:r>
        <w:rPr>
          <w:rStyle w:val="Appelnotedebasdep"/>
          <w:rFonts w:ascii="Arial" w:hAnsi="Arial"/>
        </w:rPr>
        <w:footnoteReference w:id="22"/>
      </w:r>
      <w:r>
        <w:rPr>
          <w:rFonts w:ascii="Arial" w:hAnsi="Arial"/>
        </w:rPr>
        <w:t xml:space="preserve">: </w:t>
      </w:r>
    </w:p>
    <w:p w:rsidR="004C6ED5" w:rsidRDefault="004C6ED5" w:rsidP="00E06BFF">
      <w:pPr>
        <w:spacing w:line="360" w:lineRule="auto"/>
        <w:ind w:right="51"/>
        <w:jc w:val="both"/>
        <w:rPr>
          <w:rFonts w:ascii="Arial" w:hAnsi="Arial"/>
        </w:rPr>
      </w:pPr>
    </w:p>
    <w:p w:rsidR="00E06BFF" w:rsidRPr="004C6ED5" w:rsidRDefault="00E06BFF" w:rsidP="004C6ED5">
      <w:pPr>
        <w:ind w:left="567" w:right="618"/>
        <w:jc w:val="both"/>
        <w:rPr>
          <w:rFonts w:ascii="Arial" w:hAnsi="Arial" w:cs="Arial"/>
          <w:lang w:val="es-ES_tradnl"/>
        </w:rPr>
      </w:pPr>
      <w:r w:rsidRPr="004C6ED5">
        <w:rPr>
          <w:rFonts w:ascii="Arial" w:hAnsi="Arial" w:cs="Arial"/>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4C6ED5">
        <w:rPr>
          <w:rFonts w:ascii="Arial" w:hAnsi="Arial" w:cs="Arial"/>
          <w:lang w:val="es-ES_tradnl"/>
        </w:rPr>
        <w:t xml:space="preserve">2006-00227-01; criterio reiterado en </w:t>
      </w:r>
      <w:r w:rsidRPr="004C6ED5">
        <w:rPr>
          <w:rFonts w:ascii="Arial" w:hAnsi="Arial" w:cs="Arial"/>
          <w:iCs/>
          <w:lang w:val="es-CO"/>
        </w:rPr>
        <w:t>STC7077-2014 y STC16698-2015</w:t>
      </w:r>
      <w:r w:rsidRPr="004C6ED5">
        <w:rPr>
          <w:rFonts w:ascii="Arial" w:hAnsi="Arial" w:cs="Arial"/>
          <w:lang w:val="es-ES_tradnl"/>
        </w:rPr>
        <w:t>). (STC4676-2016, 15 abr. 2016, rad. 2016-00039-01)”</w:t>
      </w:r>
    </w:p>
    <w:p w:rsidR="00E06BFF" w:rsidRPr="004C6ED5" w:rsidRDefault="00E06BFF" w:rsidP="00E06BFF">
      <w:pPr>
        <w:spacing w:line="360" w:lineRule="auto"/>
        <w:ind w:right="51"/>
        <w:jc w:val="both"/>
        <w:rPr>
          <w:rFonts w:ascii="Arial" w:hAnsi="Arial" w:cs="Arial"/>
          <w:sz w:val="28"/>
          <w:lang w:val="es-CO"/>
        </w:rPr>
      </w:pPr>
    </w:p>
    <w:p w:rsidR="00E06BFF" w:rsidRPr="00C558EE" w:rsidRDefault="00E06BFF" w:rsidP="00832CC5">
      <w:pPr>
        <w:pStyle w:val="Paragraphedeliste"/>
        <w:numPr>
          <w:ilvl w:val="0"/>
          <w:numId w:val="31"/>
        </w:numPr>
        <w:spacing w:line="360" w:lineRule="auto"/>
        <w:ind w:right="51"/>
        <w:jc w:val="both"/>
        <w:rPr>
          <w:rFonts w:ascii="Arial" w:hAnsi="Arial"/>
          <w:lang w:val="es-ES_tradnl"/>
        </w:rPr>
      </w:pPr>
      <w:r w:rsidRPr="00C558EE">
        <w:rPr>
          <w:rFonts w:ascii="Arial" w:hAnsi="Arial"/>
        </w:rPr>
        <w:t>EL</w:t>
      </w:r>
      <w:r w:rsidRPr="00C558EE">
        <w:rPr>
          <w:rFonts w:ascii="Arial" w:hAnsi="Arial"/>
          <w:lang w:val="es-ES_tradnl"/>
        </w:rPr>
        <w:t xml:space="preserve"> ANÁLISIS DEL CASO EN CONCRETO</w:t>
      </w:r>
    </w:p>
    <w:p w:rsidR="00E06BFF" w:rsidRPr="00895D52" w:rsidRDefault="00E06BFF" w:rsidP="00E06BFF">
      <w:pPr>
        <w:spacing w:line="360" w:lineRule="auto"/>
        <w:ind w:right="51"/>
        <w:jc w:val="both"/>
        <w:rPr>
          <w:rFonts w:ascii="Arial" w:hAnsi="Arial"/>
          <w:sz w:val="20"/>
          <w:lang w:val="es-ES_tradnl"/>
        </w:rPr>
      </w:pPr>
    </w:p>
    <w:p w:rsidR="004C41B4" w:rsidRDefault="004C41B4" w:rsidP="004C41B4">
      <w:pPr>
        <w:spacing w:line="360" w:lineRule="auto"/>
        <w:ind w:right="51"/>
        <w:jc w:val="both"/>
        <w:rPr>
          <w:rFonts w:ascii="Arial" w:hAnsi="Arial"/>
          <w:szCs w:val="22"/>
          <w:lang w:val="es-ES_tradnl"/>
        </w:rPr>
      </w:pPr>
      <w:r>
        <w:rPr>
          <w:rFonts w:ascii="Arial" w:hAnsi="Arial"/>
          <w:szCs w:val="22"/>
          <w:lang w:val="es-ES_tradnl"/>
        </w:rPr>
        <w:t xml:space="preserve">Cuestiona </w:t>
      </w:r>
      <w:r w:rsidR="001C403C">
        <w:rPr>
          <w:rFonts w:ascii="Arial" w:hAnsi="Arial"/>
          <w:szCs w:val="22"/>
          <w:lang w:val="es-ES_tradnl"/>
        </w:rPr>
        <w:t xml:space="preserve">el actor </w:t>
      </w:r>
      <w:r>
        <w:rPr>
          <w:rFonts w:ascii="Arial" w:hAnsi="Arial"/>
          <w:szCs w:val="22"/>
          <w:lang w:val="es-ES_tradnl"/>
        </w:rPr>
        <w:t xml:space="preserve">el acto </w:t>
      </w:r>
      <w:r w:rsidR="001C403C">
        <w:rPr>
          <w:rFonts w:ascii="Arial" w:hAnsi="Arial"/>
          <w:szCs w:val="22"/>
          <w:lang w:val="es-ES_tradnl"/>
        </w:rPr>
        <w:t xml:space="preserve">administrativo No.CNSC-20162210004734 de 09-11-2016, mediante el cual se suspendió la firmeza y ejecución de la resolución </w:t>
      </w:r>
      <w:r w:rsidR="00481EE9">
        <w:rPr>
          <w:rFonts w:ascii="Arial" w:hAnsi="Arial"/>
          <w:szCs w:val="22"/>
          <w:lang w:val="es-ES_tradnl"/>
        </w:rPr>
        <w:t xml:space="preserve">No.20162210035485 de 03-10-2016, que conformó la lista de elegibles para proveer </w:t>
      </w:r>
      <w:r w:rsidR="00481EE9">
        <w:rPr>
          <w:rFonts w:ascii="Arial" w:hAnsi="Arial"/>
          <w:szCs w:val="22"/>
          <w:lang w:val="es-ES_tradnl"/>
        </w:rPr>
        <w:lastRenderedPageBreak/>
        <w:t>una vacante en el DPS, con ocasión de la solicitud de exclusión presentada por aquel Departamento Administrativo, pues considera que la decisión que llegue a impartirse nunca modificaría su condición de primero de la lista</w:t>
      </w:r>
      <w:r>
        <w:rPr>
          <w:rFonts w:ascii="Arial" w:hAnsi="Arial"/>
          <w:szCs w:val="22"/>
          <w:lang w:val="es-ES_tradnl"/>
        </w:rPr>
        <w:t>.</w:t>
      </w:r>
      <w:r w:rsidR="00B26381">
        <w:rPr>
          <w:rFonts w:ascii="Arial" w:hAnsi="Arial"/>
          <w:szCs w:val="22"/>
          <w:lang w:val="es-ES_tradnl"/>
        </w:rPr>
        <w:t xml:space="preserve"> </w:t>
      </w:r>
    </w:p>
    <w:p w:rsidR="00481EE9" w:rsidRDefault="00481EE9" w:rsidP="004C41B4">
      <w:pPr>
        <w:spacing w:line="360" w:lineRule="auto"/>
        <w:ind w:right="51"/>
        <w:jc w:val="both"/>
        <w:rPr>
          <w:rFonts w:ascii="Arial" w:hAnsi="Arial"/>
          <w:szCs w:val="22"/>
          <w:lang w:val="es-ES_tradnl"/>
        </w:rPr>
      </w:pPr>
    </w:p>
    <w:p w:rsidR="004C41B4" w:rsidRDefault="004C41B4" w:rsidP="007E56EF">
      <w:pPr>
        <w:spacing w:line="360" w:lineRule="auto"/>
        <w:ind w:right="51"/>
        <w:jc w:val="both"/>
        <w:rPr>
          <w:rFonts w:ascii="Arial" w:hAnsi="Arial"/>
          <w:lang w:val="es-ES_tradnl"/>
        </w:rPr>
      </w:pPr>
      <w:r>
        <w:rPr>
          <w:rFonts w:ascii="Arial" w:hAnsi="Arial"/>
          <w:szCs w:val="22"/>
          <w:lang w:val="es-ES_tradnl"/>
        </w:rPr>
        <w:t>Para la Sala resulta central resaltar que</w:t>
      </w:r>
      <w:r w:rsidR="003B0490">
        <w:rPr>
          <w:rFonts w:ascii="Arial" w:hAnsi="Arial"/>
          <w:szCs w:val="22"/>
          <w:lang w:val="es-ES_tradnl"/>
        </w:rPr>
        <w:t xml:space="preserve"> el acto administrativo atacado</w:t>
      </w:r>
      <w:r w:rsidR="002D61D2">
        <w:rPr>
          <w:rFonts w:ascii="Arial" w:hAnsi="Arial"/>
          <w:szCs w:val="22"/>
          <w:lang w:val="es-ES_tradnl"/>
        </w:rPr>
        <w:t>, aun cuando</w:t>
      </w:r>
      <w:r w:rsidR="003B0490">
        <w:rPr>
          <w:rFonts w:ascii="Arial" w:hAnsi="Arial"/>
          <w:szCs w:val="22"/>
          <w:lang w:val="es-ES_tradnl"/>
        </w:rPr>
        <w:t xml:space="preserve"> fue dictado </w:t>
      </w:r>
      <w:r w:rsidR="00770C55">
        <w:rPr>
          <w:rFonts w:ascii="Arial" w:hAnsi="Arial"/>
          <w:szCs w:val="22"/>
          <w:lang w:val="es-ES_tradnl"/>
        </w:rPr>
        <w:t xml:space="preserve">dentro </w:t>
      </w:r>
      <w:r w:rsidR="003B0490">
        <w:rPr>
          <w:rFonts w:ascii="Arial" w:hAnsi="Arial"/>
          <w:szCs w:val="22"/>
          <w:lang w:val="es-ES_tradnl"/>
        </w:rPr>
        <w:t xml:space="preserve">de un trámite en el que se investiga la posibilidad de excluir de la lista de elegibles a una persona diferente </w:t>
      </w:r>
      <w:r w:rsidR="002D61D2">
        <w:rPr>
          <w:rFonts w:ascii="Arial" w:hAnsi="Arial"/>
          <w:szCs w:val="22"/>
          <w:lang w:val="es-ES_tradnl"/>
        </w:rPr>
        <w:t xml:space="preserve">del </w:t>
      </w:r>
      <w:r w:rsidR="003B0490">
        <w:rPr>
          <w:rFonts w:ascii="Arial" w:hAnsi="Arial"/>
          <w:szCs w:val="22"/>
          <w:lang w:val="es-ES_tradnl"/>
        </w:rPr>
        <w:t xml:space="preserve">actor, </w:t>
      </w:r>
      <w:r w:rsidR="002D61D2">
        <w:rPr>
          <w:rFonts w:ascii="Arial" w:hAnsi="Arial"/>
          <w:szCs w:val="22"/>
          <w:lang w:val="es-ES_tradnl"/>
        </w:rPr>
        <w:t xml:space="preserve">guarda </w:t>
      </w:r>
      <w:r w:rsidR="003B0490">
        <w:rPr>
          <w:rFonts w:ascii="Arial" w:hAnsi="Arial"/>
          <w:szCs w:val="22"/>
          <w:lang w:val="es-ES_tradnl"/>
        </w:rPr>
        <w:t>directa relación con sus intereses</w:t>
      </w:r>
      <w:r w:rsidR="002D61D2">
        <w:rPr>
          <w:rFonts w:ascii="Arial" w:hAnsi="Arial"/>
          <w:szCs w:val="22"/>
          <w:lang w:val="es-ES_tradnl"/>
        </w:rPr>
        <w:t xml:space="preserve"> individuales</w:t>
      </w:r>
      <w:r w:rsidR="003B0490">
        <w:rPr>
          <w:rFonts w:ascii="Arial" w:hAnsi="Arial"/>
          <w:szCs w:val="22"/>
          <w:lang w:val="es-ES_tradnl"/>
        </w:rPr>
        <w:t xml:space="preserve">, </w:t>
      </w:r>
      <w:r w:rsidR="002D61D2">
        <w:rPr>
          <w:rFonts w:ascii="Arial" w:hAnsi="Arial"/>
          <w:szCs w:val="22"/>
          <w:lang w:val="es-ES_tradnl"/>
        </w:rPr>
        <w:t xml:space="preserve">pues </w:t>
      </w:r>
      <w:r w:rsidR="003B0490">
        <w:rPr>
          <w:rFonts w:ascii="Arial" w:hAnsi="Arial"/>
          <w:szCs w:val="22"/>
          <w:lang w:val="es-ES_tradnl"/>
        </w:rPr>
        <w:t>supuso la imposibilidad de que haya sido nombrado en el cargo para el cual concurs</w:t>
      </w:r>
      <w:r w:rsidR="002D61D2">
        <w:rPr>
          <w:rFonts w:ascii="Arial" w:hAnsi="Arial"/>
          <w:szCs w:val="22"/>
          <w:lang w:val="es-ES_tradnl"/>
        </w:rPr>
        <w:t>ó</w:t>
      </w:r>
      <w:r w:rsidR="003B0490">
        <w:rPr>
          <w:rFonts w:ascii="Arial" w:hAnsi="Arial"/>
          <w:szCs w:val="22"/>
          <w:lang w:val="es-ES_tradnl"/>
        </w:rPr>
        <w:t xml:space="preserve">, </w:t>
      </w:r>
      <w:r w:rsidR="002D61D2">
        <w:rPr>
          <w:rFonts w:ascii="Arial" w:hAnsi="Arial"/>
          <w:szCs w:val="22"/>
          <w:lang w:val="es-ES_tradnl"/>
        </w:rPr>
        <w:t xml:space="preserve">de tal suerte, que </w:t>
      </w:r>
      <w:r w:rsidR="00863D43">
        <w:rPr>
          <w:rFonts w:ascii="Arial" w:hAnsi="Arial"/>
          <w:szCs w:val="22"/>
          <w:lang w:val="es-ES_tradnl"/>
        </w:rPr>
        <w:t xml:space="preserve">se advierte su legitimación para cuestionarlo, </w:t>
      </w:r>
      <w:r w:rsidR="00A63585">
        <w:rPr>
          <w:rFonts w:ascii="Arial" w:hAnsi="Arial"/>
          <w:szCs w:val="22"/>
          <w:lang w:val="es-ES_tradnl"/>
        </w:rPr>
        <w:t>además</w:t>
      </w:r>
      <w:r w:rsidR="00635E64">
        <w:rPr>
          <w:rFonts w:ascii="Arial" w:hAnsi="Arial"/>
          <w:szCs w:val="22"/>
          <w:lang w:val="es-ES_tradnl"/>
        </w:rPr>
        <w:t>,</w:t>
      </w:r>
      <w:r w:rsidR="00A63585">
        <w:rPr>
          <w:rFonts w:ascii="Arial" w:hAnsi="Arial"/>
          <w:szCs w:val="22"/>
          <w:lang w:val="es-ES_tradnl"/>
        </w:rPr>
        <w:t xml:space="preserve"> es claro su carácter particular, pues </w:t>
      </w:r>
      <w:r w:rsidR="007E56EF">
        <w:rPr>
          <w:rFonts w:ascii="Arial" w:hAnsi="Arial"/>
          <w:szCs w:val="22"/>
          <w:lang w:val="es-ES_tradnl"/>
        </w:rPr>
        <w:t xml:space="preserve">suspendió la firmeza y ejecución de una lista de elegibles conformada por un grupo determinado de personas, incluido, el accionante. </w:t>
      </w:r>
    </w:p>
    <w:p w:rsidR="004C41B4" w:rsidRPr="007E56EF" w:rsidRDefault="004C41B4" w:rsidP="004C41B4">
      <w:pPr>
        <w:spacing w:line="360" w:lineRule="auto"/>
        <w:ind w:right="51"/>
        <w:jc w:val="both"/>
        <w:rPr>
          <w:rFonts w:ascii="Arial" w:hAnsi="Arial"/>
          <w:szCs w:val="22"/>
          <w:lang w:val="es-ES_tradnl"/>
        </w:rPr>
      </w:pPr>
    </w:p>
    <w:p w:rsidR="004C41B4" w:rsidRDefault="007E56EF" w:rsidP="004C41B4">
      <w:pPr>
        <w:spacing w:line="360" w:lineRule="auto"/>
        <w:ind w:right="51"/>
        <w:jc w:val="both"/>
        <w:rPr>
          <w:rFonts w:ascii="Arial" w:hAnsi="Arial"/>
          <w:lang w:val="es-ES_tradnl"/>
        </w:rPr>
      </w:pPr>
      <w:r>
        <w:rPr>
          <w:rFonts w:ascii="Arial" w:hAnsi="Arial" w:cs="Arial"/>
          <w:bCs/>
          <w:color w:val="000000"/>
          <w:lang w:val="es-CO"/>
        </w:rPr>
        <w:t xml:space="preserve">Nuestro </w:t>
      </w:r>
      <w:r w:rsidRPr="003830E4">
        <w:rPr>
          <w:rFonts w:ascii="Arial" w:hAnsi="Arial" w:cs="Arial"/>
          <w:bCs/>
          <w:color w:val="000000"/>
          <w:lang w:val="es-CO"/>
        </w:rPr>
        <w:t>sistema jurídico</w:t>
      </w:r>
      <w:r>
        <w:rPr>
          <w:rFonts w:ascii="Arial" w:hAnsi="Arial"/>
          <w:szCs w:val="22"/>
          <w:lang w:val="es-ES_tradnl"/>
        </w:rPr>
        <w:t xml:space="preserve">, tiene </w:t>
      </w:r>
      <w:r w:rsidRPr="003830E4">
        <w:rPr>
          <w:rFonts w:ascii="Arial" w:hAnsi="Arial" w:cs="Arial"/>
          <w:bCs/>
          <w:color w:val="000000"/>
          <w:lang w:val="es-CO"/>
        </w:rPr>
        <w:t>previsto</w:t>
      </w:r>
      <w:r>
        <w:rPr>
          <w:rFonts w:ascii="Arial" w:hAnsi="Arial" w:cs="Arial"/>
          <w:bCs/>
          <w:color w:val="000000"/>
          <w:lang w:val="es-CO"/>
        </w:rPr>
        <w:t>s</w:t>
      </w:r>
      <w:r w:rsidRPr="003830E4">
        <w:rPr>
          <w:rFonts w:ascii="Arial" w:hAnsi="Arial" w:cs="Arial"/>
          <w:bCs/>
          <w:color w:val="000000"/>
          <w:lang w:val="es-CO"/>
        </w:rPr>
        <w:t xml:space="preserve"> mecanismos de defensa</w:t>
      </w:r>
      <w:r w:rsidR="004C41B4" w:rsidRPr="003830E4">
        <w:rPr>
          <w:rFonts w:ascii="Arial" w:hAnsi="Arial" w:cs="Arial"/>
          <w:bCs/>
          <w:color w:val="000000"/>
          <w:lang w:val="es-CO"/>
        </w:rPr>
        <w:t xml:space="preserve">, como </w:t>
      </w:r>
      <w:r w:rsidR="004C41B4">
        <w:rPr>
          <w:rFonts w:ascii="Arial" w:hAnsi="Arial" w:cs="Arial"/>
          <w:color w:val="000000"/>
          <w:lang w:val="es-CO"/>
        </w:rPr>
        <w:t xml:space="preserve">los medios de control </w:t>
      </w:r>
      <w:r w:rsidR="004C41B4" w:rsidRPr="003830E4">
        <w:rPr>
          <w:rFonts w:ascii="Arial" w:hAnsi="Arial" w:cs="Arial"/>
          <w:color w:val="000000"/>
          <w:lang w:val="es-CO"/>
        </w:rPr>
        <w:t xml:space="preserve">de nulidad y restablecimiento del derecho y de simple nulidad </w:t>
      </w:r>
      <w:r w:rsidR="004C41B4">
        <w:rPr>
          <w:rFonts w:ascii="Arial" w:hAnsi="Arial" w:cs="Arial"/>
          <w:color w:val="000000"/>
          <w:lang w:val="es-CO"/>
        </w:rPr>
        <w:t>(</w:t>
      </w:r>
      <w:r w:rsidR="004C41B4" w:rsidRPr="00972B07">
        <w:rPr>
          <w:rFonts w:ascii="Arial" w:hAnsi="Arial" w:cs="Arial"/>
          <w:color w:val="000000"/>
          <w:lang w:val="es-CO"/>
        </w:rPr>
        <w:t>R</w:t>
      </w:r>
      <w:r w:rsidR="004C41B4" w:rsidRPr="00972B07">
        <w:rPr>
          <w:rFonts w:ascii="Arial" w:hAnsi="Arial" w:cs="Arial"/>
          <w:lang w:val="es-CO"/>
        </w:rPr>
        <w:t>eguladas</w:t>
      </w:r>
      <w:r w:rsidR="004C41B4" w:rsidRPr="003830E4">
        <w:rPr>
          <w:rFonts w:ascii="Arial" w:hAnsi="Arial" w:cs="Arial"/>
        </w:rPr>
        <w:t xml:space="preserve"> en los artículos 137 y 138</w:t>
      </w:r>
      <w:r w:rsidR="008029DB">
        <w:rPr>
          <w:rFonts w:ascii="Arial" w:hAnsi="Arial" w:cs="Arial"/>
        </w:rPr>
        <w:t>-2</w:t>
      </w:r>
      <w:r w:rsidR="004C41B4" w:rsidRPr="003830E4">
        <w:rPr>
          <w:rFonts w:ascii="Arial" w:hAnsi="Arial" w:cs="Arial"/>
        </w:rPr>
        <w:t xml:space="preserve"> del CPACA) </w:t>
      </w:r>
      <w:r w:rsidR="00327E05">
        <w:rPr>
          <w:rFonts w:ascii="Arial" w:hAnsi="Arial" w:cs="Arial"/>
          <w:color w:val="000000"/>
          <w:lang w:val="es-CO"/>
        </w:rPr>
        <w:t xml:space="preserve">a través de </w:t>
      </w:r>
      <w:r w:rsidR="004C41B4">
        <w:rPr>
          <w:rFonts w:ascii="Arial" w:hAnsi="Arial" w:cs="Arial"/>
          <w:color w:val="000000"/>
          <w:lang w:val="es-CO"/>
        </w:rPr>
        <w:t>lo</w:t>
      </w:r>
      <w:r w:rsidR="004C41B4" w:rsidRPr="003830E4">
        <w:rPr>
          <w:rFonts w:ascii="Arial" w:hAnsi="Arial" w:cs="Arial"/>
          <w:color w:val="000000"/>
          <w:lang w:val="es-CO"/>
        </w:rPr>
        <w:t xml:space="preserve">s cuales </w:t>
      </w:r>
      <w:r>
        <w:rPr>
          <w:rFonts w:ascii="Arial" w:hAnsi="Arial" w:cs="Arial"/>
          <w:color w:val="000000"/>
          <w:lang w:val="es-CO"/>
        </w:rPr>
        <w:t xml:space="preserve">el accionante </w:t>
      </w:r>
      <w:r w:rsidR="004C41B4">
        <w:rPr>
          <w:rFonts w:ascii="Arial" w:hAnsi="Arial" w:cs="Arial"/>
          <w:color w:val="000000"/>
          <w:lang w:val="es-CO"/>
        </w:rPr>
        <w:t xml:space="preserve">puede </w:t>
      </w:r>
      <w:r w:rsidR="004C41B4" w:rsidRPr="003830E4">
        <w:rPr>
          <w:rFonts w:ascii="Arial" w:hAnsi="Arial" w:cs="Arial"/>
          <w:color w:val="000000"/>
          <w:lang w:val="es-CO"/>
        </w:rPr>
        <w:t xml:space="preserve">demandar </w:t>
      </w:r>
      <w:r w:rsidR="00E55A5E">
        <w:rPr>
          <w:rFonts w:ascii="Arial" w:hAnsi="Arial" w:cs="Arial"/>
          <w:color w:val="000000"/>
          <w:lang w:val="es-CO"/>
        </w:rPr>
        <w:t xml:space="preserve">y </w:t>
      </w:r>
      <w:r w:rsidR="004C41B4" w:rsidRPr="003830E4">
        <w:rPr>
          <w:rFonts w:ascii="Arial" w:hAnsi="Arial" w:cs="Arial"/>
          <w:color w:val="000000"/>
          <w:lang w:val="es-CO"/>
        </w:rPr>
        <w:t xml:space="preserve">solicitar la </w:t>
      </w:r>
      <w:r w:rsidR="004C41B4">
        <w:rPr>
          <w:rFonts w:ascii="Arial" w:hAnsi="Arial" w:cs="Arial"/>
          <w:color w:val="000000"/>
          <w:lang w:val="es-CO"/>
        </w:rPr>
        <w:t>medida cautelar de suspensión provisional (Artículo 230, CPACA), es decir, cuenta con</w:t>
      </w:r>
      <w:r w:rsidR="004C41B4">
        <w:rPr>
          <w:rFonts w:ascii="Arial" w:hAnsi="Arial"/>
          <w:lang w:val="es-ES_tradnl"/>
        </w:rPr>
        <w:t xml:space="preserve"> lo</w:t>
      </w:r>
      <w:r w:rsidR="005B5611">
        <w:rPr>
          <w:rFonts w:ascii="Arial" w:hAnsi="Arial"/>
          <w:lang w:val="es-ES_tradnl"/>
        </w:rPr>
        <w:t>s medios de control contencioso</w:t>
      </w:r>
      <w:r w:rsidR="004C41B4">
        <w:rPr>
          <w:rFonts w:ascii="Arial" w:hAnsi="Arial"/>
          <w:lang w:val="es-ES_tradnl"/>
        </w:rPr>
        <w:t xml:space="preserve"> administrativos, que aún no ha agotado, o al menos en el expediente falta prueba en ese sentido.</w:t>
      </w:r>
    </w:p>
    <w:p w:rsidR="00542954" w:rsidRDefault="00542954" w:rsidP="004C41B4">
      <w:pPr>
        <w:spacing w:line="360" w:lineRule="auto"/>
        <w:ind w:right="51"/>
        <w:jc w:val="both"/>
        <w:rPr>
          <w:rFonts w:ascii="Arial" w:hAnsi="Arial"/>
        </w:rPr>
      </w:pPr>
    </w:p>
    <w:p w:rsidR="007E56EF" w:rsidRDefault="00B248B2" w:rsidP="004C41B4">
      <w:pPr>
        <w:spacing w:line="360" w:lineRule="auto"/>
        <w:ind w:right="51"/>
        <w:jc w:val="both"/>
        <w:rPr>
          <w:rFonts w:ascii="Arial" w:hAnsi="Arial"/>
        </w:rPr>
      </w:pPr>
      <w:r>
        <w:rPr>
          <w:rFonts w:ascii="Arial" w:hAnsi="Arial"/>
        </w:rPr>
        <w:t>T</w:t>
      </w:r>
      <w:r w:rsidR="004C41B4">
        <w:rPr>
          <w:rFonts w:ascii="Arial" w:hAnsi="Arial"/>
        </w:rPr>
        <w:t>ambién es viable que a pesar de la existencia de los medios ordinarios</w:t>
      </w:r>
      <w:r w:rsidR="008F3867">
        <w:rPr>
          <w:rFonts w:ascii="Arial" w:hAnsi="Arial"/>
        </w:rPr>
        <w:t xml:space="preserve">, el actor </w:t>
      </w:r>
      <w:r w:rsidR="004C41B4">
        <w:rPr>
          <w:rFonts w:ascii="Arial" w:hAnsi="Arial"/>
        </w:rPr>
        <w:t>pueda acudir a la justicia constitucional, pero a condición de que acredite un perjuicio irremediable</w:t>
      </w:r>
      <w:r w:rsidR="004C41B4">
        <w:rPr>
          <w:rStyle w:val="Appelnotedebasdep"/>
          <w:rFonts w:ascii="Arial" w:hAnsi="Arial"/>
        </w:rPr>
        <w:footnoteReference w:id="23"/>
      </w:r>
      <w:r w:rsidR="004C41B4">
        <w:rPr>
          <w:rFonts w:ascii="Arial" w:hAnsi="Arial"/>
        </w:rPr>
        <w:t xml:space="preserve">, que aquí </w:t>
      </w:r>
      <w:r w:rsidR="008F3867">
        <w:rPr>
          <w:rFonts w:ascii="Arial" w:hAnsi="Arial"/>
        </w:rPr>
        <w:t xml:space="preserve">ni siquiera se </w:t>
      </w:r>
      <w:r w:rsidR="004C41B4">
        <w:rPr>
          <w:rFonts w:ascii="Arial" w:hAnsi="Arial"/>
        </w:rPr>
        <w:t>aleg</w:t>
      </w:r>
      <w:r w:rsidR="008029DB">
        <w:rPr>
          <w:rFonts w:ascii="Arial" w:hAnsi="Arial"/>
        </w:rPr>
        <w:t>ó</w:t>
      </w:r>
      <w:r w:rsidR="008F3867">
        <w:rPr>
          <w:rFonts w:ascii="Arial" w:hAnsi="Arial"/>
        </w:rPr>
        <w:t xml:space="preserve">; pese a ello, si se considerara como argumento la imposibilidad de ser nombrado hasta tanto se resuelva la exclusión presentada, </w:t>
      </w:r>
      <w:r w:rsidR="004C41B4">
        <w:rPr>
          <w:rFonts w:ascii="Arial" w:hAnsi="Arial"/>
        </w:rPr>
        <w:t xml:space="preserve">estima la Sala </w:t>
      </w:r>
      <w:r w:rsidR="008F3867">
        <w:rPr>
          <w:rFonts w:ascii="Arial" w:hAnsi="Arial"/>
        </w:rPr>
        <w:t xml:space="preserve">que </w:t>
      </w:r>
      <w:r w:rsidR="007E56EF">
        <w:rPr>
          <w:rFonts w:ascii="Arial" w:hAnsi="Arial"/>
        </w:rPr>
        <w:t xml:space="preserve">sería </w:t>
      </w:r>
      <w:r w:rsidR="004C41B4">
        <w:rPr>
          <w:rFonts w:ascii="Arial" w:hAnsi="Arial" w:cs="Arial"/>
        </w:rPr>
        <w:t xml:space="preserve">insuficiente para promulgar </w:t>
      </w:r>
      <w:r>
        <w:rPr>
          <w:rFonts w:ascii="Arial" w:hAnsi="Arial" w:cs="Arial"/>
        </w:rPr>
        <w:t xml:space="preserve">la </w:t>
      </w:r>
      <w:r w:rsidR="008F3867">
        <w:rPr>
          <w:rFonts w:ascii="Arial" w:hAnsi="Arial" w:cs="Arial"/>
        </w:rPr>
        <w:t xml:space="preserve">supuesta </w:t>
      </w:r>
      <w:proofErr w:type="spellStart"/>
      <w:r w:rsidR="004C41B4">
        <w:rPr>
          <w:rFonts w:ascii="Arial" w:hAnsi="Arial" w:cs="Arial"/>
        </w:rPr>
        <w:t>irremediabilidad</w:t>
      </w:r>
      <w:proofErr w:type="spellEnd"/>
      <w:r w:rsidR="004C41B4">
        <w:rPr>
          <w:rFonts w:ascii="Arial" w:hAnsi="Arial" w:cs="Arial"/>
        </w:rPr>
        <w:t>, ya que no concurren</w:t>
      </w:r>
      <w:r w:rsidR="004C41B4">
        <w:rPr>
          <w:rFonts w:ascii="Arial" w:hAnsi="Arial"/>
        </w:rPr>
        <w:t xml:space="preserve"> las características de inminencia del daño, gravedad</w:t>
      </w:r>
      <w:r w:rsidR="007E56EF">
        <w:rPr>
          <w:rFonts w:ascii="Arial" w:hAnsi="Arial"/>
        </w:rPr>
        <w:t xml:space="preserve">, urgencia e </w:t>
      </w:r>
      <w:proofErr w:type="spellStart"/>
      <w:r w:rsidR="007E56EF">
        <w:rPr>
          <w:rFonts w:ascii="Arial" w:hAnsi="Arial"/>
        </w:rPr>
        <w:t>impostergabilidad</w:t>
      </w:r>
      <w:proofErr w:type="spellEnd"/>
      <w:r w:rsidR="007E56EF">
        <w:rPr>
          <w:rFonts w:ascii="Arial" w:hAnsi="Arial"/>
        </w:rPr>
        <w:t xml:space="preserve">. </w:t>
      </w:r>
    </w:p>
    <w:p w:rsidR="007E56EF" w:rsidRDefault="007E56EF" w:rsidP="004C41B4">
      <w:pPr>
        <w:spacing w:line="360" w:lineRule="auto"/>
        <w:ind w:right="51"/>
        <w:jc w:val="both"/>
        <w:rPr>
          <w:rFonts w:ascii="Arial" w:hAnsi="Arial"/>
        </w:rPr>
      </w:pPr>
    </w:p>
    <w:p w:rsidR="00327E05" w:rsidRDefault="007E56EF" w:rsidP="004C41B4">
      <w:pPr>
        <w:spacing w:line="360" w:lineRule="auto"/>
        <w:ind w:right="51"/>
        <w:jc w:val="both"/>
        <w:rPr>
          <w:rFonts w:ascii="Arial" w:hAnsi="Arial"/>
        </w:rPr>
      </w:pPr>
      <w:r>
        <w:rPr>
          <w:rFonts w:ascii="Arial" w:hAnsi="Arial"/>
        </w:rPr>
        <w:t xml:space="preserve">No se trata de una persona de especial protección constitucional ni se encuentra en un estado de debilidad manifiesta que haga necesaria la intervención de juez constitucional, de tal suerte, que </w:t>
      </w:r>
      <w:r w:rsidR="004C41B4">
        <w:rPr>
          <w:rFonts w:ascii="Arial" w:hAnsi="Arial"/>
        </w:rPr>
        <w:t>el medio de control administrativo sí es idóneo y eficaz para resolver la cuestión litigiosa, máxime que el trámite procesal ahora es oral.</w:t>
      </w:r>
      <w:r w:rsidR="008029DB">
        <w:rPr>
          <w:rFonts w:ascii="Arial" w:hAnsi="Arial"/>
        </w:rPr>
        <w:t xml:space="preserve"> </w:t>
      </w:r>
    </w:p>
    <w:p w:rsidR="00327E05" w:rsidRDefault="00327E05" w:rsidP="004C41B4">
      <w:pPr>
        <w:spacing w:line="360" w:lineRule="auto"/>
        <w:ind w:right="51"/>
        <w:jc w:val="both"/>
        <w:rPr>
          <w:rFonts w:ascii="Arial" w:hAnsi="Arial"/>
        </w:rPr>
      </w:pPr>
    </w:p>
    <w:p w:rsidR="003B5F70" w:rsidRDefault="003B5F70" w:rsidP="004C41B4">
      <w:pPr>
        <w:spacing w:line="360" w:lineRule="auto"/>
        <w:ind w:right="51"/>
        <w:jc w:val="both"/>
        <w:rPr>
          <w:rFonts w:ascii="Arial" w:hAnsi="Arial"/>
        </w:rPr>
      </w:pPr>
      <w:r>
        <w:rPr>
          <w:rFonts w:ascii="Arial" w:hAnsi="Arial"/>
        </w:rPr>
        <w:t>Tampoco</w:t>
      </w:r>
      <w:r w:rsidR="00327E05">
        <w:rPr>
          <w:rFonts w:ascii="Arial" w:hAnsi="Arial"/>
        </w:rPr>
        <w:t xml:space="preserve"> se puede hablar de un derecho adquirido que diera lugar a superar la subsidiariedad, </w:t>
      </w:r>
      <w:r w:rsidR="006202BD">
        <w:rPr>
          <w:rFonts w:ascii="Arial" w:hAnsi="Arial"/>
        </w:rPr>
        <w:t>conforme lo ha reseñado la jurisprudencia constitucional</w:t>
      </w:r>
      <w:r w:rsidR="006202BD">
        <w:rPr>
          <w:rStyle w:val="Appelnotedebasdep"/>
          <w:rFonts w:ascii="Arial" w:hAnsi="Arial"/>
          <w:i/>
          <w:color w:val="000000"/>
          <w:sz w:val="22"/>
          <w:szCs w:val="22"/>
        </w:rPr>
        <w:footnoteReference w:id="24"/>
      </w:r>
      <w:r w:rsidR="006202BD">
        <w:rPr>
          <w:rFonts w:ascii="Arial" w:hAnsi="Arial"/>
        </w:rPr>
        <w:t xml:space="preserve">, </w:t>
      </w:r>
      <w:r w:rsidR="00327E05">
        <w:rPr>
          <w:rFonts w:ascii="Arial" w:hAnsi="Arial"/>
        </w:rPr>
        <w:t>pues</w:t>
      </w:r>
      <w:r w:rsidR="00635E64">
        <w:rPr>
          <w:rFonts w:ascii="Arial" w:hAnsi="Arial"/>
        </w:rPr>
        <w:t>, por si sola, es insuficiente</w:t>
      </w:r>
      <w:r w:rsidR="00327E05">
        <w:rPr>
          <w:rFonts w:ascii="Arial" w:hAnsi="Arial"/>
        </w:rPr>
        <w:t xml:space="preserve"> la condición de ser el primero de la lista, debido a que también se </w:t>
      </w:r>
      <w:r w:rsidR="00327E05">
        <w:rPr>
          <w:rFonts w:ascii="Arial" w:hAnsi="Arial"/>
        </w:rPr>
        <w:lastRenderedPageBreak/>
        <w:t>requiere que el acto administrativo haya adquirido firmeza</w:t>
      </w:r>
      <w:r>
        <w:rPr>
          <w:rFonts w:ascii="Arial" w:hAnsi="Arial"/>
        </w:rPr>
        <w:t>.</w:t>
      </w:r>
    </w:p>
    <w:p w:rsidR="003B5F70" w:rsidRDefault="003B5F70" w:rsidP="004C41B4">
      <w:pPr>
        <w:spacing w:line="360" w:lineRule="auto"/>
        <w:ind w:right="51"/>
        <w:jc w:val="both"/>
        <w:rPr>
          <w:rFonts w:ascii="Arial" w:hAnsi="Arial"/>
        </w:rPr>
      </w:pPr>
    </w:p>
    <w:p w:rsidR="003B5F70" w:rsidRDefault="007E56EF" w:rsidP="004C41B4">
      <w:pPr>
        <w:spacing w:line="360" w:lineRule="auto"/>
        <w:ind w:right="51"/>
        <w:jc w:val="both"/>
        <w:rPr>
          <w:rFonts w:ascii="Arial" w:hAnsi="Arial"/>
        </w:rPr>
      </w:pPr>
      <w:r>
        <w:rPr>
          <w:rFonts w:ascii="Arial" w:hAnsi="Arial"/>
        </w:rPr>
        <w:t xml:space="preserve">Ahora, si en gracia de discusión </w:t>
      </w:r>
      <w:r w:rsidR="006202BD">
        <w:rPr>
          <w:rFonts w:ascii="Arial" w:hAnsi="Arial"/>
        </w:rPr>
        <w:t xml:space="preserve">se considerara </w:t>
      </w:r>
      <w:r>
        <w:rPr>
          <w:rFonts w:ascii="Arial" w:hAnsi="Arial"/>
        </w:rPr>
        <w:t xml:space="preserve">superada la subsidiariedad, precisa la Sala señalar que es inexistente la vulneración o amenaza del derecho fundamental al debido proceso </w:t>
      </w:r>
      <w:r w:rsidR="006202BD">
        <w:rPr>
          <w:rFonts w:ascii="Arial" w:hAnsi="Arial"/>
        </w:rPr>
        <w:t xml:space="preserve">administrativo </w:t>
      </w:r>
      <w:r>
        <w:rPr>
          <w:rFonts w:ascii="Arial" w:hAnsi="Arial"/>
        </w:rPr>
        <w:t xml:space="preserve">por el defecto sustantivo, pues </w:t>
      </w:r>
      <w:r w:rsidR="006202BD">
        <w:rPr>
          <w:rFonts w:ascii="Arial" w:hAnsi="Arial"/>
        </w:rPr>
        <w:t xml:space="preserve">no se advierte antojadiza ni caprichosa </w:t>
      </w:r>
      <w:r>
        <w:rPr>
          <w:rFonts w:ascii="Arial" w:hAnsi="Arial"/>
        </w:rPr>
        <w:t>la decisión de la comisionada</w:t>
      </w:r>
      <w:r w:rsidR="00635E64">
        <w:rPr>
          <w:rFonts w:ascii="Arial" w:hAnsi="Arial"/>
        </w:rPr>
        <w:t>,</w:t>
      </w:r>
      <w:r w:rsidR="00C915E3">
        <w:rPr>
          <w:rFonts w:ascii="Arial" w:hAnsi="Arial"/>
        </w:rPr>
        <w:t xml:space="preserve"> ya que devino </w:t>
      </w:r>
      <w:r w:rsidR="003B5F70">
        <w:rPr>
          <w:rFonts w:ascii="Arial" w:hAnsi="Arial"/>
        </w:rPr>
        <w:t xml:space="preserve">de </w:t>
      </w:r>
      <w:r w:rsidR="006202BD">
        <w:rPr>
          <w:rFonts w:ascii="Arial" w:hAnsi="Arial"/>
        </w:rPr>
        <w:t>l</w:t>
      </w:r>
      <w:r w:rsidR="003B5F70">
        <w:rPr>
          <w:rFonts w:ascii="Arial" w:hAnsi="Arial"/>
        </w:rPr>
        <w:t xml:space="preserve">a aplicación estricta del procedimiento establecido por el Decreto Ley 760 de 2005 y el Acuerdo No.524 de 13-08-2014, reglamentario de la convocatoria No.320 de 2014, y </w:t>
      </w:r>
      <w:r w:rsidR="00C915E3">
        <w:rPr>
          <w:rFonts w:ascii="Arial" w:hAnsi="Arial"/>
        </w:rPr>
        <w:t xml:space="preserve">en atención a </w:t>
      </w:r>
      <w:r w:rsidR="006202BD">
        <w:rPr>
          <w:rFonts w:ascii="Arial" w:hAnsi="Arial"/>
        </w:rPr>
        <w:t xml:space="preserve">una </w:t>
      </w:r>
      <w:r w:rsidR="00C915E3">
        <w:rPr>
          <w:rFonts w:ascii="Arial" w:hAnsi="Arial"/>
        </w:rPr>
        <w:t xml:space="preserve">solicitud de exclusión presentada oportunamente por el DPS </w:t>
      </w:r>
      <w:r w:rsidR="003B5F70">
        <w:rPr>
          <w:rFonts w:ascii="Arial" w:hAnsi="Arial"/>
        </w:rPr>
        <w:t>(12-10-2016)</w:t>
      </w:r>
      <w:r w:rsidR="00C915E3">
        <w:rPr>
          <w:rFonts w:ascii="Arial" w:hAnsi="Arial"/>
        </w:rPr>
        <w:t xml:space="preserve">, </w:t>
      </w:r>
      <w:r w:rsidR="003B5F70">
        <w:rPr>
          <w:rFonts w:ascii="Arial" w:hAnsi="Arial"/>
        </w:rPr>
        <w:t xml:space="preserve">dentro de los cinco (5) </w:t>
      </w:r>
      <w:r w:rsidR="00C915E3">
        <w:rPr>
          <w:rFonts w:ascii="Arial" w:hAnsi="Arial"/>
        </w:rPr>
        <w:t>día</w:t>
      </w:r>
      <w:r w:rsidR="003B5F70">
        <w:rPr>
          <w:rFonts w:ascii="Arial" w:hAnsi="Arial"/>
        </w:rPr>
        <w:t>s</w:t>
      </w:r>
      <w:r w:rsidR="00C915E3">
        <w:rPr>
          <w:rFonts w:ascii="Arial" w:hAnsi="Arial"/>
        </w:rPr>
        <w:t xml:space="preserve"> siguiente</w:t>
      </w:r>
      <w:r w:rsidR="003B5F70">
        <w:rPr>
          <w:rFonts w:ascii="Arial" w:hAnsi="Arial"/>
        </w:rPr>
        <w:t>s</w:t>
      </w:r>
      <w:r w:rsidR="00C915E3">
        <w:rPr>
          <w:rFonts w:ascii="Arial" w:hAnsi="Arial"/>
        </w:rPr>
        <w:t xml:space="preserve"> a </w:t>
      </w:r>
      <w:r w:rsidR="006202BD">
        <w:rPr>
          <w:rFonts w:ascii="Arial" w:hAnsi="Arial"/>
        </w:rPr>
        <w:t xml:space="preserve">su </w:t>
      </w:r>
      <w:r w:rsidR="00C915E3">
        <w:rPr>
          <w:rFonts w:ascii="Arial" w:hAnsi="Arial"/>
        </w:rPr>
        <w:t>publicación</w:t>
      </w:r>
      <w:r w:rsidR="003B5F70">
        <w:rPr>
          <w:rFonts w:ascii="Arial" w:hAnsi="Arial"/>
        </w:rPr>
        <w:t xml:space="preserve"> (</w:t>
      </w:r>
      <w:r w:rsidR="00C915E3">
        <w:rPr>
          <w:rFonts w:ascii="Arial" w:hAnsi="Arial"/>
        </w:rPr>
        <w:t>05-</w:t>
      </w:r>
      <w:r w:rsidR="003B5F70">
        <w:rPr>
          <w:rFonts w:ascii="Arial" w:hAnsi="Arial"/>
        </w:rPr>
        <w:t>10</w:t>
      </w:r>
      <w:r w:rsidR="00C915E3">
        <w:rPr>
          <w:rFonts w:ascii="Arial" w:hAnsi="Arial"/>
        </w:rPr>
        <w:t>-2016</w:t>
      </w:r>
      <w:r w:rsidR="003B5F70">
        <w:rPr>
          <w:rFonts w:ascii="Arial" w:hAnsi="Arial"/>
        </w:rPr>
        <w:t>)</w:t>
      </w:r>
      <w:r w:rsidR="00C915E3">
        <w:rPr>
          <w:rFonts w:ascii="Arial" w:hAnsi="Arial"/>
        </w:rPr>
        <w:t xml:space="preserve"> (Artículos 14, Decreto Ley 760 de 2005, y 56, Acuerdo No.524 de 13-08-2014)</w:t>
      </w:r>
      <w:r w:rsidR="003B5F70">
        <w:rPr>
          <w:rFonts w:ascii="Arial" w:hAnsi="Arial"/>
        </w:rPr>
        <w:t xml:space="preserve">. </w:t>
      </w:r>
    </w:p>
    <w:p w:rsidR="003B5F70" w:rsidRDefault="003B5F70" w:rsidP="004C41B4">
      <w:pPr>
        <w:spacing w:line="360" w:lineRule="auto"/>
        <w:ind w:right="51"/>
        <w:jc w:val="both"/>
        <w:rPr>
          <w:rFonts w:ascii="Arial" w:hAnsi="Arial"/>
        </w:rPr>
      </w:pPr>
    </w:p>
    <w:p w:rsidR="006202BD" w:rsidRDefault="006202BD" w:rsidP="004C41B4">
      <w:pPr>
        <w:spacing w:line="360" w:lineRule="auto"/>
        <w:ind w:right="51"/>
        <w:jc w:val="both"/>
        <w:rPr>
          <w:rFonts w:ascii="Arial" w:hAnsi="Arial"/>
        </w:rPr>
      </w:pPr>
      <w:r>
        <w:rPr>
          <w:rFonts w:ascii="Arial" w:hAnsi="Arial"/>
        </w:rPr>
        <w:t>El accionante sabía con antelación que era viable la promoción de cualquier objeción o solicitud de exclusión</w:t>
      </w:r>
      <w:r w:rsidR="008C6364">
        <w:rPr>
          <w:rFonts w:ascii="Arial" w:hAnsi="Arial"/>
        </w:rPr>
        <w:t>,</w:t>
      </w:r>
      <w:r>
        <w:rPr>
          <w:rFonts w:ascii="Arial" w:hAnsi="Arial"/>
        </w:rPr>
        <w:t xml:space="preserve"> que diera lugar a iniciar </w:t>
      </w:r>
      <w:r w:rsidR="00FE5E44">
        <w:rPr>
          <w:rFonts w:ascii="Arial" w:hAnsi="Arial"/>
        </w:rPr>
        <w:t xml:space="preserve">un </w:t>
      </w:r>
      <w:r>
        <w:rPr>
          <w:rFonts w:ascii="Arial" w:hAnsi="Arial"/>
        </w:rPr>
        <w:t>trámite administrativo</w:t>
      </w:r>
      <w:r w:rsidR="008C6364">
        <w:rPr>
          <w:rFonts w:ascii="Arial" w:hAnsi="Arial"/>
        </w:rPr>
        <w:t>, por cuya virtud se aplazara</w:t>
      </w:r>
      <w:r>
        <w:rPr>
          <w:rFonts w:ascii="Arial" w:hAnsi="Arial"/>
        </w:rPr>
        <w:t xml:space="preserve"> la firmeza y ejecución de la lista de elegibles, </w:t>
      </w:r>
      <w:r w:rsidR="00FE5E44">
        <w:rPr>
          <w:rFonts w:ascii="Arial" w:hAnsi="Arial"/>
        </w:rPr>
        <w:t xml:space="preserve">por lo tanto, </w:t>
      </w:r>
      <w:r>
        <w:rPr>
          <w:rFonts w:ascii="Arial" w:hAnsi="Arial"/>
        </w:rPr>
        <w:t xml:space="preserve">es </w:t>
      </w:r>
      <w:r w:rsidR="008C6364">
        <w:rPr>
          <w:rFonts w:ascii="Arial" w:hAnsi="Arial"/>
        </w:rPr>
        <w:t xml:space="preserve">sorpresivo </w:t>
      </w:r>
      <w:r>
        <w:rPr>
          <w:rFonts w:ascii="Arial" w:hAnsi="Arial"/>
        </w:rPr>
        <w:t xml:space="preserve">que </w:t>
      </w:r>
      <w:r w:rsidR="00FE5E44">
        <w:rPr>
          <w:rFonts w:ascii="Arial" w:hAnsi="Arial"/>
        </w:rPr>
        <w:t xml:space="preserve">ahora </w:t>
      </w:r>
      <w:r>
        <w:rPr>
          <w:rFonts w:ascii="Arial" w:hAnsi="Arial"/>
        </w:rPr>
        <w:t xml:space="preserve">pretenda desnaturalizar el procedimiento </w:t>
      </w:r>
      <w:r w:rsidR="00FE5E44">
        <w:rPr>
          <w:rFonts w:ascii="Arial" w:hAnsi="Arial"/>
        </w:rPr>
        <w:t xml:space="preserve">reglado </w:t>
      </w:r>
      <w:r>
        <w:rPr>
          <w:rFonts w:ascii="Arial" w:hAnsi="Arial"/>
        </w:rPr>
        <w:t xml:space="preserve">para la provisión de empleos de carrera a través de concurso de méritos, cuando </w:t>
      </w:r>
      <w:r w:rsidR="00FE5E44">
        <w:rPr>
          <w:rFonts w:ascii="Arial" w:hAnsi="Arial"/>
        </w:rPr>
        <w:t>pudo cuestionarlo oportunamente, si es que consideraba que afectaba sus intereses.</w:t>
      </w:r>
    </w:p>
    <w:p w:rsidR="004C41B4" w:rsidRPr="004C6ED5" w:rsidRDefault="004C41B4" w:rsidP="004C41B4">
      <w:pPr>
        <w:spacing w:line="360" w:lineRule="auto"/>
        <w:ind w:right="51"/>
        <w:jc w:val="both"/>
        <w:rPr>
          <w:rFonts w:ascii="Arial" w:hAnsi="Arial"/>
          <w:szCs w:val="22"/>
          <w:lang w:val="es-ES_tradnl"/>
        </w:rPr>
      </w:pPr>
    </w:p>
    <w:p w:rsidR="00E06BFF" w:rsidRPr="00BB12E8" w:rsidRDefault="00E06BFF" w:rsidP="008C6364">
      <w:pPr>
        <w:pStyle w:val="Corpsdetexte"/>
        <w:numPr>
          <w:ilvl w:val="0"/>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542954" w:rsidRDefault="00542954"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E06BFF" w:rsidRDefault="00E06BFF"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F00F95">
        <w:rPr>
          <w:rFonts w:ascii="Arial" w:hAnsi="Arial" w:cs="Arial"/>
          <w:szCs w:val="24"/>
        </w:rPr>
        <w:t xml:space="preserve">En armonía con las premisas expuestas en los acápites anteriores se declarará </w:t>
      </w:r>
      <w:proofErr w:type="gramStart"/>
      <w:r w:rsidR="008C6364">
        <w:rPr>
          <w:rFonts w:ascii="Arial" w:hAnsi="Arial" w:cs="Arial"/>
          <w:szCs w:val="24"/>
        </w:rPr>
        <w:t>improcedente</w:t>
      </w:r>
      <w:proofErr w:type="gramEnd"/>
      <w:r w:rsidR="00635E64">
        <w:rPr>
          <w:rFonts w:ascii="Arial" w:hAnsi="Arial" w:cs="Arial"/>
          <w:szCs w:val="24"/>
        </w:rPr>
        <w:t xml:space="preserve"> </w:t>
      </w:r>
      <w:r>
        <w:rPr>
          <w:rFonts w:ascii="Arial" w:hAnsi="Arial" w:cs="Arial"/>
          <w:szCs w:val="24"/>
        </w:rPr>
        <w:t xml:space="preserve">la </w:t>
      </w:r>
      <w:r w:rsidR="00635E64">
        <w:rPr>
          <w:rFonts w:ascii="Arial" w:hAnsi="Arial" w:cs="Arial"/>
          <w:szCs w:val="24"/>
        </w:rPr>
        <w:t xml:space="preserve">  </w:t>
      </w:r>
      <w:r>
        <w:rPr>
          <w:rFonts w:ascii="Arial" w:hAnsi="Arial" w:cs="Arial"/>
          <w:szCs w:val="24"/>
        </w:rPr>
        <w:t>acción</w:t>
      </w:r>
      <w:r w:rsidRPr="00F00F95">
        <w:rPr>
          <w:rFonts w:ascii="Arial" w:hAnsi="Arial" w:cs="Arial"/>
          <w:szCs w:val="24"/>
        </w:rPr>
        <w:t xml:space="preserve">, </w:t>
      </w:r>
      <w:r w:rsidR="00635E64">
        <w:rPr>
          <w:rFonts w:ascii="Arial" w:hAnsi="Arial" w:cs="Arial"/>
          <w:szCs w:val="24"/>
        </w:rPr>
        <w:t xml:space="preserve"> </w:t>
      </w:r>
      <w:r w:rsidR="00635E64">
        <w:t xml:space="preserve"> </w:t>
      </w:r>
      <w:r w:rsidRPr="00F00F95">
        <w:rPr>
          <w:rFonts w:ascii="Arial" w:hAnsi="Arial" w:cs="Arial"/>
          <w:szCs w:val="24"/>
        </w:rPr>
        <w:t>pues</w:t>
      </w:r>
      <w:r>
        <w:rPr>
          <w:rFonts w:ascii="Arial" w:hAnsi="Arial" w:cs="Arial"/>
          <w:szCs w:val="24"/>
        </w:rPr>
        <w:t xml:space="preserve"> </w:t>
      </w:r>
      <w:r w:rsidR="00635E64">
        <w:rPr>
          <w:rFonts w:ascii="Arial" w:hAnsi="Arial" w:cs="Arial"/>
          <w:szCs w:val="24"/>
        </w:rPr>
        <w:t xml:space="preserve">  </w:t>
      </w:r>
      <w:r w:rsidR="00C07D7A">
        <w:rPr>
          <w:rFonts w:ascii="Arial" w:hAnsi="Arial" w:cs="Arial"/>
          <w:szCs w:val="24"/>
        </w:rPr>
        <w:t xml:space="preserve">el </w:t>
      </w:r>
      <w:r w:rsidR="00635E64">
        <w:rPr>
          <w:rFonts w:ascii="Arial" w:hAnsi="Arial" w:cs="Arial"/>
          <w:szCs w:val="24"/>
        </w:rPr>
        <w:t xml:space="preserve">  </w:t>
      </w:r>
      <w:r w:rsidR="00C07D7A">
        <w:rPr>
          <w:rFonts w:ascii="Arial" w:hAnsi="Arial" w:cs="Arial"/>
          <w:szCs w:val="24"/>
        </w:rPr>
        <w:t xml:space="preserve">actor </w:t>
      </w:r>
      <w:r w:rsidR="00635E64">
        <w:rPr>
          <w:rFonts w:ascii="Arial" w:hAnsi="Arial" w:cs="Arial"/>
          <w:szCs w:val="24"/>
        </w:rPr>
        <w:t xml:space="preserve">  </w:t>
      </w:r>
      <w:r w:rsidRPr="00F00F95">
        <w:rPr>
          <w:rFonts w:ascii="Arial" w:hAnsi="Arial" w:cs="Arial"/>
          <w:szCs w:val="24"/>
        </w:rPr>
        <w:t xml:space="preserve">cuenta </w:t>
      </w:r>
      <w:r w:rsidR="00635E64">
        <w:rPr>
          <w:rFonts w:ascii="Arial" w:hAnsi="Arial" w:cs="Arial"/>
          <w:szCs w:val="24"/>
        </w:rPr>
        <w:t xml:space="preserve"> </w:t>
      </w:r>
      <w:r w:rsidRPr="00F00F95">
        <w:rPr>
          <w:rFonts w:ascii="Arial" w:hAnsi="Arial" w:cs="Arial"/>
          <w:szCs w:val="24"/>
        </w:rPr>
        <w:t xml:space="preserve">con </w:t>
      </w:r>
      <w:r w:rsidR="00635E64">
        <w:rPr>
          <w:rFonts w:ascii="Arial" w:hAnsi="Arial" w:cs="Arial"/>
          <w:szCs w:val="24"/>
        </w:rPr>
        <w:t xml:space="preserve"> </w:t>
      </w:r>
      <w:r w:rsidRPr="00F00F95">
        <w:rPr>
          <w:rFonts w:ascii="Arial" w:hAnsi="Arial" w:cs="Arial"/>
          <w:szCs w:val="24"/>
        </w:rPr>
        <w:t xml:space="preserve">un </w:t>
      </w:r>
      <w:r w:rsidR="00635E64">
        <w:rPr>
          <w:rFonts w:ascii="Arial" w:hAnsi="Arial" w:cs="Arial"/>
          <w:szCs w:val="24"/>
        </w:rPr>
        <w:t xml:space="preserve"> </w:t>
      </w:r>
      <w:r w:rsidRPr="00F00F95">
        <w:rPr>
          <w:rFonts w:ascii="Arial" w:hAnsi="Arial" w:cs="Arial"/>
          <w:szCs w:val="24"/>
        </w:rPr>
        <w:t xml:space="preserve">mecanismo </w:t>
      </w:r>
      <w:r w:rsidR="00635E64">
        <w:rPr>
          <w:rFonts w:ascii="Arial" w:hAnsi="Arial" w:cs="Arial"/>
          <w:szCs w:val="24"/>
        </w:rPr>
        <w:t xml:space="preserve"> </w:t>
      </w:r>
      <w:r w:rsidRPr="00F00F95">
        <w:rPr>
          <w:rFonts w:ascii="Arial" w:hAnsi="Arial" w:cs="Arial"/>
          <w:szCs w:val="24"/>
        </w:rPr>
        <w:t xml:space="preserve">eficaz </w:t>
      </w:r>
      <w:r w:rsidR="00635E64">
        <w:rPr>
          <w:rFonts w:ascii="Arial" w:hAnsi="Arial" w:cs="Arial"/>
          <w:szCs w:val="24"/>
        </w:rPr>
        <w:t xml:space="preserve"> </w:t>
      </w:r>
      <w:r w:rsidRPr="00F00F95">
        <w:rPr>
          <w:rFonts w:ascii="Arial" w:hAnsi="Arial" w:cs="Arial"/>
          <w:szCs w:val="24"/>
        </w:rPr>
        <w:t xml:space="preserve">para salvaguardar </w:t>
      </w:r>
      <w:r>
        <w:rPr>
          <w:rFonts w:ascii="Arial" w:hAnsi="Arial" w:cs="Arial"/>
          <w:szCs w:val="24"/>
        </w:rPr>
        <w:t xml:space="preserve">los </w:t>
      </w:r>
      <w:r w:rsidRPr="00F00F95">
        <w:rPr>
          <w:rFonts w:ascii="Arial" w:hAnsi="Arial" w:cs="Arial"/>
          <w:szCs w:val="24"/>
        </w:rPr>
        <w:t>derecho</w:t>
      </w:r>
      <w:r>
        <w:rPr>
          <w:rFonts w:ascii="Arial" w:hAnsi="Arial" w:cs="Arial"/>
          <w:szCs w:val="24"/>
        </w:rPr>
        <w:t>s</w:t>
      </w:r>
      <w:r w:rsidRPr="00F00F95">
        <w:rPr>
          <w:rFonts w:ascii="Arial" w:hAnsi="Arial" w:cs="Arial"/>
          <w:szCs w:val="24"/>
        </w:rPr>
        <w:t xml:space="preserve"> </w:t>
      </w:r>
      <w:r w:rsidR="0099718B">
        <w:rPr>
          <w:rFonts w:ascii="Arial" w:hAnsi="Arial" w:cs="Arial"/>
          <w:szCs w:val="24"/>
        </w:rPr>
        <w:t>alegados</w:t>
      </w:r>
      <w:r w:rsidR="008C6364">
        <w:rPr>
          <w:rFonts w:ascii="Arial" w:hAnsi="Arial" w:cs="Arial"/>
          <w:szCs w:val="24"/>
        </w:rPr>
        <w:t xml:space="preserve"> y no se demostró un daño irreparable para hacer viable el amparo</w:t>
      </w:r>
      <w:r w:rsidR="0099718B">
        <w:rPr>
          <w:rFonts w:ascii="Arial" w:hAnsi="Arial" w:cs="Arial"/>
          <w:szCs w:val="24"/>
        </w:rPr>
        <w:t>.</w:t>
      </w:r>
    </w:p>
    <w:p w:rsidR="00635E64" w:rsidRPr="00F00F95" w:rsidRDefault="00635E64"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E06BFF" w:rsidRDefault="00E06BFF" w:rsidP="00E06BFF">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E06BFF" w:rsidRPr="004C6ED5" w:rsidRDefault="00E06BFF" w:rsidP="00E06BFF">
      <w:pPr>
        <w:pStyle w:val="Corpsdetexte"/>
        <w:spacing w:line="360" w:lineRule="auto"/>
        <w:jc w:val="center"/>
        <w:rPr>
          <w:rFonts w:ascii="Arial" w:hAnsi="Arial" w:cs="Arial"/>
          <w:bCs/>
          <w:smallCaps/>
          <w:sz w:val="28"/>
          <w:szCs w:val="22"/>
        </w:rPr>
      </w:pPr>
      <w:r w:rsidRPr="004C6ED5">
        <w:rPr>
          <w:rFonts w:ascii="Arial" w:hAnsi="Arial" w:cs="Arial"/>
          <w:bCs/>
          <w:smallCaps/>
          <w:sz w:val="28"/>
          <w:szCs w:val="22"/>
        </w:rPr>
        <w:t xml:space="preserve">F </w:t>
      </w:r>
      <w:r w:rsidRPr="004C6ED5">
        <w:rPr>
          <w:rFonts w:ascii="Arial" w:hAnsi="Arial" w:cs="Arial"/>
          <w:bCs/>
          <w:smallCaps/>
          <w:szCs w:val="22"/>
        </w:rPr>
        <w:t xml:space="preserve">A L </w:t>
      </w:r>
      <w:proofErr w:type="spellStart"/>
      <w:r w:rsidRPr="004C6ED5">
        <w:rPr>
          <w:rFonts w:ascii="Arial" w:hAnsi="Arial" w:cs="Arial"/>
          <w:bCs/>
          <w:smallCaps/>
          <w:szCs w:val="22"/>
        </w:rPr>
        <w:t>L</w:t>
      </w:r>
      <w:proofErr w:type="spellEnd"/>
      <w:r w:rsidRPr="004C6ED5">
        <w:rPr>
          <w:rFonts w:ascii="Arial" w:hAnsi="Arial" w:cs="Arial"/>
          <w:bCs/>
          <w:smallCaps/>
          <w:szCs w:val="22"/>
        </w:rPr>
        <w:t xml:space="preserve"> A</w:t>
      </w:r>
      <w:r w:rsidRPr="004C6ED5">
        <w:rPr>
          <w:rFonts w:ascii="Arial" w:hAnsi="Arial" w:cs="Arial"/>
          <w:bCs/>
          <w:smallCaps/>
          <w:sz w:val="28"/>
          <w:szCs w:val="22"/>
        </w:rPr>
        <w:t>,</w:t>
      </w:r>
    </w:p>
    <w:p w:rsidR="00E06BFF" w:rsidRPr="004C6ED5" w:rsidRDefault="00E06BFF" w:rsidP="00E06BFF">
      <w:pPr>
        <w:pStyle w:val="Corpsdetexte"/>
        <w:spacing w:line="360" w:lineRule="auto"/>
        <w:jc w:val="center"/>
        <w:rPr>
          <w:rFonts w:ascii="Arial" w:hAnsi="Arial" w:cs="Arial"/>
          <w:bCs/>
          <w:smallCaps/>
          <w:sz w:val="20"/>
          <w:szCs w:val="24"/>
        </w:rPr>
      </w:pPr>
    </w:p>
    <w:p w:rsidR="00E06BFF" w:rsidRPr="00845E28"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845E28">
        <w:rPr>
          <w:rFonts w:ascii="Arial" w:hAnsi="Arial"/>
          <w:szCs w:val="24"/>
        </w:rPr>
        <w:t xml:space="preserve">DECLARAR improcedente la acción de tutela promovida por </w:t>
      </w:r>
      <w:r w:rsidR="00C07D7A" w:rsidRPr="00845E28">
        <w:rPr>
          <w:rFonts w:ascii="Arial" w:hAnsi="Arial"/>
          <w:szCs w:val="24"/>
        </w:rPr>
        <w:t xml:space="preserve">el </w:t>
      </w:r>
      <w:r w:rsidRPr="00845E28">
        <w:rPr>
          <w:rFonts w:ascii="Arial" w:hAnsi="Arial"/>
          <w:szCs w:val="24"/>
        </w:rPr>
        <w:t>señor</w:t>
      </w:r>
      <w:r w:rsidR="00386A76" w:rsidRPr="00845E28">
        <w:rPr>
          <w:rFonts w:ascii="Arial" w:hAnsi="Arial"/>
          <w:szCs w:val="24"/>
        </w:rPr>
        <w:t xml:space="preserve"> </w:t>
      </w:r>
      <w:r w:rsidR="00C07D7A" w:rsidRPr="00845E28">
        <w:rPr>
          <w:rFonts w:ascii="Arial" w:hAnsi="Arial"/>
          <w:szCs w:val="24"/>
          <w:lang w:val="es-ES"/>
        </w:rPr>
        <w:t xml:space="preserve">Alfonso Bonilla Cardona </w:t>
      </w:r>
      <w:r w:rsidRPr="00845E28">
        <w:rPr>
          <w:rFonts w:ascii="Arial" w:hAnsi="Arial"/>
          <w:szCs w:val="24"/>
        </w:rPr>
        <w:t xml:space="preserve">en contra de </w:t>
      </w:r>
      <w:r w:rsidR="00386A76" w:rsidRPr="00845E28">
        <w:rPr>
          <w:rFonts w:ascii="Arial" w:hAnsi="Arial"/>
          <w:szCs w:val="22"/>
        </w:rPr>
        <w:t xml:space="preserve">la </w:t>
      </w:r>
      <w:r w:rsidR="00C07D7A" w:rsidRPr="00845E28">
        <w:rPr>
          <w:rFonts w:ascii="Arial" w:hAnsi="Arial"/>
          <w:szCs w:val="22"/>
        </w:rPr>
        <w:t xml:space="preserve">CNSC, el DPS, la </w:t>
      </w:r>
      <w:r w:rsidR="00C07D7A" w:rsidRPr="00845E28">
        <w:rPr>
          <w:rFonts w:ascii="Arial" w:hAnsi="Arial" w:cs="Arial"/>
          <w:sz w:val="23"/>
          <w:szCs w:val="23"/>
        </w:rPr>
        <w:t xml:space="preserve">doctora Mónica María Moreno </w:t>
      </w:r>
      <w:proofErr w:type="spellStart"/>
      <w:r w:rsidR="00C07D7A" w:rsidRPr="00845E28">
        <w:rPr>
          <w:rFonts w:ascii="Arial" w:hAnsi="Arial" w:cs="Arial"/>
          <w:sz w:val="23"/>
          <w:szCs w:val="23"/>
        </w:rPr>
        <w:t>Bareño</w:t>
      </w:r>
      <w:proofErr w:type="spellEnd"/>
      <w:r w:rsidR="00C07D7A" w:rsidRPr="00845E28">
        <w:rPr>
          <w:rFonts w:ascii="Arial" w:hAnsi="Arial" w:cs="Arial"/>
          <w:sz w:val="23"/>
          <w:szCs w:val="23"/>
        </w:rPr>
        <w:t xml:space="preserve">, comisionada (E) </w:t>
      </w:r>
      <w:r w:rsidR="00845E28" w:rsidRPr="00845E28">
        <w:rPr>
          <w:rFonts w:ascii="Arial" w:hAnsi="Arial"/>
          <w:szCs w:val="24"/>
        </w:rPr>
        <w:t xml:space="preserve">de </w:t>
      </w:r>
      <w:r w:rsidR="00845E28" w:rsidRPr="00845E28">
        <w:rPr>
          <w:rFonts w:ascii="Arial" w:hAnsi="Arial"/>
          <w:szCs w:val="22"/>
        </w:rPr>
        <w:t xml:space="preserve">la CNSC, </w:t>
      </w:r>
      <w:r w:rsidR="00C07D7A" w:rsidRPr="00845E28">
        <w:rPr>
          <w:rFonts w:ascii="Arial" w:hAnsi="Arial" w:cs="Arial"/>
          <w:sz w:val="23"/>
          <w:szCs w:val="23"/>
        </w:rPr>
        <w:t xml:space="preserve">y los señores Luz Angélica Molano Montoya, Víctor Alfonso Villegas Bolaños, Gustavo Adolfo </w:t>
      </w:r>
      <w:proofErr w:type="spellStart"/>
      <w:r w:rsidR="00C07D7A" w:rsidRPr="00845E28">
        <w:rPr>
          <w:rFonts w:ascii="Arial" w:hAnsi="Arial" w:cs="Arial"/>
          <w:sz w:val="23"/>
          <w:szCs w:val="23"/>
        </w:rPr>
        <w:t>Marles</w:t>
      </w:r>
      <w:proofErr w:type="spellEnd"/>
      <w:r w:rsidR="00C07D7A" w:rsidRPr="00845E28">
        <w:rPr>
          <w:rFonts w:ascii="Arial" w:hAnsi="Arial" w:cs="Arial"/>
          <w:sz w:val="23"/>
          <w:szCs w:val="23"/>
        </w:rPr>
        <w:t xml:space="preserve"> </w:t>
      </w:r>
      <w:proofErr w:type="spellStart"/>
      <w:r w:rsidR="00C07D7A" w:rsidRPr="00845E28">
        <w:rPr>
          <w:rFonts w:ascii="Arial" w:hAnsi="Arial" w:cs="Arial"/>
          <w:sz w:val="23"/>
          <w:szCs w:val="23"/>
        </w:rPr>
        <w:t>Capera</w:t>
      </w:r>
      <w:proofErr w:type="spellEnd"/>
      <w:r w:rsidR="00C07D7A" w:rsidRPr="00845E28">
        <w:rPr>
          <w:rFonts w:ascii="Arial" w:hAnsi="Arial" w:cs="Arial"/>
          <w:sz w:val="23"/>
          <w:szCs w:val="23"/>
        </w:rPr>
        <w:t xml:space="preserve"> y José Fernando Chica Betancourt, integrantes de la lista de elegibles para el cargo de profesional especializado, código 2028, grado 13, según la Resolución No.CNSC-20162210035485 de 03-10-2016</w:t>
      </w:r>
      <w:r w:rsidRPr="00845E28">
        <w:rPr>
          <w:rFonts w:ascii="Arial" w:hAnsi="Arial"/>
          <w:szCs w:val="24"/>
        </w:rPr>
        <w:t>.</w:t>
      </w:r>
    </w:p>
    <w:p w:rsidR="00E06BFF" w:rsidRPr="004C6ED5" w:rsidRDefault="00E06BFF" w:rsidP="00E06BFF">
      <w:pPr>
        <w:pStyle w:val="Corpsdetexte"/>
        <w:tabs>
          <w:tab w:val="clear" w:pos="708"/>
        </w:tabs>
        <w:spacing w:line="360" w:lineRule="auto"/>
        <w:ind w:left="360"/>
        <w:rPr>
          <w:rFonts w:ascii="Arial" w:hAnsi="Arial"/>
          <w:szCs w:val="24"/>
          <w:lang w:val="es-CO"/>
        </w:rPr>
      </w:pPr>
    </w:p>
    <w:p w:rsidR="00E06BFF" w:rsidRPr="00225C6D"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225C6D">
        <w:rPr>
          <w:rFonts w:ascii="Arial" w:hAnsi="Arial"/>
          <w:szCs w:val="24"/>
        </w:rPr>
        <w:lastRenderedPageBreak/>
        <w:t>NOTIFICAR esta decisión a todas las partes, por el medio más expedito y eficaz.</w:t>
      </w:r>
    </w:p>
    <w:p w:rsidR="00E06BFF" w:rsidRPr="009D55DB" w:rsidRDefault="00E06BFF" w:rsidP="00E06BFF">
      <w:pPr>
        <w:pStyle w:val="Corpsdetexte"/>
        <w:tabs>
          <w:tab w:val="clear" w:pos="708"/>
        </w:tabs>
        <w:spacing w:line="360" w:lineRule="auto"/>
        <w:ind w:left="360"/>
        <w:rPr>
          <w:rFonts w:ascii="Arial" w:hAnsi="Arial"/>
          <w:szCs w:val="24"/>
        </w:rPr>
      </w:pPr>
    </w:p>
    <w:p w:rsidR="00E06BFF" w:rsidRPr="00225C6D"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225C6D">
        <w:rPr>
          <w:rFonts w:ascii="Arial" w:hAnsi="Arial" w:cs="Arial"/>
          <w:szCs w:val="24"/>
        </w:rPr>
        <w:t xml:space="preserve">REMITIR este expediente, a la Corte Constitucional para su eventual revisión, de no ser impugnada. </w:t>
      </w:r>
    </w:p>
    <w:p w:rsidR="00E06BFF" w:rsidRPr="00895D52" w:rsidRDefault="00E06BFF" w:rsidP="00E06BFF">
      <w:pPr>
        <w:pStyle w:val="Corpsdetexte"/>
        <w:tabs>
          <w:tab w:val="clear" w:pos="708"/>
        </w:tabs>
        <w:spacing w:line="360" w:lineRule="auto"/>
        <w:ind w:left="360"/>
        <w:rPr>
          <w:rFonts w:ascii="Arial" w:hAnsi="Arial"/>
          <w:szCs w:val="24"/>
        </w:rPr>
      </w:pPr>
    </w:p>
    <w:p w:rsidR="00FF5B57" w:rsidRPr="00A30437" w:rsidRDefault="00E06BFF" w:rsidP="00E06BFF">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25C6D">
        <w:rPr>
          <w:rFonts w:ascii="Arial" w:hAnsi="Arial"/>
        </w:rPr>
        <w:t xml:space="preserve">ARCHIVAR el expediente, previas anotaciones en los libros </w:t>
      </w:r>
      <w:proofErr w:type="spellStart"/>
      <w:r w:rsidRPr="00225C6D">
        <w:rPr>
          <w:rFonts w:ascii="Arial" w:hAnsi="Arial"/>
        </w:rPr>
        <w:t>radicadores</w:t>
      </w:r>
      <w:proofErr w:type="spellEnd"/>
      <w:r w:rsidRPr="00225C6D">
        <w:rPr>
          <w:rFonts w:ascii="Arial" w:hAnsi="Arial"/>
        </w:rPr>
        <w:t>, una vez agotado el trámite ante la Corte Constitucional.</w:t>
      </w:r>
    </w:p>
    <w:p w:rsidR="00626C89" w:rsidRPr="004C6ED5" w:rsidRDefault="00626C89" w:rsidP="00FF5B57">
      <w:pPr>
        <w:pStyle w:val="Paragraphedeliste"/>
        <w:widowControl/>
        <w:autoSpaceDE/>
        <w:autoSpaceDN/>
        <w:adjustRightInd/>
        <w:spacing w:line="360" w:lineRule="auto"/>
        <w:ind w:left="360" w:right="51"/>
        <w:contextualSpacing/>
        <w:jc w:val="both"/>
        <w:rPr>
          <w:rFonts w:ascii="Arial" w:hAnsi="Arial"/>
          <w:sz w:val="14"/>
        </w:rPr>
      </w:pPr>
    </w:p>
    <w:p w:rsidR="00126266" w:rsidRPr="004C6ED5" w:rsidRDefault="00126266" w:rsidP="00126266">
      <w:pPr>
        <w:pStyle w:val="Corpsdetexte"/>
        <w:spacing w:line="360" w:lineRule="auto"/>
        <w:jc w:val="center"/>
        <w:rPr>
          <w:rFonts w:ascii="Arial" w:hAnsi="Arial"/>
          <w:smallCaps/>
          <w:sz w:val="28"/>
          <w:szCs w:val="24"/>
          <w:lang w:val="en-US"/>
        </w:rPr>
      </w:pPr>
      <w:proofErr w:type="spellStart"/>
      <w:r w:rsidRPr="004C6ED5">
        <w:rPr>
          <w:rFonts w:ascii="Arial" w:hAnsi="Arial"/>
          <w:smallCaps/>
          <w:sz w:val="28"/>
          <w:szCs w:val="24"/>
          <w:lang w:val="en-US"/>
        </w:rPr>
        <w:t>Notifíquese</w:t>
      </w:r>
      <w:proofErr w:type="spellEnd"/>
      <w:r w:rsidRPr="004C6ED5">
        <w:rPr>
          <w:rFonts w:ascii="Arial" w:hAnsi="Arial"/>
          <w:smallCaps/>
          <w:sz w:val="28"/>
          <w:szCs w:val="24"/>
          <w:lang w:val="en-US"/>
        </w:rPr>
        <w:t>,</w:t>
      </w:r>
    </w:p>
    <w:p w:rsidR="00DA569C" w:rsidRPr="00235C5D" w:rsidRDefault="00DA569C" w:rsidP="00417DA5">
      <w:pPr>
        <w:pStyle w:val="Corpsdetexte"/>
        <w:spacing w:line="360" w:lineRule="auto"/>
        <w:jc w:val="center"/>
        <w:rPr>
          <w:rFonts w:ascii="Arial" w:hAnsi="Arial"/>
          <w:sz w:val="22"/>
          <w:szCs w:val="24"/>
          <w:lang w:val="en-US"/>
        </w:rPr>
      </w:pPr>
    </w:p>
    <w:p w:rsidR="003E66CE" w:rsidRPr="00235C5D" w:rsidRDefault="003E66CE" w:rsidP="00417DA5">
      <w:pPr>
        <w:pStyle w:val="Corpsdetexte"/>
        <w:spacing w:line="360" w:lineRule="auto"/>
        <w:jc w:val="center"/>
        <w:rPr>
          <w:rFonts w:ascii="Arial" w:hAnsi="Arial"/>
          <w:sz w:val="22"/>
          <w:szCs w:val="24"/>
          <w:lang w:val="en-US"/>
        </w:rPr>
      </w:pPr>
    </w:p>
    <w:p w:rsidR="00B30152" w:rsidRPr="00890131" w:rsidRDefault="00B30152" w:rsidP="00417DA5">
      <w:pPr>
        <w:pStyle w:val="Corpsdetexte"/>
        <w:spacing w:line="360" w:lineRule="auto"/>
        <w:jc w:val="center"/>
        <w:rPr>
          <w:rFonts w:ascii="Arial" w:hAnsi="Arial"/>
          <w:sz w:val="18"/>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Pr="004C6ED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8"/>
          <w:lang w:val="en-US"/>
        </w:rPr>
      </w:pPr>
    </w:p>
    <w:p w:rsidR="005C4C0F" w:rsidRPr="00890131"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bookmarkStart w:id="0" w:name="_GoBack"/>
      <w:bookmarkEnd w:id="0"/>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Corpsdetex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845E28">
        <w:rPr>
          <w:rFonts w:ascii="Arial" w:hAnsi="Arial"/>
          <w:w w:val="150"/>
          <w:sz w:val="8"/>
          <w:szCs w:val="10"/>
          <w:lang w:val="en-US"/>
        </w:rPr>
        <w:t>ODCD</w:t>
      </w:r>
      <w:r w:rsidR="005C4C0F">
        <w:rPr>
          <w:rFonts w:ascii="Arial" w:hAnsi="Arial"/>
          <w:w w:val="150"/>
          <w:sz w:val="8"/>
          <w:szCs w:val="10"/>
          <w:lang w:val="en-US"/>
        </w:rPr>
        <w:t>/</w:t>
      </w:r>
      <w:r w:rsidR="00845E28">
        <w:rPr>
          <w:rFonts w:ascii="Arial" w:hAnsi="Arial"/>
          <w:w w:val="150"/>
          <w:sz w:val="8"/>
          <w:szCs w:val="10"/>
          <w:lang w:val="en-US"/>
        </w:rPr>
        <w:t>2017</w:t>
      </w:r>
    </w:p>
    <w:p w:rsidR="00C87D22" w:rsidRDefault="00C87D22">
      <w:pPr>
        <w:widowControl/>
        <w:autoSpaceDE/>
        <w:autoSpaceDN/>
        <w:adjustRightInd/>
        <w:rPr>
          <w:rFonts w:ascii="Arial" w:hAnsi="Arial" w:cs="Times New Roman"/>
          <w:spacing w:val="-3"/>
          <w:w w:val="150"/>
          <w:sz w:val="8"/>
          <w:szCs w:val="10"/>
          <w:lang w:val="en-US"/>
        </w:rPr>
      </w:pPr>
    </w:p>
    <w:sectPr w:rsidR="00C87D22" w:rsidSect="004C6ED5">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2A" w:rsidRDefault="0015172A" w:rsidP="0099045D">
      <w:r>
        <w:separator/>
      </w:r>
    </w:p>
  </w:endnote>
  <w:endnote w:type="continuationSeparator" w:id="0">
    <w:p w:rsidR="0015172A" w:rsidRDefault="0015172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0" w:rsidRDefault="003B049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3B0490" w:rsidRDefault="003B0490" w:rsidP="0013771A">
    <w:pPr>
      <w:pStyle w:val="Pieddepage"/>
      <w:spacing w:line="360" w:lineRule="auto"/>
      <w:jc w:val="right"/>
      <w:rPr>
        <w:rFonts w:ascii="Arial" w:hAnsi="Arial" w:cs="Arial"/>
        <w:spacing w:val="20"/>
        <w:w w:val="200"/>
        <w:sz w:val="14"/>
        <w:szCs w:val="10"/>
        <w:lang w:val="es-CO"/>
      </w:rPr>
    </w:pPr>
  </w:p>
  <w:p w:rsidR="003B0490" w:rsidRPr="003E18D8" w:rsidRDefault="003B049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3B0490" w:rsidRPr="007F7D49" w:rsidRDefault="003B049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2A" w:rsidRDefault="0015172A" w:rsidP="0099045D">
      <w:r>
        <w:separator/>
      </w:r>
    </w:p>
  </w:footnote>
  <w:footnote w:type="continuationSeparator" w:id="0">
    <w:p w:rsidR="0015172A" w:rsidRDefault="0015172A" w:rsidP="0099045D">
      <w:r>
        <w:continuationSeparator/>
      </w:r>
    </w:p>
  </w:footnote>
  <w:footnote w:id="1">
    <w:p w:rsidR="003B0490" w:rsidRPr="00671FA7" w:rsidRDefault="003B0490" w:rsidP="00E06BFF">
      <w:pPr>
        <w:pStyle w:val="Notedebasdepage"/>
        <w:jc w:val="both"/>
        <w:rPr>
          <w:rFonts w:ascii="Calibri" w:hAnsi="Calibri"/>
        </w:rPr>
      </w:pPr>
      <w:r w:rsidRPr="00671FA7">
        <w:rPr>
          <w:rStyle w:val="Appelnotedebasdep"/>
          <w:rFonts w:ascii="Calibri" w:hAnsi="Calibri" w:cs="Calibri"/>
        </w:rPr>
        <w:footnoteRef/>
      </w:r>
      <w:r w:rsidRPr="00671FA7">
        <w:rPr>
          <w:rFonts w:ascii="Calibri" w:hAnsi="Calibri" w:cs="Calibri"/>
        </w:rPr>
        <w:t xml:space="preserve"> </w:t>
      </w:r>
      <w:r>
        <w:rPr>
          <w:rFonts w:ascii="Calibri" w:hAnsi="Calibri" w:cs="Calibri"/>
          <w:lang w:val="es-CO"/>
        </w:rPr>
        <w:t xml:space="preserve">CC. Sentencia T-324 de </w:t>
      </w:r>
      <w:r w:rsidRPr="00671FA7">
        <w:rPr>
          <w:rFonts w:ascii="Calibri" w:hAnsi="Calibri" w:cs="Calibri"/>
          <w:lang w:val="es-CO"/>
        </w:rPr>
        <w:t>1993.</w:t>
      </w:r>
    </w:p>
  </w:footnote>
  <w:footnote w:id="2">
    <w:p w:rsidR="003B0490" w:rsidRPr="001619BD" w:rsidRDefault="003B0490" w:rsidP="00276D37">
      <w:pPr>
        <w:pStyle w:val="Notedebasdepage"/>
        <w:rPr>
          <w:rFonts w:asciiTheme="minorHAnsi" w:hAnsiTheme="minorHAnsi"/>
        </w:rPr>
      </w:pPr>
      <w:r w:rsidRPr="00482736">
        <w:rPr>
          <w:rStyle w:val="Appelnotedebasdep"/>
          <w:rFonts w:asciiTheme="minorHAnsi" w:hAnsiTheme="minorHAnsi"/>
        </w:rPr>
        <w:footnoteRef/>
      </w:r>
      <w:r w:rsidRPr="00482736">
        <w:rPr>
          <w:rFonts w:asciiTheme="minorHAnsi" w:hAnsiTheme="minorHAnsi"/>
        </w:rPr>
        <w:t xml:space="preserve"> </w:t>
      </w:r>
      <w:r w:rsidRPr="00482736">
        <w:rPr>
          <w:rFonts w:asciiTheme="minorHAnsi" w:hAnsiTheme="minorHAnsi" w:cs="Courier New"/>
        </w:rPr>
        <w:t xml:space="preserve">CC. </w:t>
      </w:r>
      <w:r w:rsidRPr="001619BD">
        <w:rPr>
          <w:rFonts w:asciiTheme="minorHAnsi" w:hAnsiTheme="minorHAnsi" w:cs="Courier New"/>
        </w:rPr>
        <w:t>Sentencia</w:t>
      </w:r>
      <w:hyperlink r:id="rId1" w:history="1">
        <w:r w:rsidRPr="001619BD">
          <w:rPr>
            <w:rStyle w:val="Lienhypertexte"/>
            <w:rFonts w:asciiTheme="minorHAnsi" w:hAnsiTheme="minorHAnsi" w:cs="Courier New"/>
            <w:color w:val="auto"/>
            <w:u w:val="none"/>
          </w:rPr>
          <w:t> SU-499 de 2016</w:t>
        </w:r>
      </w:hyperlink>
      <w:r w:rsidRPr="001619BD">
        <w:rPr>
          <w:rFonts w:asciiTheme="minorHAnsi" w:hAnsiTheme="minorHAnsi" w:cs="Courier New"/>
        </w:rPr>
        <w:t xml:space="preserve">. </w:t>
      </w:r>
    </w:p>
  </w:footnote>
  <w:footnote w:id="3">
    <w:p w:rsidR="003B0490" w:rsidRPr="001619BD" w:rsidRDefault="003B0490" w:rsidP="00E06BFF">
      <w:pPr>
        <w:pStyle w:val="Notedebasdepage"/>
        <w:jc w:val="both"/>
      </w:pPr>
      <w:r w:rsidRPr="001619BD">
        <w:rPr>
          <w:rStyle w:val="Appelnotedebasdep"/>
          <w:rFonts w:ascii="Calibri" w:hAnsi="Calibri" w:cs="Calibri"/>
        </w:rPr>
        <w:footnoteRef/>
      </w:r>
      <w:r w:rsidRPr="001619BD">
        <w:rPr>
          <w:rFonts w:ascii="Calibri" w:hAnsi="Calibri" w:cs="Calibri"/>
        </w:rPr>
        <w:t xml:space="preserve"> </w:t>
      </w:r>
      <w:r w:rsidRPr="001619BD">
        <w:rPr>
          <w:rFonts w:ascii="Calibri" w:hAnsi="Calibri" w:cs="Calibri"/>
          <w:lang w:val="es-CO"/>
        </w:rPr>
        <w:t xml:space="preserve">CC. </w:t>
      </w:r>
      <w:r w:rsidRPr="001619BD">
        <w:rPr>
          <w:rFonts w:ascii="Calibri" w:hAnsi="Calibri" w:cs="Calibri"/>
        </w:rPr>
        <w:t>Sentencia T-482 de 1992.</w:t>
      </w:r>
    </w:p>
  </w:footnote>
  <w:footnote w:id="4">
    <w:p w:rsidR="003B0490" w:rsidRDefault="003B0490" w:rsidP="00E06BFF">
      <w:pPr>
        <w:pStyle w:val="Notedebasdepage"/>
      </w:pPr>
      <w:r w:rsidRPr="001619BD">
        <w:rPr>
          <w:rStyle w:val="Appelnotedebasdep"/>
          <w:rFonts w:ascii="Calibri" w:hAnsi="Calibri" w:cs="Calibri"/>
        </w:rPr>
        <w:footnoteRef/>
      </w:r>
      <w:r w:rsidRPr="001619BD">
        <w:rPr>
          <w:rFonts w:ascii="Calibri" w:hAnsi="Calibri" w:cs="Calibri"/>
        </w:rPr>
        <w:t xml:space="preserve"> </w:t>
      </w:r>
      <w:r w:rsidRPr="001619BD">
        <w:rPr>
          <w:rFonts w:ascii="Calibri" w:hAnsi="Calibri" w:cs="Calibri"/>
          <w:lang w:val="es-MX"/>
        </w:rPr>
        <w:t xml:space="preserve">BERNAL PULIDO, Carlos. El derecho fundamental </w:t>
      </w:r>
      <w:r>
        <w:rPr>
          <w:rFonts w:ascii="Calibri" w:hAnsi="Calibri" w:cs="Calibri"/>
          <w:lang w:val="es-MX"/>
        </w:rPr>
        <w:t xml:space="preserve">al debido proceso, </w:t>
      </w:r>
      <w:r w:rsidRPr="000A6F06">
        <w:rPr>
          <w:rFonts w:ascii="Calibri" w:hAnsi="Calibri" w:cs="Calibri"/>
        </w:rPr>
        <w:t>Señal editora, Bogotá, 2004, p.37.</w:t>
      </w:r>
    </w:p>
  </w:footnote>
  <w:footnote w:id="5">
    <w:p w:rsidR="003B0490" w:rsidRPr="001619BD" w:rsidRDefault="003B0490">
      <w:pPr>
        <w:pStyle w:val="Notedebasdepage"/>
        <w:rPr>
          <w:rFonts w:asciiTheme="minorHAnsi" w:hAnsiTheme="minorHAnsi"/>
          <w:lang w:val="es-CO"/>
        </w:rPr>
      </w:pPr>
      <w:r w:rsidRPr="001619BD">
        <w:rPr>
          <w:rStyle w:val="Appelnotedebasdep"/>
          <w:rFonts w:asciiTheme="minorHAnsi" w:hAnsiTheme="minorHAnsi"/>
        </w:rPr>
        <w:footnoteRef/>
      </w:r>
      <w:r w:rsidRPr="001619BD">
        <w:rPr>
          <w:rFonts w:asciiTheme="minorHAnsi" w:hAnsiTheme="minorHAnsi"/>
        </w:rPr>
        <w:t xml:space="preserve"> </w:t>
      </w:r>
      <w:r w:rsidRPr="001619BD">
        <w:rPr>
          <w:rFonts w:asciiTheme="minorHAnsi" w:hAnsiTheme="minorHAnsi"/>
          <w:lang w:val="es-CO"/>
        </w:rPr>
        <w:t>CC. Sentencias T-051 de 2016, C-034 de 2014 y C-980 de 2010, entre otras.</w:t>
      </w:r>
    </w:p>
  </w:footnote>
  <w:footnote w:id="6">
    <w:p w:rsidR="003B0490" w:rsidRPr="00956F47" w:rsidRDefault="003B0490" w:rsidP="00E06BFF">
      <w:pPr>
        <w:pStyle w:val="Notedebasdepage"/>
        <w:jc w:val="both"/>
        <w:rPr>
          <w:lang w:val="fr-FR"/>
        </w:rPr>
      </w:pPr>
      <w:r w:rsidRPr="000A6F06">
        <w:rPr>
          <w:rStyle w:val="Appelnotedebasdep"/>
          <w:rFonts w:ascii="Calibri" w:hAnsi="Calibri" w:cs="Calibri"/>
        </w:rPr>
        <w:footnoteRef/>
      </w:r>
      <w:r w:rsidRPr="00956F47">
        <w:rPr>
          <w:rFonts w:ascii="Calibri" w:hAnsi="Calibri" w:cs="Calibri"/>
          <w:lang w:val="fr-FR"/>
        </w:rPr>
        <w:t xml:space="preserve"> CC. Sentencia T-203 de 1993.</w:t>
      </w:r>
    </w:p>
  </w:footnote>
  <w:footnote w:id="7">
    <w:p w:rsidR="003B0490" w:rsidRDefault="003B0490" w:rsidP="00E06BFF">
      <w:pPr>
        <w:pStyle w:val="Notedebasdepage"/>
        <w:jc w:val="both"/>
      </w:pPr>
      <w:r w:rsidRPr="000A6F06">
        <w:rPr>
          <w:rFonts w:ascii="Calibri" w:hAnsi="Calibri" w:cs="Calibri"/>
          <w:vertAlign w:val="superscript"/>
        </w:rPr>
        <w:footnoteRef/>
      </w:r>
      <w:r w:rsidRPr="00956F47">
        <w:rPr>
          <w:rFonts w:ascii="Calibri" w:hAnsi="Calibri" w:cs="Calibri"/>
          <w:lang w:val="fr-FR"/>
        </w:rPr>
        <w:t xml:space="preserve"> CC. Sentencia T-315 de 1998. </w:t>
      </w:r>
      <w:r w:rsidRPr="000A6F06">
        <w:rPr>
          <w:rFonts w:ascii="Calibri" w:hAnsi="Calibri" w:cs="Calibri"/>
          <w:lang w:val="es-CO"/>
        </w:rPr>
        <w:t xml:space="preserve">En esta oportunidad </w:t>
      </w:r>
      <w:smartTag w:uri="urn:schemas-microsoft-com:office:smarttags" w:element="PersonName">
        <w:smartTagPr>
          <w:attr w:name="ProductID" w:val="la Corte"/>
        </w:smartTagPr>
        <w:r w:rsidRPr="000A6F06">
          <w:rPr>
            <w:rFonts w:ascii="Calibri" w:hAnsi="Calibri" w:cs="Calibri"/>
            <w:lang w:val="es-CO"/>
          </w:rPr>
          <w:t>la Corte</w:t>
        </w:r>
      </w:smartTag>
      <w:r w:rsidRPr="000A6F06">
        <w:rPr>
          <w:rFonts w:ascii="Calibri" w:hAnsi="Calibri" w:cs="Calibri"/>
          <w:lang w:val="es-CO"/>
        </w:rPr>
        <w:t xml:space="preserv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w:t>
      </w:r>
      <w:smartTag w:uri="urn:schemas-microsoft-com:office:smarttags" w:element="PersonName">
        <w:smartTagPr>
          <w:attr w:name="ProductID" w:val="la Ley"/>
        </w:smartTagPr>
        <w:r w:rsidRPr="000A6F06">
          <w:rPr>
            <w:rFonts w:ascii="Calibri" w:hAnsi="Calibri" w:cs="Calibri"/>
            <w:lang w:val="es-CO"/>
          </w:rPr>
          <w:t>la Ley</w:t>
        </w:r>
      </w:smartTag>
      <w:r w:rsidRPr="000A6F06">
        <w:rPr>
          <w:rFonts w:ascii="Calibri" w:hAnsi="Calibri" w:cs="Calibri"/>
          <w:lang w:val="es-CO"/>
        </w:rPr>
        <w:t xml:space="preserve"> 270 de 1996. En el mismo sentido ver las sentencias SU-458 de 1993 y T-1998 de 2001.</w:t>
      </w:r>
    </w:p>
  </w:footnote>
  <w:footnote w:id="8">
    <w:p w:rsidR="008D32DD" w:rsidRPr="00956F47" w:rsidRDefault="008D32DD" w:rsidP="008D32DD">
      <w:pPr>
        <w:pStyle w:val="Notedebasdepage"/>
        <w:jc w:val="both"/>
        <w:rPr>
          <w:rFonts w:ascii="Calibri" w:hAnsi="Calibri"/>
          <w:lang w:val="fr-FR"/>
        </w:rPr>
      </w:pPr>
      <w:r w:rsidRPr="00EE0D9D">
        <w:rPr>
          <w:rStyle w:val="Appelnotedebasdep"/>
          <w:rFonts w:ascii="Calibri" w:hAnsi="Calibri"/>
        </w:rPr>
        <w:footnoteRef/>
      </w:r>
      <w:r w:rsidRPr="00956F47">
        <w:rPr>
          <w:rFonts w:ascii="Calibri" w:hAnsi="Calibri"/>
          <w:lang w:val="fr-FR"/>
        </w:rPr>
        <w:t xml:space="preserve"> CC. Sentencias </w:t>
      </w:r>
      <w:r w:rsidRPr="00956F47">
        <w:rPr>
          <w:rFonts w:ascii="Calibri" w:hAnsi="Calibri"/>
          <w:bCs/>
          <w:lang w:val="fr-FR"/>
        </w:rPr>
        <w:t>T-722 de 2014, T-247 de 2015</w:t>
      </w:r>
      <w:r w:rsidRPr="00956F47">
        <w:rPr>
          <w:rFonts w:ascii="Calibri" w:hAnsi="Calibri"/>
          <w:lang w:val="fr-FR"/>
        </w:rPr>
        <w:t xml:space="preserve"> y </w:t>
      </w:r>
      <w:r w:rsidRPr="00956F47">
        <w:rPr>
          <w:rFonts w:ascii="Calibri" w:hAnsi="Calibri"/>
          <w:bCs/>
          <w:lang w:val="fr-FR"/>
        </w:rPr>
        <w:t>T-572 de 2015, entre otras.</w:t>
      </w:r>
    </w:p>
  </w:footnote>
  <w:footnote w:id="9">
    <w:p w:rsidR="003B0490" w:rsidRPr="00956F47" w:rsidRDefault="003B0490" w:rsidP="00F63BA1">
      <w:pPr>
        <w:pStyle w:val="Notedebasdepage"/>
        <w:rPr>
          <w:rFonts w:ascii="Calibri" w:hAnsi="Calibri"/>
          <w:lang w:val="fr-FR"/>
        </w:rPr>
      </w:pPr>
      <w:r w:rsidRPr="00EE0D9D">
        <w:rPr>
          <w:rStyle w:val="Appelnotedebasdep"/>
          <w:rFonts w:ascii="Calibri" w:hAnsi="Calibri"/>
        </w:rPr>
        <w:footnoteRef/>
      </w:r>
      <w:r w:rsidRPr="00956F47">
        <w:rPr>
          <w:rFonts w:ascii="Calibri" w:hAnsi="Calibri"/>
          <w:lang w:val="fr-FR"/>
        </w:rPr>
        <w:t xml:space="preserve"> CC. Sentencia T-471 de 2015.</w:t>
      </w:r>
    </w:p>
  </w:footnote>
  <w:footnote w:id="10">
    <w:p w:rsidR="003B0490" w:rsidRPr="00956F47" w:rsidRDefault="003B0490" w:rsidP="00F63BA1">
      <w:pPr>
        <w:pStyle w:val="Notedebasdepage"/>
        <w:rPr>
          <w:rFonts w:ascii="Calibri" w:hAnsi="Calibri"/>
          <w:lang w:val="fr-FR"/>
        </w:rPr>
      </w:pPr>
      <w:r w:rsidRPr="00EE0D9D">
        <w:rPr>
          <w:rStyle w:val="Appelnotedebasdep"/>
          <w:rFonts w:ascii="Calibri" w:hAnsi="Calibri"/>
        </w:rPr>
        <w:footnoteRef/>
      </w:r>
      <w:r w:rsidRPr="00956F47">
        <w:rPr>
          <w:rFonts w:ascii="Calibri" w:hAnsi="Calibri"/>
          <w:lang w:val="fr-FR"/>
        </w:rPr>
        <w:t xml:space="preserve"> CC. Sentencia T- 156 de 2012.</w:t>
      </w:r>
    </w:p>
  </w:footnote>
  <w:footnote w:id="11">
    <w:p w:rsidR="003B0490" w:rsidRPr="00EE0D9D" w:rsidRDefault="003B0490" w:rsidP="00E06BFF">
      <w:pPr>
        <w:pStyle w:val="Notedebasdepage"/>
        <w:jc w:val="both"/>
        <w:rPr>
          <w:rFonts w:ascii="Calibri" w:hAnsi="Calibri"/>
        </w:rPr>
      </w:pPr>
      <w:r w:rsidRPr="00EE0D9D">
        <w:rPr>
          <w:rFonts w:ascii="Calibri" w:hAnsi="Calibri" w:cs="Calibri"/>
          <w:vertAlign w:val="superscript"/>
        </w:rPr>
        <w:footnoteRef/>
      </w:r>
      <w:r w:rsidRPr="00EE0D9D">
        <w:rPr>
          <w:rFonts w:ascii="Calibri" w:hAnsi="Calibri" w:cs="Calibri"/>
          <w:lang w:val="es-CO"/>
        </w:rPr>
        <w:t xml:space="preserve"> </w:t>
      </w:r>
      <w:r w:rsidRPr="00EE0D9D">
        <w:rPr>
          <w:rFonts w:ascii="Calibri" w:hAnsi="Calibri" w:cs="Calibri"/>
          <w:lang w:val="es-MX"/>
        </w:rPr>
        <w:t>CC. Sentencia T- 572 de 2015</w:t>
      </w:r>
      <w:r w:rsidRPr="00EE0D9D">
        <w:rPr>
          <w:rFonts w:ascii="Calibri" w:hAnsi="Calibri" w:cs="Calibri"/>
          <w:lang w:val="es-CO"/>
        </w:rPr>
        <w:t xml:space="preserve">. </w:t>
      </w:r>
    </w:p>
  </w:footnote>
  <w:footnote w:id="12">
    <w:p w:rsidR="003B0490" w:rsidRPr="00EE0D9D" w:rsidRDefault="003B0490" w:rsidP="00E06BFF">
      <w:pPr>
        <w:pStyle w:val="Notedebasdepage"/>
        <w:jc w:val="both"/>
        <w:rPr>
          <w:rFonts w:ascii="Calibri" w:hAnsi="Calibri"/>
        </w:rPr>
      </w:pPr>
      <w:r w:rsidRPr="00EE0D9D">
        <w:rPr>
          <w:rFonts w:ascii="Calibri" w:hAnsi="Calibri" w:cs="Calibri"/>
          <w:vertAlign w:val="superscript"/>
        </w:rPr>
        <w:footnoteRef/>
      </w:r>
      <w:r w:rsidRPr="00EE0D9D">
        <w:rPr>
          <w:rFonts w:ascii="Calibri" w:hAnsi="Calibri" w:cs="Calibri"/>
          <w:lang w:val="es-CO"/>
        </w:rPr>
        <w:t xml:space="preserve"> </w:t>
      </w:r>
      <w:r w:rsidRPr="00EE0D9D">
        <w:rPr>
          <w:rFonts w:ascii="Calibri" w:hAnsi="Calibri" w:cs="Calibri"/>
          <w:lang w:val="es-MX"/>
        </w:rPr>
        <w:t xml:space="preserve">CC. Sentencia </w:t>
      </w:r>
      <w:r w:rsidRPr="00EE0D9D">
        <w:rPr>
          <w:rFonts w:ascii="Calibri" w:hAnsi="Calibri" w:cs="Calibri"/>
          <w:lang w:val="es-CO"/>
        </w:rPr>
        <w:t xml:space="preserve">T-046 de 1995, reiterada en las sentencias </w:t>
      </w:r>
      <w:r w:rsidRPr="00EE0D9D">
        <w:rPr>
          <w:rFonts w:ascii="Calibri" w:hAnsi="Calibri" w:cs="Calibri"/>
          <w:bCs/>
          <w:lang w:val="es-CO"/>
        </w:rPr>
        <w:t>T-722 de 2014 y</w:t>
      </w:r>
      <w:r w:rsidRPr="00EE0D9D">
        <w:rPr>
          <w:rFonts w:ascii="Calibri" w:hAnsi="Calibri" w:cs="Calibri"/>
          <w:b/>
          <w:bCs/>
          <w:lang w:val="es-CO"/>
        </w:rPr>
        <w:t xml:space="preserve"> </w:t>
      </w:r>
      <w:r w:rsidRPr="00EE0D9D">
        <w:rPr>
          <w:rFonts w:ascii="Calibri" w:hAnsi="Calibri" w:cs="Calibri"/>
          <w:bCs/>
          <w:lang w:val="es-CO"/>
        </w:rPr>
        <w:t>T-572 de 2015, entre otras</w:t>
      </w:r>
      <w:r w:rsidRPr="00EE0D9D">
        <w:rPr>
          <w:rFonts w:ascii="Calibri" w:hAnsi="Calibri" w:cs="Calibri"/>
          <w:lang w:val="es-CO"/>
        </w:rPr>
        <w:t xml:space="preserve">. </w:t>
      </w:r>
      <w:smartTag w:uri="urn:schemas-microsoft-com:office:smarttags" w:element="PersonName">
        <w:smartTagPr>
          <w:attr w:name="ProductID" w:val="la Corte"/>
        </w:smartTagPr>
        <w:r w:rsidRPr="00EE0D9D">
          <w:rPr>
            <w:rFonts w:ascii="Calibri" w:hAnsi="Calibri" w:cs="Calibri"/>
            <w:lang w:val="es-CO"/>
          </w:rPr>
          <w:t>La Corte</w:t>
        </w:r>
      </w:smartTag>
      <w:r w:rsidRPr="00EE0D9D">
        <w:rPr>
          <w:rFonts w:ascii="Calibri" w:hAnsi="Calibr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sidRPr="00EE0D9D">
          <w:rPr>
            <w:rFonts w:ascii="Calibri" w:hAnsi="Calibri" w:cs="Calibri"/>
            <w:lang w:val="es-CO"/>
          </w:rPr>
          <w:t>La Sala</w:t>
        </w:r>
      </w:smartTag>
      <w:r w:rsidRPr="00EE0D9D">
        <w:rPr>
          <w:rFonts w:ascii="Calibri" w:hAnsi="Calibr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3">
    <w:p w:rsidR="003B0490" w:rsidRPr="00956F47" w:rsidRDefault="003B0490" w:rsidP="00E06BFF">
      <w:pPr>
        <w:pStyle w:val="Notedebasdepage"/>
        <w:jc w:val="both"/>
        <w:rPr>
          <w:lang w:val="fr-FR"/>
        </w:rPr>
      </w:pPr>
      <w:r w:rsidRPr="00EE0D9D">
        <w:rPr>
          <w:rFonts w:ascii="Calibri" w:hAnsi="Calibri" w:cs="Calibri"/>
          <w:vertAlign w:val="superscript"/>
        </w:rPr>
        <w:footnoteRef/>
      </w:r>
      <w:r w:rsidRPr="00956F47">
        <w:rPr>
          <w:rFonts w:ascii="Calibri" w:hAnsi="Calibri" w:cs="Calibri"/>
          <w:lang w:val="fr-FR"/>
        </w:rPr>
        <w:t xml:space="preserve"> CC. Sentencias T-100 de 1994, T-256 de 1995, T-325 de 1995, T-455 de 1996, T-459 de 1996, T-083 de 1997, SU-133 de 1998 y </w:t>
      </w:r>
      <w:r w:rsidRPr="00956F47">
        <w:rPr>
          <w:rFonts w:ascii="Calibri" w:hAnsi="Calibri" w:cs="Calibri"/>
          <w:bCs/>
          <w:lang w:val="fr-FR"/>
        </w:rPr>
        <w:t>T-247 de 2015, entre otras</w:t>
      </w:r>
      <w:r w:rsidRPr="00956F47">
        <w:rPr>
          <w:rFonts w:ascii="Calibri" w:hAnsi="Calibri" w:cs="Calibri"/>
          <w:lang w:val="fr-FR"/>
        </w:rPr>
        <w:t>.</w:t>
      </w:r>
    </w:p>
  </w:footnote>
  <w:footnote w:id="14">
    <w:p w:rsidR="003B0490" w:rsidRDefault="003B0490" w:rsidP="00E06BFF">
      <w:pPr>
        <w:pStyle w:val="Notedebasdepage"/>
        <w:jc w:val="both"/>
      </w:pPr>
      <w:r w:rsidRPr="000A6F06">
        <w:rPr>
          <w:rFonts w:ascii="Calibri" w:hAnsi="Calibri" w:cs="Calibri"/>
          <w:vertAlign w:val="superscript"/>
        </w:rPr>
        <w:footnoteRef/>
      </w:r>
      <w:r w:rsidRPr="000A6F06">
        <w:rPr>
          <w:rFonts w:ascii="Calibri" w:hAnsi="Calibri" w:cs="Calibri"/>
          <w:lang w:val="es-CO"/>
        </w:rPr>
        <w:t xml:space="preserve"> </w:t>
      </w:r>
      <w:r>
        <w:rPr>
          <w:rFonts w:ascii="Calibri" w:hAnsi="Calibri" w:cs="Calibri"/>
          <w:lang w:val="es-CO"/>
        </w:rPr>
        <w:t xml:space="preserve">CC. </w:t>
      </w:r>
      <w:r>
        <w:rPr>
          <w:rFonts w:ascii="Calibri" w:hAnsi="Calibri" w:cs="Calibri"/>
        </w:rPr>
        <w:t>Sentencia</w:t>
      </w:r>
      <w:r w:rsidRPr="000A6F06">
        <w:rPr>
          <w:rFonts w:ascii="Calibri" w:hAnsi="Calibri" w:cs="Calibri"/>
        </w:rPr>
        <w:t xml:space="preserve"> T-225 de 1993</w:t>
      </w:r>
      <w:r>
        <w:rPr>
          <w:rFonts w:ascii="Calibri" w:hAnsi="Calibri" w:cs="Calibri"/>
        </w:rPr>
        <w:t>, reiterada en la sentencias</w:t>
      </w:r>
      <w:r w:rsidRPr="00B56276">
        <w:t xml:space="preserve"> </w:t>
      </w:r>
      <w:r>
        <w:rPr>
          <w:rFonts w:ascii="Calibri" w:hAnsi="Calibri" w:cs="Calibri"/>
        </w:rPr>
        <w:t>T-082 de 20</w:t>
      </w:r>
      <w:r w:rsidRPr="00B56276">
        <w:rPr>
          <w:rFonts w:ascii="Calibri" w:hAnsi="Calibri" w:cs="Calibri"/>
        </w:rPr>
        <w:t>16</w:t>
      </w:r>
      <w:r>
        <w:rPr>
          <w:rFonts w:ascii="Calibri" w:hAnsi="Calibri" w:cs="Calibri"/>
        </w:rPr>
        <w:t xml:space="preserve"> y </w:t>
      </w:r>
      <w:r w:rsidRPr="00B56276">
        <w:rPr>
          <w:rFonts w:ascii="Calibri" w:hAnsi="Calibri" w:cs="Calibri"/>
          <w:bCs/>
        </w:rPr>
        <w:t>T-095 de 2016</w:t>
      </w:r>
      <w:r>
        <w:rPr>
          <w:rFonts w:ascii="Calibri" w:hAnsi="Calibri" w:cs="Calibri"/>
          <w:bCs/>
        </w:rPr>
        <w:t>, entre otras</w:t>
      </w:r>
      <w:r w:rsidRPr="000A6F06">
        <w:rPr>
          <w:rFonts w:ascii="Calibri" w:hAnsi="Calibri" w:cs="Calibri"/>
        </w:rPr>
        <w:t xml:space="preserve">: según esta sentencia </w:t>
      </w:r>
      <w:r w:rsidRPr="000A6F06">
        <w:rPr>
          <w:rFonts w:ascii="Calibri" w:hAnsi="Calibri" w:cs="Calibri"/>
          <w:bCs/>
        </w:rPr>
        <w:t>el perjuicio irremediable se caracteriza i</w:t>
      </w:r>
      <w:r w:rsidRPr="000A6F06">
        <w:rPr>
          <w:rFonts w:ascii="Calibri" w:hAnsi="Calibri" w:cs="Calibri"/>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5">
    <w:p w:rsidR="003B0490" w:rsidRPr="00956F47" w:rsidRDefault="003B0490" w:rsidP="00E06BFF">
      <w:pPr>
        <w:pStyle w:val="Notedebasdepage"/>
        <w:jc w:val="both"/>
        <w:rPr>
          <w:rFonts w:ascii="Calibri" w:hAnsi="Calibri"/>
          <w:lang w:val="fr-FR"/>
        </w:rPr>
      </w:pPr>
      <w:r w:rsidRPr="006A4103">
        <w:rPr>
          <w:rStyle w:val="Appelnotedebasdep"/>
          <w:rFonts w:ascii="Calibri" w:hAnsi="Calibri" w:cs="Calibri"/>
        </w:rPr>
        <w:footnoteRef/>
      </w:r>
      <w:r w:rsidRPr="00956F47">
        <w:rPr>
          <w:rFonts w:ascii="Calibri" w:hAnsi="Calibri" w:cs="Calibri"/>
          <w:lang w:val="fr-FR"/>
        </w:rPr>
        <w:t xml:space="preserve"> CC.  Sentencia </w:t>
      </w:r>
      <w:r w:rsidRPr="00956F47">
        <w:rPr>
          <w:rFonts w:ascii="Calibri" w:hAnsi="Calibri" w:cs="Calibri"/>
          <w:bCs/>
          <w:lang w:val="fr-FR"/>
        </w:rPr>
        <w:t>T-082 de 2016.</w:t>
      </w:r>
    </w:p>
  </w:footnote>
  <w:footnote w:id="16">
    <w:p w:rsidR="003B0490" w:rsidRPr="00956F47" w:rsidRDefault="003B0490" w:rsidP="00E06BFF">
      <w:pPr>
        <w:pStyle w:val="Notedebasdepage"/>
        <w:jc w:val="both"/>
        <w:rPr>
          <w:rFonts w:ascii="Calibri" w:hAnsi="Calibri" w:cs="Calibri"/>
          <w:lang w:val="fr-FR"/>
        </w:rPr>
      </w:pPr>
      <w:r w:rsidRPr="00B56276">
        <w:rPr>
          <w:rFonts w:ascii="Calibri" w:hAnsi="Calibri" w:cs="Calibri"/>
          <w:vertAlign w:val="superscript"/>
        </w:rPr>
        <w:footnoteRef/>
      </w:r>
      <w:r w:rsidRPr="00956F47">
        <w:rPr>
          <w:rFonts w:ascii="Calibri" w:hAnsi="Calibri" w:cs="Calibri"/>
          <w:lang w:val="fr-FR"/>
        </w:rPr>
        <w:t xml:space="preserve"> </w:t>
      </w:r>
      <w:r w:rsidR="008D32DD" w:rsidRPr="00956F47">
        <w:rPr>
          <w:rFonts w:ascii="Calibri" w:hAnsi="Calibri" w:cs="Calibri"/>
          <w:lang w:val="fr-FR"/>
        </w:rPr>
        <w:t xml:space="preserve">CC. </w:t>
      </w:r>
      <w:r w:rsidRPr="00956F47">
        <w:rPr>
          <w:rFonts w:ascii="Calibri" w:hAnsi="Calibri" w:cs="Calibri"/>
          <w:lang w:val="fr-FR"/>
        </w:rPr>
        <w:t>Sentencias T-225 de 1993, T-436 de 2007, T-016 de 2008, T-1238 de 2008, T-273 de 2009,  </w:t>
      </w:r>
      <w:hyperlink r:id="rId2" w:tooltip="Haga clic para abrir la Sentencia T-660 de 2010" w:history="1">
        <w:r w:rsidRPr="00956F47">
          <w:rPr>
            <w:rStyle w:val="Lienhypertexte"/>
            <w:rFonts w:ascii="Calibri" w:hAnsi="Calibri" w:cs="Calibri"/>
            <w:color w:val="000000" w:themeColor="text1"/>
            <w:u w:val="none"/>
            <w:lang w:val="fr-FR"/>
          </w:rPr>
          <w:t>T-660 de 2010</w:t>
        </w:r>
      </w:hyperlink>
      <w:r w:rsidRPr="00956F47">
        <w:rPr>
          <w:rFonts w:ascii="Calibri" w:hAnsi="Calibri"/>
          <w:bCs/>
          <w:color w:val="000000" w:themeColor="text1"/>
          <w:lang w:val="fr-FR"/>
        </w:rPr>
        <w:t xml:space="preserve"> y </w:t>
      </w:r>
      <w:r w:rsidRPr="00956F47">
        <w:rPr>
          <w:rFonts w:ascii="Calibri" w:hAnsi="Calibri" w:cs="Calibri"/>
          <w:bCs/>
          <w:lang w:val="fr-FR"/>
        </w:rPr>
        <w:t>T-082 de 2016</w:t>
      </w:r>
      <w:r w:rsidRPr="00956F47">
        <w:rPr>
          <w:rFonts w:ascii="Calibri" w:hAnsi="Calibri" w:cs="Calibri"/>
          <w:lang w:val="fr-FR"/>
        </w:rPr>
        <w:t>, entre otras.</w:t>
      </w:r>
    </w:p>
  </w:footnote>
  <w:footnote w:id="17">
    <w:p w:rsidR="003B0490" w:rsidRPr="00956F47" w:rsidRDefault="003B0490" w:rsidP="00E06BFF">
      <w:pPr>
        <w:pStyle w:val="Notedebasdepage"/>
        <w:jc w:val="both"/>
        <w:rPr>
          <w:rFonts w:ascii="Calibri" w:hAnsi="Calibri"/>
          <w:lang w:val="fr-FR"/>
        </w:rPr>
      </w:pPr>
      <w:r w:rsidRPr="006A4103">
        <w:rPr>
          <w:rStyle w:val="Appelnotedebasdep"/>
          <w:rFonts w:ascii="Calibri" w:hAnsi="Calibri" w:cs="Calibri"/>
        </w:rPr>
        <w:footnoteRef/>
      </w:r>
      <w:r w:rsidRPr="00956F47">
        <w:rPr>
          <w:rFonts w:ascii="Calibri" w:hAnsi="Calibri" w:cs="Calibri"/>
          <w:lang w:val="fr-FR"/>
        </w:rPr>
        <w:t xml:space="preserve"> CC.  Sentencia T-1316 de 2001</w:t>
      </w:r>
      <w:r w:rsidRPr="00956F47">
        <w:rPr>
          <w:rFonts w:ascii="Calibri" w:hAnsi="Calibri" w:cs="Calibri"/>
          <w:bCs/>
          <w:lang w:val="fr-FR"/>
        </w:rPr>
        <w:t>.</w:t>
      </w:r>
    </w:p>
  </w:footnote>
  <w:footnote w:id="18">
    <w:p w:rsidR="003B0490" w:rsidRPr="00956F47" w:rsidRDefault="003B0490" w:rsidP="00E06BFF">
      <w:pPr>
        <w:pStyle w:val="Notedebasdepage"/>
        <w:rPr>
          <w:rFonts w:ascii="Calibri" w:hAnsi="Calibri"/>
          <w:lang w:val="fr-FR"/>
        </w:rPr>
      </w:pPr>
      <w:r w:rsidRPr="001D4724">
        <w:rPr>
          <w:rStyle w:val="Appelnotedebasdep"/>
          <w:rFonts w:ascii="Calibri" w:hAnsi="Calibri"/>
        </w:rPr>
        <w:footnoteRef/>
      </w:r>
      <w:r w:rsidRPr="00956F47">
        <w:rPr>
          <w:rFonts w:ascii="Calibri" w:hAnsi="Calibri"/>
          <w:lang w:val="fr-FR"/>
        </w:rPr>
        <w:t xml:space="preserve"> CC. Sentencia </w:t>
      </w:r>
      <w:r w:rsidRPr="00956F47">
        <w:rPr>
          <w:rFonts w:ascii="Calibri" w:hAnsi="Calibri" w:cs="Calibri"/>
          <w:lang w:val="fr-FR"/>
        </w:rPr>
        <w:t>T-972 de 2014.</w:t>
      </w:r>
    </w:p>
  </w:footnote>
  <w:footnote w:id="19">
    <w:p w:rsidR="003B0490" w:rsidRPr="00956F47" w:rsidRDefault="003B0490" w:rsidP="00E06BFF">
      <w:pPr>
        <w:pStyle w:val="Notedebasdepage"/>
        <w:rPr>
          <w:rFonts w:ascii="Calibri" w:hAnsi="Calibri"/>
          <w:lang w:val="fr-FR"/>
        </w:rPr>
      </w:pPr>
      <w:r w:rsidRPr="001D4724">
        <w:rPr>
          <w:rStyle w:val="Appelnotedebasdep"/>
          <w:rFonts w:ascii="Calibri" w:hAnsi="Calibri"/>
        </w:rPr>
        <w:footnoteRef/>
      </w:r>
      <w:r w:rsidRPr="00956F47">
        <w:rPr>
          <w:rFonts w:ascii="Calibri" w:hAnsi="Calibri"/>
          <w:lang w:val="fr-FR"/>
        </w:rPr>
        <w:t xml:space="preserve"> </w:t>
      </w:r>
      <w:r w:rsidRPr="00956F47">
        <w:rPr>
          <w:rFonts w:ascii="Calibri" w:hAnsi="Calibri" w:cs="Calibri"/>
          <w:lang w:val="fr-FR"/>
        </w:rPr>
        <w:t xml:space="preserve">CC. Sentencias T-082 de 2016 y </w:t>
      </w:r>
      <w:r w:rsidRPr="00956F47">
        <w:rPr>
          <w:rFonts w:ascii="Calibri" w:hAnsi="Calibri" w:cs="Calibri"/>
          <w:bCs/>
          <w:lang w:val="fr-FR"/>
        </w:rPr>
        <w:t>T-095 de 2016</w:t>
      </w:r>
      <w:r w:rsidRPr="00956F47">
        <w:rPr>
          <w:rFonts w:ascii="Calibri" w:hAnsi="Calibri" w:cs="Calibri"/>
          <w:lang w:val="fr-FR"/>
        </w:rPr>
        <w:t>.</w:t>
      </w:r>
    </w:p>
  </w:footnote>
  <w:footnote w:id="20">
    <w:p w:rsidR="003B0490" w:rsidRPr="009D55DB" w:rsidRDefault="003B0490" w:rsidP="00E06BFF">
      <w:pPr>
        <w:pStyle w:val="Notedebasdepage"/>
        <w:jc w:val="both"/>
        <w:rPr>
          <w:rFonts w:ascii="Calibri" w:hAnsi="Calibri"/>
          <w:lang w:val="es-CO"/>
        </w:rPr>
      </w:pPr>
      <w:r w:rsidRPr="009D55DB">
        <w:rPr>
          <w:rStyle w:val="Appelnotedebasdep"/>
          <w:rFonts w:ascii="Calibri" w:hAnsi="Calibri"/>
        </w:rPr>
        <w:footnoteRef/>
      </w:r>
      <w:r w:rsidRPr="009D55DB">
        <w:rPr>
          <w:rFonts w:ascii="Calibri" w:hAnsi="Calibri"/>
        </w:rPr>
        <w:t xml:space="preserve"> </w:t>
      </w:r>
      <w:r>
        <w:rPr>
          <w:rFonts w:ascii="Calibri" w:hAnsi="Calibri"/>
        </w:rPr>
        <w:t>TSP</w:t>
      </w:r>
      <w:r w:rsidRPr="009D55DB">
        <w:rPr>
          <w:rFonts w:ascii="Calibri" w:hAnsi="Calibri"/>
        </w:rPr>
        <w:t>, Sala Civil – Familia. Sentencia de</w:t>
      </w:r>
      <w:r>
        <w:rPr>
          <w:rFonts w:ascii="Calibri" w:hAnsi="Calibri"/>
        </w:rPr>
        <w:t xml:space="preserve">l 05-08-2015; </w:t>
      </w:r>
      <w:proofErr w:type="spellStart"/>
      <w:r w:rsidRPr="009D55DB">
        <w:rPr>
          <w:rFonts w:ascii="Calibri" w:hAnsi="Calibri"/>
        </w:rPr>
        <w:t>MP</w:t>
      </w:r>
      <w:proofErr w:type="spellEnd"/>
      <w:r>
        <w:rPr>
          <w:rFonts w:ascii="Calibri" w:hAnsi="Calibri"/>
        </w:rPr>
        <w:t>:</w:t>
      </w:r>
      <w:r w:rsidRPr="009D55DB">
        <w:rPr>
          <w:rFonts w:ascii="Calibri" w:hAnsi="Calibri"/>
        </w:rPr>
        <w:t xml:space="preserve"> </w:t>
      </w:r>
      <w:proofErr w:type="spellStart"/>
      <w:r w:rsidRPr="009D55DB">
        <w:rPr>
          <w:rFonts w:ascii="Calibri" w:hAnsi="Calibri"/>
        </w:rPr>
        <w:t>Duberney</w:t>
      </w:r>
      <w:proofErr w:type="spellEnd"/>
      <w:r w:rsidRPr="009D55DB">
        <w:rPr>
          <w:rFonts w:ascii="Calibri" w:hAnsi="Calibri"/>
        </w:rPr>
        <w:t xml:space="preserve"> Grisales </w:t>
      </w:r>
      <w:r>
        <w:rPr>
          <w:rFonts w:ascii="Calibri" w:hAnsi="Calibri"/>
        </w:rPr>
        <w:t>H.,  exp.No.2015-00284-00</w:t>
      </w:r>
      <w:r w:rsidRPr="009D55DB">
        <w:rPr>
          <w:rFonts w:ascii="Calibri" w:hAnsi="Calibri"/>
        </w:rPr>
        <w:t>.</w:t>
      </w:r>
    </w:p>
  </w:footnote>
  <w:footnote w:id="21">
    <w:p w:rsidR="003B0490" w:rsidRPr="00C558EE" w:rsidRDefault="003B0490" w:rsidP="00E06BFF">
      <w:pPr>
        <w:pStyle w:val="Notedebasdepage"/>
        <w:jc w:val="both"/>
        <w:rPr>
          <w:rFonts w:ascii="Calibri" w:hAnsi="Calibri"/>
          <w:b/>
          <w:lang w:val="es-CO"/>
        </w:rPr>
      </w:pPr>
      <w:r w:rsidRPr="00C558EE">
        <w:rPr>
          <w:rStyle w:val="Appelnotedebasdep"/>
          <w:rFonts w:ascii="Calibri" w:hAnsi="Calibri"/>
        </w:rPr>
        <w:footnoteRef/>
      </w:r>
      <w:r w:rsidRPr="00C558EE">
        <w:rPr>
          <w:rFonts w:ascii="Calibri" w:hAnsi="Calibri"/>
        </w:rPr>
        <w:t xml:space="preserve"> </w:t>
      </w:r>
      <w:r>
        <w:rPr>
          <w:rFonts w:ascii="Calibri" w:hAnsi="Calibri"/>
          <w:lang w:val="es-CO"/>
        </w:rPr>
        <w:t>CSJ</w:t>
      </w:r>
      <w:r w:rsidRPr="00C558EE">
        <w:rPr>
          <w:rFonts w:ascii="Calibri" w:hAnsi="Calibri"/>
          <w:lang w:val="es-CO"/>
        </w:rPr>
        <w:t>. Sentencias STC6880-2016,</w:t>
      </w:r>
      <w:r w:rsidRPr="00C558EE">
        <w:rPr>
          <w:rFonts w:ascii="Calibri" w:hAnsi="Calibri"/>
          <w:b/>
          <w:lang w:val="es-CO"/>
        </w:rPr>
        <w:t xml:space="preserve"> </w:t>
      </w:r>
      <w:r w:rsidRPr="00C558EE">
        <w:rPr>
          <w:rFonts w:ascii="Calibri" w:hAnsi="Calibri"/>
        </w:rPr>
        <w:t>STC7686-2016,</w:t>
      </w:r>
      <w:r w:rsidRPr="00C558EE">
        <w:rPr>
          <w:rFonts w:ascii="Calibri" w:hAnsi="Calibri"/>
          <w:b/>
        </w:rPr>
        <w:t xml:space="preserve"> </w:t>
      </w:r>
      <w:r w:rsidRPr="00C558EE">
        <w:rPr>
          <w:rFonts w:ascii="Calibri" w:hAnsi="Calibri"/>
        </w:rPr>
        <w:t>STC8200-2016 y</w:t>
      </w:r>
      <w:r w:rsidRPr="00C558EE">
        <w:rPr>
          <w:rFonts w:ascii="Calibri" w:hAnsi="Calibri"/>
          <w:lang w:val="es-CO"/>
        </w:rPr>
        <w:t xml:space="preserve"> </w:t>
      </w:r>
      <w:r w:rsidRPr="00C558EE">
        <w:rPr>
          <w:rFonts w:ascii="Calibri" w:hAnsi="Calibri"/>
        </w:rPr>
        <w:t>STC8324-2016, entre otras.</w:t>
      </w:r>
    </w:p>
  </w:footnote>
  <w:footnote w:id="22">
    <w:p w:rsidR="003B0490" w:rsidRPr="007613C2" w:rsidRDefault="003B0490" w:rsidP="00E06BFF">
      <w:pPr>
        <w:pStyle w:val="Notedebasdepage"/>
        <w:rPr>
          <w:rFonts w:ascii="Calibri" w:hAnsi="Calibri"/>
          <w:lang w:val="es-ES_tradnl"/>
        </w:rPr>
      </w:pPr>
      <w:r w:rsidRPr="001D4724">
        <w:rPr>
          <w:rStyle w:val="Appelnotedebasdep"/>
          <w:rFonts w:ascii="Calibri" w:hAnsi="Calibri"/>
        </w:rPr>
        <w:footnoteRef/>
      </w:r>
      <w:r w:rsidRPr="001D4724">
        <w:rPr>
          <w:rFonts w:ascii="Calibri" w:hAnsi="Calibri"/>
        </w:rPr>
        <w:t xml:space="preserve"> </w:t>
      </w:r>
      <w:r>
        <w:rPr>
          <w:rFonts w:ascii="Calibri" w:hAnsi="Calibri"/>
          <w:lang w:val="es-CO"/>
        </w:rPr>
        <w:t>CSJ</w:t>
      </w:r>
      <w:r w:rsidRPr="001D4724">
        <w:rPr>
          <w:rFonts w:ascii="Calibri" w:hAnsi="Calibri"/>
          <w:lang w:val="es-CO"/>
        </w:rPr>
        <w:t>. Sentencia</w:t>
      </w:r>
      <w:r>
        <w:rPr>
          <w:rFonts w:ascii="Calibri" w:hAnsi="Calibri"/>
          <w:lang w:val="es-CO"/>
        </w:rPr>
        <w:t xml:space="preserve">s </w:t>
      </w:r>
      <w:r w:rsidRPr="007613C2">
        <w:rPr>
          <w:rFonts w:ascii="Calibri" w:hAnsi="Calibri"/>
        </w:rPr>
        <w:t>STC8200-2016 y</w:t>
      </w:r>
      <w:r w:rsidRPr="001D4724">
        <w:rPr>
          <w:rFonts w:ascii="Calibri" w:hAnsi="Calibri"/>
          <w:lang w:val="es-CO"/>
        </w:rPr>
        <w:t xml:space="preserve"> </w:t>
      </w:r>
      <w:r w:rsidRPr="001D4724">
        <w:rPr>
          <w:rFonts w:ascii="Calibri" w:hAnsi="Calibri"/>
        </w:rPr>
        <w:t>STC8324-2016.</w:t>
      </w:r>
    </w:p>
  </w:footnote>
  <w:footnote w:id="23">
    <w:p w:rsidR="003B0490" w:rsidRPr="00F077EC" w:rsidRDefault="003B0490" w:rsidP="004C41B4">
      <w:pPr>
        <w:pStyle w:val="Notedebasdepage"/>
        <w:rPr>
          <w:lang w:val="es-CO"/>
        </w:rPr>
      </w:pPr>
      <w:r>
        <w:rPr>
          <w:rStyle w:val="Appelnotedebasdep"/>
        </w:rPr>
        <w:footnoteRef/>
      </w:r>
      <w:r>
        <w:t xml:space="preserve"> </w:t>
      </w:r>
      <w:r w:rsidR="00845E28">
        <w:rPr>
          <w:rFonts w:ascii="Calibri" w:hAnsi="Calibri" w:cs="Calibri"/>
          <w:lang w:val="es-CO"/>
        </w:rPr>
        <w:t>CC</w:t>
      </w:r>
      <w:r w:rsidRPr="006A4103">
        <w:rPr>
          <w:rFonts w:ascii="Calibri" w:hAnsi="Calibri" w:cs="Calibri"/>
          <w:lang w:val="es-CO"/>
        </w:rPr>
        <w:t xml:space="preserve">. </w:t>
      </w:r>
      <w:r w:rsidRPr="006A4103">
        <w:rPr>
          <w:rFonts w:ascii="Calibri" w:hAnsi="Calibri" w:cs="Calibri"/>
        </w:rPr>
        <w:t>Sentencia T-</w:t>
      </w:r>
      <w:r>
        <w:rPr>
          <w:rFonts w:ascii="Calibri" w:hAnsi="Calibri" w:cs="Calibri"/>
        </w:rPr>
        <w:t>800A</w:t>
      </w:r>
      <w:r w:rsidRPr="006A4103">
        <w:rPr>
          <w:rFonts w:ascii="Calibri" w:hAnsi="Calibri" w:cs="Calibri"/>
        </w:rPr>
        <w:t xml:space="preserve"> de </w:t>
      </w:r>
      <w:r>
        <w:rPr>
          <w:rFonts w:ascii="Calibri" w:hAnsi="Calibri" w:cs="Calibri"/>
        </w:rPr>
        <w:t>2011.</w:t>
      </w:r>
    </w:p>
  </w:footnote>
  <w:footnote w:id="24">
    <w:p w:rsidR="006202BD" w:rsidRPr="00EE0D9D" w:rsidRDefault="006202BD" w:rsidP="006202BD">
      <w:pPr>
        <w:pStyle w:val="Notedebasdepage"/>
        <w:rPr>
          <w:rFonts w:ascii="Calibri" w:hAnsi="Calibri"/>
          <w:lang w:val="es-CO"/>
        </w:rPr>
      </w:pPr>
      <w:r w:rsidRPr="00EE0D9D">
        <w:rPr>
          <w:rStyle w:val="Appelnotedebasdep"/>
          <w:rFonts w:ascii="Calibri" w:hAnsi="Calibri"/>
        </w:rPr>
        <w:footnoteRef/>
      </w:r>
      <w:r w:rsidRPr="00EE0D9D">
        <w:rPr>
          <w:rFonts w:ascii="Calibri" w:hAnsi="Calibri"/>
        </w:rPr>
        <w:t xml:space="preserve"> </w:t>
      </w:r>
      <w:r w:rsidRPr="00EE0D9D">
        <w:rPr>
          <w:rFonts w:ascii="Calibri" w:hAnsi="Calibri"/>
          <w:lang w:val="es-CO"/>
        </w:rPr>
        <w:t>CC. Sentencia T- 156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0" w:rsidRPr="006414F7" w:rsidRDefault="003B049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42954">
      <w:rPr>
        <w:rFonts w:ascii="Calibri" w:hAnsi="Calibri" w:cs="Calibri"/>
        <w:i/>
        <w:noProof/>
        <w:sz w:val="20"/>
      </w:rPr>
      <w:t>10</w:t>
    </w:r>
    <w:r w:rsidRPr="006414F7">
      <w:rPr>
        <w:rFonts w:ascii="Calibri" w:hAnsi="Calibri" w:cs="Calibri"/>
        <w:i/>
        <w:sz w:val="20"/>
      </w:rPr>
      <w:fldChar w:fldCharType="end"/>
    </w:r>
  </w:p>
  <w:p w:rsidR="003B0490" w:rsidRPr="006414F7" w:rsidRDefault="003B0490"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2017-00040-00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753"/>
    <w:multiLevelType w:val="multilevel"/>
    <w:tmpl w:val="7006357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5"/>
  </w:num>
  <w:num w:numId="3">
    <w:abstractNumId w:val="13"/>
  </w:num>
  <w:num w:numId="4">
    <w:abstractNumId w:val="3"/>
  </w:num>
  <w:num w:numId="5">
    <w:abstractNumId w:val="25"/>
  </w:num>
  <w:num w:numId="6">
    <w:abstractNumId w:val="1"/>
  </w:num>
  <w:num w:numId="7">
    <w:abstractNumId w:val="20"/>
  </w:num>
  <w:num w:numId="8">
    <w:abstractNumId w:val="2"/>
  </w:num>
  <w:num w:numId="9">
    <w:abstractNumId w:val="26"/>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4"/>
  </w:num>
  <w:num w:numId="17">
    <w:abstractNumId w:val="17"/>
  </w:num>
  <w:num w:numId="18">
    <w:abstractNumId w:val="7"/>
  </w:num>
  <w:num w:numId="19">
    <w:abstractNumId w:val="5"/>
  </w:num>
  <w:num w:numId="20">
    <w:abstractNumId w:val="12"/>
  </w:num>
  <w:num w:numId="21">
    <w:abstractNumId w:val="19"/>
  </w:num>
  <w:num w:numId="22">
    <w:abstractNumId w:val="22"/>
  </w:num>
  <w:num w:numId="23">
    <w:abstractNumId w:val="6"/>
  </w:num>
  <w:num w:numId="24">
    <w:abstractNumId w:val="10"/>
  </w:num>
  <w:num w:numId="25">
    <w:abstractNumId w:val="7"/>
  </w:num>
  <w:num w:numId="26">
    <w:abstractNumId w:val="2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172A"/>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954"/>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5A8D"/>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6F47"/>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2010/T0660de201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1015-5DBE-4F5C-958A-BB2C2B4B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3255</Words>
  <Characters>17903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16</cp:revision>
  <cp:lastPrinted>2017-02-07T16:28:00Z</cp:lastPrinted>
  <dcterms:created xsi:type="dcterms:W3CDTF">2017-02-06T13:41:00Z</dcterms:created>
  <dcterms:modified xsi:type="dcterms:W3CDTF">2017-05-10T04:46:00Z</dcterms:modified>
</cp:coreProperties>
</file>