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89" w:rsidRPr="006E4540" w:rsidRDefault="000F4C89" w:rsidP="000F4C8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F4C89"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247650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ED79ED" w:rsidRDefault="00486062" w:rsidP="00ED7F33">
      <w:pPr>
        <w:spacing w:line="360" w:lineRule="auto"/>
        <w:jc w:val="center"/>
        <w:rPr>
          <w:rFonts w:ascii="Arial" w:hAnsi="Arial" w:cs="Arial"/>
          <w:w w:val="140"/>
          <w:sz w:val="16"/>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0F4C89">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0F4C89">
        <w:rPr>
          <w:rFonts w:ascii="Arial" w:hAnsi="Arial" w:cs="Arial"/>
          <w:sz w:val="22"/>
          <w:szCs w:val="22"/>
        </w:rPr>
        <w:t>- 1ª instancia - 17 de febrero de 2017</w:t>
      </w:r>
    </w:p>
    <w:p w:rsidR="000F4C89" w:rsidRPr="002060F5" w:rsidRDefault="000F4C89"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630B75" w:rsidRDefault="00964618" w:rsidP="00630B75">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630B75">
        <w:rPr>
          <w:rFonts w:ascii="Arial" w:hAnsi="Arial" w:cs="Arial"/>
          <w:sz w:val="22"/>
        </w:rPr>
        <w:t xml:space="preserve">Tercero </w:t>
      </w:r>
      <w:r w:rsidRPr="00964618">
        <w:rPr>
          <w:rFonts w:ascii="Arial" w:hAnsi="Arial" w:cs="Arial"/>
          <w:sz w:val="22"/>
        </w:rPr>
        <w:t>Civil del Circuito de Pereira</w:t>
      </w:r>
    </w:p>
    <w:p w:rsidR="00964618" w:rsidRPr="00964618" w:rsidRDefault="00964618" w:rsidP="00630B75">
      <w:pPr>
        <w:pStyle w:val="Corpsdetexte"/>
        <w:spacing w:line="360" w:lineRule="auto"/>
        <w:ind w:left="141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630B75">
        <w:rPr>
          <w:rFonts w:ascii="Arial" w:hAnsi="Arial" w:cs="Arial"/>
          <w:sz w:val="22"/>
        </w:rPr>
        <w:t>7</w:t>
      </w:r>
      <w:r w:rsidR="00F7395A">
        <w:rPr>
          <w:rFonts w:ascii="Arial" w:hAnsi="Arial" w:cs="Arial"/>
          <w:sz w:val="22"/>
        </w:rPr>
        <w:t>-</w:t>
      </w:r>
      <w:r w:rsidR="00F30A2B">
        <w:rPr>
          <w:rFonts w:ascii="Arial" w:hAnsi="Arial" w:cs="Arial"/>
          <w:sz w:val="22"/>
        </w:rPr>
        <w:t>0</w:t>
      </w:r>
      <w:r w:rsidR="00630B75">
        <w:rPr>
          <w:rFonts w:ascii="Arial" w:hAnsi="Arial" w:cs="Arial"/>
          <w:sz w:val="22"/>
        </w:rPr>
        <w:t>0063</w:t>
      </w:r>
      <w:r w:rsidR="00D11143">
        <w:rPr>
          <w:rFonts w:ascii="Arial" w:hAnsi="Arial" w:cs="Arial"/>
          <w:sz w:val="22"/>
        </w:rPr>
        <w:t>-00</w:t>
      </w:r>
      <w:r w:rsidRPr="00964618">
        <w:rPr>
          <w:rFonts w:ascii="Arial" w:hAnsi="Arial" w:cs="Arial"/>
          <w:sz w:val="22"/>
        </w:rPr>
        <w:t xml:space="preserve"> (Interno No.</w:t>
      </w:r>
      <w:r w:rsidR="00630B75">
        <w:rPr>
          <w:rFonts w:ascii="Arial" w:hAnsi="Arial" w:cs="Arial"/>
          <w:sz w:val="22"/>
        </w:rPr>
        <w:t>63</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5A7E75" w:rsidRDefault="005A7E75" w:rsidP="005A7E75">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79 de 17-02-2017</w:t>
      </w:r>
    </w:p>
    <w:p w:rsidR="000F4C89" w:rsidRPr="00E31FCB" w:rsidRDefault="000F4C89" w:rsidP="005A7E75">
      <w:pPr>
        <w:spacing w:line="360" w:lineRule="auto"/>
        <w:ind w:left="708" w:firstLine="708"/>
        <w:rPr>
          <w:rFonts w:ascii="Arial" w:hAnsi="Arial"/>
          <w:sz w:val="10"/>
          <w:szCs w:val="10"/>
        </w:rPr>
      </w:pPr>
    </w:p>
    <w:p w:rsidR="00E31FCB" w:rsidRPr="00E31FCB" w:rsidRDefault="000F4C89" w:rsidP="00E31FCB">
      <w:pPr>
        <w:pStyle w:val="Corpsdetexte"/>
        <w:spacing w:line="240" w:lineRule="auto"/>
        <w:ind w:left="1416" w:hanging="1416"/>
        <w:rPr>
          <w:rFonts w:ascii="Arial" w:hAnsi="Arial" w:cs="Arial"/>
          <w:bCs/>
          <w:iCs/>
          <w:sz w:val="22"/>
          <w:szCs w:val="22"/>
          <w:lang w:val="es-ES"/>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E31FCB" w:rsidRPr="00E31FCB">
        <w:rPr>
          <w:rFonts w:ascii="Arial" w:hAnsi="Arial" w:cs="Arial"/>
          <w:b/>
          <w:bCs/>
          <w:iCs/>
          <w:sz w:val="22"/>
          <w:szCs w:val="22"/>
        </w:rPr>
        <w:t>D</w:t>
      </w:r>
      <w:proofErr w:type="spellStart"/>
      <w:r w:rsidR="00E31FCB" w:rsidRPr="00E31FCB">
        <w:rPr>
          <w:rFonts w:ascii="Arial" w:hAnsi="Arial" w:cs="Arial"/>
          <w:b/>
          <w:bCs/>
          <w:iCs/>
          <w:sz w:val="22"/>
          <w:szCs w:val="22"/>
          <w:lang w:val="es-CO"/>
        </w:rPr>
        <w:t>EBIDO</w:t>
      </w:r>
      <w:proofErr w:type="spellEnd"/>
      <w:r w:rsidR="00E31FCB" w:rsidRPr="00E31FCB">
        <w:rPr>
          <w:rFonts w:ascii="Arial" w:hAnsi="Arial" w:cs="Arial"/>
          <w:b/>
          <w:bCs/>
          <w:iCs/>
          <w:sz w:val="22"/>
          <w:szCs w:val="22"/>
          <w:lang w:val="es-CO"/>
        </w:rPr>
        <w:t xml:space="preserve"> PROCESO / TUTELA CONTRA PROVIDENCIA JUDICIAL / PUBLICACIÓN DE AVISO Y DESISTIMIENTO TÁCITO EN ACCIÓN POPULAR / CARÁCTER RESIDUAL DE LA ACCIÓN DE TUTELA / NO SE AGOTARON LOS RECURSO / IMPROCEDENCIA</w:t>
      </w:r>
      <w:proofErr w:type="gramStart"/>
      <w:r w:rsidR="00E31FCB" w:rsidRPr="00E31FCB">
        <w:rPr>
          <w:rFonts w:ascii="Arial" w:hAnsi="Arial" w:cs="Arial"/>
          <w:b/>
          <w:bCs/>
          <w:iCs/>
          <w:sz w:val="22"/>
          <w:szCs w:val="22"/>
          <w:lang w:val="es-CO"/>
        </w:rPr>
        <w:t>.</w:t>
      </w:r>
      <w:r w:rsidR="00E31FCB" w:rsidRPr="00E31FCB">
        <w:rPr>
          <w:rFonts w:ascii="Arial" w:hAnsi="Arial" w:cs="Arial"/>
          <w:bCs/>
          <w:iCs/>
          <w:sz w:val="22"/>
          <w:szCs w:val="22"/>
          <w:lang w:val="es-ES"/>
        </w:rPr>
        <w:t>“</w:t>
      </w:r>
      <w:proofErr w:type="gramEnd"/>
      <w:r w:rsidR="00E31FCB" w:rsidRPr="00E31FCB">
        <w:rPr>
          <w:rFonts w:ascii="Arial" w:hAnsi="Arial" w:cs="Arial"/>
          <w:bCs/>
          <w:iCs/>
          <w:sz w:val="22"/>
          <w:szCs w:val="22"/>
          <w:lang w:val="es-ES"/>
        </w:rPr>
        <w:t xml:space="preserve">Conforme al material probatorio el accionado el 03-06-2015 admite la acción y con proveído del 10-08-2016, descartó la emisión del </w:t>
      </w:r>
      <w:r w:rsidR="00E31FCB" w:rsidRPr="00E31FCB">
        <w:rPr>
          <w:rFonts w:ascii="Arial" w:hAnsi="Arial" w:cs="Arial"/>
          <w:bCs/>
          <w:iCs/>
          <w:sz w:val="22"/>
          <w:szCs w:val="22"/>
          <w:lang w:val="es-CO"/>
        </w:rPr>
        <w:t xml:space="preserve">aviso a la comunidad </w:t>
      </w:r>
      <w:r w:rsidR="00E31FCB" w:rsidRPr="00E31FCB">
        <w:rPr>
          <w:rFonts w:ascii="Arial" w:hAnsi="Arial" w:cs="Arial"/>
          <w:bCs/>
          <w:iCs/>
          <w:sz w:val="22"/>
          <w:szCs w:val="22"/>
          <w:lang w:val="es-ES"/>
        </w:rPr>
        <w:t xml:space="preserve">realizada por la emisora de la Policía Nacional y con fundamento en el artículo 317 del </w:t>
      </w:r>
      <w:proofErr w:type="spellStart"/>
      <w:r w:rsidR="00E31FCB" w:rsidRPr="00E31FCB">
        <w:rPr>
          <w:rFonts w:ascii="Arial" w:hAnsi="Arial" w:cs="Arial"/>
          <w:bCs/>
          <w:iCs/>
          <w:sz w:val="22"/>
          <w:szCs w:val="22"/>
          <w:lang w:val="es-ES"/>
        </w:rPr>
        <w:t>CGP</w:t>
      </w:r>
      <w:proofErr w:type="spellEnd"/>
      <w:r w:rsidR="00E31FCB" w:rsidRPr="00E31FCB">
        <w:rPr>
          <w:rFonts w:ascii="Arial" w:hAnsi="Arial" w:cs="Arial"/>
          <w:bCs/>
          <w:iCs/>
          <w:sz w:val="22"/>
          <w:szCs w:val="22"/>
          <w:lang w:val="es-ES"/>
        </w:rPr>
        <w:t>, requirió al actor para que la efectuara en un diario de amplia y reconocida circulación, notificado por estado del 11-08-2016 y debidamente ejecutoriado el 17-08-2016 (Folio 94, disco compacto visible a folio 16), sin que lo recurriera; seguidamente, como dejó vencer el plazo sin atender la orden, mediante providencia del 03-10-2016, declaró terminado el amparo por desistimiento tácito (Folios 96 a 97, disco compacto visible a folio 16), recurrido en reposición, se desató con decisión del 26-10-2016, que la negó (Folios 21 y 22, este cuaderno). En ese orden de ideas, se tiene que el accionante pretermitió agotar el recurso de reposición (Artículo 36, Ley 472), frente al proveído que desestimó la publicación del aviso, cuando ese era el mecanismo ordinario y expedito que tenía para procurar que el estrado judicial accionado reconsiderara aquella determinación. Evidente, entonces, es la falta de agotamiento del supuesto de subsidiariedad, como ha explicado la CC, que reiteradamente ha referido que la acción de tutela mal puede implementarse como medio para sustituir los mecanismos ordinarios de defensa, cuando por negligencia, descuido o incuria no fueron utilizados. En ese contexto, el presente amparo es improcedente, toda vez que se incumple con uno de los siete (7) requisitos generales de procedibilidad, como lo es el de la subsidiariedad, pues no se formuló el recurso ordinario.”.</w:t>
      </w:r>
    </w:p>
    <w:p w:rsidR="005A7E75" w:rsidRPr="007B5232" w:rsidRDefault="005A7E75" w:rsidP="005A7E75">
      <w:pPr>
        <w:pBdr>
          <w:bottom w:val="double" w:sz="6" w:space="1" w:color="auto"/>
        </w:pBdr>
        <w:spacing w:line="360" w:lineRule="auto"/>
        <w:jc w:val="center"/>
        <w:rPr>
          <w:rFonts w:ascii="Arial" w:hAnsi="Arial" w:cs="Arial"/>
          <w:b/>
          <w:bCs/>
          <w:sz w:val="18"/>
          <w:szCs w:val="22"/>
        </w:rPr>
      </w:pPr>
    </w:p>
    <w:p w:rsidR="005A7E75" w:rsidRPr="007B5232" w:rsidRDefault="005A7E75" w:rsidP="005A7E75">
      <w:pPr>
        <w:spacing w:line="360" w:lineRule="auto"/>
        <w:jc w:val="center"/>
        <w:rPr>
          <w:rFonts w:ascii="Arial" w:hAnsi="Arial" w:cs="Arial"/>
          <w:b/>
          <w:bCs/>
          <w:sz w:val="20"/>
          <w:szCs w:val="22"/>
        </w:rPr>
      </w:pPr>
    </w:p>
    <w:p w:rsidR="005A7E75" w:rsidRPr="00D11143" w:rsidRDefault="005A7E75" w:rsidP="005A7E75">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R., </w:t>
      </w:r>
      <w:r>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Pr>
          <w:rFonts w:ascii="Arial" w:hAnsi="Arial" w:cs="Arial"/>
          <w:iCs/>
          <w:smallCaps/>
          <w:sz w:val="28"/>
          <w:szCs w:val="28"/>
          <w:lang w:val="es-CO"/>
        </w:rPr>
        <w:t>17</w:t>
      </w:r>
      <w:r w:rsidRPr="00D11143">
        <w:rPr>
          <w:rFonts w:ascii="Arial" w:hAnsi="Arial" w:cs="Arial"/>
          <w:iCs/>
          <w:smallCaps/>
          <w:sz w:val="28"/>
          <w:szCs w:val="28"/>
          <w:lang w:val="es-CO"/>
        </w:rPr>
        <w:t xml:space="preserve">) de </w:t>
      </w:r>
      <w:r>
        <w:rPr>
          <w:rFonts w:ascii="Arial" w:hAnsi="Arial" w:cs="Arial"/>
          <w:iCs/>
          <w:smallCaps/>
          <w:sz w:val="28"/>
          <w:szCs w:val="28"/>
          <w:lang w:val="es-CO"/>
        </w:rPr>
        <w:t xml:space="preserve">febrero </w:t>
      </w:r>
      <w:r w:rsidRPr="00D11143">
        <w:rPr>
          <w:rFonts w:ascii="Arial" w:hAnsi="Arial" w:cs="Arial"/>
          <w:iCs/>
          <w:smallCaps/>
          <w:sz w:val="28"/>
          <w:szCs w:val="28"/>
          <w:lang w:val="es-CO"/>
        </w:rPr>
        <w:t xml:space="preserve">de dos mil </w:t>
      </w:r>
      <w:r>
        <w:rPr>
          <w:rFonts w:ascii="Arial" w:hAnsi="Arial" w:cs="Arial"/>
          <w:iCs/>
          <w:smallCaps/>
          <w:sz w:val="28"/>
          <w:szCs w:val="28"/>
          <w:lang w:val="es-CO"/>
        </w:rPr>
        <w:t>diecisiete</w:t>
      </w:r>
      <w:r w:rsidRPr="00D11143">
        <w:rPr>
          <w:rFonts w:ascii="Arial" w:hAnsi="Arial" w:cs="Arial"/>
          <w:iCs/>
          <w:smallCaps/>
          <w:sz w:val="28"/>
          <w:szCs w:val="28"/>
          <w:lang w:val="es-CO"/>
        </w:rPr>
        <w:t xml:space="preserve"> (</w:t>
      </w:r>
      <w:r>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ED79ED" w:rsidRDefault="000147A2" w:rsidP="0099045D">
      <w:pPr>
        <w:spacing w:line="360" w:lineRule="auto"/>
        <w:jc w:val="center"/>
        <w:rPr>
          <w:rFonts w:ascii="Arial" w:hAnsi="Arial" w:cs="Arial"/>
          <w:b/>
          <w:bCs/>
          <w:sz w:val="22"/>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ED79ED" w:rsidRDefault="00CB272A" w:rsidP="00CB272A">
      <w:pPr>
        <w:pStyle w:val="Corpsdetexte"/>
        <w:spacing w:line="360" w:lineRule="auto"/>
        <w:rPr>
          <w:rFonts w:ascii="Arial" w:hAnsi="Arial"/>
          <w:sz w:val="22"/>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síntesis de los supuestos fácticos relevantes</w:t>
      </w:r>
    </w:p>
    <w:p w:rsidR="00CB272A" w:rsidRPr="00ED79ED" w:rsidRDefault="00CB272A" w:rsidP="00CB272A">
      <w:pPr>
        <w:pStyle w:val="Corpsdetexte"/>
        <w:spacing w:line="360" w:lineRule="auto"/>
        <w:rPr>
          <w:rFonts w:ascii="Arial" w:hAnsi="Arial" w:cs="Arial"/>
          <w:sz w:val="22"/>
          <w:szCs w:val="24"/>
        </w:rPr>
      </w:pPr>
    </w:p>
    <w:p w:rsidR="00CB272A" w:rsidRDefault="00630B75" w:rsidP="00CB272A">
      <w:pPr>
        <w:spacing w:line="360" w:lineRule="auto"/>
        <w:jc w:val="both"/>
        <w:rPr>
          <w:rFonts w:ascii="Arial" w:hAnsi="Arial" w:cs="Arial"/>
        </w:rPr>
      </w:pPr>
      <w:r>
        <w:rPr>
          <w:rFonts w:ascii="Arial" w:hAnsi="Arial" w:cs="Arial"/>
        </w:rPr>
        <w:t xml:space="preserve">Expresó </w:t>
      </w:r>
      <w:r w:rsidR="00CB272A">
        <w:rPr>
          <w:rFonts w:ascii="Arial" w:hAnsi="Arial" w:cs="Arial"/>
        </w:rPr>
        <w:t xml:space="preserve">el actor </w:t>
      </w:r>
      <w:r w:rsidR="005B5B7F">
        <w:rPr>
          <w:rFonts w:ascii="Arial" w:hAnsi="Arial" w:cs="Arial"/>
        </w:rPr>
        <w:t xml:space="preserve">que, en la acción popular </w:t>
      </w:r>
      <w:r w:rsidR="00CB272A">
        <w:rPr>
          <w:rFonts w:ascii="Arial" w:hAnsi="Arial" w:cs="Arial"/>
        </w:rPr>
        <w:t>No.</w:t>
      </w:r>
      <w:r w:rsidR="00582CA4">
        <w:rPr>
          <w:rFonts w:ascii="Arial" w:hAnsi="Arial" w:cs="Arial"/>
        </w:rPr>
        <w:t xml:space="preserve"> </w:t>
      </w:r>
      <w:r w:rsidR="00D11143">
        <w:rPr>
          <w:rFonts w:ascii="Arial" w:hAnsi="Arial" w:cs="Arial"/>
        </w:rPr>
        <w:t>2015-</w:t>
      </w:r>
      <w:r w:rsidR="005B5B7F">
        <w:rPr>
          <w:rFonts w:ascii="Arial" w:hAnsi="Arial" w:cs="Arial"/>
        </w:rPr>
        <w:t>00</w:t>
      </w:r>
      <w:r>
        <w:rPr>
          <w:rFonts w:ascii="Arial" w:hAnsi="Arial" w:cs="Arial"/>
        </w:rPr>
        <w:t>252</w:t>
      </w:r>
      <w:r w:rsidR="00D11143">
        <w:rPr>
          <w:rFonts w:ascii="Arial" w:hAnsi="Arial" w:cs="Arial"/>
        </w:rPr>
        <w:t>-00</w:t>
      </w:r>
      <w:r w:rsidR="005B5B7F">
        <w:rPr>
          <w:rFonts w:ascii="Arial" w:hAnsi="Arial" w:cs="Arial"/>
        </w:rPr>
        <w:t xml:space="preserve">, el Juzgado accionado negó </w:t>
      </w:r>
      <w:r>
        <w:rPr>
          <w:rFonts w:ascii="Arial" w:hAnsi="Arial" w:cs="Arial"/>
        </w:rPr>
        <w:t xml:space="preserve">darle valor probatorio </w:t>
      </w:r>
      <w:r w:rsidR="006F3881">
        <w:rPr>
          <w:rFonts w:ascii="Arial" w:hAnsi="Arial" w:cs="Arial"/>
        </w:rPr>
        <w:t xml:space="preserve">a la publicación del aviso a la comunidad </w:t>
      </w:r>
      <w:r w:rsidR="00577BA9">
        <w:rPr>
          <w:rFonts w:ascii="Arial" w:hAnsi="Arial" w:cs="Arial"/>
        </w:rPr>
        <w:t>realizada</w:t>
      </w:r>
      <w:r w:rsidR="006F3881">
        <w:rPr>
          <w:rFonts w:ascii="Arial" w:hAnsi="Arial" w:cs="Arial"/>
        </w:rPr>
        <w:t xml:space="preserve"> por la </w:t>
      </w:r>
      <w:r w:rsidR="00C25EC4">
        <w:rPr>
          <w:rFonts w:ascii="Arial" w:hAnsi="Arial" w:cs="Arial"/>
        </w:rPr>
        <w:t xml:space="preserve">emisora de la </w:t>
      </w:r>
      <w:r w:rsidR="006F3881">
        <w:rPr>
          <w:rFonts w:ascii="Arial" w:hAnsi="Arial" w:cs="Arial"/>
        </w:rPr>
        <w:t>Policía Nacional (</w:t>
      </w:r>
      <w:r w:rsidR="0075069E">
        <w:rPr>
          <w:rFonts w:ascii="Arial" w:hAnsi="Arial" w:cs="Arial"/>
        </w:rPr>
        <w:t>Folio 1</w:t>
      </w:r>
      <w:r w:rsidR="005B5B7F">
        <w:rPr>
          <w:rFonts w:ascii="Arial" w:hAnsi="Arial" w:cs="Arial"/>
        </w:rPr>
        <w:t xml:space="preserve"> </w:t>
      </w:r>
      <w:r w:rsidR="0075069E">
        <w:rPr>
          <w:rFonts w:ascii="Arial" w:hAnsi="Arial" w:cs="Arial"/>
        </w:rPr>
        <w:t>de este cuaderno</w:t>
      </w:r>
      <w:r w:rsidR="00CB272A">
        <w:rPr>
          <w:rFonts w:ascii="Arial" w:hAnsi="Arial" w:cs="Arial"/>
        </w:rPr>
        <w:t>)</w:t>
      </w:r>
      <w:r w:rsidR="00CB272A" w:rsidRPr="00AF753A">
        <w:rPr>
          <w:rFonts w:ascii="Arial" w:hAnsi="Arial" w:cs="Arial"/>
        </w:rPr>
        <w:t xml:space="preserve">. </w:t>
      </w:r>
    </w:p>
    <w:p w:rsidR="00CB272A" w:rsidRPr="00ED79ED" w:rsidRDefault="00CB272A" w:rsidP="0099045D">
      <w:pPr>
        <w:pStyle w:val="Corpsdetexte"/>
        <w:spacing w:line="360" w:lineRule="auto"/>
        <w:rPr>
          <w:rFonts w:ascii="Arial" w:hAnsi="Arial"/>
          <w:sz w:val="22"/>
          <w:szCs w:val="24"/>
          <w:lang w:val="es-ES"/>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Pr="00ED79ED"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B5B7F">
        <w:rPr>
          <w:rFonts w:ascii="Arial" w:hAnsi="Arial" w:cs="Arial"/>
          <w:spacing w:val="-3"/>
          <w:lang w:val="es-ES_tradnl"/>
        </w:rPr>
        <w:t xml:space="preserve">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 </w:t>
      </w:r>
      <w:r w:rsidR="005B5B7F" w:rsidRPr="005B5B7F">
        <w:rPr>
          <w:rFonts w:ascii="Arial" w:hAnsi="Arial" w:cs="Arial"/>
          <w:i/>
          <w:spacing w:val="-3"/>
          <w:sz w:val="22"/>
          <w:lang w:val="es-ES_tradnl"/>
        </w:rPr>
        <w:t>“(…)</w:t>
      </w:r>
      <w:r w:rsidR="006F3881">
        <w:rPr>
          <w:rFonts w:ascii="Arial" w:hAnsi="Arial" w:cs="Arial"/>
          <w:i/>
          <w:spacing w:val="-3"/>
          <w:sz w:val="22"/>
          <w:lang w:val="es-ES_tradnl"/>
        </w:rPr>
        <w:t xml:space="preserve">  </w:t>
      </w:r>
      <w:r w:rsidR="005B5B7F" w:rsidRPr="005B5B7F">
        <w:rPr>
          <w:rFonts w:ascii="Arial" w:hAnsi="Arial" w:cs="Arial"/>
          <w:i/>
          <w:spacing w:val="-3"/>
          <w:sz w:val="22"/>
          <w:lang w:val="es-ES_tradnl"/>
        </w:rPr>
        <w:t>mis garantías procesales (…)”</w:t>
      </w:r>
      <w:r w:rsidR="009C1B3A">
        <w:rPr>
          <w:rFonts w:ascii="Arial" w:hAnsi="Arial" w:cs="Arial"/>
          <w:spacing w:val="-3"/>
          <w:lang w:val="es-ES_tradnl"/>
        </w:rPr>
        <w:t xml:space="preserve"> </w:t>
      </w:r>
      <w:r w:rsidR="001B6BBA" w:rsidRPr="00AF753A">
        <w:rPr>
          <w:rFonts w:ascii="Arial" w:hAnsi="Arial" w:cs="Arial"/>
        </w:rPr>
        <w:t>(</w:t>
      </w:r>
      <w:r w:rsidR="0075069E">
        <w:rPr>
          <w:rFonts w:ascii="Arial" w:hAnsi="Arial" w:cs="Arial"/>
        </w:rPr>
        <w:t xml:space="preserve">Folio </w:t>
      </w:r>
      <w:r w:rsidR="005B5B7F">
        <w:rPr>
          <w:rFonts w:ascii="Arial" w:hAnsi="Arial" w:cs="Arial"/>
        </w:rPr>
        <w:t>2</w:t>
      </w:r>
      <w:r w:rsidR="0075069E">
        <w:rPr>
          <w:rFonts w:ascii="Arial" w:hAnsi="Arial" w:cs="Arial"/>
        </w:rPr>
        <w:t>, de este cuaderno</w:t>
      </w:r>
      <w:r w:rsidR="001B6BBA">
        <w:rPr>
          <w:rFonts w:ascii="Arial" w:hAnsi="Arial" w:cs="Arial"/>
        </w:rPr>
        <w:t>)</w:t>
      </w:r>
      <w:r w:rsidR="001B6BBA" w:rsidRPr="00AF753A">
        <w:rPr>
          <w:rFonts w:ascii="Arial" w:hAnsi="Arial" w:cs="Arial"/>
        </w:rPr>
        <w:t>.</w:t>
      </w:r>
    </w:p>
    <w:p w:rsidR="003D2D95" w:rsidRPr="00ED79ED"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ED79E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 al accionado</w:t>
      </w:r>
      <w:r w:rsidR="003F77C9">
        <w:rPr>
          <w:rFonts w:ascii="Arial" w:hAnsi="Arial" w:cs="Arial"/>
        </w:rPr>
        <w:t xml:space="preserve">: </w:t>
      </w:r>
      <w:r w:rsidR="00C53410">
        <w:rPr>
          <w:rFonts w:ascii="Arial" w:hAnsi="Arial" w:cs="Arial"/>
        </w:rPr>
        <w:t xml:space="preserve">(i) </w:t>
      </w:r>
      <w:r w:rsidR="00634DD8">
        <w:rPr>
          <w:rFonts w:ascii="Arial" w:hAnsi="Arial" w:cs="Arial"/>
        </w:rPr>
        <w:t>Tener como prueba la publicación realizada por la emisora de la Policía Nacional</w:t>
      </w:r>
      <w:r w:rsidR="00C53410">
        <w:rPr>
          <w:rFonts w:ascii="Arial" w:hAnsi="Arial" w:cs="Arial"/>
        </w:rPr>
        <w:t xml:space="preserve">; </w:t>
      </w:r>
      <w:r w:rsidR="00B442DC">
        <w:rPr>
          <w:rFonts w:ascii="Arial" w:hAnsi="Arial" w:cs="Arial"/>
        </w:rPr>
        <w:t xml:space="preserve">y, </w:t>
      </w:r>
      <w:r w:rsidR="003F77C9">
        <w:rPr>
          <w:rFonts w:ascii="Arial" w:hAnsi="Arial" w:cs="Arial"/>
        </w:rPr>
        <w:t>(</w:t>
      </w:r>
      <w:r w:rsidR="00C53410">
        <w:rPr>
          <w:rFonts w:ascii="Arial" w:hAnsi="Arial" w:cs="Arial"/>
        </w:rPr>
        <w:t>i</w:t>
      </w:r>
      <w:r w:rsidR="003F77C9">
        <w:rPr>
          <w:rFonts w:ascii="Arial" w:hAnsi="Arial" w:cs="Arial"/>
        </w:rPr>
        <w:t xml:space="preserve">i) </w:t>
      </w:r>
      <w:r w:rsidR="00B442DC">
        <w:rPr>
          <w:rFonts w:ascii="Arial" w:hAnsi="Arial" w:cs="Arial"/>
        </w:rPr>
        <w:t>Aplicar</w:t>
      </w:r>
      <w:r w:rsidR="00065678">
        <w:rPr>
          <w:rFonts w:ascii="Arial" w:hAnsi="Arial" w:cs="Arial"/>
        </w:rPr>
        <w:t xml:space="preserve"> lo dispuesto en</w:t>
      </w:r>
      <w:r w:rsidR="00B442DC">
        <w:rPr>
          <w:rFonts w:ascii="Arial" w:hAnsi="Arial" w:cs="Arial"/>
        </w:rPr>
        <w:t xml:space="preserve"> el artículo </w:t>
      </w:r>
      <w:r w:rsidR="00634DD8">
        <w:rPr>
          <w:rFonts w:ascii="Arial" w:hAnsi="Arial" w:cs="Arial"/>
        </w:rPr>
        <w:t>84</w:t>
      </w:r>
      <w:r w:rsidR="00B442DC">
        <w:rPr>
          <w:rFonts w:ascii="Arial" w:hAnsi="Arial" w:cs="Arial"/>
        </w:rPr>
        <w:t xml:space="preserve"> de la Ley </w:t>
      </w:r>
      <w:r w:rsidR="00634DD8">
        <w:rPr>
          <w:rFonts w:ascii="Arial" w:hAnsi="Arial" w:cs="Arial"/>
        </w:rPr>
        <w:t>478</w:t>
      </w:r>
      <w:r w:rsidR="00343F0C">
        <w:rPr>
          <w:rFonts w:ascii="Arial" w:hAnsi="Arial" w:cs="Arial"/>
        </w:rPr>
        <w:t xml:space="preserve"> </w:t>
      </w:r>
      <w:r w:rsidR="00006C6E" w:rsidRPr="00AF753A">
        <w:rPr>
          <w:rFonts w:ascii="Arial" w:hAnsi="Arial" w:cs="Arial"/>
        </w:rPr>
        <w:t>(</w:t>
      </w:r>
      <w:r w:rsidR="0075069E">
        <w:rPr>
          <w:rFonts w:ascii="Arial" w:hAnsi="Arial" w:cs="Arial"/>
        </w:rPr>
        <w:t xml:space="preserve">Folio </w:t>
      </w:r>
      <w:r w:rsidR="00B442DC">
        <w:rPr>
          <w:rFonts w:ascii="Arial" w:hAnsi="Arial" w:cs="Arial"/>
        </w:rPr>
        <w:t>2</w:t>
      </w:r>
      <w:r w:rsidR="0075069E">
        <w:rPr>
          <w:rFonts w:ascii="Arial" w:hAnsi="Arial" w:cs="Arial"/>
        </w:rPr>
        <w:t>, de este cuaderno</w:t>
      </w:r>
      <w:r w:rsidR="00006C6E">
        <w:rPr>
          <w:rFonts w:ascii="Arial" w:hAnsi="Arial" w:cs="Arial"/>
        </w:rPr>
        <w:t>)</w:t>
      </w:r>
      <w:r w:rsidR="00006C6E" w:rsidRPr="00AF753A">
        <w:rPr>
          <w:rFonts w:ascii="Arial" w:hAnsi="Arial" w:cs="Arial"/>
        </w:rPr>
        <w:t>.</w:t>
      </w:r>
    </w:p>
    <w:p w:rsidR="00E31FCB" w:rsidRDefault="00E31FCB"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día </w:t>
      </w:r>
      <w:r w:rsidR="00634DD8">
        <w:rPr>
          <w:rFonts w:ascii="Arial" w:hAnsi="Arial"/>
        </w:rPr>
        <w:t>03</w:t>
      </w:r>
      <w:r>
        <w:rPr>
          <w:rFonts w:ascii="Arial" w:hAnsi="Arial"/>
        </w:rPr>
        <w:t>-</w:t>
      </w:r>
      <w:r w:rsidR="00634DD8">
        <w:rPr>
          <w:rFonts w:ascii="Arial" w:hAnsi="Arial"/>
        </w:rPr>
        <w:t>02</w:t>
      </w:r>
      <w:r>
        <w:rPr>
          <w:rFonts w:ascii="Arial" w:hAnsi="Arial"/>
        </w:rPr>
        <w:t>-201</w:t>
      </w:r>
      <w:r w:rsidR="00634DD8">
        <w:rPr>
          <w:rFonts w:ascii="Arial" w:hAnsi="Arial"/>
        </w:rPr>
        <w:t>7</w:t>
      </w:r>
      <w:r>
        <w:rPr>
          <w:rFonts w:ascii="Arial" w:hAnsi="Arial"/>
        </w:rPr>
        <w:t xml:space="preserve">, </w:t>
      </w:r>
      <w:r w:rsidRPr="00B74361">
        <w:rPr>
          <w:rFonts w:ascii="Arial" w:hAnsi="Arial"/>
        </w:rPr>
        <w:t>con providencia</w:t>
      </w:r>
      <w:r w:rsidR="00065678">
        <w:rPr>
          <w:rFonts w:ascii="Arial" w:hAnsi="Arial"/>
        </w:rPr>
        <w:t xml:space="preserve"> de la misma fecha, se ad</w:t>
      </w:r>
      <w:r>
        <w:rPr>
          <w:rFonts w:ascii="Arial" w:hAnsi="Arial"/>
        </w:rPr>
        <w:t>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B442DC">
        <w:rPr>
          <w:rFonts w:ascii="Arial" w:hAnsi="Arial"/>
        </w:rPr>
        <w:t xml:space="preserve"> 5</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B442DC">
        <w:rPr>
          <w:rFonts w:ascii="Arial" w:hAnsi="Arial"/>
        </w:rPr>
        <w:t>6 y 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FC4FB2">
        <w:rPr>
          <w:rFonts w:ascii="Arial" w:hAnsi="Arial" w:cs="Arial"/>
          <w:spacing w:val="3"/>
        </w:rPr>
        <w:t xml:space="preserve">Personería Municipal </w:t>
      </w:r>
      <w:r w:rsidR="00A91A31">
        <w:rPr>
          <w:rFonts w:ascii="Arial" w:hAnsi="Arial" w:cs="Arial"/>
          <w:spacing w:val="3"/>
        </w:rPr>
        <w:t xml:space="preserve"> </w:t>
      </w:r>
      <w:r w:rsidR="00B442DC">
        <w:rPr>
          <w:rFonts w:ascii="Arial" w:hAnsi="Arial" w:cs="Arial"/>
          <w:spacing w:val="3"/>
        </w:rPr>
        <w:t xml:space="preserve">de Pereira (Folios </w:t>
      </w:r>
      <w:r w:rsidR="00582CA4">
        <w:rPr>
          <w:rFonts w:ascii="Arial" w:hAnsi="Arial" w:cs="Arial"/>
          <w:spacing w:val="3"/>
        </w:rPr>
        <w:t xml:space="preserve">8-10 </w:t>
      </w:r>
      <w:r w:rsidR="00B442DC">
        <w:rPr>
          <w:rFonts w:ascii="Arial" w:hAnsi="Arial" w:cs="Arial"/>
          <w:spacing w:val="3"/>
        </w:rPr>
        <w:t>ibídem)</w:t>
      </w:r>
      <w:r w:rsidR="00A91A31">
        <w:rPr>
          <w:rFonts w:ascii="Arial" w:hAnsi="Arial" w:cs="Arial"/>
          <w:spacing w:val="3"/>
        </w:rPr>
        <w:t xml:space="preserve"> y</w:t>
      </w:r>
      <w:r w:rsidR="00B442DC">
        <w:rPr>
          <w:rFonts w:ascii="Arial" w:hAnsi="Arial" w:cs="Arial"/>
          <w:spacing w:val="3"/>
        </w:rPr>
        <w:t xml:space="preserve"> la Procuraduría </w:t>
      </w:r>
      <w:r w:rsidR="007B5232">
        <w:rPr>
          <w:rFonts w:ascii="Arial" w:hAnsi="Arial" w:cs="Arial"/>
          <w:spacing w:val="3"/>
        </w:rPr>
        <w:t>General de la Nac</w:t>
      </w:r>
      <w:r w:rsidR="00997858">
        <w:rPr>
          <w:rFonts w:ascii="Arial" w:hAnsi="Arial" w:cs="Arial"/>
          <w:spacing w:val="3"/>
        </w:rPr>
        <w:t>ión, Regional Risaralda (Folio</w:t>
      </w:r>
      <w:r w:rsidR="00A91A31">
        <w:rPr>
          <w:rFonts w:ascii="Arial" w:hAnsi="Arial" w:cs="Arial"/>
          <w:spacing w:val="3"/>
        </w:rPr>
        <w:t xml:space="preserve"> 12,</w:t>
      </w:r>
      <w:r w:rsidR="007B5232">
        <w:rPr>
          <w:rFonts w:ascii="Arial" w:hAnsi="Arial" w:cs="Arial"/>
          <w:spacing w:val="3"/>
        </w:rPr>
        <w:t xml:space="preserve"> </w:t>
      </w:r>
      <w:r w:rsidR="00997858">
        <w:rPr>
          <w:rFonts w:ascii="Arial" w:hAnsi="Arial" w:cs="Arial"/>
          <w:spacing w:val="3"/>
        </w:rPr>
        <w:t>ib</w:t>
      </w:r>
      <w:r w:rsidR="007B5232">
        <w:rPr>
          <w:rFonts w:ascii="Arial" w:hAnsi="Arial" w:cs="Arial"/>
          <w:spacing w:val="3"/>
        </w:rPr>
        <w:t>.)</w:t>
      </w:r>
      <w:r w:rsidR="00B442DC">
        <w:rPr>
          <w:rFonts w:ascii="Arial" w:hAnsi="Arial" w:cs="Arial"/>
          <w:spacing w:val="3"/>
        </w:rPr>
        <w:t xml:space="preserve"> </w:t>
      </w:r>
      <w:r w:rsidR="00997858">
        <w:rPr>
          <w:rFonts w:ascii="Arial" w:hAnsi="Arial" w:cs="Arial"/>
          <w:spacing w:val="3"/>
        </w:rPr>
        <w:t>E</w:t>
      </w:r>
      <w:r w:rsidR="00DF42B6">
        <w:rPr>
          <w:rFonts w:ascii="Arial" w:hAnsi="Arial" w:cs="Arial"/>
          <w:spacing w:val="3"/>
        </w:rPr>
        <w:t xml:space="preserve">l Juzgado accionado </w:t>
      </w:r>
      <w:r w:rsidR="00006C6E">
        <w:rPr>
          <w:rFonts w:ascii="Arial" w:hAnsi="Arial" w:cs="Arial"/>
          <w:spacing w:val="3"/>
        </w:rPr>
        <w:t xml:space="preserve">arrimó </w:t>
      </w:r>
      <w:r w:rsidR="00B442DC">
        <w:rPr>
          <w:rFonts w:ascii="Arial" w:hAnsi="Arial" w:cs="Arial"/>
          <w:spacing w:val="3"/>
        </w:rPr>
        <w:t xml:space="preserve">las copias </w:t>
      </w:r>
      <w:r w:rsidR="00006C6E">
        <w:rPr>
          <w:rFonts w:ascii="Arial" w:hAnsi="Arial" w:cs="Arial"/>
          <w:spacing w:val="3"/>
        </w:rPr>
        <w:t>requeri</w:t>
      </w:r>
      <w:r w:rsidR="00B442DC">
        <w:rPr>
          <w:rFonts w:ascii="Arial" w:hAnsi="Arial" w:cs="Arial"/>
          <w:spacing w:val="3"/>
        </w:rPr>
        <w:t>das</w:t>
      </w:r>
      <w:r w:rsidR="00A91A31">
        <w:rPr>
          <w:rFonts w:ascii="Arial" w:hAnsi="Arial" w:cs="Arial"/>
          <w:spacing w:val="3"/>
        </w:rPr>
        <w:t xml:space="preserve"> en </w:t>
      </w:r>
      <w:r w:rsidR="00A91A31" w:rsidRPr="00582CA4">
        <w:rPr>
          <w:rFonts w:ascii="Arial" w:hAnsi="Arial" w:cs="Arial"/>
          <w:spacing w:val="3"/>
        </w:rPr>
        <w:t>un disco compacto</w:t>
      </w:r>
      <w:r w:rsidR="00006C6E">
        <w:rPr>
          <w:rFonts w:ascii="Arial" w:hAnsi="Arial" w:cs="Arial"/>
          <w:spacing w:val="3"/>
        </w:rPr>
        <w:t xml:space="preserve"> </w:t>
      </w:r>
      <w:r w:rsidR="00DF42B6">
        <w:rPr>
          <w:rFonts w:ascii="Arial" w:hAnsi="Arial" w:cs="Arial"/>
          <w:spacing w:val="3"/>
        </w:rPr>
        <w:t>(</w:t>
      </w:r>
      <w:r w:rsidR="00D522B5">
        <w:rPr>
          <w:rFonts w:ascii="Arial" w:hAnsi="Arial" w:cs="Arial"/>
          <w:spacing w:val="3"/>
        </w:rPr>
        <w:t>F</w:t>
      </w:r>
      <w:r w:rsidR="00997858">
        <w:rPr>
          <w:rFonts w:ascii="Arial" w:hAnsi="Arial" w:cs="Arial"/>
          <w:spacing w:val="3"/>
        </w:rPr>
        <w:t>olio</w:t>
      </w:r>
      <w:r w:rsidR="00A91A31">
        <w:rPr>
          <w:rFonts w:ascii="Arial" w:hAnsi="Arial" w:cs="Arial"/>
          <w:spacing w:val="3"/>
        </w:rPr>
        <w:t xml:space="preserve"> 16</w:t>
      </w:r>
      <w:r w:rsidR="00997858">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E9246B" w:rsidRDefault="00040EA1" w:rsidP="00086307">
      <w:pPr>
        <w:numPr>
          <w:ilvl w:val="0"/>
          <w:numId w:val="2"/>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E9246B" w:rsidRPr="00ED79ED" w:rsidRDefault="00E9246B" w:rsidP="00E9246B">
      <w:pPr>
        <w:spacing w:line="360" w:lineRule="auto"/>
        <w:jc w:val="both"/>
        <w:rPr>
          <w:rFonts w:ascii="Arial" w:hAnsi="Arial"/>
          <w:smallCaps/>
          <w:sz w:val="22"/>
          <w:szCs w:val="28"/>
        </w:rPr>
      </w:pPr>
    </w:p>
    <w:p w:rsidR="00E9246B" w:rsidRPr="0030141D" w:rsidRDefault="00E9246B" w:rsidP="00ED79ED">
      <w:pPr>
        <w:spacing w:line="360" w:lineRule="auto"/>
        <w:jc w:val="both"/>
        <w:rPr>
          <w:rFonts w:ascii="Arial" w:hAnsi="Arial"/>
        </w:rPr>
      </w:pPr>
      <w:r>
        <w:rPr>
          <w:rFonts w:ascii="Arial" w:hAnsi="Arial"/>
        </w:rPr>
        <w:t xml:space="preserve">La </w:t>
      </w:r>
      <w:r w:rsidR="00086307" w:rsidRPr="00E9246B">
        <w:rPr>
          <w:rFonts w:ascii="Arial" w:hAnsi="Arial"/>
        </w:rPr>
        <w:t xml:space="preserve">Personería de Pereira refirió que el Juzgado accionado es el competente para tramitar la acción popular y tomar las decisiones respectivas, por lo tanto, no </w:t>
      </w:r>
      <w:r w:rsidR="00FF100E" w:rsidRPr="00E9246B">
        <w:rPr>
          <w:rFonts w:ascii="Arial" w:hAnsi="Arial"/>
        </w:rPr>
        <w:t>hay lugar para</w:t>
      </w:r>
      <w:r w:rsidR="00086307" w:rsidRPr="00E9246B">
        <w:rPr>
          <w:rFonts w:ascii="Arial" w:hAnsi="Arial"/>
        </w:rPr>
        <w:t xml:space="preserve"> imputar responsabilidad alguna en la vulneración de los derechos</w:t>
      </w:r>
      <w:r w:rsidR="00FF100E" w:rsidRPr="00E9246B">
        <w:rPr>
          <w:rFonts w:ascii="Arial" w:hAnsi="Arial"/>
        </w:rPr>
        <w:t xml:space="preserve"> deprecados</w:t>
      </w:r>
      <w:r w:rsidR="00086307" w:rsidRPr="00E9246B">
        <w:rPr>
          <w:rFonts w:ascii="Arial" w:hAnsi="Arial"/>
        </w:rPr>
        <w:t xml:space="preserve"> (Folio</w:t>
      </w:r>
      <w:r>
        <w:rPr>
          <w:rFonts w:ascii="Arial" w:hAnsi="Arial"/>
        </w:rPr>
        <w:t xml:space="preserve"> 8 a 10</w:t>
      </w:r>
      <w:r w:rsidR="00086307" w:rsidRPr="00E9246B">
        <w:rPr>
          <w:rFonts w:ascii="Arial" w:hAnsi="Arial"/>
        </w:rPr>
        <w:t>, ib.).</w:t>
      </w:r>
      <w:r w:rsidR="00065678">
        <w:rPr>
          <w:rFonts w:ascii="Arial" w:hAnsi="Arial"/>
        </w:rPr>
        <w:t xml:space="preserve"> </w:t>
      </w:r>
      <w:r>
        <w:rPr>
          <w:rFonts w:ascii="Arial" w:hAnsi="Arial"/>
        </w:rPr>
        <w:t xml:space="preserve">La </w:t>
      </w:r>
      <w:r w:rsidR="00B442DC" w:rsidRPr="005E70BA">
        <w:rPr>
          <w:rFonts w:ascii="Arial" w:hAnsi="Arial"/>
        </w:rPr>
        <w:t xml:space="preserve">Procuraduría General de la Nación, Regional Risaralda, adujo que la situación alegada es ajena a su función (Folio </w:t>
      </w:r>
      <w:r w:rsidR="00086307" w:rsidRPr="005E70BA">
        <w:rPr>
          <w:rFonts w:ascii="Arial" w:hAnsi="Arial"/>
        </w:rPr>
        <w:t>12</w:t>
      </w:r>
      <w:r w:rsidR="00065678">
        <w:rPr>
          <w:rFonts w:ascii="Arial" w:hAnsi="Arial"/>
        </w:rPr>
        <w:t>, ib.) y la</w:t>
      </w:r>
      <w:r>
        <w:rPr>
          <w:rFonts w:ascii="Arial" w:hAnsi="Arial"/>
        </w:rPr>
        <w:t xml:space="preserve"> Alcaldía de Pereira anotó que para evitar </w:t>
      </w:r>
      <w:r w:rsidR="00905B9C">
        <w:rPr>
          <w:rFonts w:ascii="Arial" w:hAnsi="Arial"/>
        </w:rPr>
        <w:t>c</w:t>
      </w:r>
      <w:r w:rsidRPr="0030141D">
        <w:rPr>
          <w:rFonts w:ascii="Arial" w:hAnsi="Arial"/>
        </w:rPr>
        <w:t xml:space="preserve">arece de legitimación por pasiva, porque no le compete aplicar ninguna clase de procedimiento o norma atribuible exclusivamente al Juzgado accionado (Folios </w:t>
      </w:r>
      <w:r>
        <w:rPr>
          <w:rFonts w:ascii="Arial" w:hAnsi="Arial"/>
        </w:rPr>
        <w:t>19</w:t>
      </w:r>
      <w:r w:rsidRPr="0030141D">
        <w:rPr>
          <w:rFonts w:ascii="Arial" w:hAnsi="Arial"/>
        </w:rPr>
        <w:t xml:space="preserve"> a </w:t>
      </w:r>
      <w:r>
        <w:rPr>
          <w:rFonts w:ascii="Arial" w:hAnsi="Arial"/>
        </w:rPr>
        <w:t>25</w:t>
      </w:r>
      <w:r w:rsidRPr="0030141D">
        <w:rPr>
          <w:rFonts w:ascii="Arial" w:hAnsi="Arial"/>
        </w:rPr>
        <w:t>, ib.).</w:t>
      </w:r>
    </w:p>
    <w:p w:rsidR="00997858" w:rsidRPr="00ED79ED" w:rsidRDefault="00997858" w:rsidP="00ED79ED">
      <w:pPr>
        <w:spacing w:line="360" w:lineRule="auto"/>
        <w:jc w:val="both"/>
        <w:rPr>
          <w:rFonts w:ascii="Arial" w:hAnsi="Arial" w:cs="Arial"/>
          <w:sz w:val="22"/>
        </w:rPr>
      </w:pPr>
    </w:p>
    <w:p w:rsidR="005E70BA" w:rsidRPr="00ED79ED" w:rsidRDefault="005E70BA" w:rsidP="00ED79ED">
      <w:pPr>
        <w:pStyle w:val="Paragraphedeliste"/>
        <w:widowControl/>
        <w:numPr>
          <w:ilvl w:val="0"/>
          <w:numId w:val="2"/>
        </w:numPr>
        <w:autoSpaceDE/>
        <w:autoSpaceDN/>
        <w:adjustRightInd/>
        <w:spacing w:line="360" w:lineRule="auto"/>
        <w:jc w:val="both"/>
        <w:textAlignment w:val="baseline"/>
        <w:rPr>
          <w:rFonts w:ascii="Arial" w:hAnsi="Arial" w:cs="Arial"/>
          <w:smallCaps/>
          <w:color w:val="000000"/>
          <w:sz w:val="28"/>
          <w:szCs w:val="28"/>
        </w:rPr>
      </w:pPr>
      <w:r w:rsidRPr="00ED79ED">
        <w:rPr>
          <w:rFonts w:ascii="Arial" w:hAnsi="Arial" w:cs="Arial"/>
          <w:smallCaps/>
          <w:color w:val="000000"/>
          <w:sz w:val="28"/>
          <w:szCs w:val="28"/>
        </w:rPr>
        <w:lastRenderedPageBreak/>
        <w:t>La fundamentación jurídica para decidir</w:t>
      </w:r>
    </w:p>
    <w:p w:rsidR="005E70BA" w:rsidRPr="00ED79ED" w:rsidRDefault="005E70BA" w:rsidP="00ED79ED">
      <w:pPr>
        <w:widowControl/>
        <w:autoSpaceDE/>
        <w:autoSpaceDN/>
        <w:adjustRightInd/>
        <w:spacing w:line="360" w:lineRule="auto"/>
        <w:rPr>
          <w:rFonts w:ascii="Arial" w:hAnsi="Arial" w:cs="Arial"/>
          <w:sz w:val="22"/>
        </w:rPr>
      </w:pPr>
    </w:p>
    <w:p w:rsidR="005E70BA" w:rsidRPr="00ED79ED" w:rsidRDefault="005E70BA" w:rsidP="00466D52">
      <w:pPr>
        <w:pStyle w:val="Paragraphedeliste"/>
        <w:widowControl/>
        <w:numPr>
          <w:ilvl w:val="1"/>
          <w:numId w:val="2"/>
        </w:numPr>
        <w:autoSpaceDE/>
        <w:autoSpaceDN/>
        <w:adjustRightInd/>
        <w:spacing w:line="360" w:lineRule="auto"/>
        <w:jc w:val="both"/>
        <w:textAlignment w:val="baseline"/>
        <w:rPr>
          <w:rFonts w:ascii="Arial" w:hAnsi="Arial" w:cs="Arial"/>
        </w:rPr>
      </w:pPr>
      <w:r w:rsidRPr="00ED79ED">
        <w:rPr>
          <w:rFonts w:ascii="Arial" w:hAnsi="Arial" w:cs="Arial"/>
          <w:smallCaps/>
          <w:color w:val="000000"/>
          <w:sz w:val="26"/>
          <w:szCs w:val="26"/>
        </w:rPr>
        <w:t>La competencia</w:t>
      </w:r>
      <w:r w:rsidR="00ED79ED" w:rsidRPr="00ED79ED">
        <w:rPr>
          <w:rFonts w:ascii="Arial" w:hAnsi="Arial" w:cs="Arial"/>
          <w:smallCaps/>
          <w:color w:val="000000"/>
          <w:sz w:val="26"/>
          <w:szCs w:val="26"/>
        </w:rPr>
        <w:t>.</w:t>
      </w:r>
      <w:r w:rsidR="00ED79ED">
        <w:rPr>
          <w:rFonts w:ascii="Arial" w:hAnsi="Arial" w:cs="Arial"/>
          <w:smallCaps/>
          <w:color w:val="000000"/>
          <w:sz w:val="26"/>
          <w:szCs w:val="26"/>
        </w:rPr>
        <w:t xml:space="preserve"> </w:t>
      </w:r>
      <w:r w:rsidRPr="00ED79ED">
        <w:rPr>
          <w:rFonts w:ascii="Arial" w:hAnsi="Arial" w:cs="Arial"/>
        </w:rPr>
        <w:t>Este Tribunal es competente para conocer la acción en razón a que es el superior jerárquico del accionado, el Juzgado Tercero Civil del Circuito de Pereira.</w:t>
      </w:r>
    </w:p>
    <w:p w:rsidR="005E70BA" w:rsidRPr="00ED79ED" w:rsidRDefault="005E70BA" w:rsidP="00ED79ED">
      <w:pPr>
        <w:widowControl/>
        <w:autoSpaceDE/>
        <w:autoSpaceDN/>
        <w:adjustRightInd/>
        <w:spacing w:line="360" w:lineRule="auto"/>
        <w:ind w:left="360"/>
        <w:jc w:val="both"/>
        <w:textAlignment w:val="baseline"/>
        <w:rPr>
          <w:rFonts w:ascii="Arial" w:hAnsi="Arial" w:cs="Arial"/>
          <w:smallCaps/>
          <w:color w:val="000000"/>
          <w:sz w:val="22"/>
        </w:rPr>
      </w:pPr>
    </w:p>
    <w:p w:rsidR="005E70BA" w:rsidRPr="00ED79ED" w:rsidRDefault="005E70BA" w:rsidP="007D3A20">
      <w:pPr>
        <w:pStyle w:val="Paragraphedeliste"/>
        <w:widowControl/>
        <w:numPr>
          <w:ilvl w:val="1"/>
          <w:numId w:val="2"/>
        </w:numPr>
        <w:autoSpaceDE/>
        <w:autoSpaceDN/>
        <w:adjustRightInd/>
        <w:spacing w:line="360" w:lineRule="auto"/>
        <w:jc w:val="both"/>
        <w:textAlignment w:val="baseline"/>
        <w:rPr>
          <w:rFonts w:ascii="Arial" w:hAnsi="Arial" w:cs="Arial"/>
        </w:rPr>
      </w:pPr>
      <w:r w:rsidRPr="00ED79ED">
        <w:rPr>
          <w:rFonts w:ascii="Arial" w:hAnsi="Arial" w:cs="Arial"/>
          <w:smallCaps/>
          <w:color w:val="000000"/>
          <w:sz w:val="26"/>
          <w:szCs w:val="26"/>
        </w:rPr>
        <w:t>El problema jurídico a resolver</w:t>
      </w:r>
      <w:r w:rsidR="00ED79ED" w:rsidRPr="00ED79ED">
        <w:rPr>
          <w:rFonts w:ascii="Arial" w:hAnsi="Arial" w:cs="Arial"/>
          <w:smallCaps/>
          <w:color w:val="000000"/>
          <w:sz w:val="26"/>
          <w:szCs w:val="26"/>
        </w:rPr>
        <w:t>.</w:t>
      </w:r>
      <w:r w:rsidR="00ED79ED">
        <w:rPr>
          <w:rFonts w:ascii="Arial" w:hAnsi="Arial" w:cs="Arial"/>
          <w:smallCaps/>
          <w:color w:val="000000"/>
          <w:sz w:val="26"/>
          <w:szCs w:val="26"/>
        </w:rPr>
        <w:t xml:space="preserve"> </w:t>
      </w:r>
      <w:r w:rsidRPr="00ED79ED">
        <w:rPr>
          <w:rFonts w:ascii="Arial" w:hAnsi="Arial" w:cs="Arial"/>
        </w:rPr>
        <w:t>¿El Juzgado Tercero Civil del Circuito de Pereira, ha vulnerado o amenazado los derechos fundamentales del accionante con ocasión del trámite surtido en las acciones populares, según lo expuesto en el escrito de tutela?</w:t>
      </w:r>
    </w:p>
    <w:p w:rsidR="005E70BA" w:rsidRPr="00ED79ED" w:rsidRDefault="005E70BA" w:rsidP="00ED79ED">
      <w:pPr>
        <w:widowControl/>
        <w:autoSpaceDE/>
        <w:autoSpaceDN/>
        <w:adjustRightInd/>
        <w:spacing w:line="360" w:lineRule="auto"/>
        <w:rPr>
          <w:rFonts w:ascii="Arial" w:hAnsi="Arial" w:cs="Arial"/>
          <w:sz w:val="22"/>
        </w:rPr>
      </w:pPr>
    </w:p>
    <w:p w:rsidR="005E70BA" w:rsidRPr="00ED79ED" w:rsidRDefault="005E70BA" w:rsidP="00ED79ED">
      <w:pPr>
        <w:pStyle w:val="Paragraphedeliste"/>
        <w:widowControl/>
        <w:numPr>
          <w:ilvl w:val="1"/>
          <w:numId w:val="2"/>
        </w:numPr>
        <w:autoSpaceDE/>
        <w:autoSpaceDN/>
        <w:adjustRightInd/>
        <w:spacing w:line="360" w:lineRule="auto"/>
        <w:jc w:val="both"/>
        <w:textAlignment w:val="baseline"/>
        <w:rPr>
          <w:rFonts w:ascii="Arial" w:hAnsi="Arial" w:cs="Arial"/>
          <w:smallCaps/>
          <w:color w:val="000000"/>
        </w:rPr>
      </w:pPr>
      <w:r w:rsidRPr="00ED79ED">
        <w:rPr>
          <w:rFonts w:ascii="Arial" w:hAnsi="Arial" w:cs="Arial"/>
          <w:smallCaps/>
          <w:color w:val="000000"/>
          <w:sz w:val="26"/>
          <w:szCs w:val="26"/>
        </w:rPr>
        <w:t xml:space="preserve">La resolución del problema jurídico </w:t>
      </w:r>
    </w:p>
    <w:p w:rsidR="005E70BA" w:rsidRPr="00ED79ED" w:rsidRDefault="005E70BA" w:rsidP="00ED79ED">
      <w:pPr>
        <w:widowControl/>
        <w:autoSpaceDE/>
        <w:autoSpaceDN/>
        <w:adjustRightInd/>
        <w:spacing w:line="360" w:lineRule="auto"/>
        <w:rPr>
          <w:rFonts w:ascii="Arial" w:hAnsi="Arial" w:cs="Arial"/>
          <w:sz w:val="22"/>
        </w:rPr>
      </w:pPr>
    </w:p>
    <w:p w:rsidR="005E70BA" w:rsidRPr="00ED79ED" w:rsidRDefault="005E70BA" w:rsidP="00ED79ED">
      <w:pPr>
        <w:pStyle w:val="Paragraphedeliste"/>
        <w:widowControl/>
        <w:numPr>
          <w:ilvl w:val="2"/>
          <w:numId w:val="3"/>
        </w:numPr>
        <w:autoSpaceDE/>
        <w:autoSpaceDN/>
        <w:adjustRightInd/>
        <w:spacing w:line="360" w:lineRule="auto"/>
        <w:ind w:left="709" w:hanging="709"/>
        <w:jc w:val="both"/>
        <w:textAlignment w:val="baseline"/>
        <w:rPr>
          <w:rFonts w:ascii="Arial" w:hAnsi="Arial" w:cs="Arial"/>
          <w:color w:val="000000"/>
        </w:rPr>
      </w:pPr>
      <w:r w:rsidRPr="00ED79ED">
        <w:rPr>
          <w:rFonts w:ascii="Arial" w:hAnsi="Arial" w:cs="Arial"/>
          <w:color w:val="000000"/>
        </w:rPr>
        <w:t>La legitimación en la causa</w:t>
      </w:r>
    </w:p>
    <w:p w:rsidR="00AC4D63" w:rsidRDefault="00AC4D63" w:rsidP="00ED79ED">
      <w:pPr>
        <w:widowControl/>
        <w:autoSpaceDE/>
        <w:autoSpaceDN/>
        <w:adjustRightInd/>
        <w:spacing w:line="360" w:lineRule="auto"/>
        <w:jc w:val="both"/>
        <w:rPr>
          <w:rFonts w:ascii="Arial" w:hAnsi="Arial"/>
        </w:rPr>
      </w:pPr>
    </w:p>
    <w:p w:rsidR="00AC4D63" w:rsidRDefault="005E70BA" w:rsidP="00ED79ED">
      <w:pPr>
        <w:widowControl/>
        <w:autoSpaceDE/>
        <w:autoSpaceDN/>
        <w:adjustRightInd/>
        <w:spacing w:line="360" w:lineRule="auto"/>
        <w:jc w:val="both"/>
        <w:rPr>
          <w:rFonts w:ascii="Arial" w:hAnsi="Arial" w:cs="Arial"/>
        </w:rPr>
      </w:pPr>
      <w:r w:rsidRPr="00065678">
        <w:rPr>
          <w:rFonts w:ascii="Arial" w:hAnsi="Arial"/>
        </w:rPr>
        <w:t>Se cumple porque el actor presentó la acción popular en la que se reprocha la falta al debido proceso</w:t>
      </w:r>
      <w:r w:rsidRPr="005E70BA">
        <w:rPr>
          <w:rFonts w:ascii="Arial" w:hAnsi="Arial"/>
        </w:rPr>
        <w:t xml:space="preserve">. Y por </w:t>
      </w:r>
      <w:r w:rsidRPr="00ED79ED">
        <w:rPr>
          <w:rFonts w:ascii="Arial" w:hAnsi="Arial" w:cs="Arial"/>
        </w:rPr>
        <w:t xml:space="preserve">pasiva, lo es el Juzgado Tercero Civil del Circuito de Pereira, al </w:t>
      </w:r>
    </w:p>
    <w:p w:rsidR="005E70BA" w:rsidRPr="00ED79ED" w:rsidRDefault="005E70BA" w:rsidP="00ED79ED">
      <w:pPr>
        <w:widowControl/>
        <w:autoSpaceDE/>
        <w:autoSpaceDN/>
        <w:adjustRightInd/>
        <w:spacing w:line="360" w:lineRule="auto"/>
        <w:jc w:val="both"/>
        <w:rPr>
          <w:rFonts w:ascii="Arial" w:hAnsi="Arial" w:cs="Arial"/>
        </w:rPr>
      </w:pPr>
      <w:proofErr w:type="gramStart"/>
      <w:r w:rsidRPr="00ED79ED">
        <w:rPr>
          <w:rFonts w:ascii="Arial" w:hAnsi="Arial" w:cs="Arial"/>
        </w:rPr>
        <w:t>ser</w:t>
      </w:r>
      <w:proofErr w:type="gramEnd"/>
      <w:r w:rsidRPr="00ED79ED">
        <w:rPr>
          <w:rFonts w:ascii="Arial" w:hAnsi="Arial" w:cs="Arial"/>
        </w:rPr>
        <w:t xml:space="preserve"> la autoridad judicial que conoce del juicio.</w:t>
      </w:r>
    </w:p>
    <w:p w:rsidR="005E70BA" w:rsidRPr="00ED79ED" w:rsidRDefault="005E70BA" w:rsidP="00ED79ED">
      <w:pPr>
        <w:widowControl/>
        <w:autoSpaceDE/>
        <w:autoSpaceDN/>
        <w:adjustRightInd/>
        <w:spacing w:line="360" w:lineRule="auto"/>
        <w:rPr>
          <w:rFonts w:ascii="Arial" w:hAnsi="Arial" w:cs="Arial"/>
          <w:sz w:val="22"/>
        </w:rPr>
      </w:pPr>
    </w:p>
    <w:p w:rsidR="00ED79ED" w:rsidRPr="00ED79ED" w:rsidRDefault="005E70BA" w:rsidP="00ED79ED">
      <w:pPr>
        <w:widowControl/>
        <w:spacing w:line="360" w:lineRule="auto"/>
        <w:jc w:val="both"/>
        <w:rPr>
          <w:rFonts w:ascii="Arial" w:hAnsi="Arial" w:cs="Arial"/>
        </w:rPr>
      </w:pPr>
      <w:r w:rsidRPr="00ED79ED">
        <w:rPr>
          <w:rFonts w:ascii="Arial" w:hAnsi="Arial" w:cs="Arial"/>
          <w:color w:val="000000"/>
        </w:rPr>
        <w:t>Como los litisconsortes vinculados</w:t>
      </w:r>
      <w:r w:rsidR="00ED79ED" w:rsidRPr="00ED79ED">
        <w:rPr>
          <w:rFonts w:ascii="Arial" w:hAnsi="Arial" w:cs="Arial"/>
          <w:color w:val="000000"/>
        </w:rPr>
        <w:t>, la</w:t>
      </w:r>
      <w:r w:rsidRPr="00ED79ED">
        <w:rPr>
          <w:rFonts w:ascii="Arial" w:hAnsi="Arial" w:cs="Arial"/>
          <w:color w:val="000000"/>
        </w:rPr>
        <w:t xml:space="preserve"> Procuraduría y la Defensoría del Pueblo,</w:t>
      </w:r>
      <w:r w:rsidRPr="005E70BA">
        <w:rPr>
          <w:rFonts w:ascii="Arial" w:hAnsi="Arial" w:cs="Arial"/>
          <w:color w:val="000000"/>
        </w:rPr>
        <w:t xml:space="preserve"> Regionales de Risaralda, y la Alcaldía y la Personería de Pereira no participaron en las </w:t>
      </w:r>
      <w:r w:rsidRPr="00ED79ED">
        <w:rPr>
          <w:rFonts w:ascii="Arial" w:hAnsi="Arial" w:cs="Arial"/>
          <w:color w:val="000000"/>
        </w:rPr>
        <w:t>acciones populares, carecen de legitimación</w:t>
      </w:r>
      <w:r w:rsidR="009B704D" w:rsidRPr="00ED79ED">
        <w:rPr>
          <w:rFonts w:ascii="Arial" w:hAnsi="Arial" w:cs="Arial"/>
          <w:color w:val="000000"/>
        </w:rPr>
        <w:t>,</w:t>
      </w:r>
      <w:r w:rsidR="00ED79ED" w:rsidRPr="00ED79ED">
        <w:rPr>
          <w:rFonts w:ascii="Arial" w:hAnsi="Arial" w:cs="Arial"/>
          <w:color w:val="000000"/>
        </w:rPr>
        <w:t xml:space="preserve"> por lo tanto,</w:t>
      </w:r>
      <w:r w:rsidRPr="00ED79ED">
        <w:rPr>
          <w:rFonts w:ascii="Arial" w:hAnsi="Arial" w:cs="Arial"/>
          <w:color w:val="000000"/>
        </w:rPr>
        <w:t xml:space="preserve"> se declarará improcedente</w:t>
      </w:r>
      <w:r w:rsidR="009B704D" w:rsidRPr="00ED79ED">
        <w:rPr>
          <w:rFonts w:ascii="Arial" w:hAnsi="Arial" w:cs="Arial"/>
          <w:color w:val="000000"/>
        </w:rPr>
        <w:t>.</w:t>
      </w:r>
      <w:r w:rsidR="00ED79ED" w:rsidRPr="00ED79ED">
        <w:rPr>
          <w:rFonts w:ascii="Arial" w:hAnsi="Arial" w:cs="Arial"/>
          <w:color w:val="000000"/>
        </w:rPr>
        <w:t xml:space="preserve"> A</w:t>
      </w:r>
      <w:r w:rsidR="00ED79ED" w:rsidRPr="00ED79ED">
        <w:rPr>
          <w:rFonts w:ascii="Arial" w:hAnsi="Arial" w:cs="Arial"/>
        </w:rPr>
        <w:t>simismo, y como quiera que el banco de la Mujer SA, no incurrió en violación o amenaza alguna, se negará.</w:t>
      </w:r>
    </w:p>
    <w:p w:rsidR="005E70BA" w:rsidRPr="00ED79ED" w:rsidRDefault="005E70BA" w:rsidP="00ED79ED">
      <w:pPr>
        <w:widowControl/>
        <w:autoSpaceDE/>
        <w:autoSpaceDN/>
        <w:adjustRightInd/>
        <w:spacing w:line="360" w:lineRule="auto"/>
        <w:jc w:val="both"/>
        <w:rPr>
          <w:rFonts w:ascii="Arial" w:hAnsi="Arial" w:cs="Arial"/>
          <w:color w:val="000000"/>
          <w:sz w:val="22"/>
        </w:rPr>
      </w:pPr>
    </w:p>
    <w:p w:rsidR="005E70BA" w:rsidRPr="00ED79ED" w:rsidRDefault="005E70BA" w:rsidP="00ED79ED">
      <w:pPr>
        <w:pStyle w:val="Paragraphedeliste"/>
        <w:widowControl/>
        <w:numPr>
          <w:ilvl w:val="2"/>
          <w:numId w:val="4"/>
        </w:numPr>
        <w:autoSpaceDE/>
        <w:autoSpaceDN/>
        <w:adjustRightInd/>
        <w:spacing w:line="360" w:lineRule="auto"/>
        <w:ind w:left="851" w:hanging="851"/>
        <w:jc w:val="both"/>
        <w:textAlignment w:val="baseline"/>
        <w:rPr>
          <w:rFonts w:ascii="Arial" w:hAnsi="Arial" w:cs="Arial"/>
          <w:color w:val="000000"/>
        </w:rPr>
      </w:pPr>
      <w:r w:rsidRPr="00ED79ED">
        <w:rPr>
          <w:rFonts w:ascii="Arial" w:hAnsi="Arial" w:cs="Arial"/>
          <w:color w:val="000000"/>
        </w:rPr>
        <w:t>Las sub-reglas de análisis en la procedibilidad frente a decisiones judiciales</w:t>
      </w:r>
    </w:p>
    <w:p w:rsidR="009B704D" w:rsidRPr="00ED79ED" w:rsidRDefault="009B704D" w:rsidP="00ED79ED">
      <w:pPr>
        <w:widowControl/>
        <w:autoSpaceDE/>
        <w:autoSpaceDN/>
        <w:adjustRightInd/>
        <w:spacing w:line="360" w:lineRule="auto"/>
        <w:jc w:val="both"/>
        <w:rPr>
          <w:rFonts w:ascii="Arial" w:hAnsi="Arial" w:cs="Arial"/>
          <w:color w:val="000000"/>
          <w:sz w:val="22"/>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t xml:space="preserve">Desde la  sentencia  C-543 </w:t>
      </w:r>
      <w:r w:rsidRPr="00ED79ED">
        <w:rPr>
          <w:rFonts w:ascii="Arial" w:eastAsia="Verdana" w:hAnsi="Arial" w:cs="Arial"/>
        </w:rPr>
        <w:t xml:space="preserve"> </w:t>
      </w:r>
      <w:r w:rsidRPr="00ED79ED">
        <w:rPr>
          <w:rFonts w:ascii="Arial" w:eastAsia="Arial" w:hAnsi="Arial" w:cs="Aria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ED79ED">
        <w:rPr>
          <w:rFonts w:ascii="Arial" w:eastAsia="Arial" w:hAnsi="Arial" w:cs="Arial"/>
          <w:vertAlign w:val="superscript"/>
        </w:rPr>
        <w:footnoteReference w:id="1"/>
      </w:r>
      <w:r w:rsidRPr="00ED79ED">
        <w:rPr>
          <w:rFonts w:ascii="Arial" w:eastAsia="Arial" w:hAnsi="Arial" w:cs="Arial"/>
        </w:rPr>
        <w:t xml:space="preserve">, básicamente sustituyó la expresión “vías de hecho” por la de “causales genéricas de procedibilidad” y ensanchó las causales especiales, pasando de cuatro (4) a ocho (8).  En el mismo sentido Quiroga </w:t>
      </w:r>
      <w:proofErr w:type="spellStart"/>
      <w:r w:rsidRPr="00ED79ED">
        <w:rPr>
          <w:rFonts w:ascii="Arial" w:eastAsia="Arial" w:hAnsi="Arial" w:cs="Arial"/>
        </w:rPr>
        <w:t>Natale</w:t>
      </w:r>
      <w:proofErr w:type="spellEnd"/>
      <w:r w:rsidRPr="00ED79ED">
        <w:rPr>
          <w:rFonts w:ascii="Arial" w:eastAsia="Arial" w:hAnsi="Arial" w:cs="Arial"/>
          <w:vertAlign w:val="superscript"/>
        </w:rPr>
        <w:footnoteReference w:id="2"/>
      </w:r>
      <w:r w:rsidRPr="00ED79ED">
        <w:rPr>
          <w:rFonts w:ascii="Arial" w:eastAsia="Arial" w:hAnsi="Arial" w:cs="Arial"/>
        </w:rPr>
        <w:t>.</w:t>
      </w: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2"/>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lastRenderedPageBreak/>
        <w:t xml:space="preserve">Ahora, en  frente del examen que se reclama en sede constitucional, resulta de mayúscula trascendencia, precisar que </w:t>
      </w:r>
      <w:r w:rsidRPr="00ED79ED">
        <w:rPr>
          <w:rFonts w:ascii="Arial" w:eastAsia="Arial" w:hAnsi="Arial" w:cs="Arial"/>
          <w:u w:val="single"/>
        </w:rPr>
        <w:t>se trata de un juicio de validez y no de corrección</w:t>
      </w:r>
      <w:r w:rsidRPr="00ED79ED">
        <w:rPr>
          <w:rFonts w:ascii="Arial" w:eastAsia="Arial" w:hAnsi="Arial" w:cs="Aria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ED79ED">
        <w:rPr>
          <w:rFonts w:ascii="Arial" w:eastAsia="Arial" w:hAnsi="Arial" w:cs="Arial"/>
          <w:vertAlign w:val="superscript"/>
        </w:rPr>
        <w:footnoteReference w:id="3"/>
      </w:r>
      <w:r w:rsidRPr="00ED79ED">
        <w:rPr>
          <w:rFonts w:ascii="Arial" w:eastAsia="Arial" w:hAnsi="Arial" w:cs="Arial"/>
        </w:rPr>
        <w:t>.</w:t>
      </w: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2"/>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t>Los requisitos generales de procedibilidad, explicados en amplitud en la sentencia C-590 de 2005</w:t>
      </w:r>
      <w:r w:rsidRPr="00ED79ED">
        <w:rPr>
          <w:rFonts w:ascii="Arial" w:eastAsia="Arial" w:hAnsi="Arial" w:cs="Arial"/>
          <w:vertAlign w:val="superscript"/>
        </w:rPr>
        <w:footnoteReference w:id="4"/>
      </w:r>
      <w:r w:rsidRPr="00ED79ED">
        <w:rPr>
          <w:rFonts w:ascii="Arial" w:eastAsia="Arial" w:hAnsi="Arial" w:cs="Arial"/>
        </w:rPr>
        <w:t xml:space="preserve"> y reiterados en la consolidada línea jurisprudencial de la </w:t>
      </w:r>
      <w:r w:rsidR="00AC4D63">
        <w:rPr>
          <w:rFonts w:ascii="Arial" w:eastAsia="Arial" w:hAnsi="Arial" w:cs="Arial"/>
        </w:rPr>
        <w:t>CC</w:t>
      </w:r>
      <w:r w:rsidRPr="00ED79ED">
        <w:rPr>
          <w:rFonts w:ascii="Arial" w:eastAsia="Arial" w:hAnsi="Arial" w:cs="Arial"/>
          <w:vertAlign w:val="superscript"/>
        </w:rPr>
        <w:footnoteReference w:id="5"/>
      </w:r>
      <w:r w:rsidRPr="00ED79ED">
        <w:rPr>
          <w:rFonts w:ascii="Arial" w:eastAsia="Arial" w:hAnsi="Arial" w:cs="Arial"/>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ED79ED">
        <w:rPr>
          <w:rFonts w:ascii="Arial" w:eastAsia="Arial" w:hAnsi="Arial" w:cs="Arial"/>
          <w:vertAlign w:val="superscript"/>
        </w:rPr>
        <w:footnoteReference w:id="6"/>
      </w:r>
      <w:r w:rsidRPr="00ED79ED">
        <w:rPr>
          <w:rFonts w:ascii="Arial" w:eastAsia="Arial" w:hAnsi="Arial" w:cs="Arial"/>
        </w:rPr>
        <w:t>.</w:t>
      </w:r>
    </w:p>
    <w:p w:rsidR="00E31FCB" w:rsidRDefault="00E31FCB"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ED79ED">
        <w:rPr>
          <w:rFonts w:ascii="Arial" w:eastAsia="Arial" w:hAnsi="Arial" w:cs="Arial"/>
          <w:vertAlign w:val="superscript"/>
        </w:rPr>
        <w:footnoteReference w:id="7"/>
      </w:r>
      <w:r w:rsidRPr="00ED79ED">
        <w:rPr>
          <w:rFonts w:ascii="Arial" w:eastAsia="Arial" w:hAnsi="Arial" w:cs="Arial"/>
        </w:rPr>
        <w:t xml:space="preserve"> y Quinche Ramírez</w:t>
      </w:r>
      <w:r w:rsidRPr="00ED79ED">
        <w:rPr>
          <w:rFonts w:ascii="Arial" w:eastAsia="Arial" w:hAnsi="Arial" w:cs="Arial"/>
          <w:vertAlign w:val="superscript"/>
        </w:rPr>
        <w:footnoteReference w:id="8"/>
      </w:r>
      <w:r w:rsidRPr="00ED79ED">
        <w:rPr>
          <w:rFonts w:ascii="Arial" w:eastAsia="Arial" w:hAnsi="Arial" w:cs="Arial"/>
        </w:rPr>
        <w:t>.</w:t>
      </w: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2"/>
        </w:rPr>
      </w:pPr>
    </w:p>
    <w:p w:rsidR="00541CA6" w:rsidRPr="00ED79ED" w:rsidRDefault="00541CA6" w:rsidP="00ED79ED">
      <w:pPr>
        <w:pStyle w:val="Paragraphedeliste"/>
        <w:widowControl/>
        <w:numPr>
          <w:ilvl w:val="2"/>
          <w:numId w:val="4"/>
        </w:numPr>
        <w:tabs>
          <w:tab w:val="left" w:pos="993"/>
        </w:tabs>
        <w:autoSpaceDE/>
        <w:autoSpaceDN/>
        <w:adjustRightInd/>
        <w:spacing w:line="360" w:lineRule="auto"/>
        <w:ind w:left="851" w:hanging="851"/>
        <w:jc w:val="both"/>
        <w:rPr>
          <w:rFonts w:ascii="Arial" w:eastAsia="Arial" w:hAnsi="Arial" w:cs="Arial"/>
        </w:rPr>
      </w:pPr>
      <w:r w:rsidRPr="00ED79ED">
        <w:rPr>
          <w:rFonts w:ascii="Arial" w:eastAsia="Arial" w:hAnsi="Arial" w:cs="Arial"/>
        </w:rPr>
        <w:t>El carácter subsidiario de la acción de tutela</w:t>
      </w:r>
      <w:r w:rsidRPr="00ED79ED">
        <w:rPr>
          <w:rFonts w:ascii="Arial" w:eastAsia="Arial" w:hAnsi="Arial" w:cs="Arial"/>
        </w:rPr>
        <w:tab/>
      </w: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Courier New" w:hAnsi="Arial" w:cs="Arial"/>
          <w:sz w:val="22"/>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t xml:space="preserve">La acción de tutela, se halla prescrita en el artículo 86 de la Constitución Nacional, definiendo la regla general sobre la procedencia de la acción, al consagrar en el inciso 3° que  </w:t>
      </w:r>
      <w:r w:rsidRPr="00ED79ED">
        <w:rPr>
          <w:rFonts w:ascii="Arial" w:eastAsia="Arial" w:hAnsi="Arial" w:cs="Arial"/>
          <w:sz w:val="22"/>
          <w:szCs w:val="22"/>
        </w:rPr>
        <w:t>“</w:t>
      </w:r>
      <w:r w:rsidRPr="00ED79ED">
        <w:rPr>
          <w:rFonts w:ascii="Arial" w:eastAsia="Arial" w:hAnsi="Arial" w:cs="Arial"/>
          <w:i/>
          <w:sz w:val="22"/>
          <w:szCs w:val="22"/>
        </w:rPr>
        <w:t xml:space="preserve">Esta acción solo procederá </w:t>
      </w:r>
      <w:r w:rsidRPr="00ED79ED">
        <w:rPr>
          <w:rFonts w:ascii="Arial" w:eastAsia="Arial" w:hAnsi="Arial" w:cs="Arial"/>
          <w:i/>
          <w:sz w:val="22"/>
          <w:szCs w:val="22"/>
          <w:u w:val="single"/>
        </w:rPr>
        <w:t>cuando el afectado no disponga de otro medio de defensa judicial, salvo que aquella se utilice como mecanismo transitorio para evitar un perjuicio irremediable</w:t>
      </w:r>
      <w:r w:rsidRPr="00ED79ED">
        <w:rPr>
          <w:rFonts w:ascii="Arial" w:eastAsia="Arial" w:hAnsi="Arial" w:cs="Arial"/>
          <w:sz w:val="22"/>
          <w:szCs w:val="22"/>
          <w:u w:val="single"/>
        </w:rPr>
        <w:t xml:space="preserve">”. </w:t>
      </w: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2"/>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lastRenderedPageBreak/>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ED79ED">
        <w:rPr>
          <w:rFonts w:ascii="Arial" w:eastAsia="Arial" w:hAnsi="Arial" w:cs="Arial"/>
          <w:i/>
        </w:rPr>
        <w:t xml:space="preserve">: </w:t>
      </w:r>
      <w:r w:rsidRPr="00ED79ED">
        <w:rPr>
          <w:rFonts w:ascii="Arial" w:eastAsia="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ED79ED">
        <w:rPr>
          <w:rFonts w:ascii="Arial" w:eastAsia="Arial" w:hAnsi="Arial" w:cs="Arial"/>
          <w:i/>
          <w:sz w:val="22"/>
          <w:szCs w:val="22"/>
          <w:vertAlign w:val="superscript"/>
        </w:rPr>
        <w:footnoteReference w:id="9"/>
      </w:r>
      <w:r w:rsidRPr="00ED79ED">
        <w:rPr>
          <w:rFonts w:ascii="Arial" w:eastAsia="Arial" w:hAnsi="Arial" w:cs="Arial"/>
          <w:i/>
          <w:sz w:val="22"/>
          <w:szCs w:val="22"/>
        </w:rPr>
        <w:t>.</w:t>
      </w:r>
    </w:p>
    <w:p w:rsidR="00541CA6" w:rsidRPr="00ED79ED" w:rsidRDefault="00541CA6" w:rsidP="00ED79ED">
      <w:pPr>
        <w:widowControl/>
        <w:spacing w:line="360" w:lineRule="auto"/>
        <w:jc w:val="both"/>
        <w:rPr>
          <w:rFonts w:ascii="Arial" w:hAnsi="Arial" w:cs="Arial"/>
          <w:sz w:val="22"/>
        </w:rPr>
      </w:pP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t>Conforme a lo sostenido por la CC</w:t>
      </w:r>
      <w:r w:rsidRPr="00ED79ED">
        <w:rPr>
          <w:rFonts w:ascii="Arial" w:eastAsia="Arial" w:hAnsi="Arial" w:cs="Arial"/>
          <w:highlight w:val="white"/>
          <w:vertAlign w:val="superscript"/>
        </w:rPr>
        <w:footnoteReference w:id="10"/>
      </w:r>
      <w:r w:rsidRPr="00ED79ED">
        <w:rPr>
          <w:rFonts w:ascii="Arial" w:eastAsia="Arial" w:hAnsi="Arial" w:cs="Arial"/>
        </w:rPr>
        <w:t xml:space="preserv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ED79ED">
        <w:rPr>
          <w:rFonts w:ascii="Arial" w:eastAsia="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ED79ED">
        <w:rPr>
          <w:rFonts w:ascii="Arial" w:eastAsia="Arial" w:hAnsi="Arial" w:cs="Arial"/>
          <w:sz w:val="22"/>
          <w:szCs w:val="22"/>
          <w:vertAlign w:val="superscript"/>
        </w:rPr>
        <w:footnoteReference w:id="11"/>
      </w:r>
      <w:r w:rsidRPr="00ED79ED">
        <w:rPr>
          <w:rFonts w:ascii="Arial" w:eastAsia="Arial" w:hAnsi="Arial" w:cs="Arial"/>
          <w:sz w:val="22"/>
          <w:szCs w:val="22"/>
        </w:rPr>
        <w:t>.</w:t>
      </w:r>
      <w:r w:rsidRPr="00ED79ED">
        <w:rPr>
          <w:rFonts w:ascii="Arial" w:eastAsia="Arial" w:hAnsi="Arial" w:cs="Arial"/>
        </w:rPr>
        <w:t xml:space="preserve"> Además, ha sido reiterativa en su criterio</w:t>
      </w:r>
      <w:r w:rsidRPr="00ED79ED">
        <w:rPr>
          <w:rFonts w:ascii="Arial" w:eastAsia="Arial" w:hAnsi="Arial" w:cs="Arial"/>
          <w:vertAlign w:val="superscript"/>
        </w:rPr>
        <w:footnoteReference w:id="12"/>
      </w:r>
      <w:r w:rsidRPr="00ED79ED">
        <w:rPr>
          <w:rFonts w:ascii="Arial" w:eastAsia="Arial" w:hAnsi="Arial" w:cs="Arial"/>
        </w:rPr>
        <w:t>.</w:t>
      </w:r>
    </w:p>
    <w:p w:rsidR="00AC4D63" w:rsidRDefault="00AC4D63" w:rsidP="00ED79ED">
      <w:pPr>
        <w:spacing w:line="360" w:lineRule="auto"/>
        <w:jc w:val="both"/>
        <w:rPr>
          <w:rFonts w:ascii="Arial" w:eastAsia="Arial" w:hAnsi="Arial" w:cs="Arial"/>
        </w:rPr>
      </w:pPr>
    </w:p>
    <w:p w:rsidR="00541CA6" w:rsidRPr="00ED79ED" w:rsidRDefault="00541CA6" w:rsidP="00ED79ED">
      <w:pPr>
        <w:spacing w:line="360" w:lineRule="auto"/>
        <w:jc w:val="both"/>
        <w:rPr>
          <w:rFonts w:ascii="Arial" w:eastAsia="Arial" w:hAnsi="Arial" w:cs="Arial"/>
        </w:rPr>
      </w:pPr>
      <w:r w:rsidRPr="00ED79ED">
        <w:rPr>
          <w:rFonts w:ascii="Arial" w:eastAsia="Arial" w:hAnsi="Arial" w:cs="Arial"/>
        </w:rPr>
        <w:t>También</w:t>
      </w:r>
      <w:r w:rsidR="005629B1">
        <w:rPr>
          <w:rFonts w:ascii="Arial" w:eastAsia="Arial" w:hAnsi="Arial" w:cs="Arial"/>
        </w:rPr>
        <w:t xml:space="preserve"> </w:t>
      </w:r>
      <w:r w:rsidRPr="00ED79ED">
        <w:rPr>
          <w:rFonts w:ascii="Arial" w:eastAsia="Arial" w:hAnsi="Arial" w:cs="Arial"/>
        </w:rPr>
        <w:t xml:space="preserve"> la </w:t>
      </w:r>
      <w:r w:rsidR="005629B1">
        <w:rPr>
          <w:rFonts w:ascii="Arial" w:eastAsia="Arial" w:hAnsi="Arial" w:cs="Arial"/>
        </w:rPr>
        <w:t xml:space="preserve"> </w:t>
      </w:r>
      <w:r w:rsidRPr="00ED79ED">
        <w:rPr>
          <w:rFonts w:ascii="Arial" w:eastAsia="Arial" w:hAnsi="Arial" w:cs="Arial"/>
        </w:rPr>
        <w:t xml:space="preserve">CSJ </w:t>
      </w:r>
      <w:r w:rsidR="005629B1">
        <w:rPr>
          <w:rFonts w:ascii="Arial" w:eastAsia="Arial" w:hAnsi="Arial" w:cs="Arial"/>
        </w:rPr>
        <w:t xml:space="preserve"> </w:t>
      </w:r>
      <w:r w:rsidRPr="00ED79ED">
        <w:rPr>
          <w:rFonts w:ascii="Arial" w:eastAsia="Arial" w:hAnsi="Arial" w:cs="Arial"/>
        </w:rPr>
        <w:t xml:space="preserve">se </w:t>
      </w:r>
      <w:r w:rsidR="005629B1">
        <w:rPr>
          <w:rFonts w:ascii="Arial" w:eastAsia="Arial" w:hAnsi="Arial" w:cs="Arial"/>
        </w:rPr>
        <w:t xml:space="preserve"> </w:t>
      </w:r>
      <w:r w:rsidRPr="00ED79ED">
        <w:rPr>
          <w:rFonts w:ascii="Arial" w:eastAsia="Arial" w:hAnsi="Arial" w:cs="Arial"/>
        </w:rPr>
        <w:t xml:space="preserve">ha </w:t>
      </w:r>
      <w:r w:rsidR="005629B1">
        <w:rPr>
          <w:rFonts w:ascii="Arial" w:eastAsia="Arial" w:hAnsi="Arial" w:cs="Arial"/>
        </w:rPr>
        <w:t xml:space="preserve"> </w:t>
      </w:r>
      <w:r w:rsidRPr="00ED79ED">
        <w:rPr>
          <w:rFonts w:ascii="Arial" w:eastAsia="Arial" w:hAnsi="Arial" w:cs="Arial"/>
        </w:rPr>
        <w:t xml:space="preserve">referido </w:t>
      </w:r>
      <w:r w:rsidR="005629B1">
        <w:rPr>
          <w:rFonts w:ascii="Arial" w:eastAsia="Arial" w:hAnsi="Arial" w:cs="Arial"/>
        </w:rPr>
        <w:t xml:space="preserve"> </w:t>
      </w:r>
      <w:r w:rsidRPr="00ED79ED">
        <w:rPr>
          <w:rFonts w:ascii="Arial" w:eastAsia="Arial" w:hAnsi="Arial" w:cs="Arial"/>
        </w:rPr>
        <w:t>al</w:t>
      </w:r>
      <w:r w:rsidR="005629B1">
        <w:rPr>
          <w:rFonts w:ascii="Arial" w:eastAsia="Arial" w:hAnsi="Arial" w:cs="Arial"/>
        </w:rPr>
        <w:t xml:space="preserve"> </w:t>
      </w:r>
      <w:r w:rsidRPr="00ED79ED">
        <w:rPr>
          <w:rFonts w:ascii="Arial" w:eastAsia="Arial" w:hAnsi="Arial" w:cs="Arial"/>
        </w:rPr>
        <w:t xml:space="preserve"> tema</w:t>
      </w:r>
      <w:r w:rsidRPr="00ED79ED">
        <w:rPr>
          <w:rFonts w:ascii="Arial" w:eastAsia="Arial" w:hAnsi="Arial" w:cs="Arial"/>
          <w:vertAlign w:val="superscript"/>
        </w:rPr>
        <w:footnoteReference w:id="13"/>
      </w:r>
      <w:r w:rsidRPr="00ED79ED">
        <w:rPr>
          <w:rFonts w:ascii="Arial" w:eastAsia="Arial" w:hAnsi="Arial" w:cs="Arial"/>
        </w:rPr>
        <w:t>,</w:t>
      </w:r>
      <w:r w:rsidR="005629B1">
        <w:rPr>
          <w:rFonts w:ascii="Arial" w:eastAsia="Arial" w:hAnsi="Arial" w:cs="Arial"/>
        </w:rPr>
        <w:t xml:space="preserve">  </w:t>
      </w:r>
      <w:proofErr w:type="spellStart"/>
      <w:r w:rsidRPr="00ED79ED">
        <w:rPr>
          <w:rFonts w:ascii="Arial" w:eastAsia="Arial" w:hAnsi="Arial" w:cs="Arial"/>
        </w:rPr>
        <w:t>prohija</w:t>
      </w:r>
      <w:proofErr w:type="spellEnd"/>
      <w:r w:rsidRPr="00ED79ED">
        <w:rPr>
          <w:rFonts w:ascii="Arial" w:eastAsia="Arial" w:hAnsi="Arial" w:cs="Arial"/>
        </w:rPr>
        <w:t xml:space="preserve"> </w:t>
      </w:r>
      <w:r w:rsidR="005629B1">
        <w:rPr>
          <w:rFonts w:ascii="Arial" w:eastAsia="Arial" w:hAnsi="Arial" w:cs="Arial"/>
        </w:rPr>
        <w:t xml:space="preserve"> </w:t>
      </w:r>
      <w:r w:rsidRPr="00ED79ED">
        <w:rPr>
          <w:rFonts w:ascii="Arial" w:eastAsia="Arial" w:hAnsi="Arial" w:cs="Arial"/>
        </w:rPr>
        <w:t>la</w:t>
      </w:r>
      <w:r w:rsidR="005629B1">
        <w:rPr>
          <w:rFonts w:ascii="Arial" w:eastAsia="Arial" w:hAnsi="Arial" w:cs="Arial"/>
        </w:rPr>
        <w:t xml:space="preserve"> </w:t>
      </w:r>
      <w:r w:rsidRPr="00ED79ED">
        <w:rPr>
          <w:rFonts w:ascii="Arial" w:eastAsia="Arial" w:hAnsi="Arial" w:cs="Arial"/>
        </w:rPr>
        <w:t xml:space="preserve"> improcedencia </w:t>
      </w:r>
      <w:r w:rsidR="005629B1">
        <w:rPr>
          <w:rFonts w:ascii="Arial" w:eastAsia="Arial" w:hAnsi="Arial" w:cs="Arial"/>
        </w:rPr>
        <w:t xml:space="preserve"> </w:t>
      </w:r>
      <w:r w:rsidRPr="00ED79ED">
        <w:rPr>
          <w:rFonts w:ascii="Arial" w:eastAsia="Arial" w:hAnsi="Arial" w:cs="Arial"/>
        </w:rPr>
        <w:t>de</w:t>
      </w:r>
      <w:r w:rsidR="005629B1">
        <w:rPr>
          <w:rFonts w:ascii="Arial" w:eastAsia="Arial" w:hAnsi="Arial" w:cs="Arial"/>
        </w:rPr>
        <w:t xml:space="preserve"> </w:t>
      </w:r>
      <w:r w:rsidRPr="00ED79ED">
        <w:rPr>
          <w:rFonts w:ascii="Arial" w:eastAsia="Arial" w:hAnsi="Arial" w:cs="Arial"/>
        </w:rPr>
        <w:t xml:space="preserve"> la </w:t>
      </w:r>
      <w:r w:rsidR="005629B1">
        <w:rPr>
          <w:rFonts w:ascii="Arial" w:eastAsia="Arial" w:hAnsi="Arial" w:cs="Arial"/>
        </w:rPr>
        <w:t xml:space="preserve"> </w:t>
      </w:r>
      <w:r w:rsidRPr="00ED79ED">
        <w:rPr>
          <w:rFonts w:ascii="Arial" w:eastAsia="Arial" w:hAnsi="Arial" w:cs="Arial"/>
        </w:rPr>
        <w:t>tutela por aplicación del principio de subsidiariedad.</w:t>
      </w:r>
    </w:p>
    <w:p w:rsidR="00B3580A" w:rsidRPr="00ED79ED" w:rsidRDefault="00B3580A" w:rsidP="00ED79ED">
      <w:pPr>
        <w:spacing w:line="360" w:lineRule="auto"/>
        <w:jc w:val="both"/>
        <w:rPr>
          <w:rFonts w:ascii="Arial" w:hAnsi="Arial" w:cs="Arial"/>
          <w:sz w:val="22"/>
        </w:rPr>
      </w:pPr>
    </w:p>
    <w:p w:rsidR="00541CA6" w:rsidRPr="00ED79ED" w:rsidRDefault="00541CA6" w:rsidP="00ED79ED">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Arial" w:eastAsia="Arial" w:hAnsi="Arial" w:cs="Arial"/>
          <w:smallCaps/>
          <w:sz w:val="28"/>
          <w:szCs w:val="28"/>
        </w:rPr>
      </w:pPr>
      <w:r w:rsidRPr="00ED79ED">
        <w:rPr>
          <w:rFonts w:ascii="Arial" w:eastAsia="Arial" w:hAnsi="Arial" w:cs="Arial"/>
          <w:smallCaps/>
          <w:sz w:val="28"/>
          <w:szCs w:val="28"/>
        </w:rPr>
        <w:t>El caso concreto que se analiza</w:t>
      </w:r>
    </w:p>
    <w:p w:rsidR="00541CA6" w:rsidRPr="00ED79ED"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Courier New" w:hAnsi="Arial" w:cs="Arial"/>
          <w:sz w:val="22"/>
        </w:rPr>
      </w:pPr>
    </w:p>
    <w:p w:rsidR="00541CA6" w:rsidRPr="00ED79ED" w:rsidRDefault="00541CA6" w:rsidP="00ED79ED">
      <w:pPr>
        <w:spacing w:line="360" w:lineRule="auto"/>
        <w:jc w:val="both"/>
        <w:rPr>
          <w:rFonts w:ascii="Arial" w:hAnsi="Arial" w:cs="Arial"/>
        </w:rPr>
      </w:pPr>
      <w:r w:rsidRPr="00ED79ED">
        <w:rPr>
          <w:rFonts w:ascii="Arial" w:eastAsia="Arial" w:hAnsi="Arial" w:cs="Aria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frente a la decisión judicial tomada dentro </w:t>
      </w:r>
      <w:r w:rsidR="00C963ED" w:rsidRPr="00ED79ED">
        <w:rPr>
          <w:rFonts w:ascii="Arial" w:eastAsia="Arial" w:hAnsi="Arial" w:cs="Arial"/>
        </w:rPr>
        <w:t xml:space="preserve">en esta </w:t>
      </w:r>
      <w:r w:rsidR="004121AB" w:rsidRPr="00ED79ED">
        <w:rPr>
          <w:rFonts w:ascii="Arial" w:eastAsia="Arial" w:hAnsi="Arial" w:cs="Arial"/>
        </w:rPr>
        <w:t>acción popular</w:t>
      </w:r>
      <w:r w:rsidRPr="00ED79ED">
        <w:rPr>
          <w:rFonts w:ascii="Arial" w:eastAsia="Arial" w:hAnsi="Arial" w:cs="Arial"/>
        </w:rPr>
        <w:t>.</w:t>
      </w:r>
    </w:p>
    <w:p w:rsidR="00541CA6" w:rsidRDefault="00541CA6" w:rsidP="00ED79ED">
      <w:pPr>
        <w:spacing w:line="360" w:lineRule="auto"/>
        <w:jc w:val="both"/>
        <w:rPr>
          <w:rFonts w:ascii="Arial" w:hAnsi="Arial" w:cs="Arial"/>
          <w:sz w:val="22"/>
        </w:rPr>
      </w:pPr>
    </w:p>
    <w:p w:rsidR="00541CA6" w:rsidRPr="00ED79ED" w:rsidRDefault="00541CA6" w:rsidP="00ED79ED">
      <w:pPr>
        <w:spacing w:line="360" w:lineRule="auto"/>
        <w:jc w:val="both"/>
        <w:rPr>
          <w:rFonts w:ascii="Arial" w:hAnsi="Arial" w:cs="Arial"/>
        </w:rPr>
      </w:pPr>
      <w:r w:rsidRPr="00ED79ED">
        <w:rPr>
          <w:rFonts w:ascii="Arial" w:eastAsia="Arial" w:hAnsi="Arial" w:cs="Arial"/>
        </w:rPr>
        <w:t xml:space="preserve">Conforme al </w:t>
      </w:r>
      <w:r w:rsidR="00E44979" w:rsidRPr="00ED79ED">
        <w:rPr>
          <w:rFonts w:ascii="Arial" w:eastAsia="Arial" w:hAnsi="Arial" w:cs="Arial"/>
        </w:rPr>
        <w:t xml:space="preserve">material </w:t>
      </w:r>
      <w:r w:rsidRPr="00ED79ED">
        <w:rPr>
          <w:rFonts w:ascii="Arial" w:eastAsia="Arial" w:hAnsi="Arial" w:cs="Arial"/>
        </w:rPr>
        <w:t xml:space="preserve">probatorio el accionado </w:t>
      </w:r>
      <w:r w:rsidR="00635522" w:rsidRPr="00ED79ED">
        <w:rPr>
          <w:rFonts w:ascii="Arial" w:eastAsia="Arial" w:hAnsi="Arial" w:cs="Arial"/>
        </w:rPr>
        <w:t xml:space="preserve">el 03-06-2015 admite la acción y </w:t>
      </w:r>
      <w:r w:rsidRPr="00ED79ED">
        <w:rPr>
          <w:rFonts w:ascii="Arial" w:eastAsia="Arial" w:hAnsi="Arial" w:cs="Arial"/>
        </w:rPr>
        <w:t xml:space="preserve">con proveído del </w:t>
      </w:r>
      <w:r w:rsidR="00D8655B" w:rsidRPr="00ED79ED">
        <w:rPr>
          <w:rFonts w:ascii="Arial" w:eastAsia="Arial" w:hAnsi="Arial" w:cs="Arial"/>
        </w:rPr>
        <w:t>10</w:t>
      </w:r>
      <w:r w:rsidRPr="00ED79ED">
        <w:rPr>
          <w:rFonts w:ascii="Arial" w:eastAsia="Arial" w:hAnsi="Arial" w:cs="Arial"/>
        </w:rPr>
        <w:t>-</w:t>
      </w:r>
      <w:r w:rsidR="00D8655B" w:rsidRPr="00ED79ED">
        <w:rPr>
          <w:rFonts w:ascii="Arial" w:eastAsia="Arial" w:hAnsi="Arial" w:cs="Arial"/>
        </w:rPr>
        <w:t>08</w:t>
      </w:r>
      <w:r w:rsidRPr="00ED79ED">
        <w:rPr>
          <w:rFonts w:ascii="Arial" w:eastAsia="Arial" w:hAnsi="Arial" w:cs="Arial"/>
        </w:rPr>
        <w:t>-2016</w:t>
      </w:r>
      <w:r w:rsidR="00635522" w:rsidRPr="00ED79ED">
        <w:rPr>
          <w:rFonts w:ascii="Arial" w:eastAsia="Arial" w:hAnsi="Arial" w:cs="Arial"/>
        </w:rPr>
        <w:t>,</w:t>
      </w:r>
      <w:r w:rsidRPr="00ED79ED">
        <w:rPr>
          <w:rFonts w:ascii="Arial" w:eastAsia="Arial" w:hAnsi="Arial" w:cs="Arial"/>
        </w:rPr>
        <w:t xml:space="preserve"> </w:t>
      </w:r>
      <w:r w:rsidR="005A7E75">
        <w:rPr>
          <w:rFonts w:ascii="Arial" w:eastAsia="Arial" w:hAnsi="Arial" w:cs="Arial"/>
        </w:rPr>
        <w:t xml:space="preserve">descartó la emisión del </w:t>
      </w:r>
      <w:r w:rsidR="005A7E75">
        <w:rPr>
          <w:rFonts w:ascii="Arial" w:eastAsia="Arial" w:hAnsi="Arial" w:cs="Arial"/>
          <w:lang w:val="es-CO"/>
        </w:rPr>
        <w:t xml:space="preserve">aviso a la comunidad </w:t>
      </w:r>
      <w:r w:rsidR="005A7E75">
        <w:rPr>
          <w:rFonts w:ascii="Arial" w:eastAsia="Arial" w:hAnsi="Arial" w:cs="Arial"/>
        </w:rPr>
        <w:t xml:space="preserve">realizada por la emisora de la Policía Nacional y </w:t>
      </w:r>
      <w:r w:rsidRPr="00ED79ED">
        <w:rPr>
          <w:rFonts w:ascii="Arial" w:eastAsia="Arial" w:hAnsi="Arial" w:cs="Arial"/>
        </w:rPr>
        <w:t xml:space="preserve">con fundamento en el artículo 317 del CGP, requirió al actor para que </w:t>
      </w:r>
      <w:r w:rsidR="005A7E75">
        <w:rPr>
          <w:rFonts w:ascii="Arial" w:eastAsia="Arial" w:hAnsi="Arial" w:cs="Arial"/>
        </w:rPr>
        <w:t xml:space="preserve">la </w:t>
      </w:r>
      <w:r w:rsidRPr="00ED79ED">
        <w:rPr>
          <w:rFonts w:ascii="Arial" w:eastAsia="Arial" w:hAnsi="Arial" w:cs="Arial"/>
        </w:rPr>
        <w:t xml:space="preserve">efectuara </w:t>
      </w:r>
      <w:r w:rsidR="00D8655B" w:rsidRPr="00ED79ED">
        <w:rPr>
          <w:rFonts w:ascii="Arial" w:eastAsia="Arial" w:hAnsi="Arial" w:cs="Arial"/>
        </w:rPr>
        <w:t>en un diario de amplia y reconocida circulación</w:t>
      </w:r>
      <w:r w:rsidR="005A7E75">
        <w:rPr>
          <w:rFonts w:ascii="Arial" w:eastAsia="Arial" w:hAnsi="Arial" w:cs="Arial"/>
        </w:rPr>
        <w:t xml:space="preserve">, notificado por estado del 11-08-2016 y debidamente ejecutoriado el 17-08-2016 </w:t>
      </w:r>
      <w:r w:rsidR="005A7E75" w:rsidRPr="00ED79ED">
        <w:rPr>
          <w:rFonts w:ascii="Arial" w:eastAsia="Arial" w:hAnsi="Arial" w:cs="Arial"/>
        </w:rPr>
        <w:t>(Folio 94, disco compacto visible a folio 16)</w:t>
      </w:r>
      <w:r w:rsidR="005A7E75">
        <w:rPr>
          <w:rFonts w:ascii="Arial" w:eastAsia="Arial" w:hAnsi="Arial" w:cs="Arial"/>
        </w:rPr>
        <w:t>, sin que lo recurriera</w:t>
      </w:r>
      <w:r w:rsidRPr="00ED79ED">
        <w:rPr>
          <w:rFonts w:ascii="Arial" w:eastAsia="Arial" w:hAnsi="Arial" w:cs="Arial"/>
        </w:rPr>
        <w:t>; seguidamente</w:t>
      </w:r>
      <w:r w:rsidR="005A7E75">
        <w:rPr>
          <w:rFonts w:ascii="Arial" w:eastAsia="Arial" w:hAnsi="Arial" w:cs="Arial"/>
        </w:rPr>
        <w:t>,</w:t>
      </w:r>
      <w:r w:rsidRPr="00ED79ED">
        <w:rPr>
          <w:rFonts w:ascii="Arial" w:eastAsia="Arial" w:hAnsi="Arial" w:cs="Arial"/>
        </w:rPr>
        <w:t xml:space="preserve"> como dejó vencer el </w:t>
      </w:r>
      <w:r w:rsidRPr="00ED79ED">
        <w:rPr>
          <w:rFonts w:ascii="Arial" w:eastAsia="Arial" w:hAnsi="Arial" w:cs="Arial"/>
        </w:rPr>
        <w:lastRenderedPageBreak/>
        <w:t xml:space="preserve">plazo sin atender la orden, mediante providencia del </w:t>
      </w:r>
      <w:r w:rsidR="00D8655B" w:rsidRPr="00ED79ED">
        <w:rPr>
          <w:rFonts w:ascii="Arial" w:eastAsia="Arial" w:hAnsi="Arial" w:cs="Arial"/>
        </w:rPr>
        <w:t>03</w:t>
      </w:r>
      <w:r w:rsidRPr="00ED79ED">
        <w:rPr>
          <w:rFonts w:ascii="Arial" w:eastAsia="Arial" w:hAnsi="Arial" w:cs="Arial"/>
        </w:rPr>
        <w:t>-</w:t>
      </w:r>
      <w:r w:rsidR="00D8655B" w:rsidRPr="00ED79ED">
        <w:rPr>
          <w:rFonts w:ascii="Arial" w:eastAsia="Arial" w:hAnsi="Arial" w:cs="Arial"/>
        </w:rPr>
        <w:t>10</w:t>
      </w:r>
      <w:r w:rsidRPr="00ED79ED">
        <w:rPr>
          <w:rFonts w:ascii="Arial" w:eastAsia="Arial" w:hAnsi="Arial" w:cs="Arial"/>
        </w:rPr>
        <w:t xml:space="preserve">-2016, declaró terminado el amparo por desistimiento tácito (Folios </w:t>
      </w:r>
      <w:r w:rsidR="00D8655B" w:rsidRPr="00ED79ED">
        <w:rPr>
          <w:rFonts w:ascii="Arial" w:eastAsia="Arial" w:hAnsi="Arial" w:cs="Arial"/>
        </w:rPr>
        <w:t>96 a 97</w:t>
      </w:r>
      <w:r w:rsidRPr="00ED79ED">
        <w:rPr>
          <w:rFonts w:ascii="Arial" w:eastAsia="Arial" w:hAnsi="Arial" w:cs="Arial"/>
        </w:rPr>
        <w:t xml:space="preserve">, disco compacto visible a folio </w:t>
      </w:r>
      <w:r w:rsidR="00D8655B" w:rsidRPr="00ED79ED">
        <w:rPr>
          <w:rFonts w:ascii="Arial" w:eastAsia="Arial" w:hAnsi="Arial" w:cs="Arial"/>
        </w:rPr>
        <w:t>1</w:t>
      </w:r>
      <w:r w:rsidRPr="00ED79ED">
        <w:rPr>
          <w:rFonts w:ascii="Arial" w:eastAsia="Arial" w:hAnsi="Arial" w:cs="Arial"/>
        </w:rPr>
        <w:t>6)</w:t>
      </w:r>
      <w:r w:rsidR="005A7E75">
        <w:rPr>
          <w:rFonts w:ascii="Arial" w:eastAsia="Arial" w:hAnsi="Arial" w:cs="Arial"/>
        </w:rPr>
        <w:t>, recurrido en reposición, se desató con decisión del 26-10-2016, que la negó (Folios 21 y 22, este cuaderno)</w:t>
      </w:r>
      <w:r w:rsidRPr="00ED79ED">
        <w:rPr>
          <w:rFonts w:ascii="Arial" w:eastAsia="Arial" w:hAnsi="Arial" w:cs="Arial"/>
        </w:rPr>
        <w:t>.</w:t>
      </w:r>
    </w:p>
    <w:p w:rsidR="00541CA6" w:rsidRPr="00ED79ED" w:rsidRDefault="00541CA6" w:rsidP="00ED79ED">
      <w:pPr>
        <w:spacing w:line="360" w:lineRule="auto"/>
        <w:jc w:val="both"/>
        <w:rPr>
          <w:rFonts w:ascii="Arial" w:hAnsi="Arial" w:cs="Arial"/>
          <w:sz w:val="22"/>
        </w:rPr>
      </w:pPr>
    </w:p>
    <w:p w:rsidR="00541CA6" w:rsidRPr="00ED79ED" w:rsidRDefault="00541CA6" w:rsidP="00ED79ED">
      <w:pPr>
        <w:spacing w:line="360" w:lineRule="auto"/>
        <w:jc w:val="both"/>
        <w:rPr>
          <w:rFonts w:ascii="Arial" w:hAnsi="Arial" w:cs="Arial"/>
        </w:rPr>
      </w:pPr>
      <w:r w:rsidRPr="00ED79ED">
        <w:rPr>
          <w:rFonts w:ascii="Arial" w:eastAsia="Arial" w:hAnsi="Arial" w:cs="Arial"/>
        </w:rPr>
        <w:t>En ese orden de ideas, se tiene que el accionante pretermitió agotar el recurso de reposición (Artículo 36, Ley 472), frente al proveído que</w:t>
      </w:r>
      <w:r w:rsidR="00D8655B" w:rsidRPr="00ED79ED">
        <w:rPr>
          <w:rFonts w:ascii="Arial" w:eastAsia="Arial" w:hAnsi="Arial" w:cs="Arial"/>
        </w:rPr>
        <w:t xml:space="preserve"> </w:t>
      </w:r>
      <w:r w:rsidR="005A7E75">
        <w:rPr>
          <w:rFonts w:ascii="Arial" w:eastAsia="Arial" w:hAnsi="Arial" w:cs="Arial"/>
        </w:rPr>
        <w:t xml:space="preserve">desestimó la publicación del aviso, </w:t>
      </w:r>
      <w:r w:rsidRPr="00ED79ED">
        <w:rPr>
          <w:rFonts w:ascii="Arial" w:eastAsia="Arial" w:hAnsi="Arial" w:cs="Arial"/>
        </w:rPr>
        <w:t xml:space="preserve">cuando ese era el mecanismo ordinario y expedito que tenía para procurar que el estrado judicial accionado reconsiderara aquella determinación. </w:t>
      </w:r>
    </w:p>
    <w:p w:rsidR="00541CA6" w:rsidRPr="00ED79ED" w:rsidRDefault="00541CA6" w:rsidP="00ED79ED">
      <w:pPr>
        <w:spacing w:line="360" w:lineRule="auto"/>
        <w:jc w:val="both"/>
        <w:rPr>
          <w:rFonts w:ascii="Arial" w:hAnsi="Arial" w:cs="Arial"/>
          <w:sz w:val="22"/>
        </w:rPr>
      </w:pPr>
    </w:p>
    <w:p w:rsidR="00541CA6" w:rsidRPr="00ED79ED" w:rsidRDefault="00541CA6" w:rsidP="00ED79ED">
      <w:pPr>
        <w:spacing w:line="360" w:lineRule="auto"/>
        <w:jc w:val="both"/>
        <w:rPr>
          <w:rFonts w:ascii="Arial" w:hAnsi="Arial" w:cs="Arial"/>
        </w:rPr>
      </w:pPr>
      <w:r w:rsidRPr="00ED79ED">
        <w:rPr>
          <w:rFonts w:ascii="Arial" w:eastAsia="Arial" w:hAnsi="Arial" w:cs="Arial"/>
        </w:rPr>
        <w:t>Evidente, entonces, es la falta de agotamiento del supuesto de subsidiariedad, como ha explicado la CC, que reiteradamente ha referido que la acción de tutela mal puede implementarse como medio para sustituir los mecanismos ordinarios de defensa, cuando por negligencia, descuido o incuria no fueron utilizados</w:t>
      </w:r>
      <w:r w:rsidRPr="00ED79ED">
        <w:rPr>
          <w:rFonts w:ascii="Arial" w:eastAsia="Arial" w:hAnsi="Arial" w:cs="Arial"/>
          <w:sz w:val="22"/>
          <w:szCs w:val="22"/>
          <w:vertAlign w:val="superscript"/>
        </w:rPr>
        <w:footnoteReference w:id="14"/>
      </w:r>
      <w:r w:rsidRPr="00ED79ED">
        <w:rPr>
          <w:rFonts w:ascii="Arial" w:eastAsia="Arial" w:hAnsi="Arial" w:cs="Arial"/>
          <w:sz w:val="22"/>
          <w:szCs w:val="22"/>
        </w:rPr>
        <w:t>.</w:t>
      </w:r>
    </w:p>
    <w:p w:rsidR="00541CA6" w:rsidRPr="00ED79ED" w:rsidRDefault="00541CA6" w:rsidP="00ED79ED">
      <w:pPr>
        <w:spacing w:line="360" w:lineRule="auto"/>
        <w:jc w:val="both"/>
        <w:rPr>
          <w:rFonts w:ascii="Arial" w:hAnsi="Arial" w:cs="Arial"/>
        </w:rPr>
      </w:pPr>
    </w:p>
    <w:p w:rsidR="00541CA6" w:rsidRDefault="00541CA6" w:rsidP="00ED79ED">
      <w:pPr>
        <w:spacing w:line="360" w:lineRule="auto"/>
        <w:ind w:right="51"/>
        <w:jc w:val="both"/>
        <w:rPr>
          <w:rFonts w:ascii="Arial" w:eastAsia="Arial" w:hAnsi="Arial" w:cs="Arial"/>
        </w:rPr>
      </w:pPr>
      <w:r w:rsidRPr="00ED79ED">
        <w:rPr>
          <w:rFonts w:ascii="Arial" w:eastAsia="Arial" w:hAnsi="Arial" w:cs="Arial"/>
        </w:rPr>
        <w:t>Cabe acotar que nada se arguyó y menos acreditó por parte del accionante, de forma que pudiera estimarse que es una persona que requiere de protección reforzada</w:t>
      </w:r>
      <w:r w:rsidRPr="00ED79ED">
        <w:rPr>
          <w:rFonts w:ascii="Arial" w:eastAsia="Arial" w:hAnsi="Arial" w:cs="Arial"/>
          <w:vertAlign w:val="superscript"/>
        </w:rPr>
        <w:footnoteReference w:id="15"/>
      </w:r>
      <w:r w:rsidRPr="00ED79ED">
        <w:rPr>
          <w:rFonts w:ascii="Arial" w:eastAsia="Arial" w:hAnsi="Arial" w:cs="Arial"/>
        </w:rPr>
        <w:t xml:space="preserve"> o que estaba en una situación de imposibilidad para recurrir el mencionado auto</w:t>
      </w:r>
      <w:r w:rsidRPr="00ED79ED">
        <w:rPr>
          <w:rFonts w:ascii="Arial" w:eastAsia="Arial" w:hAnsi="Arial" w:cs="Arial"/>
          <w:vertAlign w:val="superscript"/>
        </w:rPr>
        <w:footnoteReference w:id="16"/>
      </w:r>
      <w:r w:rsidRPr="00ED79ED">
        <w:rPr>
          <w:rFonts w:ascii="Arial" w:eastAsia="Arial" w:hAnsi="Arial" w:cs="Arial"/>
        </w:rPr>
        <w:t>, de tal modo que amerite un análisis flexible del requisito de procedibilidad echado de menos, por ende solo a la parte le es imputable tal descuido.</w:t>
      </w:r>
    </w:p>
    <w:p w:rsidR="00E31FCB" w:rsidRPr="00ED79ED" w:rsidRDefault="00E31FCB" w:rsidP="00ED79ED">
      <w:pPr>
        <w:spacing w:line="360" w:lineRule="auto"/>
        <w:ind w:right="51"/>
        <w:jc w:val="both"/>
        <w:rPr>
          <w:rFonts w:ascii="Arial" w:hAnsi="Arial" w:cs="Arial"/>
        </w:rPr>
      </w:pPr>
    </w:p>
    <w:p w:rsidR="00541CA6" w:rsidRPr="00ED79ED" w:rsidRDefault="00541CA6" w:rsidP="00ED79ED">
      <w:pPr>
        <w:spacing w:line="360" w:lineRule="auto"/>
        <w:ind w:right="51"/>
        <w:jc w:val="both"/>
        <w:rPr>
          <w:rFonts w:ascii="Arial" w:hAnsi="Arial" w:cs="Arial"/>
        </w:rPr>
      </w:pPr>
      <w:r w:rsidRPr="00ED79ED">
        <w:rPr>
          <w:rFonts w:ascii="Arial" w:eastAsia="Arial" w:hAnsi="Arial" w:cs="Arial"/>
        </w:rPr>
        <w:t xml:space="preserve">En ese contexto, el </w:t>
      </w:r>
      <w:r w:rsidR="00DC0908" w:rsidRPr="00ED79ED">
        <w:rPr>
          <w:rFonts w:ascii="Arial" w:eastAsia="Arial" w:hAnsi="Arial" w:cs="Arial"/>
        </w:rPr>
        <w:t xml:space="preserve">presente amparo es improcedente, </w:t>
      </w:r>
      <w:r w:rsidRPr="00ED79ED">
        <w:rPr>
          <w:rFonts w:ascii="Arial" w:eastAsia="Arial" w:hAnsi="Arial" w:cs="Arial"/>
        </w:rPr>
        <w:t>toda vez que se incumple con uno de los siete (7) requisitos generales de procedibilidad, como lo es el de la subsidiariedad, pues no se formuló el recurso ordinario.</w:t>
      </w:r>
    </w:p>
    <w:p w:rsidR="00541CA6" w:rsidRPr="005629B1"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0"/>
        </w:rPr>
      </w:pPr>
    </w:p>
    <w:p w:rsidR="00541CA6" w:rsidRPr="00ED79ED" w:rsidRDefault="00541CA6" w:rsidP="00ED79ED">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Arial" w:eastAsia="Arial" w:hAnsi="Arial" w:cs="Arial"/>
          <w:smallCaps/>
          <w:sz w:val="28"/>
          <w:szCs w:val="28"/>
        </w:rPr>
      </w:pPr>
      <w:r w:rsidRPr="00ED79ED">
        <w:rPr>
          <w:rFonts w:ascii="Arial" w:eastAsia="Arial" w:hAnsi="Arial" w:cs="Arial"/>
          <w:smallCaps/>
          <w:sz w:val="28"/>
          <w:szCs w:val="28"/>
        </w:rPr>
        <w:t xml:space="preserve">Las conclusiones </w:t>
      </w:r>
    </w:p>
    <w:p w:rsidR="00541CA6" w:rsidRPr="005629B1"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400"/>
        <w:jc w:val="both"/>
        <w:rPr>
          <w:rFonts w:ascii="Arial" w:eastAsia="Courier New" w:hAnsi="Arial" w:cs="Arial"/>
          <w:sz w:val="20"/>
        </w:rPr>
      </w:pPr>
    </w:p>
    <w:p w:rsidR="00541CA6" w:rsidRPr="00ED79ED" w:rsidRDefault="00541CA6" w:rsidP="00ED79E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ED79ED">
        <w:rPr>
          <w:rFonts w:ascii="Arial" w:eastAsia="Arial" w:hAnsi="Arial" w:cs="Arial"/>
        </w:rPr>
        <w:t>Con fundamento en las consideraciones expuestas, en los acápites anteriores: (i) Se declarará improcedente el amparo constitucional por incumplirse el presupuesto de la subsidiariedad; (ii) Se declarará improcedente respecto de la Defensoría del Pueblo y la Procuraduría General de la Nación, Regionales de Risaralda, y de la Alcaldía y la Personería de Pereira, por carecer de legitimación; y, (iii) Se negará frente a</w:t>
      </w:r>
      <w:r w:rsidR="00E44979" w:rsidRPr="00ED79ED">
        <w:rPr>
          <w:rFonts w:ascii="Arial" w:eastAsia="Arial" w:hAnsi="Arial" w:cs="Arial"/>
        </w:rPr>
        <w:t>l banco de la Mujer SA</w:t>
      </w:r>
      <w:r w:rsidRPr="00ED79ED">
        <w:rPr>
          <w:rFonts w:ascii="Arial" w:eastAsia="Arial" w:hAnsi="Arial" w:cs="Arial"/>
        </w:rPr>
        <w:t xml:space="preserve"> por inexistencia de vulneración o amenaza de los derechos fundamentales invocados.</w:t>
      </w:r>
    </w:p>
    <w:p w:rsidR="00541CA6"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2"/>
        </w:rPr>
      </w:pPr>
    </w:p>
    <w:p w:rsidR="00E31FCB" w:rsidRPr="00ED79ED" w:rsidRDefault="00E31FCB"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22"/>
        </w:rPr>
      </w:pPr>
    </w:p>
    <w:p w:rsidR="00541CA6" w:rsidRPr="00ED79ED" w:rsidRDefault="00541CA6" w:rsidP="00ED79ED">
      <w:pPr>
        <w:tabs>
          <w:tab w:val="left" w:pos="-720"/>
        </w:tabs>
        <w:spacing w:line="360" w:lineRule="auto"/>
        <w:jc w:val="both"/>
        <w:rPr>
          <w:rFonts w:ascii="Arial" w:hAnsi="Arial" w:cs="Arial"/>
        </w:rPr>
      </w:pPr>
      <w:r w:rsidRPr="00ED79ED">
        <w:rPr>
          <w:rFonts w:ascii="Arial" w:eastAsia="Arial" w:hAnsi="Arial" w:cs="Arial"/>
        </w:rPr>
        <w:lastRenderedPageBreak/>
        <w:t xml:space="preserve">En mérito de lo expuesto, el </w:t>
      </w:r>
      <w:r w:rsidRPr="00ED79ED">
        <w:rPr>
          <w:rFonts w:ascii="Arial" w:eastAsia="Arial" w:hAnsi="Arial" w:cs="Arial"/>
          <w:smallCaps/>
        </w:rPr>
        <w:t>Tribunal Superior del Distrito Judicial de Pereira, Sala de Decisión Civil -Familia</w:t>
      </w:r>
      <w:r w:rsidRPr="00ED79ED">
        <w:rPr>
          <w:rFonts w:ascii="Arial" w:eastAsia="Arial" w:hAnsi="Arial" w:cs="Arial"/>
        </w:rPr>
        <w:t>, administrando Justicia, en nombre de la República y por autoridad de la Ley,</w:t>
      </w:r>
    </w:p>
    <w:p w:rsidR="00541CA6" w:rsidRDefault="00541CA6"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center"/>
        <w:rPr>
          <w:rFonts w:ascii="Arial" w:eastAsia="Arial" w:hAnsi="Arial" w:cs="Arial"/>
          <w:smallCaps/>
          <w:sz w:val="22"/>
        </w:rPr>
      </w:pPr>
      <w:r w:rsidRPr="00ED79ED">
        <w:rPr>
          <w:rFonts w:ascii="Arial" w:eastAsia="Arial" w:hAnsi="Arial" w:cs="Arial"/>
          <w:smallCaps/>
        </w:rPr>
        <w:t xml:space="preserve">F A L </w:t>
      </w:r>
      <w:proofErr w:type="spellStart"/>
      <w:r w:rsidRPr="00ED79ED">
        <w:rPr>
          <w:rFonts w:ascii="Arial" w:eastAsia="Arial" w:hAnsi="Arial" w:cs="Arial"/>
          <w:smallCaps/>
        </w:rPr>
        <w:t>L</w:t>
      </w:r>
      <w:proofErr w:type="spellEnd"/>
      <w:r w:rsidRPr="00ED79ED">
        <w:rPr>
          <w:rFonts w:ascii="Arial" w:eastAsia="Arial" w:hAnsi="Arial" w:cs="Arial"/>
          <w:smallCaps/>
        </w:rPr>
        <w:t xml:space="preserve"> A,</w:t>
      </w:r>
    </w:p>
    <w:p w:rsidR="005A7E75" w:rsidRPr="005A7E75" w:rsidRDefault="005A7E75"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center"/>
        <w:rPr>
          <w:rFonts w:ascii="Arial" w:hAnsi="Arial" w:cs="Arial"/>
          <w:sz w:val="18"/>
        </w:rPr>
      </w:pPr>
    </w:p>
    <w:p w:rsidR="00541CA6" w:rsidRDefault="00541CA6" w:rsidP="005629B1">
      <w:pPr>
        <w:widowControl/>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Arial" w:eastAsia="Arial" w:hAnsi="Arial" w:cs="Arial"/>
        </w:rPr>
      </w:pPr>
      <w:r w:rsidRPr="00ED79ED">
        <w:rPr>
          <w:rFonts w:ascii="Arial" w:eastAsia="Arial" w:hAnsi="Arial" w:cs="Arial"/>
        </w:rPr>
        <w:t>DECLARAR improcedente el amparo constitucional presentado por el señor Javier Elías Arias Idárraga frente al Juzgado Tercero Civil del Circuito de Pereira, la Procuraduría General de la Nación y la Defensoría del Pueblo, Regionales de Risaralda, y, la Alcaldía y Personería de Pereira, según lo expuesto en la parte motiva.</w:t>
      </w:r>
    </w:p>
    <w:p w:rsidR="005A7E75" w:rsidRPr="005629B1" w:rsidRDefault="005A7E75" w:rsidP="005629B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jc w:val="both"/>
        <w:rPr>
          <w:rFonts w:ascii="Arial" w:eastAsia="Arial" w:hAnsi="Arial" w:cs="Arial"/>
          <w:sz w:val="20"/>
        </w:rPr>
      </w:pPr>
    </w:p>
    <w:p w:rsidR="00541CA6" w:rsidRDefault="00541CA6" w:rsidP="005629B1">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Arial" w:eastAsia="Arial" w:hAnsi="Arial" w:cs="Arial"/>
        </w:rPr>
      </w:pPr>
      <w:r w:rsidRPr="00ED79ED">
        <w:rPr>
          <w:rFonts w:ascii="Arial" w:eastAsia="Arial" w:hAnsi="Arial" w:cs="Arial"/>
        </w:rPr>
        <w:t xml:space="preserve">NEGAR la tutela propuesta contra </w:t>
      </w:r>
      <w:r w:rsidR="00E44979" w:rsidRPr="00ED79ED">
        <w:rPr>
          <w:rFonts w:ascii="Arial" w:eastAsia="Arial" w:hAnsi="Arial" w:cs="Arial"/>
        </w:rPr>
        <w:t>el banco de la Mujer SA.</w:t>
      </w:r>
      <w:r w:rsidRPr="00ED79ED">
        <w:rPr>
          <w:rFonts w:ascii="Arial" w:eastAsia="Arial" w:hAnsi="Arial" w:cs="Arial"/>
        </w:rPr>
        <w:t xml:space="preserve"> por inexistencia de vulneración o amenaza, conforme lo dicho previamente.</w:t>
      </w:r>
    </w:p>
    <w:p w:rsidR="005A7E75" w:rsidRPr="005629B1" w:rsidRDefault="005A7E75" w:rsidP="005629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Arial" w:eastAsia="Arial" w:hAnsi="Arial" w:cs="Arial"/>
          <w:sz w:val="20"/>
        </w:rPr>
      </w:pPr>
    </w:p>
    <w:p w:rsidR="00541CA6" w:rsidRDefault="00541CA6" w:rsidP="005629B1">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Arial" w:eastAsia="Arial" w:hAnsi="Arial" w:cs="Arial"/>
        </w:rPr>
      </w:pPr>
      <w:r w:rsidRPr="00ED79ED">
        <w:rPr>
          <w:rFonts w:ascii="Arial" w:eastAsia="Arial" w:hAnsi="Arial" w:cs="Arial"/>
        </w:rPr>
        <w:t>NOTIFICAR esta decisión a todas las partes, por el medio más expedito y eficaz.</w:t>
      </w:r>
    </w:p>
    <w:p w:rsidR="005A7E75" w:rsidRPr="005629B1" w:rsidRDefault="005A7E75" w:rsidP="005629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jc w:val="both"/>
        <w:rPr>
          <w:rFonts w:ascii="Arial" w:eastAsia="Arial" w:hAnsi="Arial" w:cs="Arial"/>
          <w:sz w:val="20"/>
        </w:rPr>
      </w:pPr>
    </w:p>
    <w:p w:rsidR="00541CA6" w:rsidRDefault="00541CA6" w:rsidP="005629B1">
      <w:pPr>
        <w:widowControl/>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autoSpaceDE/>
        <w:autoSpaceDN/>
        <w:adjustRightInd/>
        <w:spacing w:line="360" w:lineRule="auto"/>
        <w:ind w:left="360" w:hanging="360"/>
        <w:jc w:val="both"/>
        <w:rPr>
          <w:rFonts w:ascii="Arial" w:eastAsia="Arial" w:hAnsi="Arial" w:cs="Arial"/>
        </w:rPr>
      </w:pPr>
      <w:r w:rsidRPr="00ED79ED">
        <w:rPr>
          <w:rFonts w:ascii="Arial" w:eastAsia="Arial" w:hAnsi="Arial" w:cs="Arial"/>
        </w:rPr>
        <w:t>REMITIR este expediente, a la Corte Constitucional para su eventual revisión, de no ser impugnada.</w:t>
      </w:r>
    </w:p>
    <w:p w:rsidR="005A7E75" w:rsidRPr="005629B1" w:rsidRDefault="005A7E75" w:rsidP="005629B1">
      <w:pPr>
        <w:pStyle w:val="Paragraphedeliste"/>
        <w:spacing w:line="360" w:lineRule="auto"/>
        <w:rPr>
          <w:rFonts w:ascii="Arial" w:eastAsia="Arial" w:hAnsi="Arial" w:cs="Arial"/>
          <w:sz w:val="20"/>
        </w:rPr>
      </w:pPr>
    </w:p>
    <w:p w:rsidR="00541CA6" w:rsidRPr="00ED79ED" w:rsidRDefault="00541CA6" w:rsidP="005629B1">
      <w:pPr>
        <w:widowControl/>
        <w:numPr>
          <w:ilvl w:val="0"/>
          <w:numId w:val="5"/>
        </w:numPr>
        <w:autoSpaceDE/>
        <w:autoSpaceDN/>
        <w:adjustRightInd/>
        <w:spacing w:line="360" w:lineRule="auto"/>
        <w:ind w:left="360" w:right="51" w:hanging="360"/>
        <w:contextualSpacing/>
        <w:jc w:val="both"/>
        <w:rPr>
          <w:rFonts w:ascii="Arial" w:eastAsia="Arial" w:hAnsi="Arial" w:cs="Arial"/>
        </w:rPr>
      </w:pPr>
      <w:r w:rsidRPr="00ED79ED">
        <w:rPr>
          <w:rFonts w:ascii="Arial" w:eastAsia="Arial" w:hAnsi="Arial" w:cs="Arial"/>
        </w:rPr>
        <w:t>ORDENAR el archivo del expediente, surtidos los trámites anteriores.</w:t>
      </w:r>
    </w:p>
    <w:p w:rsidR="00ED79ED" w:rsidRPr="005629B1" w:rsidRDefault="00ED79ED" w:rsidP="00ED79ED">
      <w:pPr>
        <w:pStyle w:val="Corpsdetexte"/>
        <w:spacing w:line="360" w:lineRule="auto"/>
        <w:jc w:val="center"/>
        <w:rPr>
          <w:rFonts w:ascii="Arial" w:hAnsi="Arial" w:cs="Arial"/>
          <w:bCs/>
          <w:smallCaps/>
          <w:sz w:val="16"/>
          <w:szCs w:val="24"/>
        </w:rPr>
      </w:pPr>
    </w:p>
    <w:p w:rsidR="00ED79ED" w:rsidRPr="005629B1" w:rsidRDefault="00ED79ED" w:rsidP="00ED79ED">
      <w:pPr>
        <w:pStyle w:val="Corpsdetexte"/>
        <w:spacing w:line="360" w:lineRule="auto"/>
        <w:jc w:val="center"/>
        <w:rPr>
          <w:rFonts w:ascii="Arial" w:hAnsi="Arial"/>
          <w:smallCaps/>
          <w:sz w:val="28"/>
          <w:szCs w:val="24"/>
          <w:lang w:val="en-US"/>
        </w:rPr>
      </w:pPr>
      <w:proofErr w:type="spellStart"/>
      <w:r w:rsidRPr="005629B1">
        <w:rPr>
          <w:rFonts w:ascii="Arial" w:hAnsi="Arial"/>
          <w:smallCaps/>
          <w:sz w:val="28"/>
          <w:szCs w:val="24"/>
          <w:lang w:val="en-US"/>
        </w:rPr>
        <w:t>Notifíquese</w:t>
      </w:r>
      <w:proofErr w:type="spellEnd"/>
      <w:r w:rsidRPr="005629B1">
        <w:rPr>
          <w:rFonts w:ascii="Arial" w:hAnsi="Arial"/>
          <w:smallCaps/>
          <w:sz w:val="28"/>
          <w:szCs w:val="24"/>
          <w:lang w:val="en-US"/>
        </w:rPr>
        <w:t>,</w:t>
      </w:r>
    </w:p>
    <w:p w:rsidR="00ED79ED" w:rsidRPr="005629B1" w:rsidRDefault="00ED79ED" w:rsidP="00ED79ED">
      <w:pPr>
        <w:pStyle w:val="Corpsdetexte"/>
        <w:spacing w:line="360" w:lineRule="auto"/>
        <w:jc w:val="center"/>
        <w:rPr>
          <w:rFonts w:ascii="Arial" w:hAnsi="Arial"/>
          <w:sz w:val="56"/>
          <w:szCs w:val="24"/>
          <w:lang w:val="en-US"/>
        </w:rPr>
      </w:pPr>
    </w:p>
    <w:p w:rsidR="00ED79ED" w:rsidRPr="003843DB"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ED79ED" w:rsidRPr="003843DB" w:rsidRDefault="00ED79ED" w:rsidP="00ED79ED">
      <w:pPr>
        <w:pStyle w:val="Corpsdetexte"/>
        <w:spacing w:line="360" w:lineRule="auto"/>
        <w:jc w:val="center"/>
        <w:rPr>
          <w:rFonts w:ascii="Arial" w:hAnsi="Arial"/>
          <w:smallCaps/>
          <w:szCs w:val="24"/>
          <w:lang w:val="en-US"/>
        </w:rPr>
      </w:pPr>
      <w:r w:rsidRPr="003843DB">
        <w:rPr>
          <w:rFonts w:ascii="Arial" w:hAnsi="Arial" w:cs="Arial"/>
          <w:i/>
          <w:w w:val="150"/>
          <w:sz w:val="28"/>
          <w:lang w:val="en-US"/>
        </w:rPr>
        <w:t>M</w:t>
      </w:r>
      <w:r w:rsidRPr="003843DB">
        <w:rPr>
          <w:rFonts w:ascii="Arial" w:hAnsi="Arial" w:cs="Arial"/>
          <w:i/>
          <w:w w:val="150"/>
          <w:lang w:val="en-US"/>
        </w:rPr>
        <w:t xml:space="preserve"> </w:t>
      </w:r>
      <w:r w:rsidRPr="003843DB">
        <w:rPr>
          <w:rFonts w:ascii="Arial" w:hAnsi="Arial" w:cs="Arial"/>
          <w:i/>
          <w:w w:val="150"/>
          <w:sz w:val="18"/>
          <w:lang w:val="en-US"/>
        </w:rPr>
        <w:t>A G I S T R A D O</w:t>
      </w:r>
    </w:p>
    <w:p w:rsidR="00ED79ED" w:rsidRPr="005629B1" w:rsidRDefault="00ED79ED" w:rsidP="00ED79ED">
      <w:pPr>
        <w:pStyle w:val="Corpsdetexte"/>
        <w:spacing w:line="360" w:lineRule="auto"/>
        <w:jc w:val="center"/>
        <w:rPr>
          <w:rFonts w:ascii="Arial" w:hAnsi="Arial"/>
          <w:sz w:val="96"/>
          <w:szCs w:val="24"/>
          <w:lang w:val="en-US"/>
        </w:rPr>
      </w:pPr>
    </w:p>
    <w:p w:rsidR="00ED79ED" w:rsidRPr="003843DB"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ED79ED"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5A7E75" w:rsidRPr="005A7E75" w:rsidRDefault="005A7E75"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s-CO"/>
        </w:rPr>
      </w:pP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t xml:space="preserve">      </w:t>
      </w:r>
      <w:r w:rsidRPr="005A7E75">
        <w:rPr>
          <w:rFonts w:ascii="Arial" w:hAnsi="Arial" w:cs="Arial"/>
          <w:i/>
          <w:w w:val="150"/>
          <w:sz w:val="18"/>
          <w:lang w:val="es-CO"/>
        </w:rPr>
        <w:t>(Con salvamento de voto)</w:t>
      </w:r>
    </w:p>
    <w:p w:rsidR="00ED79ED" w:rsidRPr="000F4C89" w:rsidRDefault="00ED79ED" w:rsidP="00ED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0"/>
          <w:lang w:val="es-CO"/>
        </w:rPr>
      </w:pPr>
    </w:p>
    <w:p w:rsidR="005E70BA" w:rsidRPr="00AC4D63" w:rsidRDefault="00ED79ED" w:rsidP="00AC4D6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lang w:val="es-CO"/>
        </w:rPr>
      </w:pPr>
      <w:proofErr w:type="spellStart"/>
      <w:r w:rsidRPr="000F4C89">
        <w:rPr>
          <w:rFonts w:ascii="Arial" w:hAnsi="Arial" w:cs="Arial"/>
          <w:i/>
          <w:w w:val="150"/>
          <w:sz w:val="10"/>
          <w:lang w:val="es-CO"/>
        </w:rPr>
        <w:t>DGH</w:t>
      </w:r>
      <w:proofErr w:type="spellEnd"/>
      <w:r w:rsidRPr="000F4C89">
        <w:rPr>
          <w:rFonts w:ascii="Arial" w:hAnsi="Arial" w:cs="Arial"/>
          <w:i/>
          <w:w w:val="150"/>
          <w:sz w:val="10"/>
          <w:lang w:val="es-CO"/>
        </w:rPr>
        <w:t>/</w:t>
      </w:r>
      <w:proofErr w:type="spellStart"/>
      <w:r w:rsidRPr="000F4C89">
        <w:rPr>
          <w:rFonts w:ascii="Arial" w:hAnsi="Arial" w:cs="Arial"/>
          <w:i/>
          <w:w w:val="150"/>
          <w:sz w:val="10"/>
          <w:lang w:val="es-CO"/>
        </w:rPr>
        <w:t>LSCL</w:t>
      </w:r>
      <w:proofErr w:type="spellEnd"/>
      <w:r w:rsidRPr="000F4C89">
        <w:rPr>
          <w:rFonts w:ascii="Arial" w:hAnsi="Arial" w:cs="Arial"/>
          <w:i/>
          <w:w w:val="150"/>
          <w:sz w:val="10"/>
          <w:lang w:val="es-CO"/>
        </w:rPr>
        <w:t>/2017</w:t>
      </w:r>
      <w:bookmarkStart w:id="0" w:name="_GoBack"/>
      <w:bookmarkEnd w:id="0"/>
    </w:p>
    <w:sectPr w:rsidR="005E70BA" w:rsidRPr="00AC4D63" w:rsidSect="00ED79ED">
      <w:headerReference w:type="default" r:id="rId10"/>
      <w:footerReference w:type="default" r:id="rId11"/>
      <w:pgSz w:w="12242" w:h="18722" w:code="121"/>
      <w:pgMar w:top="993"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90" w:rsidRDefault="00376F90" w:rsidP="0099045D">
      <w:r>
        <w:separator/>
      </w:r>
    </w:p>
  </w:endnote>
  <w:endnote w:type="continuationSeparator" w:id="0">
    <w:p w:rsidR="00376F90" w:rsidRDefault="00376F9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90" w:rsidRDefault="00376F90" w:rsidP="0099045D">
      <w:r>
        <w:separator/>
      </w:r>
    </w:p>
  </w:footnote>
  <w:footnote w:type="continuationSeparator" w:id="0">
    <w:p w:rsidR="00376F90" w:rsidRDefault="00376F90" w:rsidP="0099045D">
      <w:r>
        <w:continuationSeparator/>
      </w:r>
    </w:p>
  </w:footnote>
  <w:footnote w:id="1">
    <w:p w:rsidR="00541CA6" w:rsidRPr="00ED79ED" w:rsidRDefault="00541CA6" w:rsidP="00541CA6">
      <w:pPr>
        <w:widowControl/>
        <w:jc w:val="both"/>
        <w:rPr>
          <w:rFonts w:ascii="Calibri" w:hAnsi="Calibri"/>
          <w:sz w:val="20"/>
          <w:szCs w:val="20"/>
        </w:rPr>
      </w:pPr>
      <w:r w:rsidRPr="00ED79ED">
        <w:rPr>
          <w:rFonts w:ascii="Calibri" w:hAnsi="Calibri"/>
          <w:sz w:val="20"/>
          <w:szCs w:val="20"/>
          <w:vertAlign w:val="superscript"/>
        </w:rPr>
        <w:footnoteRef/>
      </w:r>
      <w:r w:rsidRPr="00ED79ED">
        <w:rPr>
          <w:rFonts w:ascii="Calibri" w:eastAsia="Calibri" w:hAnsi="Calibri" w:cs="Calibri"/>
          <w:sz w:val="20"/>
          <w:szCs w:val="20"/>
        </w:rPr>
        <w:t xml:space="preserve"> QUINCHE RAMÍREZ, Manuel Fernando. Vías de hecho, acción de tutela contra providencias, Editorial Temis SA, Bogotá, 2013, p.103.</w:t>
      </w:r>
    </w:p>
  </w:footnote>
  <w:footnote w:id="2">
    <w:p w:rsidR="00541CA6" w:rsidRPr="00ED79ED" w:rsidRDefault="00541CA6" w:rsidP="00541CA6">
      <w:pPr>
        <w:widowControl/>
        <w:jc w:val="both"/>
        <w:rPr>
          <w:rFonts w:ascii="Calibri" w:hAnsi="Calibri"/>
          <w:sz w:val="20"/>
          <w:szCs w:val="20"/>
        </w:rPr>
      </w:pPr>
      <w:r w:rsidRPr="00ED79ED">
        <w:rPr>
          <w:rFonts w:ascii="Calibri" w:hAnsi="Calibri"/>
          <w:sz w:val="20"/>
          <w:szCs w:val="20"/>
          <w:vertAlign w:val="superscript"/>
        </w:rPr>
        <w:footnoteRef/>
      </w:r>
      <w:r w:rsidRPr="00ED79ED">
        <w:rPr>
          <w:rFonts w:ascii="Calibri" w:eastAsia="Calibri" w:hAnsi="Calibri" w:cs="Calibri"/>
          <w:sz w:val="20"/>
          <w:szCs w:val="20"/>
        </w:rPr>
        <w:t xml:space="preserve"> QUIROGA NATALE, Édgar Andrés. Tutela contra decisiones judiciales, Universidad Santo Tomás y editorial Ibáñez, Bogotá DC, 2014, p.83.</w:t>
      </w:r>
    </w:p>
  </w:footnote>
  <w:footnote w:id="3">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T-917 de 2011.</w:t>
      </w:r>
    </w:p>
  </w:footnote>
  <w:footnote w:id="4">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C-590 de 2005.</w:t>
      </w:r>
    </w:p>
  </w:footnote>
  <w:footnote w:id="5">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T-107 de 2016 y T-064 de 2015, entre otras.</w:t>
      </w:r>
    </w:p>
  </w:footnote>
  <w:footnote w:id="6">
    <w:p w:rsidR="00541CA6" w:rsidRPr="000F4C89" w:rsidRDefault="00541CA6" w:rsidP="00541CA6">
      <w:pPr>
        <w:widowControl/>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T-307 de 2015.</w:t>
      </w:r>
    </w:p>
  </w:footnote>
  <w:footnote w:id="7">
    <w:p w:rsidR="00541CA6" w:rsidRPr="00ED79ED" w:rsidRDefault="00541CA6" w:rsidP="00541CA6">
      <w:pPr>
        <w:widowControl/>
        <w:jc w:val="both"/>
        <w:rPr>
          <w:rFonts w:ascii="Calibri" w:hAnsi="Calibri"/>
          <w:sz w:val="20"/>
          <w:szCs w:val="20"/>
        </w:rPr>
      </w:pPr>
      <w:r w:rsidRPr="00ED79ED">
        <w:rPr>
          <w:rFonts w:ascii="Calibri" w:hAnsi="Calibri"/>
          <w:sz w:val="20"/>
          <w:szCs w:val="20"/>
          <w:vertAlign w:val="superscript"/>
        </w:rPr>
        <w:footnoteRef/>
      </w:r>
      <w:r w:rsidRPr="00ED79ED">
        <w:rPr>
          <w:rFonts w:ascii="Calibri" w:eastAsia="Calibri" w:hAnsi="Calibri" w:cs="Calibri"/>
          <w:sz w:val="20"/>
          <w:szCs w:val="20"/>
        </w:rPr>
        <w:t xml:space="preserve"> ESCUELA JUDICIAL RODRIGO LARA BONILLA. La acción de tutela en el ordenamiento constitucional colombiano, Universidad Nacional de Colombia, Catalina Botero Marino, </w:t>
      </w:r>
      <w:proofErr w:type="spellStart"/>
      <w:r w:rsidRPr="00ED79ED">
        <w:rPr>
          <w:rFonts w:ascii="Calibri" w:eastAsia="Calibri" w:hAnsi="Calibri" w:cs="Calibri"/>
          <w:sz w:val="20"/>
          <w:szCs w:val="20"/>
        </w:rPr>
        <w:t>Ediprime</w:t>
      </w:r>
      <w:proofErr w:type="spellEnd"/>
      <w:r w:rsidRPr="00ED79ED">
        <w:rPr>
          <w:rFonts w:ascii="Calibri" w:eastAsia="Calibri" w:hAnsi="Calibri" w:cs="Calibri"/>
          <w:sz w:val="20"/>
          <w:szCs w:val="20"/>
        </w:rPr>
        <w:t xml:space="preserve"> Ltda., 2006, p.61-75.</w:t>
      </w:r>
    </w:p>
  </w:footnote>
  <w:footnote w:id="8">
    <w:p w:rsidR="00541CA6" w:rsidRPr="00ED79ED" w:rsidRDefault="00541CA6" w:rsidP="00541CA6">
      <w:pPr>
        <w:widowControl/>
        <w:jc w:val="both"/>
        <w:rPr>
          <w:rFonts w:ascii="Calibri" w:hAnsi="Calibri"/>
          <w:sz w:val="20"/>
          <w:szCs w:val="20"/>
        </w:rPr>
      </w:pPr>
      <w:r w:rsidRPr="00ED79ED">
        <w:rPr>
          <w:rFonts w:ascii="Calibri" w:hAnsi="Calibri"/>
          <w:sz w:val="20"/>
          <w:szCs w:val="20"/>
          <w:vertAlign w:val="superscript"/>
        </w:rPr>
        <w:footnoteRef/>
      </w:r>
      <w:r w:rsidRPr="00ED79ED">
        <w:rPr>
          <w:rFonts w:ascii="Calibri" w:eastAsia="Calibri" w:hAnsi="Calibri" w:cs="Calibri"/>
          <w:sz w:val="20"/>
          <w:szCs w:val="20"/>
        </w:rPr>
        <w:t xml:space="preserve"> QUINCHE RAMÍREZ, Manuel Fernando. La acción de tutela, el amparo en Colombia, Bogotá DC, 2011, p.233-285.</w:t>
      </w:r>
    </w:p>
  </w:footnote>
  <w:footnote w:id="9">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T-134 de 1994. </w:t>
      </w:r>
    </w:p>
  </w:footnote>
  <w:footnote w:id="10">
    <w:p w:rsidR="00541CA6" w:rsidRPr="000F4C89" w:rsidRDefault="00541CA6" w:rsidP="00541CA6">
      <w:pPr>
        <w:widowControl/>
        <w:rPr>
          <w:rFonts w:ascii="Calibri" w:hAnsi="Calibri"/>
          <w:sz w:val="20"/>
          <w:szCs w:val="20"/>
          <w:lang w:val="fr-FR"/>
        </w:rPr>
      </w:pPr>
      <w:r w:rsidRPr="00ED79ED">
        <w:rPr>
          <w:rFonts w:ascii="Calibri" w:hAnsi="Calibri"/>
          <w:sz w:val="20"/>
          <w:szCs w:val="20"/>
          <w:vertAlign w:val="superscript"/>
        </w:rPr>
        <w:footnoteRef/>
      </w:r>
      <w:r w:rsidRPr="000F4C89">
        <w:rPr>
          <w:rFonts w:ascii="Calibri" w:hAnsi="Calibri" w:cs="Times New Roman"/>
          <w:sz w:val="20"/>
          <w:szCs w:val="20"/>
          <w:lang w:val="fr-FR"/>
        </w:rPr>
        <w:t xml:space="preserve"> </w:t>
      </w:r>
      <w:r w:rsidRPr="000F4C89">
        <w:rPr>
          <w:rFonts w:ascii="Calibri" w:eastAsia="Calibri" w:hAnsi="Calibri" w:cs="Calibri"/>
          <w:sz w:val="20"/>
          <w:szCs w:val="20"/>
          <w:lang w:val="fr-FR"/>
        </w:rPr>
        <w:t>CC. T-103 de 2014.</w:t>
      </w:r>
    </w:p>
  </w:footnote>
  <w:footnote w:id="11">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T-567 de 1998.</w:t>
      </w:r>
    </w:p>
  </w:footnote>
  <w:footnote w:id="12">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T-662 de 2013</w:t>
      </w:r>
      <w:r w:rsidR="00AC4D63" w:rsidRPr="000F4C89">
        <w:rPr>
          <w:rFonts w:ascii="Calibri" w:eastAsia="Calibri" w:hAnsi="Calibri" w:cs="Calibri"/>
          <w:sz w:val="20"/>
          <w:szCs w:val="20"/>
          <w:lang w:val="fr-FR"/>
        </w:rPr>
        <w:t xml:space="preserve">, </w:t>
      </w:r>
      <w:r w:rsidR="00AC4D63" w:rsidRPr="000F4C89">
        <w:rPr>
          <w:rFonts w:ascii="Calibri" w:eastAsia="Calibri" w:hAnsi="Calibri" w:cs="Calibri"/>
          <w:sz w:val="20"/>
          <w:szCs w:val="20"/>
          <w:highlight w:val="white"/>
          <w:lang w:val="fr-FR"/>
        </w:rPr>
        <w:t>T-037 de 2016 y T-120 de 2016</w:t>
      </w:r>
      <w:r w:rsidRPr="000F4C89">
        <w:rPr>
          <w:rFonts w:ascii="Calibri" w:eastAsia="Calibri" w:hAnsi="Calibri" w:cs="Calibri"/>
          <w:sz w:val="20"/>
          <w:szCs w:val="20"/>
          <w:lang w:val="fr-FR"/>
        </w:rPr>
        <w:t>.</w:t>
      </w:r>
      <w:r w:rsidRPr="000F4C89">
        <w:rPr>
          <w:rFonts w:ascii="Calibri" w:hAnsi="Calibri" w:cs="Times New Roman"/>
          <w:b/>
          <w:color w:val="2D2D2D"/>
          <w:sz w:val="20"/>
          <w:szCs w:val="20"/>
          <w:highlight w:val="white"/>
          <w:lang w:val="fr-FR"/>
        </w:rPr>
        <w:t xml:space="preserve"> </w:t>
      </w:r>
    </w:p>
  </w:footnote>
  <w:footnote w:id="13">
    <w:p w:rsidR="00541CA6" w:rsidRPr="00ED79ED" w:rsidRDefault="00541CA6" w:rsidP="00541CA6">
      <w:pPr>
        <w:widowControl/>
        <w:jc w:val="both"/>
        <w:rPr>
          <w:rFonts w:ascii="Calibri" w:hAnsi="Calibri"/>
          <w:sz w:val="20"/>
          <w:szCs w:val="20"/>
        </w:rPr>
      </w:pPr>
      <w:r w:rsidRPr="00ED79ED">
        <w:rPr>
          <w:rFonts w:ascii="Calibri" w:hAnsi="Calibri"/>
          <w:sz w:val="20"/>
          <w:szCs w:val="20"/>
          <w:vertAlign w:val="superscript"/>
        </w:rPr>
        <w:footnoteRef/>
      </w:r>
      <w:r w:rsidRPr="00ED79ED">
        <w:rPr>
          <w:rFonts w:ascii="Calibri" w:eastAsia="Calibri" w:hAnsi="Calibri" w:cs="Calibri"/>
          <w:sz w:val="20"/>
          <w:szCs w:val="20"/>
        </w:rPr>
        <w:t xml:space="preserve"> CSJ, Sala Civil. </w:t>
      </w:r>
      <w:r w:rsidR="00AC4D63">
        <w:rPr>
          <w:rFonts w:ascii="Calibri" w:eastAsia="Calibri" w:hAnsi="Calibri" w:cs="Calibri"/>
          <w:sz w:val="20"/>
          <w:szCs w:val="20"/>
        </w:rPr>
        <w:t xml:space="preserve">Sentencias </w:t>
      </w:r>
      <w:r w:rsidR="00AC4D63" w:rsidRPr="00ED79ED">
        <w:rPr>
          <w:rFonts w:ascii="Calibri" w:eastAsia="Calibri" w:hAnsi="Calibri" w:cs="Calibri"/>
          <w:sz w:val="20"/>
          <w:szCs w:val="20"/>
        </w:rPr>
        <w:t>STC3931-2016</w:t>
      </w:r>
      <w:r w:rsidR="005629B1">
        <w:rPr>
          <w:rFonts w:ascii="Calibri" w:eastAsia="Calibri" w:hAnsi="Calibri" w:cs="Calibri"/>
          <w:sz w:val="20"/>
          <w:szCs w:val="20"/>
        </w:rPr>
        <w:t xml:space="preserve"> y</w:t>
      </w:r>
      <w:r w:rsidR="00AC4D63">
        <w:rPr>
          <w:rFonts w:ascii="Calibri" w:eastAsia="Calibri" w:hAnsi="Calibri" w:cs="Calibri"/>
          <w:sz w:val="20"/>
          <w:szCs w:val="20"/>
        </w:rPr>
        <w:t xml:space="preserve"> </w:t>
      </w:r>
      <w:r w:rsidR="00AC4D63" w:rsidRPr="00ED79ED">
        <w:rPr>
          <w:rFonts w:ascii="Calibri" w:eastAsia="Calibri" w:hAnsi="Calibri" w:cs="Calibri"/>
          <w:sz w:val="20"/>
          <w:szCs w:val="20"/>
        </w:rPr>
        <w:t>STC6121-2015</w:t>
      </w:r>
      <w:r w:rsidR="005629B1">
        <w:rPr>
          <w:rFonts w:ascii="Calibri" w:eastAsia="Calibri" w:hAnsi="Calibri" w:cs="Calibri"/>
          <w:sz w:val="20"/>
          <w:szCs w:val="20"/>
        </w:rPr>
        <w:t>.</w:t>
      </w:r>
    </w:p>
  </w:footnote>
  <w:footnote w:id="14">
    <w:p w:rsidR="00541CA6" w:rsidRPr="000F4C89" w:rsidRDefault="00541CA6" w:rsidP="00541CA6">
      <w:pPr>
        <w:widowControl/>
        <w:jc w:val="both"/>
        <w:rPr>
          <w:rFonts w:ascii="Calibri" w:hAnsi="Calibri"/>
          <w:sz w:val="20"/>
          <w:szCs w:val="20"/>
          <w:lang w:val="fr-FR"/>
        </w:rPr>
      </w:pPr>
      <w:r w:rsidRPr="00ED79ED">
        <w:rPr>
          <w:rFonts w:ascii="Calibri" w:hAnsi="Calibri"/>
          <w:sz w:val="20"/>
          <w:szCs w:val="20"/>
          <w:vertAlign w:val="superscript"/>
        </w:rPr>
        <w:footnoteRef/>
      </w:r>
      <w:r w:rsidRPr="000F4C89">
        <w:rPr>
          <w:rFonts w:ascii="Calibri" w:eastAsia="Calibri" w:hAnsi="Calibri" w:cs="Calibri"/>
          <w:sz w:val="20"/>
          <w:szCs w:val="20"/>
          <w:lang w:val="fr-FR"/>
        </w:rPr>
        <w:t xml:space="preserve"> CC. T-567 de 1998.</w:t>
      </w:r>
    </w:p>
  </w:footnote>
  <w:footnote w:id="15">
    <w:p w:rsidR="00541CA6" w:rsidRPr="000F4C89" w:rsidRDefault="00541CA6" w:rsidP="00541CA6">
      <w:pPr>
        <w:widowControl/>
        <w:rPr>
          <w:rFonts w:ascii="Calibri" w:hAnsi="Calibri"/>
          <w:sz w:val="20"/>
          <w:szCs w:val="20"/>
          <w:lang w:val="fr-FR"/>
        </w:rPr>
      </w:pPr>
      <w:r w:rsidRPr="00ED79ED">
        <w:rPr>
          <w:rFonts w:ascii="Calibri" w:hAnsi="Calibri"/>
          <w:sz w:val="20"/>
          <w:szCs w:val="20"/>
          <w:vertAlign w:val="superscript"/>
        </w:rPr>
        <w:footnoteRef/>
      </w:r>
      <w:r w:rsidRPr="000F4C89">
        <w:rPr>
          <w:rFonts w:ascii="Calibri" w:hAnsi="Calibri" w:cs="Times New Roman"/>
          <w:sz w:val="20"/>
          <w:szCs w:val="20"/>
          <w:lang w:val="fr-FR"/>
        </w:rPr>
        <w:t xml:space="preserve"> </w:t>
      </w:r>
      <w:r w:rsidRPr="000F4C89">
        <w:rPr>
          <w:rFonts w:ascii="Calibri" w:eastAsia="Calibri" w:hAnsi="Calibri" w:cs="Calibri"/>
          <w:sz w:val="20"/>
          <w:szCs w:val="20"/>
          <w:lang w:val="fr-FR"/>
        </w:rPr>
        <w:t>CC. T-717 de 22-09-2011.</w:t>
      </w:r>
    </w:p>
  </w:footnote>
  <w:footnote w:id="16">
    <w:p w:rsidR="00541CA6" w:rsidRPr="00ED79ED" w:rsidRDefault="00541CA6" w:rsidP="00541CA6">
      <w:pPr>
        <w:widowControl/>
        <w:rPr>
          <w:rFonts w:ascii="Calibri" w:hAnsi="Calibri"/>
          <w:sz w:val="20"/>
          <w:szCs w:val="20"/>
        </w:rPr>
      </w:pPr>
      <w:r w:rsidRPr="00ED79ED">
        <w:rPr>
          <w:rFonts w:ascii="Calibri" w:hAnsi="Calibri"/>
          <w:sz w:val="20"/>
          <w:szCs w:val="20"/>
          <w:vertAlign w:val="superscript"/>
        </w:rPr>
        <w:footnoteRef/>
      </w:r>
      <w:r w:rsidRPr="00ED79ED">
        <w:rPr>
          <w:rFonts w:ascii="Calibri" w:hAnsi="Calibri" w:cs="Times New Roman"/>
          <w:sz w:val="20"/>
          <w:szCs w:val="20"/>
        </w:rPr>
        <w:t xml:space="preserve"> </w:t>
      </w:r>
      <w:r w:rsidRPr="00ED79ED">
        <w:rPr>
          <w:rFonts w:ascii="Calibri" w:eastAsia="Calibri" w:hAnsi="Calibri" w:cs="Calibri"/>
          <w:sz w:val="20"/>
          <w:szCs w:val="20"/>
        </w:rPr>
        <w:t>CC.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ED" w:rsidRPr="006414F7" w:rsidRDefault="00ED79ED" w:rsidP="00ED79ED">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31FCB">
      <w:rPr>
        <w:rFonts w:ascii="Calibri" w:hAnsi="Calibri" w:cs="Calibri"/>
        <w:i/>
        <w:noProof/>
        <w:sz w:val="20"/>
      </w:rPr>
      <w:t>7</w:t>
    </w:r>
    <w:r w:rsidRPr="006414F7">
      <w:rPr>
        <w:rFonts w:ascii="Calibri" w:hAnsi="Calibri" w:cs="Calibri"/>
        <w:i/>
        <w:sz w:val="20"/>
      </w:rPr>
      <w:fldChar w:fldCharType="end"/>
    </w:r>
  </w:p>
  <w:p w:rsidR="00630B75" w:rsidRPr="00630B75" w:rsidRDefault="00ED79ED" w:rsidP="00ED79ED">
    <w:pPr>
      <w:pStyle w:val="En-tte"/>
      <w:ind w:right="360"/>
      <w:jc w:val="both"/>
      <w:rPr>
        <w:rFonts w:ascii="Arial" w:hAnsi="Arial" w:cs="Arial"/>
        <w:i/>
        <w:sz w:val="18"/>
        <w:szCs w:val="18"/>
      </w:rPr>
    </w:pPr>
    <w:r w:rsidRPr="006414F7">
      <w:rPr>
        <w:rFonts w:ascii="Calibri" w:hAnsi="Calibri" w:cs="Calibri"/>
        <w:i/>
        <w:sz w:val="20"/>
        <w:szCs w:val="22"/>
      </w:rPr>
      <w:t>EXPEDIENTE No.</w:t>
    </w:r>
    <w:r>
      <w:rPr>
        <w:rFonts w:ascii="Calibri" w:hAnsi="Calibri" w:cs="Calibri"/>
        <w:i/>
        <w:sz w:val="20"/>
        <w:szCs w:val="22"/>
      </w:rPr>
      <w:t>2017-00063-00 LLRR</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19A"/>
    <w:multiLevelType w:val="multilevel"/>
    <w:tmpl w:val="58088F02"/>
    <w:lvl w:ilvl="0">
      <w:start w:val="7"/>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20F17045"/>
    <w:multiLevelType w:val="multilevel"/>
    <w:tmpl w:val="CFD821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3027290"/>
    <w:multiLevelType w:val="multilevel"/>
    <w:tmpl w:val="9E5A6526"/>
    <w:lvl w:ilvl="0">
      <w:start w:val="7"/>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4E20"/>
    <w:rsid w:val="0006557F"/>
    <w:rsid w:val="00065678"/>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2ED1"/>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4C89"/>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C2E"/>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15"/>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3F0"/>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3CE7"/>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6F90"/>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1AB"/>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1CA6"/>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29B1"/>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2CA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A7E75"/>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6EBD"/>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0BA"/>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522"/>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6AC"/>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63D7"/>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27C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B34"/>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5EE5"/>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5B9C"/>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1DBA"/>
    <w:rsid w:val="00972A96"/>
    <w:rsid w:val="009736C5"/>
    <w:rsid w:val="009737E1"/>
    <w:rsid w:val="00973E19"/>
    <w:rsid w:val="009740D5"/>
    <w:rsid w:val="00974B0B"/>
    <w:rsid w:val="00975D9D"/>
    <w:rsid w:val="00975FA1"/>
    <w:rsid w:val="0097600A"/>
    <w:rsid w:val="00976010"/>
    <w:rsid w:val="009763D6"/>
    <w:rsid w:val="00976AB5"/>
    <w:rsid w:val="00976E97"/>
    <w:rsid w:val="009804AF"/>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04D"/>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55D"/>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A31"/>
    <w:rsid w:val="00A91BAB"/>
    <w:rsid w:val="00A91CA9"/>
    <w:rsid w:val="00A92AB1"/>
    <w:rsid w:val="00A934BC"/>
    <w:rsid w:val="00A93951"/>
    <w:rsid w:val="00A93CD3"/>
    <w:rsid w:val="00A95191"/>
    <w:rsid w:val="00A955B1"/>
    <w:rsid w:val="00A95CC6"/>
    <w:rsid w:val="00A96603"/>
    <w:rsid w:val="00A96727"/>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4D63"/>
    <w:rsid w:val="00AC5408"/>
    <w:rsid w:val="00AC54E3"/>
    <w:rsid w:val="00AC6430"/>
    <w:rsid w:val="00AC6F09"/>
    <w:rsid w:val="00AC7C27"/>
    <w:rsid w:val="00AC7CCE"/>
    <w:rsid w:val="00AC7D0E"/>
    <w:rsid w:val="00AC7DA3"/>
    <w:rsid w:val="00AC7EDA"/>
    <w:rsid w:val="00AD0A3A"/>
    <w:rsid w:val="00AD0FC0"/>
    <w:rsid w:val="00AD1B6C"/>
    <w:rsid w:val="00AD2C1F"/>
    <w:rsid w:val="00AD3B51"/>
    <w:rsid w:val="00AD3D09"/>
    <w:rsid w:val="00AD4C6B"/>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0A"/>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3AB"/>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3ED"/>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C5C"/>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11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55B"/>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908"/>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706"/>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1FCB"/>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4979"/>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6B"/>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9E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D04"/>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customStyle="1" w:styleId="apple-tab-span">
    <w:name w:val="apple-tab-span"/>
    <w:basedOn w:val="Policepardfaut"/>
    <w:rsid w:val="005E7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customStyle="1" w:styleId="apple-tab-span">
    <w:name w:val="apple-tab-span"/>
    <w:basedOn w:val="Policepardfaut"/>
    <w:rsid w:val="005E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839">
      <w:bodyDiv w:val="1"/>
      <w:marLeft w:val="0"/>
      <w:marRight w:val="0"/>
      <w:marTop w:val="0"/>
      <w:marBottom w:val="0"/>
      <w:divBdr>
        <w:top w:val="none" w:sz="0" w:space="0" w:color="auto"/>
        <w:left w:val="none" w:sz="0" w:space="0" w:color="auto"/>
        <w:bottom w:val="none" w:sz="0" w:space="0" w:color="auto"/>
        <w:right w:val="none" w:sz="0" w:space="0" w:color="auto"/>
      </w:divBdr>
    </w:div>
    <w:div w:id="24604288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698266308">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7BC0-F4FA-426E-9321-320579F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2206</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21</cp:revision>
  <cp:lastPrinted>2017-02-17T12:33:00Z</cp:lastPrinted>
  <dcterms:created xsi:type="dcterms:W3CDTF">2017-02-13T12:13:00Z</dcterms:created>
  <dcterms:modified xsi:type="dcterms:W3CDTF">2017-05-10T04:26:00Z</dcterms:modified>
</cp:coreProperties>
</file>