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A7" w:rsidRDefault="003955A7" w:rsidP="003955A7">
      <w:pPr>
        <w:shd w:val="clear" w:color="auto" w:fill="FFFFFF"/>
        <w:tabs>
          <w:tab w:val="left" w:pos="1418"/>
          <w:tab w:val="left" w:pos="2078"/>
          <w:tab w:val="left" w:pos="2106"/>
        </w:tabs>
        <w:rPr>
          <w:rFonts w:ascii="Calibri" w:eastAsia="Calibri" w:hAnsi="Calibri" w:cs="Calibri"/>
          <w:color w:val="222222"/>
          <w:sz w:val="18"/>
          <w:szCs w:val="18"/>
          <w:lang w:val="es-MX" w:eastAsia="fr-FR"/>
        </w:rPr>
      </w:pPr>
      <w:bookmarkStart w:id="0" w:name="_GoBack"/>
      <w:bookmarkEnd w:id="0"/>
    </w:p>
    <w:p w:rsidR="003955A7" w:rsidRPr="006E4540" w:rsidRDefault="003955A7" w:rsidP="003955A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55A7" w:rsidRDefault="003955A7" w:rsidP="002403C8">
      <w:pPr>
        <w:pStyle w:val="Sansinterligne"/>
        <w:tabs>
          <w:tab w:val="left" w:pos="3579"/>
        </w:tabs>
        <w:spacing w:line="360" w:lineRule="auto"/>
        <w:jc w:val="center"/>
        <w:rPr>
          <w:rFonts w:ascii="Arial" w:hAnsi="Arial" w:cs="Arial"/>
          <w:w w:val="140"/>
          <w:sz w:val="14"/>
          <w:lang w:val="es-CO"/>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3955A7">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3955A7">
        <w:rPr>
          <w:rFonts w:ascii="Arial" w:hAnsi="Arial" w:cs="Arial"/>
          <w:sz w:val="22"/>
          <w:szCs w:val="22"/>
        </w:rPr>
        <w:t>- 1ª  instancia - 17 de febrero de 2017</w:t>
      </w:r>
    </w:p>
    <w:p w:rsidR="003955A7" w:rsidRPr="002060F5" w:rsidRDefault="003955A7"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Juzgado</w:t>
      </w:r>
      <w:r w:rsidR="004236DF">
        <w:rPr>
          <w:rFonts w:ascii="Arial" w:hAnsi="Arial" w:cs="Arial"/>
          <w:sz w:val="22"/>
        </w:rPr>
        <w:t xml:space="preserve"> Promiscuo del </w:t>
      </w:r>
      <w:r w:rsidRPr="00964618">
        <w:rPr>
          <w:rFonts w:ascii="Arial" w:hAnsi="Arial" w:cs="Arial"/>
          <w:sz w:val="22"/>
        </w:rPr>
        <w:t>Circuito de</w:t>
      </w:r>
      <w:r w:rsidR="00E65332">
        <w:rPr>
          <w:rFonts w:ascii="Arial" w:hAnsi="Arial" w:cs="Arial"/>
          <w:sz w:val="22"/>
        </w:rPr>
        <w:t xml:space="preserve"> L</w:t>
      </w:r>
      <w:r w:rsidR="004236DF">
        <w:rPr>
          <w:rFonts w:ascii="Arial" w:hAnsi="Arial" w:cs="Arial"/>
          <w:sz w:val="22"/>
        </w:rPr>
        <w:t>a Virginia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4236DF">
        <w:rPr>
          <w:rFonts w:ascii="Arial" w:hAnsi="Arial" w:cs="Arial"/>
          <w:sz w:val="22"/>
        </w:rPr>
        <w:t>7</w:t>
      </w:r>
      <w:r w:rsidR="00F7395A">
        <w:rPr>
          <w:rFonts w:ascii="Arial" w:hAnsi="Arial" w:cs="Arial"/>
          <w:sz w:val="22"/>
        </w:rPr>
        <w:t>-</w:t>
      </w:r>
      <w:r w:rsidR="004236DF">
        <w:rPr>
          <w:rFonts w:ascii="Arial" w:hAnsi="Arial" w:cs="Arial"/>
          <w:sz w:val="22"/>
        </w:rPr>
        <w:t>00059</w:t>
      </w:r>
      <w:r w:rsidRPr="00964618">
        <w:rPr>
          <w:rFonts w:ascii="Arial" w:hAnsi="Arial" w:cs="Arial"/>
          <w:sz w:val="22"/>
        </w:rPr>
        <w:t xml:space="preserve"> (Interno No.</w:t>
      </w:r>
      <w:r w:rsidR="004236DF">
        <w:rPr>
          <w:rFonts w:ascii="Arial" w:hAnsi="Arial" w:cs="Arial"/>
          <w:sz w:val="22"/>
        </w:rPr>
        <w:t xml:space="preserve"> 059</w:t>
      </w:r>
      <w:r w:rsidRPr="00964618">
        <w:rPr>
          <w:rFonts w:ascii="Arial" w:hAnsi="Arial" w:cs="Arial"/>
          <w:sz w:val="22"/>
        </w:rPr>
        <w:t>)</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Default="00026BFF" w:rsidP="00026BFF">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3660F">
        <w:rPr>
          <w:rFonts w:ascii="Arial" w:hAnsi="Arial"/>
          <w:sz w:val="22"/>
          <w:szCs w:val="22"/>
        </w:rPr>
        <w:t>79</w:t>
      </w:r>
      <w:r w:rsidR="00D91F49">
        <w:rPr>
          <w:rFonts w:ascii="Arial" w:hAnsi="Arial"/>
          <w:sz w:val="22"/>
          <w:szCs w:val="22"/>
        </w:rPr>
        <w:t xml:space="preserve"> de </w:t>
      </w:r>
      <w:r w:rsidR="0023660F">
        <w:rPr>
          <w:rFonts w:ascii="Arial" w:hAnsi="Arial"/>
          <w:sz w:val="22"/>
          <w:szCs w:val="22"/>
        </w:rPr>
        <w:t>17</w:t>
      </w:r>
      <w:r w:rsidR="00D91F49">
        <w:rPr>
          <w:rFonts w:ascii="Arial" w:hAnsi="Arial"/>
          <w:sz w:val="22"/>
          <w:szCs w:val="22"/>
        </w:rPr>
        <w:t>-0</w:t>
      </w:r>
      <w:r w:rsidR="004236DF">
        <w:rPr>
          <w:rFonts w:ascii="Arial" w:hAnsi="Arial"/>
          <w:sz w:val="22"/>
          <w:szCs w:val="22"/>
        </w:rPr>
        <w:t>2</w:t>
      </w:r>
      <w:r w:rsidR="00D91F49">
        <w:rPr>
          <w:rFonts w:ascii="Arial" w:hAnsi="Arial"/>
          <w:sz w:val="22"/>
          <w:szCs w:val="22"/>
        </w:rPr>
        <w:t>-2017</w:t>
      </w:r>
    </w:p>
    <w:p w:rsidR="003955A7" w:rsidRPr="00C76100" w:rsidRDefault="003955A7" w:rsidP="00026BFF">
      <w:pPr>
        <w:spacing w:line="360" w:lineRule="auto"/>
        <w:ind w:left="708" w:firstLine="708"/>
        <w:rPr>
          <w:rFonts w:ascii="Arial" w:hAnsi="Arial"/>
          <w:sz w:val="6"/>
          <w:szCs w:val="6"/>
        </w:rPr>
      </w:pPr>
    </w:p>
    <w:p w:rsidR="00C76100" w:rsidRPr="00C76100" w:rsidRDefault="003955A7" w:rsidP="00C76100">
      <w:pPr>
        <w:pStyle w:val="Corpsdetexte"/>
        <w:spacing w:line="240" w:lineRule="auto"/>
        <w:ind w:left="1416" w:hanging="1416"/>
        <w:rPr>
          <w:rFonts w:ascii="Arial" w:hAnsi="Arial" w:cs="Arial"/>
          <w:bCs/>
          <w:iCs/>
          <w:sz w:val="22"/>
          <w:szCs w:val="22"/>
          <w:lang w:val="es-ES"/>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C76100" w:rsidRPr="00C76100">
        <w:rPr>
          <w:rFonts w:ascii="Arial" w:hAnsi="Arial" w:cs="Arial"/>
          <w:b/>
          <w:bCs/>
          <w:iCs/>
          <w:sz w:val="22"/>
          <w:szCs w:val="22"/>
          <w:lang w:val="es-ES"/>
        </w:rPr>
        <w:t>D</w:t>
      </w:r>
      <w:proofErr w:type="spellStart"/>
      <w:r w:rsidR="00C76100" w:rsidRPr="00C76100">
        <w:rPr>
          <w:rFonts w:ascii="Arial" w:hAnsi="Arial" w:cs="Arial"/>
          <w:b/>
          <w:bCs/>
          <w:iCs/>
          <w:sz w:val="22"/>
          <w:szCs w:val="22"/>
          <w:lang w:val="es-CO"/>
        </w:rPr>
        <w:t>EBIDO</w:t>
      </w:r>
      <w:proofErr w:type="spellEnd"/>
      <w:r w:rsidR="00C76100" w:rsidRPr="00C76100">
        <w:rPr>
          <w:rFonts w:ascii="Arial" w:hAnsi="Arial" w:cs="Arial"/>
          <w:b/>
          <w:bCs/>
          <w:iCs/>
          <w:sz w:val="22"/>
          <w:szCs w:val="22"/>
          <w:lang w:val="es-CO"/>
        </w:rPr>
        <w:t xml:space="preserve"> PROCESO / TUTELA CONTRA PROVIDENCIA JUDICIAL / RECHAZO DE ACCIONES POPULARES</w:t>
      </w:r>
      <w:r w:rsidR="00C76100" w:rsidRPr="00C76100">
        <w:rPr>
          <w:rFonts w:ascii="Arial" w:hAnsi="Arial" w:cs="Arial"/>
          <w:b/>
          <w:bCs/>
          <w:iCs/>
          <w:sz w:val="22"/>
          <w:szCs w:val="22"/>
          <w:lang w:val="es-ES"/>
        </w:rPr>
        <w:t xml:space="preserve"> / CARÁCTER RESIDUAL DE LA ACCIÓN DE TUTELA /</w:t>
      </w:r>
      <w:r w:rsidR="00C76100" w:rsidRPr="00C76100">
        <w:rPr>
          <w:rFonts w:ascii="Arial" w:hAnsi="Arial" w:cs="Arial"/>
          <w:b/>
          <w:bCs/>
          <w:iCs/>
          <w:sz w:val="22"/>
          <w:szCs w:val="22"/>
          <w:lang w:val="es-CO"/>
        </w:rPr>
        <w:t xml:space="preserve"> NO SE AGOTARON LOS RECURSOS / IMPROCEDENCIA. </w:t>
      </w:r>
      <w:r w:rsidR="00C76100" w:rsidRPr="00C76100">
        <w:rPr>
          <w:rFonts w:ascii="Arial" w:hAnsi="Arial" w:cs="Arial"/>
          <w:bCs/>
          <w:iCs/>
          <w:sz w:val="22"/>
          <w:szCs w:val="22"/>
        </w:rPr>
        <w:t xml:space="preserve"> “Conforme al acervo probatorio el despacho judicial accionado mediante proveído que data del 13-12-2016, </w:t>
      </w:r>
      <w:r w:rsidR="00C76100" w:rsidRPr="00C76100">
        <w:rPr>
          <w:rFonts w:ascii="Arial" w:hAnsi="Arial" w:cs="Arial"/>
          <w:bCs/>
          <w:iCs/>
          <w:sz w:val="22"/>
          <w:szCs w:val="22"/>
          <w:lang w:val="es-ES"/>
        </w:rPr>
        <w:t xml:space="preserve">inadmitió la acción popular y requirió al actor para que, en el término de tres (3) días, pues debía determinar el domicilio, acreditar la existencia y representación de la parte demandada; indicar el derecho colectivo vulnerado y personas afectadas y las pruebas de los supuestos fácticos, decisión que fue recurrida en reposición y negada la  apelación el 18-01-2017 (Folio 4 ibídem); vencido el término para subsanar la demanda, con auto del 30-01-2017 (Folio 6, ib.) la rechazó y dispuso su archivo, sin que haya sido recurrido (Folio 38 ib.). En ese orden de ideas, se tiene que el accionante pretermitió agotar el recurso de reposición (Artículo 36, Ley 472), frente al proveído que rechazó </w:t>
      </w:r>
      <w:r w:rsidR="00C76100" w:rsidRPr="00C76100">
        <w:rPr>
          <w:rFonts w:ascii="Arial" w:hAnsi="Arial" w:cs="Arial"/>
          <w:bCs/>
          <w:iCs/>
          <w:sz w:val="22"/>
          <w:szCs w:val="22"/>
        </w:rPr>
        <w:t>la acción popular</w:t>
      </w:r>
      <w:r w:rsidR="00C76100" w:rsidRPr="00C76100">
        <w:rPr>
          <w:rFonts w:ascii="Arial" w:hAnsi="Arial" w:cs="Arial"/>
          <w:bCs/>
          <w:iCs/>
          <w:sz w:val="22"/>
          <w:szCs w:val="22"/>
          <w:lang w:val="es-ES"/>
        </w:rPr>
        <w:t xml:space="preserve">, cuando ese era el mecanismo ordinario y expedito que tenía para procurar que el estrado judicial accionado reconsiderara aquella determinación. </w:t>
      </w:r>
      <w:r w:rsidR="00C76100" w:rsidRPr="00C76100">
        <w:rPr>
          <w:rFonts w:ascii="Arial" w:hAnsi="Arial" w:cs="Arial"/>
          <w:bCs/>
          <w:iCs/>
          <w:sz w:val="22"/>
          <w:szCs w:val="22"/>
        </w:rPr>
        <w:t xml:space="preserve">Evidente, entonces, es la falta de agotamiento del supuesto de subsidiariedad, como ha explicado </w:t>
      </w:r>
      <w:r w:rsidR="00C76100" w:rsidRPr="00C76100">
        <w:rPr>
          <w:rFonts w:ascii="Arial" w:hAnsi="Arial" w:cs="Arial"/>
          <w:bCs/>
          <w:iCs/>
          <w:sz w:val="22"/>
          <w:szCs w:val="22"/>
          <w:lang w:val="es-ES"/>
        </w:rPr>
        <w:t xml:space="preserve">la CC, que reiteradamente ha referido que la acción de tutela mal puede implementarse como medio para sustituir los mecanismos ordinarios de defensa, cuando por negligencia, descuido o incuria no fueron utilizados. (…) </w:t>
      </w:r>
      <w:r w:rsidR="00C76100" w:rsidRPr="00C76100">
        <w:rPr>
          <w:rFonts w:ascii="Arial" w:hAnsi="Arial" w:cs="Arial"/>
          <w:bCs/>
          <w:iCs/>
          <w:sz w:val="22"/>
          <w:szCs w:val="22"/>
        </w:rPr>
        <w:t>En ese contexto, la presente acción de tutela es improcedente toda vez que se incumple con uno de los siete (7) requisitos generales de procedibilidad, como lo es el de la subsidiariedad, pues no se formuló el recurso ordinario</w:t>
      </w:r>
      <w:r w:rsidR="00C76100" w:rsidRPr="00C76100">
        <w:rPr>
          <w:rFonts w:ascii="Arial" w:hAnsi="Arial" w:cs="Arial"/>
          <w:bCs/>
          <w:iCs/>
          <w:sz w:val="22"/>
          <w:szCs w:val="22"/>
          <w:lang w:val="es-ES"/>
        </w:rPr>
        <w:t>.”.</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23660F">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sidR="0023660F">
        <w:rPr>
          <w:rFonts w:ascii="Arial" w:hAnsi="Arial" w:cs="Arial"/>
          <w:iCs/>
          <w:smallCaps/>
          <w:sz w:val="28"/>
          <w:szCs w:val="28"/>
          <w:lang w:val="es-CO"/>
        </w:rPr>
        <w:t>17</w:t>
      </w:r>
      <w:r w:rsidRPr="00D11143">
        <w:rPr>
          <w:rFonts w:ascii="Arial" w:hAnsi="Arial" w:cs="Arial"/>
          <w:iCs/>
          <w:smallCaps/>
          <w:sz w:val="28"/>
          <w:szCs w:val="28"/>
          <w:lang w:val="es-CO"/>
        </w:rPr>
        <w:t xml:space="preserve">) de </w:t>
      </w:r>
      <w:r w:rsidR="004236DF">
        <w:rPr>
          <w:rFonts w:ascii="Arial" w:hAnsi="Arial" w:cs="Arial"/>
          <w:iCs/>
          <w:smallCaps/>
          <w:sz w:val="28"/>
          <w:szCs w:val="28"/>
          <w:lang w:val="es-CO"/>
        </w:rPr>
        <w:t>febrero</w:t>
      </w:r>
      <w:r w:rsidR="00D11143">
        <w:rPr>
          <w:rFonts w:ascii="Arial" w:hAnsi="Arial" w:cs="Arial"/>
          <w:iCs/>
          <w:smallCaps/>
          <w:sz w:val="28"/>
          <w:szCs w:val="28"/>
          <w:lang w:val="es-CO"/>
        </w:rPr>
        <w:t xml:space="preserve">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E65332" w:rsidRDefault="000147A2" w:rsidP="0099045D">
      <w:pPr>
        <w:spacing w:line="360" w:lineRule="auto"/>
        <w:jc w:val="center"/>
        <w:rPr>
          <w:rFonts w:ascii="Arial" w:hAnsi="Arial" w:cs="Arial"/>
          <w:b/>
          <w:bCs/>
          <w:sz w:val="22"/>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E65332" w:rsidRDefault="00CB272A" w:rsidP="00CB272A">
      <w:pPr>
        <w:pStyle w:val="Corpsdetexte"/>
        <w:spacing w:line="360" w:lineRule="auto"/>
        <w:rPr>
          <w:rFonts w:ascii="Arial" w:hAnsi="Arial"/>
          <w:sz w:val="22"/>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w:t>
      </w:r>
    </w:p>
    <w:p w:rsidR="00CB272A" w:rsidRPr="00E65332" w:rsidRDefault="00CB272A" w:rsidP="00CB272A">
      <w:pPr>
        <w:pStyle w:val="Corpsdetexte"/>
        <w:spacing w:line="360" w:lineRule="auto"/>
        <w:rPr>
          <w:rFonts w:ascii="Arial" w:hAnsi="Arial" w:cs="Arial"/>
          <w:sz w:val="22"/>
          <w:szCs w:val="24"/>
        </w:rPr>
      </w:pPr>
    </w:p>
    <w:p w:rsidR="006D6390" w:rsidRPr="000F0BE0" w:rsidRDefault="006D6390" w:rsidP="006D6390">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F0BE0">
        <w:rPr>
          <w:rFonts w:ascii="Arial" w:hAnsi="Arial"/>
          <w:smallCaps/>
          <w:sz w:val="28"/>
          <w:szCs w:val="28"/>
        </w:rPr>
        <w:t>a síntesis de los supuestos fácticos relevantes</w:t>
      </w:r>
    </w:p>
    <w:p w:rsidR="006D6390" w:rsidRPr="00E65332" w:rsidRDefault="006D6390" w:rsidP="006D6390">
      <w:pPr>
        <w:pStyle w:val="Corpsdetexte"/>
        <w:spacing w:line="360" w:lineRule="auto"/>
        <w:rPr>
          <w:rFonts w:ascii="Arial" w:hAnsi="Arial" w:cs="Arial"/>
          <w:sz w:val="22"/>
          <w:szCs w:val="24"/>
        </w:rPr>
      </w:pPr>
    </w:p>
    <w:p w:rsidR="006D6390" w:rsidRDefault="006D6390" w:rsidP="006D6390">
      <w:pPr>
        <w:spacing w:line="360" w:lineRule="auto"/>
        <w:jc w:val="both"/>
        <w:rPr>
          <w:rFonts w:ascii="Arial" w:hAnsi="Arial" w:cs="Arial"/>
        </w:rPr>
      </w:pPr>
      <w:r>
        <w:rPr>
          <w:rFonts w:ascii="Arial" w:hAnsi="Arial" w:cs="Arial"/>
          <w:color w:val="000000"/>
        </w:rPr>
        <w:t xml:space="preserve">Relató </w:t>
      </w:r>
      <w:r>
        <w:rPr>
          <w:rFonts w:ascii="Arial" w:hAnsi="Arial" w:cs="Arial"/>
        </w:rPr>
        <w:t xml:space="preserve">el actor que presentó ante el accionado la acción popular radicada al No.2016-00440-00, pero fue rechazada por razones que no comparte; consideró que esa conducta contraviene el artículo 18 de la Ley 472 (Folio 1, este cuaderno). </w:t>
      </w:r>
    </w:p>
    <w:p w:rsidR="000844AD" w:rsidRPr="00455E2D" w:rsidRDefault="000844AD" w:rsidP="006D6390">
      <w:pPr>
        <w:spacing w:line="360" w:lineRule="auto"/>
        <w:jc w:val="both"/>
        <w:rPr>
          <w:rFonts w:ascii="Arial" w:hAnsi="Arial" w:cs="Arial"/>
          <w:color w:val="000000"/>
          <w:sz w:val="22"/>
        </w:rPr>
      </w:pPr>
    </w:p>
    <w:p w:rsidR="006D6390" w:rsidRPr="000F0BE0" w:rsidRDefault="006D6390" w:rsidP="006D6390">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6D6390" w:rsidRPr="00E65332" w:rsidRDefault="006D6390" w:rsidP="006D63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6D6390" w:rsidRDefault="006D6390" w:rsidP="006D63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szCs w:val="22"/>
          <w:lang w:val="es-ES_tradnl"/>
        </w:rPr>
        <w:t>Refiere en el</w:t>
      </w:r>
      <w:r w:rsidRPr="00A74C9E">
        <w:rPr>
          <w:rFonts w:ascii="Arial" w:hAnsi="Arial" w:cs="Arial"/>
          <w:spacing w:val="-3"/>
          <w:szCs w:val="22"/>
          <w:lang w:val="es-ES_tradnl"/>
        </w:rPr>
        <w:t xml:space="preserve"> escrito</w:t>
      </w:r>
      <w:r>
        <w:rPr>
          <w:rFonts w:ascii="Arial" w:hAnsi="Arial" w:cs="Arial"/>
          <w:spacing w:val="-3"/>
          <w:szCs w:val="22"/>
          <w:lang w:val="es-ES_tradnl"/>
        </w:rPr>
        <w:t xml:space="preserve"> </w:t>
      </w:r>
      <w:r w:rsidRPr="00A74C9E">
        <w:rPr>
          <w:rFonts w:ascii="Arial" w:hAnsi="Arial" w:cs="Arial"/>
          <w:spacing w:val="-3"/>
          <w:szCs w:val="22"/>
          <w:lang w:val="es-ES_tradnl"/>
        </w:rPr>
        <w:t xml:space="preserve">de tutela </w:t>
      </w:r>
      <w:r>
        <w:rPr>
          <w:rFonts w:ascii="Arial" w:hAnsi="Arial" w:cs="Arial"/>
          <w:spacing w:val="-3"/>
          <w:szCs w:val="22"/>
          <w:lang w:val="es-ES_tradnl"/>
        </w:rPr>
        <w:t xml:space="preserve">que corresponde </w:t>
      </w:r>
      <w:r w:rsidRPr="00A74C9E">
        <w:rPr>
          <w:rFonts w:ascii="Arial" w:hAnsi="Arial" w:cs="Arial"/>
          <w:spacing w:val="-3"/>
          <w:szCs w:val="22"/>
          <w:lang w:val="es-ES_tradnl"/>
        </w:rPr>
        <w:t>a</w:t>
      </w:r>
      <w:r w:rsidRPr="00A74C9E">
        <w:rPr>
          <w:rFonts w:ascii="Arial" w:hAnsi="Arial" w:cs="Arial"/>
          <w:i/>
          <w:spacing w:val="-3"/>
          <w:szCs w:val="22"/>
          <w:lang w:val="es-ES_tradnl"/>
        </w:rPr>
        <w:t xml:space="preserve"> </w:t>
      </w:r>
      <w:r w:rsidRPr="00633D1D">
        <w:rPr>
          <w:rFonts w:ascii="Arial" w:hAnsi="Arial" w:cs="Arial"/>
          <w:i/>
          <w:spacing w:val="-3"/>
          <w:sz w:val="22"/>
          <w:lang w:val="es-ES_tradnl"/>
        </w:rPr>
        <w:t xml:space="preserve">“(…) las garantías procesales (…)” </w:t>
      </w:r>
      <w:r>
        <w:rPr>
          <w:rFonts w:ascii="Arial" w:hAnsi="Arial" w:cs="Arial"/>
        </w:rPr>
        <w:t xml:space="preserve">(Folio </w:t>
      </w:r>
      <w:r w:rsidR="00870157">
        <w:rPr>
          <w:rFonts w:ascii="Arial" w:hAnsi="Arial" w:cs="Arial"/>
        </w:rPr>
        <w:t>2</w:t>
      </w:r>
      <w:r>
        <w:rPr>
          <w:rFonts w:ascii="Arial" w:hAnsi="Arial" w:cs="Arial"/>
        </w:rPr>
        <w:t>, este cuaderno</w:t>
      </w:r>
      <w:r w:rsidRPr="00FD594D">
        <w:rPr>
          <w:rFonts w:ascii="Arial" w:hAnsi="Arial" w:cs="Arial"/>
        </w:rPr>
        <w:t>).</w:t>
      </w:r>
      <w:r>
        <w:rPr>
          <w:rFonts w:ascii="Arial" w:hAnsi="Arial" w:cs="Arial"/>
          <w:spacing w:val="-3"/>
          <w:lang w:val="es-ES_tradnl"/>
        </w:rPr>
        <w:t xml:space="preserve"> </w:t>
      </w:r>
    </w:p>
    <w:p w:rsidR="006D6390" w:rsidRPr="00455E2D" w:rsidRDefault="006D6390" w:rsidP="006D63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6D6390" w:rsidRPr="000F0BE0" w:rsidRDefault="006D6390" w:rsidP="006D6390">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F0BE0">
        <w:rPr>
          <w:rFonts w:ascii="Arial" w:hAnsi="Arial"/>
          <w:smallCaps/>
          <w:sz w:val="28"/>
          <w:szCs w:val="28"/>
        </w:rPr>
        <w:t>a petición de protección</w:t>
      </w:r>
    </w:p>
    <w:p w:rsidR="006D6390" w:rsidRPr="00E65332" w:rsidRDefault="006D6390" w:rsidP="006D6390">
      <w:pPr>
        <w:spacing w:line="360" w:lineRule="auto"/>
        <w:jc w:val="both"/>
        <w:rPr>
          <w:rFonts w:ascii="Arial" w:hAnsi="Arial" w:cs="Arial"/>
          <w:sz w:val="22"/>
        </w:rPr>
      </w:pPr>
    </w:p>
    <w:p w:rsidR="006D6390" w:rsidRDefault="006D6390" w:rsidP="006D6390">
      <w:pPr>
        <w:spacing w:line="360" w:lineRule="auto"/>
        <w:jc w:val="both"/>
        <w:rPr>
          <w:rFonts w:ascii="Arial" w:hAnsi="Arial" w:cs="Arial"/>
        </w:rPr>
      </w:pPr>
      <w:r w:rsidRPr="00633D1D">
        <w:rPr>
          <w:rFonts w:ascii="Arial" w:hAnsi="Arial" w:cs="Arial"/>
        </w:rPr>
        <w:t>P</w:t>
      </w:r>
      <w:r>
        <w:rPr>
          <w:rFonts w:ascii="Arial" w:hAnsi="Arial" w:cs="Arial"/>
        </w:rPr>
        <w:t>ide:</w:t>
      </w:r>
      <w:r w:rsidRPr="00633D1D">
        <w:rPr>
          <w:rFonts w:ascii="Arial" w:hAnsi="Arial" w:cs="Arial"/>
        </w:rPr>
        <w:t xml:space="preserve"> (i) Se ordene al accionado admitir la acci</w:t>
      </w:r>
      <w:r>
        <w:rPr>
          <w:rFonts w:ascii="Arial" w:hAnsi="Arial" w:cs="Arial"/>
        </w:rPr>
        <w:t xml:space="preserve">ón </w:t>
      </w:r>
      <w:r w:rsidRPr="00633D1D">
        <w:rPr>
          <w:rFonts w:ascii="Arial" w:hAnsi="Arial" w:cs="Arial"/>
        </w:rPr>
        <w:t>popular y, (ii) Se</w:t>
      </w:r>
      <w:r w:rsidR="00870157">
        <w:rPr>
          <w:rFonts w:ascii="Arial" w:hAnsi="Arial" w:cs="Arial"/>
        </w:rPr>
        <w:t xml:space="preserve"> revoque e</w:t>
      </w:r>
      <w:r w:rsidRPr="00633D1D">
        <w:rPr>
          <w:rFonts w:ascii="Arial" w:hAnsi="Arial" w:cs="Arial"/>
        </w:rPr>
        <w:t>l auto que la rechaz</w:t>
      </w:r>
      <w:r>
        <w:rPr>
          <w:rFonts w:ascii="Arial" w:hAnsi="Arial" w:cs="Arial"/>
        </w:rPr>
        <w:t xml:space="preserve">ó (Folio </w:t>
      </w:r>
      <w:r w:rsidR="00870157">
        <w:rPr>
          <w:rFonts w:ascii="Arial" w:hAnsi="Arial" w:cs="Arial"/>
        </w:rPr>
        <w:t>2</w:t>
      </w:r>
      <w:r>
        <w:rPr>
          <w:rFonts w:ascii="Arial" w:hAnsi="Arial" w:cs="Arial"/>
        </w:rPr>
        <w:t>, este cuaderno</w:t>
      </w:r>
      <w:r w:rsidRPr="00FD594D">
        <w:rPr>
          <w:rFonts w:ascii="Arial" w:hAnsi="Arial" w:cs="Arial"/>
        </w:rPr>
        <w:t>).</w:t>
      </w:r>
    </w:p>
    <w:p w:rsidR="00870157" w:rsidRPr="00FD594D" w:rsidRDefault="00870157" w:rsidP="006D6390">
      <w:pPr>
        <w:spacing w:line="360" w:lineRule="auto"/>
        <w:jc w:val="both"/>
        <w:rPr>
          <w:rFonts w:ascii="Arial" w:hAnsi="Arial" w:cs="Arial"/>
        </w:rPr>
      </w:pPr>
    </w:p>
    <w:p w:rsidR="006D6390" w:rsidRPr="000F0BE0" w:rsidRDefault="006D6390" w:rsidP="006D639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síntesis de la crónica procesal</w:t>
      </w:r>
    </w:p>
    <w:p w:rsidR="006D6390" w:rsidRPr="00455E2D" w:rsidRDefault="006D6390" w:rsidP="006D6390">
      <w:pPr>
        <w:pStyle w:val="Sansinterligne"/>
        <w:tabs>
          <w:tab w:val="left" w:pos="1200"/>
        </w:tabs>
        <w:spacing w:line="360" w:lineRule="auto"/>
        <w:jc w:val="both"/>
        <w:rPr>
          <w:rFonts w:ascii="Arial" w:hAnsi="Arial"/>
          <w:sz w:val="22"/>
          <w:szCs w:val="24"/>
        </w:rPr>
      </w:pPr>
    </w:p>
    <w:p w:rsidR="00381B1E" w:rsidRDefault="006D6390" w:rsidP="006D6390">
      <w:pPr>
        <w:spacing w:line="360" w:lineRule="auto"/>
        <w:jc w:val="both"/>
        <w:rPr>
          <w:rFonts w:ascii="Arial" w:hAnsi="Arial"/>
          <w:lang w:val="es-CO"/>
        </w:rPr>
      </w:pPr>
      <w:r>
        <w:rPr>
          <w:rFonts w:ascii="Arial" w:hAnsi="Arial"/>
        </w:rPr>
        <w:t xml:space="preserve">Correspondió </w:t>
      </w:r>
      <w:r w:rsidRPr="00704D44">
        <w:rPr>
          <w:rFonts w:ascii="Arial" w:hAnsi="Arial"/>
        </w:rPr>
        <w:t>a</w:t>
      </w:r>
      <w:r>
        <w:rPr>
          <w:rFonts w:ascii="Arial" w:hAnsi="Arial"/>
        </w:rPr>
        <w:t xml:space="preserve"> este Despacho</w:t>
      </w:r>
      <w:r w:rsidRPr="00704D44">
        <w:rPr>
          <w:rFonts w:ascii="Arial" w:hAnsi="Arial"/>
        </w:rPr>
        <w:t xml:space="preserve"> </w:t>
      </w:r>
      <w:r>
        <w:rPr>
          <w:rFonts w:ascii="Arial" w:hAnsi="Arial"/>
        </w:rPr>
        <w:t>p</w:t>
      </w:r>
      <w:r w:rsidRPr="00704D44">
        <w:rPr>
          <w:rFonts w:ascii="Arial" w:hAnsi="Arial"/>
        </w:rPr>
        <w:t xml:space="preserve">or reparto ordinario </w:t>
      </w:r>
      <w:r>
        <w:rPr>
          <w:rFonts w:ascii="Arial" w:hAnsi="Arial"/>
        </w:rPr>
        <w:t>e</w:t>
      </w:r>
      <w:r w:rsidRPr="00704D44">
        <w:rPr>
          <w:rFonts w:ascii="Arial" w:hAnsi="Arial"/>
        </w:rPr>
        <w:t xml:space="preserve">l </w:t>
      </w:r>
      <w:r w:rsidR="00B45D0F">
        <w:rPr>
          <w:rFonts w:ascii="Arial" w:hAnsi="Arial"/>
        </w:rPr>
        <w:t>03</w:t>
      </w:r>
      <w:r>
        <w:rPr>
          <w:rFonts w:ascii="Arial" w:hAnsi="Arial"/>
        </w:rPr>
        <w:t>-</w:t>
      </w:r>
      <w:r w:rsidR="00B45D0F">
        <w:rPr>
          <w:rFonts w:ascii="Arial" w:hAnsi="Arial"/>
        </w:rPr>
        <w:t>0</w:t>
      </w:r>
      <w:r>
        <w:rPr>
          <w:rFonts w:ascii="Arial" w:hAnsi="Arial"/>
        </w:rPr>
        <w:t>2-201</w:t>
      </w:r>
      <w:r w:rsidR="00B45D0F">
        <w:rPr>
          <w:rFonts w:ascii="Arial" w:hAnsi="Arial"/>
        </w:rPr>
        <w:t>7</w:t>
      </w:r>
      <w:r>
        <w:rPr>
          <w:rFonts w:ascii="Arial" w:hAnsi="Arial"/>
        </w:rPr>
        <w:t xml:space="preserve">, </w:t>
      </w:r>
      <w:r w:rsidRPr="00FD594D">
        <w:rPr>
          <w:rFonts w:ascii="Arial" w:hAnsi="Arial" w:cs="Arial"/>
          <w:color w:val="000000"/>
        </w:rPr>
        <w:t xml:space="preserve">con providencia </w:t>
      </w:r>
      <w:r>
        <w:rPr>
          <w:rFonts w:ascii="Arial" w:hAnsi="Arial" w:cs="Arial"/>
          <w:color w:val="000000"/>
        </w:rPr>
        <w:t xml:space="preserve">del </w:t>
      </w:r>
      <w:r w:rsidR="00B45D0F">
        <w:rPr>
          <w:rFonts w:ascii="Arial" w:hAnsi="Arial" w:cs="Arial"/>
          <w:color w:val="000000"/>
        </w:rPr>
        <w:t>mismo día</w:t>
      </w:r>
      <w:r>
        <w:rPr>
          <w:rFonts w:ascii="Arial" w:hAnsi="Arial" w:cs="Arial"/>
          <w:color w:val="000000"/>
        </w:rPr>
        <w:t>, se admitió,</w:t>
      </w:r>
      <w:r w:rsidRPr="00FD594D">
        <w:rPr>
          <w:rFonts w:ascii="Arial" w:hAnsi="Arial" w:cs="Arial"/>
          <w:color w:val="000000"/>
        </w:rPr>
        <w:t xml:space="preserve"> </w:t>
      </w:r>
      <w:r w:rsidRPr="00FD594D">
        <w:rPr>
          <w:rFonts w:ascii="Arial" w:hAnsi="Arial"/>
        </w:rPr>
        <w:t xml:space="preserve">se ordenó vincular a quienes se estimó conveniente y, se dispuso notificar a la partes, entre otros ordenamientos </w:t>
      </w:r>
      <w:r>
        <w:rPr>
          <w:rFonts w:ascii="Arial" w:hAnsi="Arial" w:cs="Arial"/>
          <w:color w:val="000000"/>
        </w:rPr>
        <w:t>(Folio</w:t>
      </w:r>
      <w:r w:rsidRPr="00FD594D">
        <w:rPr>
          <w:rFonts w:ascii="Arial" w:hAnsi="Arial" w:cs="Arial"/>
          <w:color w:val="000000"/>
        </w:rPr>
        <w:t xml:space="preserve"> </w:t>
      </w:r>
      <w:r w:rsidR="00381B1E">
        <w:rPr>
          <w:rFonts w:ascii="Arial" w:hAnsi="Arial" w:cs="Arial"/>
          <w:color w:val="000000"/>
        </w:rPr>
        <w:t>22</w:t>
      </w:r>
      <w:r>
        <w:rPr>
          <w:rFonts w:ascii="Arial" w:hAnsi="Arial" w:cs="Arial"/>
          <w:color w:val="000000"/>
        </w:rPr>
        <w:t>,</w:t>
      </w:r>
      <w:r w:rsidRPr="00FD594D">
        <w:rPr>
          <w:rFonts w:ascii="Arial" w:hAnsi="Arial" w:cs="Arial"/>
          <w:color w:val="000000"/>
        </w:rPr>
        <w:t xml:space="preserve"> ibídem)</w:t>
      </w:r>
      <w:r w:rsidRPr="008E5A62">
        <w:rPr>
          <w:rFonts w:ascii="Arial" w:hAnsi="Arial"/>
        </w:rPr>
        <w:t xml:space="preserve">. Fueron debidamente </w:t>
      </w:r>
      <w:r>
        <w:rPr>
          <w:rFonts w:ascii="Arial" w:hAnsi="Arial"/>
        </w:rPr>
        <w:t xml:space="preserve">enterados </w:t>
      </w:r>
      <w:r w:rsidRPr="008E5A62">
        <w:rPr>
          <w:rFonts w:ascii="Arial" w:hAnsi="Arial"/>
        </w:rPr>
        <w:t xml:space="preserve">los extremos de la </w:t>
      </w:r>
      <w:r>
        <w:rPr>
          <w:rFonts w:ascii="Arial" w:hAnsi="Arial"/>
        </w:rPr>
        <w:t>acción (Folio</w:t>
      </w:r>
      <w:r w:rsidR="00381B1E">
        <w:rPr>
          <w:rFonts w:ascii="Arial" w:hAnsi="Arial"/>
        </w:rPr>
        <w:t>s 23 a 24</w:t>
      </w:r>
      <w:r>
        <w:rPr>
          <w:rFonts w:ascii="Arial" w:hAnsi="Arial"/>
        </w:rPr>
        <w:t xml:space="preserve">, </w:t>
      </w:r>
      <w:r w:rsidRPr="00FD594D">
        <w:rPr>
          <w:rFonts w:ascii="Arial" w:hAnsi="Arial" w:cs="Arial"/>
          <w:color w:val="000000"/>
        </w:rPr>
        <w:t>ibídem</w:t>
      </w:r>
      <w:r>
        <w:rPr>
          <w:rFonts w:ascii="Arial" w:hAnsi="Arial"/>
        </w:rPr>
        <w:t>)</w:t>
      </w:r>
      <w:r w:rsidRPr="008E5A62">
        <w:rPr>
          <w:rFonts w:ascii="Arial" w:hAnsi="Arial"/>
        </w:rPr>
        <w:t xml:space="preserve">. </w:t>
      </w:r>
      <w:r>
        <w:rPr>
          <w:rFonts w:ascii="Arial" w:hAnsi="Arial"/>
        </w:rPr>
        <w:t xml:space="preserve">Contestó </w:t>
      </w:r>
      <w:r>
        <w:rPr>
          <w:rFonts w:ascii="Arial" w:hAnsi="Arial"/>
          <w:lang w:val="es-CO"/>
        </w:rPr>
        <w:t xml:space="preserve">la </w:t>
      </w:r>
      <w:r w:rsidR="00381B1E">
        <w:rPr>
          <w:rFonts w:ascii="Arial" w:hAnsi="Arial"/>
          <w:lang w:val="es-CO"/>
        </w:rPr>
        <w:t xml:space="preserve">Procuraduría Regional de Risaralda </w:t>
      </w:r>
      <w:r>
        <w:rPr>
          <w:rFonts w:ascii="Arial" w:hAnsi="Arial"/>
          <w:lang w:val="es-CO"/>
        </w:rPr>
        <w:t xml:space="preserve">(Folio </w:t>
      </w:r>
      <w:r w:rsidR="00381B1E">
        <w:rPr>
          <w:rFonts w:ascii="Arial" w:hAnsi="Arial"/>
          <w:lang w:val="es-CO"/>
        </w:rPr>
        <w:t>25</w:t>
      </w:r>
      <w:r>
        <w:rPr>
          <w:rFonts w:ascii="Arial" w:hAnsi="Arial"/>
          <w:lang w:val="es-CO"/>
        </w:rPr>
        <w:t xml:space="preserve">, </w:t>
      </w:r>
      <w:r w:rsidRPr="00FD594D">
        <w:rPr>
          <w:rFonts w:ascii="Arial" w:hAnsi="Arial" w:cs="Arial"/>
          <w:color w:val="000000"/>
        </w:rPr>
        <w:t>ibídem</w:t>
      </w:r>
      <w:r>
        <w:rPr>
          <w:rFonts w:ascii="Arial" w:hAnsi="Arial"/>
          <w:lang w:val="es-CO"/>
        </w:rPr>
        <w:t>)</w:t>
      </w:r>
      <w:r w:rsidR="00381B1E">
        <w:rPr>
          <w:rFonts w:ascii="Arial" w:hAnsi="Arial"/>
          <w:lang w:val="es-CO"/>
        </w:rPr>
        <w:t>, el accionado el que arrimó las copias requeridas</w:t>
      </w:r>
      <w:r w:rsidR="00381B1E">
        <w:rPr>
          <w:rFonts w:ascii="Arial" w:hAnsi="Arial" w:cs="Arial"/>
          <w:spacing w:val="3"/>
        </w:rPr>
        <w:t xml:space="preserve"> en </w:t>
      </w:r>
      <w:r w:rsidR="00381B1E" w:rsidRPr="00582CA4">
        <w:rPr>
          <w:rFonts w:ascii="Arial" w:hAnsi="Arial" w:cs="Arial"/>
          <w:spacing w:val="3"/>
        </w:rPr>
        <w:t>un disco compacto</w:t>
      </w:r>
      <w:r w:rsidR="00381B1E">
        <w:rPr>
          <w:rFonts w:ascii="Arial" w:hAnsi="Arial" w:cs="Arial"/>
          <w:spacing w:val="3"/>
        </w:rPr>
        <w:t xml:space="preserve"> (Folios 28 a 30, ib.) y</w:t>
      </w:r>
      <w:r w:rsidR="00E65332">
        <w:rPr>
          <w:rFonts w:ascii="Arial" w:hAnsi="Arial"/>
          <w:lang w:val="es-CO"/>
        </w:rPr>
        <w:t>, la Alcaldía Municipal de L</w:t>
      </w:r>
      <w:r w:rsidR="00381B1E">
        <w:rPr>
          <w:rFonts w:ascii="Arial" w:hAnsi="Arial"/>
          <w:lang w:val="es-CO"/>
        </w:rPr>
        <w:t>a Virginia R</w:t>
      </w:r>
      <w:r w:rsidR="00E65332">
        <w:rPr>
          <w:rFonts w:ascii="Arial" w:hAnsi="Arial"/>
          <w:lang w:val="es-CO"/>
        </w:rPr>
        <w:t xml:space="preserve">. </w:t>
      </w:r>
      <w:r w:rsidR="00381B1E">
        <w:rPr>
          <w:rFonts w:ascii="Arial" w:hAnsi="Arial"/>
          <w:lang w:val="es-CO"/>
        </w:rPr>
        <w:t>(Folio 31 ib.).</w:t>
      </w:r>
    </w:p>
    <w:p w:rsidR="006D6390" w:rsidRPr="00E65332" w:rsidRDefault="006D6390" w:rsidP="006D6390">
      <w:pPr>
        <w:spacing w:line="360" w:lineRule="auto"/>
        <w:jc w:val="both"/>
        <w:rPr>
          <w:rFonts w:ascii="Arial" w:hAnsi="Arial"/>
          <w:sz w:val="22"/>
        </w:rPr>
      </w:pPr>
      <w:r>
        <w:rPr>
          <w:rFonts w:ascii="Arial" w:hAnsi="Arial"/>
          <w:lang w:val="es-CO"/>
        </w:rPr>
        <w:t xml:space="preserve"> </w:t>
      </w:r>
    </w:p>
    <w:p w:rsidR="006D6390" w:rsidRPr="000F0BE0" w:rsidRDefault="006D6390" w:rsidP="006D6390">
      <w:pPr>
        <w:numPr>
          <w:ilvl w:val="0"/>
          <w:numId w:val="18"/>
        </w:numPr>
        <w:spacing w:line="360" w:lineRule="auto"/>
        <w:jc w:val="both"/>
        <w:rPr>
          <w:rFonts w:ascii="Arial" w:hAnsi="Arial"/>
          <w:smallCaps/>
          <w:sz w:val="28"/>
          <w:szCs w:val="28"/>
        </w:rPr>
      </w:pPr>
      <w:r>
        <w:rPr>
          <w:rFonts w:ascii="Arial" w:hAnsi="Arial"/>
          <w:smallCaps/>
          <w:sz w:val="28"/>
          <w:szCs w:val="28"/>
        </w:rPr>
        <w:t>L</w:t>
      </w:r>
      <w:r w:rsidRPr="000F0BE0">
        <w:rPr>
          <w:rFonts w:ascii="Arial" w:hAnsi="Arial"/>
          <w:smallCaps/>
          <w:sz w:val="28"/>
          <w:szCs w:val="28"/>
        </w:rPr>
        <w:t>a sinopsis de la</w:t>
      </w:r>
      <w:r w:rsidR="00E65332">
        <w:rPr>
          <w:rFonts w:ascii="Arial" w:hAnsi="Arial"/>
          <w:smallCaps/>
          <w:sz w:val="28"/>
          <w:szCs w:val="28"/>
        </w:rPr>
        <w:t>s</w:t>
      </w:r>
      <w:r w:rsidRPr="000F0BE0">
        <w:rPr>
          <w:rFonts w:ascii="Arial" w:hAnsi="Arial"/>
          <w:smallCaps/>
          <w:sz w:val="28"/>
          <w:szCs w:val="28"/>
        </w:rPr>
        <w:t xml:space="preserve"> respuesta</w:t>
      </w:r>
      <w:r w:rsidR="00E65332">
        <w:rPr>
          <w:rFonts w:ascii="Arial" w:hAnsi="Arial"/>
          <w:smallCaps/>
          <w:sz w:val="28"/>
          <w:szCs w:val="28"/>
        </w:rPr>
        <w:t>s</w:t>
      </w:r>
    </w:p>
    <w:p w:rsidR="006D6390" w:rsidRPr="00E65332" w:rsidRDefault="006D6390" w:rsidP="006D6390">
      <w:pPr>
        <w:pStyle w:val="Paragraphedeliste"/>
        <w:spacing w:line="360" w:lineRule="auto"/>
        <w:ind w:left="720"/>
        <w:jc w:val="both"/>
        <w:rPr>
          <w:rFonts w:ascii="Arial" w:hAnsi="Arial"/>
          <w:sz w:val="22"/>
        </w:rPr>
      </w:pPr>
    </w:p>
    <w:p w:rsidR="004F142A" w:rsidRDefault="004F142A" w:rsidP="004F142A">
      <w:pPr>
        <w:spacing w:line="360" w:lineRule="auto"/>
        <w:jc w:val="both"/>
        <w:rPr>
          <w:rFonts w:ascii="Arial" w:hAnsi="Arial"/>
        </w:rPr>
      </w:pPr>
      <w:r>
        <w:rPr>
          <w:rFonts w:ascii="Arial" w:hAnsi="Arial"/>
        </w:rPr>
        <w:t>La Procuraduría General de la Nación, Regional Risaralda, anotó que es el aparato judicial el competente para tramitar la acción popular, y por tanto, no se le puede imputar responsabilidad alguna en la vulneración de los derechos invocados</w:t>
      </w:r>
      <w:r w:rsidRPr="00FD594D">
        <w:rPr>
          <w:rFonts w:ascii="Arial" w:hAnsi="Arial"/>
        </w:rPr>
        <w:t xml:space="preserve"> (Folio </w:t>
      </w:r>
      <w:r>
        <w:rPr>
          <w:rFonts w:ascii="Arial" w:hAnsi="Arial"/>
        </w:rPr>
        <w:t xml:space="preserve">25, </w:t>
      </w:r>
      <w:r w:rsidRPr="00FD594D">
        <w:rPr>
          <w:rFonts w:ascii="Arial" w:hAnsi="Arial"/>
        </w:rPr>
        <w:t xml:space="preserve">ib.). </w:t>
      </w:r>
      <w:r>
        <w:rPr>
          <w:rFonts w:ascii="Arial" w:hAnsi="Arial"/>
        </w:rPr>
        <w:t xml:space="preserve">El Juzgado Promiscuo del Circuito de </w:t>
      </w:r>
      <w:r w:rsidR="00E65332">
        <w:rPr>
          <w:rFonts w:ascii="Arial" w:hAnsi="Arial"/>
        </w:rPr>
        <w:t xml:space="preserve">La </w:t>
      </w:r>
      <w:r>
        <w:rPr>
          <w:rFonts w:ascii="Arial" w:hAnsi="Arial"/>
        </w:rPr>
        <w:t xml:space="preserve">Virginia, pide se declare improcedente la acción </w:t>
      </w:r>
      <w:r w:rsidR="00EB641C">
        <w:rPr>
          <w:rFonts w:ascii="Arial" w:hAnsi="Arial"/>
        </w:rPr>
        <w:t xml:space="preserve">porque el accionante dejó </w:t>
      </w:r>
      <w:proofErr w:type="spellStart"/>
      <w:r w:rsidR="00EB641C">
        <w:rPr>
          <w:rFonts w:ascii="Arial" w:hAnsi="Arial"/>
        </w:rPr>
        <w:t>precluir</w:t>
      </w:r>
      <w:proofErr w:type="spellEnd"/>
      <w:r w:rsidR="00EB641C">
        <w:rPr>
          <w:rFonts w:ascii="Arial" w:hAnsi="Arial"/>
        </w:rPr>
        <w:t xml:space="preserve"> los término</w:t>
      </w:r>
      <w:r w:rsidR="000844AD">
        <w:rPr>
          <w:rFonts w:ascii="Arial" w:hAnsi="Arial"/>
        </w:rPr>
        <w:t xml:space="preserve">s procesales (Folio 29 ibídem.). </w:t>
      </w:r>
      <w:r>
        <w:rPr>
          <w:rFonts w:ascii="Arial" w:hAnsi="Arial"/>
        </w:rPr>
        <w:t xml:space="preserve">La Alcaldía de </w:t>
      </w:r>
      <w:r w:rsidR="00E65332">
        <w:rPr>
          <w:rFonts w:ascii="Arial" w:hAnsi="Arial"/>
        </w:rPr>
        <w:t xml:space="preserve">La </w:t>
      </w:r>
      <w:r w:rsidR="004E6193">
        <w:rPr>
          <w:rFonts w:ascii="Arial" w:hAnsi="Arial"/>
        </w:rPr>
        <w:t>Virginia</w:t>
      </w:r>
      <w:r>
        <w:rPr>
          <w:rFonts w:ascii="Arial" w:hAnsi="Arial"/>
        </w:rPr>
        <w:t xml:space="preserve"> anotó que</w:t>
      </w:r>
      <w:r w:rsidR="004E6193">
        <w:rPr>
          <w:rFonts w:ascii="Arial" w:hAnsi="Arial"/>
        </w:rPr>
        <w:t xml:space="preserve"> </w:t>
      </w:r>
      <w:r w:rsidR="00C42F38">
        <w:rPr>
          <w:rFonts w:ascii="Arial" w:hAnsi="Arial"/>
        </w:rPr>
        <w:t xml:space="preserve">como las peticiones del </w:t>
      </w:r>
      <w:r w:rsidR="00FA733D">
        <w:rPr>
          <w:rFonts w:ascii="Arial" w:hAnsi="Arial"/>
        </w:rPr>
        <w:t>actor</w:t>
      </w:r>
      <w:r w:rsidR="00C42F38">
        <w:rPr>
          <w:rFonts w:ascii="Arial" w:hAnsi="Arial"/>
        </w:rPr>
        <w:t xml:space="preserve"> son </w:t>
      </w:r>
      <w:r w:rsidR="00E65332">
        <w:rPr>
          <w:rFonts w:ascii="Arial" w:hAnsi="Arial"/>
        </w:rPr>
        <w:t>e</w:t>
      </w:r>
      <w:r w:rsidR="00C42F38">
        <w:rPr>
          <w:rFonts w:ascii="Arial" w:hAnsi="Arial"/>
        </w:rPr>
        <w:t>minentemente procedimentales, no evidencia negación de justicia ni vulneración de derechos (Folio 31</w:t>
      </w:r>
      <w:r>
        <w:rPr>
          <w:rFonts w:ascii="Arial" w:hAnsi="Arial"/>
        </w:rPr>
        <w:t>, ib.).</w:t>
      </w:r>
    </w:p>
    <w:p w:rsidR="004F142A" w:rsidRDefault="004F142A" w:rsidP="004F142A">
      <w:pPr>
        <w:spacing w:line="360" w:lineRule="auto"/>
        <w:jc w:val="both"/>
        <w:rPr>
          <w:rFonts w:ascii="Arial" w:hAnsi="Arial"/>
          <w:sz w:val="22"/>
        </w:rPr>
      </w:pPr>
    </w:p>
    <w:p w:rsidR="00C76100" w:rsidRPr="00E65332" w:rsidRDefault="00C76100" w:rsidP="004F142A">
      <w:pPr>
        <w:spacing w:line="360" w:lineRule="auto"/>
        <w:jc w:val="both"/>
        <w:rPr>
          <w:rFonts w:ascii="Arial" w:hAnsi="Arial"/>
          <w:sz w:val="22"/>
        </w:rPr>
      </w:pPr>
    </w:p>
    <w:p w:rsidR="006D6390" w:rsidRPr="00F35120" w:rsidRDefault="006D6390" w:rsidP="006D6390">
      <w:pPr>
        <w:pStyle w:val="Corpsdetexte"/>
        <w:numPr>
          <w:ilvl w:val="0"/>
          <w:numId w:val="18"/>
        </w:numPr>
        <w:spacing w:line="360" w:lineRule="auto"/>
        <w:rPr>
          <w:rFonts w:ascii="Arial" w:hAnsi="Arial"/>
          <w:smallCaps/>
          <w:sz w:val="28"/>
          <w:szCs w:val="28"/>
        </w:rPr>
      </w:pPr>
      <w:r>
        <w:rPr>
          <w:rFonts w:ascii="Arial" w:hAnsi="Arial"/>
          <w:smallCaps/>
          <w:sz w:val="28"/>
          <w:szCs w:val="28"/>
        </w:rPr>
        <w:lastRenderedPageBreak/>
        <w:t>L</w:t>
      </w:r>
      <w:r w:rsidRPr="00F35120">
        <w:rPr>
          <w:rFonts w:ascii="Arial" w:hAnsi="Arial"/>
          <w:smallCaps/>
          <w:sz w:val="28"/>
          <w:szCs w:val="28"/>
        </w:rPr>
        <w:t>a fundamentación jurídica para decidir</w:t>
      </w:r>
    </w:p>
    <w:p w:rsidR="006D6390" w:rsidRPr="00E65332" w:rsidRDefault="006D6390" w:rsidP="006D6390">
      <w:pPr>
        <w:pStyle w:val="Corpsdetexte"/>
        <w:spacing w:line="360" w:lineRule="auto"/>
        <w:ind w:left="400"/>
        <w:rPr>
          <w:rFonts w:ascii="Arial" w:hAnsi="Arial"/>
          <w:sz w:val="22"/>
          <w:szCs w:val="24"/>
        </w:rPr>
      </w:pPr>
    </w:p>
    <w:p w:rsidR="006D6390" w:rsidRPr="00E65332" w:rsidRDefault="006D6390" w:rsidP="00E65332">
      <w:pPr>
        <w:pStyle w:val="Corpsdetexte"/>
        <w:numPr>
          <w:ilvl w:val="1"/>
          <w:numId w:val="18"/>
        </w:numPr>
        <w:tabs>
          <w:tab w:val="clear" w:pos="0"/>
          <w:tab w:val="clear" w:pos="708"/>
          <w:tab w:val="clear" w:pos="1416"/>
          <w:tab w:val="clear" w:pos="2124"/>
        </w:tabs>
        <w:spacing w:line="360" w:lineRule="auto"/>
        <w:ind w:left="709"/>
        <w:rPr>
          <w:rFonts w:ascii="Arial" w:hAnsi="Arial" w:cs="Arial"/>
          <w:szCs w:val="24"/>
        </w:rPr>
      </w:pPr>
      <w:r w:rsidRPr="00E65332">
        <w:rPr>
          <w:rFonts w:ascii="Arial" w:hAnsi="Arial"/>
          <w:smallCaps/>
          <w:szCs w:val="26"/>
        </w:rPr>
        <w:t>La competencia</w:t>
      </w:r>
      <w:r w:rsidR="00E65332" w:rsidRPr="00E65332">
        <w:rPr>
          <w:rFonts w:ascii="Arial" w:hAnsi="Arial"/>
          <w:smallCaps/>
          <w:szCs w:val="26"/>
        </w:rPr>
        <w:t>.</w:t>
      </w:r>
      <w:r w:rsidR="00E65332">
        <w:rPr>
          <w:rFonts w:ascii="Arial" w:hAnsi="Arial"/>
          <w:smallCaps/>
          <w:szCs w:val="26"/>
        </w:rPr>
        <w:t xml:space="preserve"> </w:t>
      </w:r>
      <w:r w:rsidRPr="00E65332">
        <w:rPr>
          <w:rFonts w:ascii="Arial" w:hAnsi="Arial" w:cs="Arial"/>
          <w:szCs w:val="24"/>
        </w:rPr>
        <w:t xml:space="preserve">Esta Sala es competente para conocer la acción en razón a que es la superiora jerárquica del accionado, el </w:t>
      </w:r>
      <w:r w:rsidRPr="00E65332">
        <w:rPr>
          <w:rFonts w:ascii="Arial" w:hAnsi="Arial" w:cs="Arial"/>
          <w:color w:val="000000"/>
          <w:szCs w:val="24"/>
        </w:rPr>
        <w:t xml:space="preserve">Juzgado </w:t>
      </w:r>
      <w:r w:rsidR="00876E20" w:rsidRPr="00E65332">
        <w:rPr>
          <w:rFonts w:ascii="Arial" w:hAnsi="Arial" w:cs="Arial"/>
          <w:color w:val="000000"/>
          <w:szCs w:val="24"/>
        </w:rPr>
        <w:t>Promiscuo del Circuito de la Virginia</w:t>
      </w:r>
      <w:r w:rsidRPr="00E65332">
        <w:rPr>
          <w:rFonts w:ascii="Arial" w:hAnsi="Arial" w:cs="Arial"/>
          <w:color w:val="000000"/>
          <w:szCs w:val="24"/>
        </w:rPr>
        <w:t>, R.</w:t>
      </w:r>
    </w:p>
    <w:p w:rsidR="006D6390" w:rsidRPr="00E65332" w:rsidRDefault="006D6390" w:rsidP="006D6390">
      <w:pPr>
        <w:pStyle w:val="Retraitcorpsdetexte2"/>
        <w:spacing w:after="0" w:line="360" w:lineRule="auto"/>
        <w:ind w:left="0"/>
        <w:jc w:val="both"/>
        <w:rPr>
          <w:rFonts w:ascii="Arial" w:hAnsi="Arial" w:cs="Arial"/>
          <w:sz w:val="22"/>
          <w:szCs w:val="24"/>
          <w:lang w:val="es-CO"/>
        </w:rPr>
      </w:pPr>
    </w:p>
    <w:p w:rsidR="006D6390" w:rsidRPr="00E65332" w:rsidRDefault="006D6390" w:rsidP="00D0001B">
      <w:pPr>
        <w:pStyle w:val="Corpsdetexte"/>
        <w:numPr>
          <w:ilvl w:val="1"/>
          <w:numId w:val="18"/>
        </w:numPr>
        <w:spacing w:line="360" w:lineRule="auto"/>
        <w:rPr>
          <w:rFonts w:ascii="Arial" w:hAnsi="Arial" w:cs="Arial"/>
        </w:rPr>
      </w:pPr>
      <w:r w:rsidRPr="00E65332">
        <w:rPr>
          <w:rFonts w:ascii="Arial" w:hAnsi="Arial"/>
          <w:smallCaps/>
          <w:sz w:val="26"/>
          <w:szCs w:val="26"/>
        </w:rPr>
        <w:t>El problema jurídico a resolver</w:t>
      </w:r>
      <w:r w:rsidR="00E65332" w:rsidRPr="00E65332">
        <w:rPr>
          <w:rFonts w:ascii="Arial" w:hAnsi="Arial"/>
          <w:smallCaps/>
          <w:sz w:val="26"/>
          <w:szCs w:val="26"/>
        </w:rPr>
        <w:t>.</w:t>
      </w:r>
      <w:r w:rsidR="00E65332">
        <w:rPr>
          <w:rFonts w:ascii="Arial" w:hAnsi="Arial"/>
          <w:smallCaps/>
          <w:sz w:val="26"/>
          <w:szCs w:val="26"/>
        </w:rPr>
        <w:t xml:space="preserve"> </w:t>
      </w:r>
      <w:r w:rsidRPr="00E65332">
        <w:rPr>
          <w:rFonts w:ascii="Arial" w:hAnsi="Arial" w:cs="Arial"/>
        </w:rPr>
        <w:t xml:space="preserve">¿El </w:t>
      </w:r>
      <w:r w:rsidRPr="00E65332">
        <w:rPr>
          <w:rFonts w:ascii="Arial" w:hAnsi="Arial" w:cs="Arial"/>
          <w:color w:val="000000"/>
        </w:rPr>
        <w:t xml:space="preserve">Juzgado </w:t>
      </w:r>
      <w:r w:rsidR="00E65332">
        <w:rPr>
          <w:rFonts w:ascii="Arial" w:hAnsi="Arial" w:cs="Arial"/>
          <w:color w:val="000000"/>
        </w:rPr>
        <w:t>Promiscuo del Circuito de L</w:t>
      </w:r>
      <w:r w:rsidR="00876E20" w:rsidRPr="00E65332">
        <w:rPr>
          <w:rFonts w:ascii="Arial" w:hAnsi="Arial" w:cs="Arial"/>
          <w:color w:val="000000"/>
        </w:rPr>
        <w:t>a Virginia</w:t>
      </w:r>
      <w:r w:rsidRPr="00E65332">
        <w:rPr>
          <w:rFonts w:ascii="Arial" w:hAnsi="Arial" w:cs="Arial"/>
        </w:rPr>
        <w:t>, R., ha vulnerado o amenazado los derechos fundamentales del accionante con ocasión del trámite surtido en la acción popular, según lo expuesto en el memorial de tutela?</w:t>
      </w:r>
    </w:p>
    <w:p w:rsidR="006D6390" w:rsidRPr="00E65332" w:rsidRDefault="006D6390" w:rsidP="006D63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6D6390" w:rsidRDefault="006D6390" w:rsidP="006D6390">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F35120">
        <w:rPr>
          <w:rFonts w:ascii="Arial" w:hAnsi="Arial"/>
          <w:smallCaps/>
          <w:sz w:val="26"/>
          <w:szCs w:val="26"/>
        </w:rPr>
        <w:t>La resolución del problema jurídico</w:t>
      </w:r>
    </w:p>
    <w:p w:rsidR="006D6390" w:rsidRPr="00E65332" w:rsidRDefault="006D6390" w:rsidP="006D6390">
      <w:pPr>
        <w:pStyle w:val="Corpsdetexte"/>
        <w:tabs>
          <w:tab w:val="clear" w:pos="708"/>
          <w:tab w:val="clear" w:pos="1416"/>
          <w:tab w:val="left" w:pos="709"/>
          <w:tab w:val="left" w:pos="1418"/>
        </w:tabs>
        <w:spacing w:line="360" w:lineRule="auto"/>
        <w:ind w:left="720"/>
        <w:rPr>
          <w:rFonts w:ascii="Arial" w:hAnsi="Arial"/>
          <w:smallCaps/>
          <w:sz w:val="22"/>
          <w:szCs w:val="26"/>
        </w:rPr>
      </w:pPr>
    </w:p>
    <w:p w:rsidR="006D6390" w:rsidRDefault="006D6390" w:rsidP="006D6390">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F35120">
        <w:rPr>
          <w:rFonts w:ascii="Arial" w:hAnsi="Arial"/>
          <w:smallCaps/>
          <w:szCs w:val="24"/>
        </w:rPr>
        <w:t>La legitimación en la causa</w:t>
      </w:r>
    </w:p>
    <w:p w:rsidR="00E65332" w:rsidRPr="00E65332" w:rsidRDefault="00E65332" w:rsidP="006D6390">
      <w:pPr>
        <w:pStyle w:val="Corpsdetexte"/>
        <w:spacing w:line="360" w:lineRule="auto"/>
        <w:rPr>
          <w:rFonts w:ascii="Arial" w:hAnsi="Arial" w:cs="Arial"/>
          <w:sz w:val="22"/>
          <w:szCs w:val="24"/>
        </w:rPr>
      </w:pPr>
    </w:p>
    <w:p w:rsidR="006D6390" w:rsidRDefault="006D6390" w:rsidP="006D6390">
      <w:pPr>
        <w:pStyle w:val="Corpsdetexte"/>
        <w:spacing w:line="360" w:lineRule="auto"/>
        <w:rPr>
          <w:rFonts w:ascii="Arial" w:hAnsi="Arial" w:cs="Arial"/>
          <w:szCs w:val="24"/>
        </w:rPr>
      </w:pPr>
      <w:r>
        <w:rPr>
          <w:rFonts w:ascii="Arial" w:hAnsi="Arial" w:cs="Arial"/>
          <w:szCs w:val="24"/>
        </w:rPr>
        <w:t>Se cumple la legitimación por activa, pues el actor también lo es, en la acción popular, en la que se cuestiona el debido proceso. Y por pasiva, lo es</w:t>
      </w:r>
      <w:r w:rsidR="00E65332">
        <w:rPr>
          <w:rFonts w:ascii="Arial" w:hAnsi="Arial" w:cs="Arial"/>
          <w:szCs w:val="24"/>
        </w:rPr>
        <w:t xml:space="preserve"> </w:t>
      </w:r>
      <w:r>
        <w:rPr>
          <w:rFonts w:ascii="Arial" w:hAnsi="Arial" w:cs="Arial"/>
          <w:szCs w:val="24"/>
        </w:rPr>
        <w:t xml:space="preserve"> el </w:t>
      </w:r>
      <w:r w:rsidRPr="00EE1C51">
        <w:rPr>
          <w:rFonts w:ascii="Arial" w:hAnsi="Arial" w:cs="Arial"/>
          <w:color w:val="000000"/>
          <w:szCs w:val="24"/>
        </w:rPr>
        <w:t>Juzgado</w:t>
      </w:r>
      <w:r w:rsidR="00E65332">
        <w:rPr>
          <w:rFonts w:ascii="Arial" w:hAnsi="Arial" w:cs="Arial"/>
          <w:color w:val="000000"/>
          <w:szCs w:val="24"/>
        </w:rPr>
        <w:t xml:space="preserve"> </w:t>
      </w:r>
      <w:r>
        <w:rPr>
          <w:rFonts w:ascii="Arial" w:hAnsi="Arial" w:cs="Arial"/>
          <w:color w:val="000000"/>
          <w:szCs w:val="24"/>
        </w:rPr>
        <w:t xml:space="preserve"> </w:t>
      </w:r>
      <w:r w:rsidR="00876E20">
        <w:rPr>
          <w:rFonts w:ascii="Arial" w:hAnsi="Arial" w:cs="Arial"/>
          <w:color w:val="000000"/>
          <w:szCs w:val="24"/>
        </w:rPr>
        <w:t xml:space="preserve">Promiscuo del </w:t>
      </w:r>
      <w:r w:rsidR="00E65332">
        <w:rPr>
          <w:rFonts w:ascii="Arial" w:hAnsi="Arial" w:cs="Arial"/>
          <w:color w:val="000000"/>
          <w:szCs w:val="24"/>
        </w:rPr>
        <w:t xml:space="preserve"> </w:t>
      </w:r>
      <w:r w:rsidR="00876E20">
        <w:rPr>
          <w:rFonts w:ascii="Arial" w:hAnsi="Arial" w:cs="Arial"/>
          <w:color w:val="000000"/>
          <w:szCs w:val="24"/>
        </w:rPr>
        <w:t xml:space="preserve">Circuito </w:t>
      </w:r>
      <w:r w:rsidR="00E65332">
        <w:rPr>
          <w:rFonts w:ascii="Arial" w:hAnsi="Arial" w:cs="Arial"/>
          <w:color w:val="000000"/>
          <w:szCs w:val="24"/>
        </w:rPr>
        <w:t>de L</w:t>
      </w:r>
      <w:r w:rsidR="00876E20">
        <w:rPr>
          <w:rFonts w:ascii="Arial" w:hAnsi="Arial" w:cs="Arial"/>
          <w:color w:val="000000"/>
          <w:szCs w:val="24"/>
        </w:rPr>
        <w:t>a Virginia</w:t>
      </w:r>
      <w:r>
        <w:rPr>
          <w:rFonts w:ascii="Arial" w:hAnsi="Arial" w:cs="Arial"/>
          <w:szCs w:val="24"/>
        </w:rPr>
        <w:t>, R., al ser la autoridad judicial que conoce el asunto.</w:t>
      </w:r>
    </w:p>
    <w:p w:rsidR="006D6390" w:rsidRPr="00E65332" w:rsidRDefault="006D6390" w:rsidP="006D6390">
      <w:pPr>
        <w:pStyle w:val="Corpsdetexte"/>
        <w:spacing w:line="360" w:lineRule="auto"/>
        <w:rPr>
          <w:rFonts w:ascii="Arial" w:hAnsi="Arial" w:cs="Arial"/>
          <w:sz w:val="22"/>
          <w:szCs w:val="24"/>
        </w:rPr>
      </w:pPr>
    </w:p>
    <w:p w:rsidR="006D6390" w:rsidRDefault="006D6390" w:rsidP="006D6390">
      <w:pPr>
        <w:widowControl/>
        <w:spacing w:line="360" w:lineRule="auto"/>
        <w:jc w:val="both"/>
        <w:rPr>
          <w:rFonts w:ascii="Arial" w:hAnsi="Arial" w:cs="Arial"/>
        </w:rPr>
      </w:pPr>
      <w:r>
        <w:rPr>
          <w:rFonts w:ascii="Arial" w:hAnsi="Arial" w:cs="Arial"/>
        </w:rPr>
        <w:t>Como los vinculados no participaron en la acción popular dentro de la cual se alega la vulneración al debido proceso, carecen de legitimación, por ende se declarará improcedente el amparo en su contra.</w:t>
      </w:r>
      <w:r w:rsidRPr="00903E32">
        <w:rPr>
          <w:rFonts w:ascii="Arial" w:hAnsi="Arial" w:cs="Arial"/>
        </w:rPr>
        <w:t xml:space="preserve"> </w:t>
      </w:r>
    </w:p>
    <w:p w:rsidR="006D6390" w:rsidRPr="00E65332" w:rsidRDefault="006D6390" w:rsidP="006D639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6D6390" w:rsidRPr="00F35120" w:rsidRDefault="006D6390" w:rsidP="006D6390">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Las sub-reglas de análisis en la procedibilidad frente a decisiones judiciales</w:t>
      </w:r>
    </w:p>
    <w:p w:rsidR="006D6390" w:rsidRPr="00E65332" w:rsidRDefault="006D6390" w:rsidP="006D639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2"/>
          <w:szCs w:val="24"/>
        </w:rPr>
      </w:pPr>
    </w:p>
    <w:p w:rsidR="006D6390" w:rsidRDefault="006D6390" w:rsidP="006D6390">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6D6390" w:rsidRPr="00E65332" w:rsidRDefault="006D6390" w:rsidP="006D6390">
      <w:pPr>
        <w:pStyle w:val="Corpsdetexte"/>
        <w:spacing w:line="360" w:lineRule="auto"/>
        <w:rPr>
          <w:rFonts w:ascii="Arial" w:hAnsi="Arial" w:cs="Arial"/>
          <w:sz w:val="22"/>
          <w:szCs w:val="24"/>
        </w:rPr>
      </w:pPr>
    </w:p>
    <w:p w:rsidR="006D6390" w:rsidRPr="006A3AB9" w:rsidRDefault="006D6390" w:rsidP="006D6390">
      <w:pPr>
        <w:pStyle w:val="Corpsdetexte"/>
        <w:spacing w:line="360" w:lineRule="auto"/>
        <w:rPr>
          <w:rFonts w:ascii="Arial" w:hAnsi="Arial" w:cs="Arial"/>
          <w:szCs w:val="24"/>
        </w:rPr>
      </w:pPr>
      <w:r w:rsidRPr="006A3AB9">
        <w:rPr>
          <w:rFonts w:ascii="Arial" w:hAnsi="Arial" w:cs="Arial"/>
          <w:szCs w:val="24"/>
        </w:rPr>
        <w:t xml:space="preserve">Ahora, en frente del examen </w:t>
      </w:r>
      <w:r w:rsidRPr="00F26CEF">
        <w:rPr>
          <w:rFonts w:ascii="Arial" w:hAnsi="Arial" w:cs="Arial"/>
          <w:szCs w:val="24"/>
        </w:rPr>
        <w:t xml:space="preserve">que se reclama en sede constitucional, resulta de mayúscula trascendencia, precisar que </w:t>
      </w:r>
      <w:r w:rsidRPr="00F26CEF">
        <w:rPr>
          <w:rFonts w:ascii="Arial" w:hAnsi="Arial" w:cs="Arial"/>
          <w:szCs w:val="24"/>
          <w:u w:val="single"/>
        </w:rPr>
        <w:t>se trata de un juicio de validez y no de corrección</w:t>
      </w:r>
      <w:r w:rsidRPr="00F26CEF">
        <w:rPr>
          <w:rFonts w:ascii="Arial" w:hAnsi="Arial" w:cs="Arial"/>
          <w:szCs w:val="24"/>
        </w:rPr>
        <w:t>, lo que evidencia que son dos planos de estudio diversos, entonces</w:t>
      </w:r>
      <w:r w:rsidRPr="006A3AB9">
        <w:rPr>
          <w:rFonts w:ascii="Arial" w:hAnsi="Arial" w:cs="Arial"/>
          <w:szCs w:val="24"/>
        </w:rPr>
        <w:t xml:space="preserve">, mal puede mutarse en </w:t>
      </w:r>
      <w:r w:rsidRPr="006A3AB9">
        <w:rPr>
          <w:rFonts w:ascii="Arial" w:hAnsi="Arial" w:cs="Arial"/>
          <w:szCs w:val="24"/>
        </w:rPr>
        <w:lastRenderedPageBreak/>
        <w:t xml:space="preserve">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6D6390" w:rsidRPr="00E65332" w:rsidRDefault="006D6390" w:rsidP="006D6390">
      <w:pPr>
        <w:pStyle w:val="Corpsdetexte"/>
        <w:spacing w:line="360" w:lineRule="auto"/>
        <w:rPr>
          <w:rFonts w:ascii="Arial" w:hAnsi="Arial" w:cs="Arial"/>
          <w:sz w:val="22"/>
          <w:szCs w:val="24"/>
        </w:rPr>
      </w:pPr>
    </w:p>
    <w:p w:rsidR="006D6390" w:rsidRDefault="006D6390" w:rsidP="006D6390">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E65332" w:rsidRPr="00E65332" w:rsidRDefault="00E65332" w:rsidP="006D6390">
      <w:pPr>
        <w:pStyle w:val="Corpsdetexte"/>
        <w:spacing w:line="360" w:lineRule="auto"/>
        <w:rPr>
          <w:rFonts w:ascii="Arial" w:hAnsi="Arial" w:cs="Arial"/>
          <w:sz w:val="22"/>
          <w:szCs w:val="24"/>
        </w:rPr>
      </w:pPr>
    </w:p>
    <w:p w:rsidR="00E65332" w:rsidRDefault="006D6390" w:rsidP="006D6390">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w:t>
      </w:r>
    </w:p>
    <w:p w:rsidR="006D6390" w:rsidRDefault="006D6390" w:rsidP="006D6390">
      <w:pPr>
        <w:pStyle w:val="Corpsdetexte"/>
        <w:spacing w:line="360" w:lineRule="auto"/>
        <w:rPr>
          <w:rFonts w:ascii="Arial" w:hAnsi="Arial" w:cs="Arial"/>
          <w:szCs w:val="24"/>
        </w:rPr>
      </w:pPr>
      <w:r w:rsidRPr="006A3AB9">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6D6390" w:rsidRPr="00E65332" w:rsidRDefault="006D6390" w:rsidP="006D6390">
      <w:pPr>
        <w:pStyle w:val="Corpsdetexte"/>
        <w:spacing w:line="360" w:lineRule="auto"/>
        <w:rPr>
          <w:rFonts w:ascii="Arial" w:hAnsi="Arial" w:cs="Arial"/>
          <w:sz w:val="22"/>
          <w:szCs w:val="24"/>
        </w:rPr>
      </w:pPr>
    </w:p>
    <w:p w:rsidR="006D6390" w:rsidRPr="00F35120" w:rsidRDefault="006D6390" w:rsidP="006D6390">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F35120">
        <w:rPr>
          <w:rFonts w:ascii="Arial" w:hAnsi="Arial" w:cs="Arial"/>
          <w:smallCaps/>
          <w:szCs w:val="24"/>
        </w:rPr>
        <w:t>El carácter subsidiario de la acción de tutela</w:t>
      </w:r>
      <w:r w:rsidRPr="00F35120">
        <w:rPr>
          <w:rFonts w:ascii="Arial" w:hAnsi="Arial" w:cs="Arial"/>
          <w:smallCaps/>
          <w:szCs w:val="24"/>
        </w:rPr>
        <w:tab/>
      </w:r>
    </w:p>
    <w:p w:rsidR="006D6390" w:rsidRPr="00E65332" w:rsidRDefault="006D6390" w:rsidP="006D6390">
      <w:pPr>
        <w:pStyle w:val="Corpsdetexte"/>
        <w:tabs>
          <w:tab w:val="clear" w:pos="0"/>
        </w:tabs>
        <w:spacing w:line="360" w:lineRule="auto"/>
        <w:rPr>
          <w:rFonts w:ascii="Arial" w:hAnsi="Arial" w:cs="Arial"/>
          <w:sz w:val="22"/>
          <w:szCs w:val="24"/>
        </w:rPr>
      </w:pPr>
    </w:p>
    <w:p w:rsidR="006D6390" w:rsidRPr="008D1B99" w:rsidRDefault="006D6390" w:rsidP="006D6390">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6D6390" w:rsidRPr="00E65332" w:rsidRDefault="006D6390" w:rsidP="006D6390">
      <w:pPr>
        <w:pStyle w:val="Corpsdetexte"/>
        <w:tabs>
          <w:tab w:val="clear" w:pos="0"/>
        </w:tabs>
        <w:spacing w:line="360" w:lineRule="auto"/>
        <w:rPr>
          <w:rFonts w:ascii="Arial" w:hAnsi="Arial" w:cs="Arial"/>
          <w:sz w:val="22"/>
          <w:szCs w:val="24"/>
          <w:lang w:val="es-CO"/>
        </w:rPr>
      </w:pPr>
    </w:p>
    <w:p w:rsidR="006D6390" w:rsidRDefault="006D6390" w:rsidP="006D6390">
      <w:pPr>
        <w:pStyle w:val="Corpsdetexte"/>
        <w:tabs>
          <w:tab w:val="clear" w:pos="0"/>
        </w:tabs>
        <w:spacing w:line="360" w:lineRule="auto"/>
        <w:rPr>
          <w:rFonts w:ascii="Arial" w:hAnsi="Arial" w:cs="Arial"/>
          <w:szCs w:val="24"/>
        </w:rPr>
      </w:pP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por </w:t>
      </w:r>
      <w:r>
        <w:rPr>
          <w:rFonts w:ascii="Arial" w:hAnsi="Arial" w:cs="Arial"/>
          <w:szCs w:val="24"/>
        </w:rPr>
        <w:t xml:space="preserve"> </w:t>
      </w:r>
      <w:r w:rsidRPr="00FF4929">
        <w:rPr>
          <w:rFonts w:ascii="Arial" w:hAnsi="Arial" w:cs="Arial"/>
          <w:szCs w:val="24"/>
        </w:rPr>
        <w:t xml:space="preserve">ello </w:t>
      </w:r>
      <w:r>
        <w:rPr>
          <w:rFonts w:ascii="Arial" w:hAnsi="Arial" w:cs="Arial"/>
          <w:szCs w:val="24"/>
        </w:rPr>
        <w:t xml:space="preserve"> </w:t>
      </w:r>
      <w:r w:rsidRPr="00FF4929">
        <w:rPr>
          <w:rFonts w:ascii="Arial" w:hAnsi="Arial" w:cs="Arial"/>
          <w:szCs w:val="24"/>
        </w:rPr>
        <w:t xml:space="preserve">que </w:t>
      </w:r>
      <w:r>
        <w:rPr>
          <w:rFonts w:ascii="Arial" w:hAnsi="Arial" w:cs="Arial"/>
          <w:szCs w:val="24"/>
        </w:rPr>
        <w:t xml:space="preserve"> </w:t>
      </w:r>
      <w:r w:rsidRPr="00FF4929">
        <w:rPr>
          <w:rFonts w:ascii="Arial" w:hAnsi="Arial" w:cs="Arial"/>
          <w:szCs w:val="24"/>
        </w:rPr>
        <w:t xml:space="preserve">la </w:t>
      </w:r>
      <w:r>
        <w:rPr>
          <w:rFonts w:ascii="Arial" w:hAnsi="Arial" w:cs="Arial"/>
          <w:szCs w:val="24"/>
        </w:rPr>
        <w:t xml:space="preserve"> </w:t>
      </w:r>
      <w:r w:rsidRPr="00FF4929">
        <w:rPr>
          <w:rFonts w:ascii="Arial" w:hAnsi="Arial" w:cs="Arial"/>
          <w:szCs w:val="24"/>
        </w:rPr>
        <w:t xml:space="preserve">acción </w:t>
      </w:r>
      <w:r>
        <w:rPr>
          <w:rFonts w:ascii="Arial" w:hAnsi="Arial" w:cs="Arial"/>
          <w:szCs w:val="24"/>
        </w:rPr>
        <w:t xml:space="preserve"> </w:t>
      </w:r>
      <w:r w:rsidRPr="00FF4929">
        <w:rPr>
          <w:rFonts w:ascii="Arial" w:hAnsi="Arial" w:cs="Arial"/>
          <w:szCs w:val="24"/>
        </w:rPr>
        <w:t xml:space="preserve">de </w:t>
      </w:r>
      <w:r>
        <w:rPr>
          <w:rFonts w:ascii="Arial" w:hAnsi="Arial" w:cs="Arial"/>
          <w:szCs w:val="24"/>
        </w:rPr>
        <w:t xml:space="preserve"> </w:t>
      </w:r>
      <w:r w:rsidRPr="00FF4929">
        <w:rPr>
          <w:rFonts w:ascii="Arial" w:hAnsi="Arial" w:cs="Arial"/>
          <w:szCs w:val="24"/>
        </w:rPr>
        <w:t xml:space="preserve">tutela </w:t>
      </w:r>
      <w:r>
        <w:rPr>
          <w:rFonts w:ascii="Arial" w:hAnsi="Arial" w:cs="Arial"/>
          <w:szCs w:val="24"/>
        </w:rPr>
        <w:t xml:space="preserve"> </w:t>
      </w: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subsidiaria, </w:t>
      </w:r>
      <w:r>
        <w:rPr>
          <w:rFonts w:ascii="Arial" w:hAnsi="Arial" w:cs="Arial"/>
          <w:szCs w:val="24"/>
        </w:rPr>
        <w:t xml:space="preserve"> </w:t>
      </w:r>
      <w:r w:rsidRPr="00FF4929">
        <w:rPr>
          <w:rFonts w:ascii="Arial" w:hAnsi="Arial" w:cs="Arial"/>
          <w:szCs w:val="24"/>
        </w:rPr>
        <w:t xml:space="preserve">en </w:t>
      </w:r>
      <w:r>
        <w:rPr>
          <w:rFonts w:ascii="Arial" w:hAnsi="Arial" w:cs="Arial"/>
          <w:szCs w:val="24"/>
        </w:rPr>
        <w:t xml:space="preserve"> </w:t>
      </w:r>
      <w:r w:rsidRPr="00FF4929">
        <w:rPr>
          <w:rFonts w:ascii="Arial" w:hAnsi="Arial" w:cs="Arial"/>
          <w:szCs w:val="24"/>
        </w:rPr>
        <w:t xml:space="preserve">razón a que su procedencia está </w:t>
      </w:r>
    </w:p>
    <w:p w:rsidR="006D6390" w:rsidRDefault="006D6390" w:rsidP="006D6390">
      <w:pPr>
        <w:pStyle w:val="Corpsdetexte"/>
        <w:tabs>
          <w:tab w:val="clear" w:pos="0"/>
        </w:tabs>
        <w:spacing w:line="360" w:lineRule="auto"/>
        <w:rPr>
          <w:rFonts w:ascii="Arial" w:hAnsi="Arial" w:cs="Arial"/>
          <w:i/>
          <w:szCs w:val="22"/>
        </w:rPr>
      </w:pPr>
      <w:r w:rsidRPr="00FF4929">
        <w:rPr>
          <w:rFonts w:ascii="Arial" w:hAnsi="Arial" w:cs="Arial"/>
          <w:szCs w:val="24"/>
        </w:rPr>
        <w:t>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w:t>
      </w:r>
      <w:r w:rsidRPr="00FF4929">
        <w:rPr>
          <w:rFonts w:ascii="Arial" w:hAnsi="Arial" w:cs="Arial"/>
          <w:i/>
          <w:sz w:val="22"/>
          <w:szCs w:val="22"/>
        </w:rPr>
        <w:lastRenderedPageBreak/>
        <w:t>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r>
        <w:rPr>
          <w:rFonts w:ascii="Arial" w:hAnsi="Arial" w:cs="Arial"/>
          <w:i/>
          <w:szCs w:val="22"/>
        </w:rPr>
        <w:t xml:space="preserve"> </w:t>
      </w:r>
    </w:p>
    <w:p w:rsidR="006D6390" w:rsidRPr="00E65332" w:rsidRDefault="006D6390" w:rsidP="006D6390">
      <w:pPr>
        <w:pStyle w:val="Corpsdetexte"/>
        <w:tabs>
          <w:tab w:val="clear" w:pos="0"/>
        </w:tabs>
        <w:spacing w:line="360" w:lineRule="auto"/>
        <w:rPr>
          <w:rFonts w:ascii="Arial" w:hAnsi="Arial" w:cs="Arial"/>
          <w:i/>
          <w:sz w:val="22"/>
          <w:szCs w:val="22"/>
        </w:rPr>
      </w:pPr>
    </w:p>
    <w:p w:rsidR="006D6390" w:rsidRPr="00F164B1" w:rsidRDefault="006D6390" w:rsidP="006D6390">
      <w:pPr>
        <w:pStyle w:val="Corpsdetexte"/>
        <w:tabs>
          <w:tab w:val="clear" w:pos="0"/>
        </w:tabs>
        <w:spacing w:line="360" w:lineRule="auto"/>
        <w:rPr>
          <w:rFonts w:ascii="Arial" w:hAnsi="Arial" w:cs="Arial"/>
        </w:rPr>
      </w:pPr>
      <w:r>
        <w:rPr>
          <w:rFonts w:ascii="Arial" w:hAnsi="Arial" w:cs="Arial"/>
          <w:szCs w:val="22"/>
        </w:rPr>
        <w:t>En el mismo sentido, ha sido constante la doctrina jurisprudencial del Alto Tribunal Constitucional</w:t>
      </w:r>
      <w:r w:rsidRPr="00FF4929">
        <w:rPr>
          <w:rStyle w:val="Appelnotedebasdep"/>
          <w:rFonts w:ascii="Arial" w:hAnsi="Arial"/>
          <w:color w:val="000000"/>
          <w:shd w:val="clear" w:color="auto" w:fill="FFFFFF"/>
        </w:rPr>
        <w:footnoteReference w:id="9"/>
      </w:r>
      <w:r w:rsidRPr="00FF4929">
        <w:rPr>
          <w:rFonts w:ascii="Arial" w:hAnsi="Arial" w:cs="Arial"/>
        </w:rPr>
        <w:t xml:space="preserve"> </w:t>
      </w:r>
      <w:r>
        <w:rPr>
          <w:rFonts w:ascii="Arial" w:hAnsi="Arial" w:cs="Arial"/>
        </w:rPr>
        <w:t xml:space="preserve"> y es que </w:t>
      </w:r>
      <w:r w:rsidRPr="00FF4929">
        <w:rPr>
          <w:rFonts w:ascii="Arial" w:hAnsi="Arial" w:cs="Arial"/>
          <w:szCs w:val="24"/>
        </w:rPr>
        <w:t>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r>
        <w:rPr>
          <w:rFonts w:ascii="Arial" w:hAnsi="Arial" w:cs="Arial"/>
          <w:szCs w:val="24"/>
        </w:rPr>
        <w:t xml:space="preserve"> </w:t>
      </w:r>
      <w:r w:rsidRPr="00F164B1">
        <w:rPr>
          <w:rFonts w:ascii="Arial" w:hAnsi="Arial" w:cs="Arial"/>
        </w:rPr>
        <w:t xml:space="preserve">También la </w:t>
      </w:r>
      <w:r>
        <w:rPr>
          <w:rFonts w:ascii="Arial" w:hAnsi="Arial" w:cs="Arial"/>
        </w:rPr>
        <w:t>CSJ</w:t>
      </w:r>
      <w:r w:rsidRPr="00F164B1">
        <w:rPr>
          <w:rFonts w:ascii="Arial" w:hAnsi="Arial" w:cs="Arial"/>
        </w:rPr>
        <w:t xml:space="preserve"> se ha referido al tema</w:t>
      </w:r>
      <w:r w:rsidRPr="00F164B1">
        <w:rPr>
          <w:rStyle w:val="Appelnotedebasdep"/>
          <w:rFonts w:ascii="Arial" w:hAnsi="Arial" w:cs="Arial"/>
        </w:rPr>
        <w:footnoteReference w:id="13"/>
      </w:r>
      <w:r w:rsidRPr="00F164B1">
        <w:rPr>
          <w:rFonts w:ascii="Arial" w:hAnsi="Arial" w:cs="Arial"/>
          <w:vertAlign w:val="superscript"/>
        </w:rPr>
        <w:t>-</w:t>
      </w:r>
      <w:r w:rsidRPr="00F164B1">
        <w:rPr>
          <w:rStyle w:val="Appelnotedebasdep"/>
          <w:rFonts w:ascii="Arial" w:hAnsi="Arial"/>
        </w:rPr>
        <w:footnoteReference w:id="14"/>
      </w:r>
      <w:r w:rsidRPr="00F164B1">
        <w:rPr>
          <w:rFonts w:ascii="Arial" w:hAnsi="Arial" w:cs="Arial"/>
        </w:rPr>
        <w:t xml:space="preserve"> (2016)</w:t>
      </w:r>
      <w:r w:rsidRPr="00F164B1">
        <w:rPr>
          <w:rStyle w:val="Appelnotedebasdep"/>
          <w:rFonts w:ascii="Arial" w:hAnsi="Arial"/>
        </w:rPr>
        <w:footnoteReference w:id="15"/>
      </w:r>
      <w:r w:rsidRPr="00F164B1">
        <w:rPr>
          <w:rFonts w:ascii="Arial" w:hAnsi="Arial" w:cs="Arial"/>
        </w:rPr>
        <w:t xml:space="preserve">, </w:t>
      </w:r>
      <w:proofErr w:type="spellStart"/>
      <w:r w:rsidRPr="00F164B1">
        <w:rPr>
          <w:rFonts w:ascii="Arial" w:hAnsi="Arial" w:cs="Arial"/>
        </w:rPr>
        <w:t>prohija</w:t>
      </w:r>
      <w:proofErr w:type="spellEnd"/>
      <w:r w:rsidRPr="00F164B1">
        <w:rPr>
          <w:rFonts w:ascii="Arial" w:hAnsi="Arial" w:cs="Arial"/>
        </w:rPr>
        <w:t xml:space="preserve"> la improcedencia de la tutela por aplicación del principio de subsidiariedad.</w:t>
      </w:r>
    </w:p>
    <w:p w:rsidR="006D6390" w:rsidRPr="00F35120" w:rsidRDefault="006D6390" w:rsidP="006D6390">
      <w:pPr>
        <w:pStyle w:val="Corpsdetexte"/>
        <w:numPr>
          <w:ilvl w:val="0"/>
          <w:numId w:val="18"/>
        </w:numPr>
        <w:spacing w:line="360" w:lineRule="auto"/>
        <w:rPr>
          <w:rFonts w:ascii="Arial" w:hAnsi="Arial"/>
          <w:smallCaps/>
          <w:sz w:val="28"/>
          <w:szCs w:val="28"/>
        </w:rPr>
      </w:pPr>
      <w:r>
        <w:rPr>
          <w:rFonts w:ascii="Arial" w:hAnsi="Arial"/>
          <w:smallCaps/>
          <w:sz w:val="28"/>
          <w:szCs w:val="28"/>
        </w:rPr>
        <w:t>E</w:t>
      </w:r>
      <w:r w:rsidRPr="00F35120">
        <w:rPr>
          <w:rFonts w:ascii="Arial" w:hAnsi="Arial"/>
          <w:smallCaps/>
          <w:sz w:val="28"/>
          <w:szCs w:val="28"/>
        </w:rPr>
        <w:t xml:space="preserve">l caso concreto </w:t>
      </w:r>
    </w:p>
    <w:p w:rsidR="006D6390" w:rsidRPr="00E65332" w:rsidRDefault="006D6390" w:rsidP="006D6390">
      <w:pPr>
        <w:pStyle w:val="Corpsdetexte"/>
        <w:spacing w:line="360" w:lineRule="auto"/>
        <w:ind w:left="400"/>
        <w:rPr>
          <w:rFonts w:ascii="Arial" w:hAnsi="Arial"/>
          <w:sz w:val="22"/>
          <w:szCs w:val="24"/>
        </w:rPr>
      </w:pPr>
    </w:p>
    <w:p w:rsidR="006D6390" w:rsidRPr="00F164B1" w:rsidRDefault="006D6390" w:rsidP="006D6390">
      <w:pPr>
        <w:spacing w:line="360" w:lineRule="auto"/>
        <w:jc w:val="both"/>
        <w:rPr>
          <w:rFonts w:ascii="Arial" w:hAnsi="Arial" w:cs="Arial"/>
          <w:lang w:val="es-ES_tradnl"/>
        </w:rPr>
      </w:pPr>
      <w:r>
        <w:rPr>
          <w:rFonts w:ascii="Arial" w:hAnsi="Arial" w:cs="Arial"/>
          <w:lang w:val="es-ES_tradnl"/>
        </w:rPr>
        <w:t xml:space="preserve">Dado </w:t>
      </w:r>
      <w:r w:rsidRPr="00F164B1">
        <w:rPr>
          <w:rFonts w:ascii="Arial" w:hAnsi="Arial" w:cs="Arial"/>
          <w:lang w:val="es-ES_tradnl"/>
        </w:rPr>
        <w:t>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6D6390" w:rsidRPr="00E65332" w:rsidRDefault="006D6390" w:rsidP="006D6390">
      <w:pPr>
        <w:spacing w:line="360" w:lineRule="auto"/>
        <w:jc w:val="both"/>
        <w:rPr>
          <w:rFonts w:ascii="Arial" w:hAnsi="Arial" w:cs="Arial"/>
          <w:sz w:val="22"/>
          <w:lang w:val="es-ES_tradnl"/>
        </w:rPr>
      </w:pPr>
    </w:p>
    <w:p w:rsidR="006D6390" w:rsidRPr="00A80FCC" w:rsidRDefault="006D6390" w:rsidP="006D6390">
      <w:pPr>
        <w:spacing w:line="360" w:lineRule="auto"/>
        <w:jc w:val="both"/>
        <w:rPr>
          <w:rFonts w:ascii="Arial" w:hAnsi="Arial" w:cs="Arial"/>
        </w:rPr>
      </w:pPr>
      <w:r w:rsidRPr="00F164B1">
        <w:rPr>
          <w:rFonts w:ascii="Arial" w:hAnsi="Arial" w:cs="Arial"/>
          <w:lang w:val="es-ES_tradnl"/>
        </w:rPr>
        <w:t xml:space="preserve">El actor se duele porque el </w:t>
      </w:r>
      <w:r>
        <w:rPr>
          <w:rFonts w:ascii="Arial" w:hAnsi="Arial" w:cs="Arial"/>
          <w:lang w:val="es-ES_tradnl"/>
        </w:rPr>
        <w:t>accionado,</w:t>
      </w:r>
      <w:r w:rsidRPr="00F164B1">
        <w:rPr>
          <w:rFonts w:ascii="Arial" w:hAnsi="Arial" w:cs="Arial"/>
          <w:lang w:val="es-ES_tradnl"/>
        </w:rPr>
        <w:t xml:space="preserve"> no</w:t>
      </w:r>
      <w:r>
        <w:rPr>
          <w:rFonts w:ascii="Arial" w:hAnsi="Arial" w:cs="Arial"/>
          <w:lang w:val="es-ES_tradnl"/>
        </w:rPr>
        <w:t xml:space="preserve"> </w:t>
      </w:r>
      <w:r w:rsidRPr="00A80FCC">
        <w:rPr>
          <w:rFonts w:ascii="Arial" w:hAnsi="Arial" w:cs="Arial"/>
          <w:lang w:val="es-ES_tradnl"/>
        </w:rPr>
        <w:t>asumió el conocimiento de la acci</w:t>
      </w:r>
      <w:r>
        <w:rPr>
          <w:rFonts w:ascii="Arial" w:hAnsi="Arial" w:cs="Arial"/>
          <w:lang w:val="es-ES_tradnl"/>
        </w:rPr>
        <w:t xml:space="preserve">ón </w:t>
      </w:r>
      <w:r w:rsidRPr="00A80FCC">
        <w:rPr>
          <w:rFonts w:ascii="Arial" w:hAnsi="Arial" w:cs="Arial"/>
          <w:lang w:val="es-ES_tradnl"/>
        </w:rPr>
        <w:t xml:space="preserve">popular </w:t>
      </w:r>
      <w:r w:rsidR="00EA06CE">
        <w:rPr>
          <w:rFonts w:ascii="Arial" w:hAnsi="Arial" w:cs="Arial"/>
          <w:lang w:val="es-ES_tradnl"/>
        </w:rPr>
        <w:t>al exigir un requisito inexistente (ar</w:t>
      </w:r>
      <w:r w:rsidRPr="00A80FCC">
        <w:rPr>
          <w:rFonts w:ascii="Arial" w:hAnsi="Arial" w:cs="Arial"/>
          <w:lang w:val="es-ES_tradnl"/>
        </w:rPr>
        <w:t>tículo 1</w:t>
      </w:r>
      <w:r w:rsidR="00EA06CE">
        <w:rPr>
          <w:rFonts w:ascii="Arial" w:hAnsi="Arial" w:cs="Arial"/>
          <w:lang w:val="es-ES_tradnl"/>
        </w:rPr>
        <w:t>8</w:t>
      </w:r>
      <w:r w:rsidRPr="00A80FCC">
        <w:rPr>
          <w:rFonts w:ascii="Arial" w:hAnsi="Arial" w:cs="Arial"/>
          <w:lang w:val="es-ES_tradnl"/>
        </w:rPr>
        <w:t xml:space="preserve">, Ley 472). </w:t>
      </w:r>
    </w:p>
    <w:p w:rsidR="006D6390" w:rsidRPr="00E65332" w:rsidRDefault="006D6390" w:rsidP="006D6390">
      <w:pPr>
        <w:pStyle w:val="Corpsdetexte"/>
        <w:spacing w:line="360" w:lineRule="auto"/>
        <w:rPr>
          <w:rFonts w:ascii="Arial" w:hAnsi="Arial" w:cs="Arial"/>
          <w:sz w:val="22"/>
          <w:szCs w:val="24"/>
        </w:rPr>
      </w:pPr>
    </w:p>
    <w:p w:rsidR="006D6390" w:rsidRDefault="006D6390" w:rsidP="006D6390">
      <w:pPr>
        <w:spacing w:line="360" w:lineRule="auto"/>
        <w:jc w:val="both"/>
        <w:rPr>
          <w:rFonts w:ascii="Arial" w:hAnsi="Arial" w:cs="Arial"/>
        </w:rPr>
      </w:pPr>
      <w:r w:rsidRPr="00A80FCC">
        <w:rPr>
          <w:rFonts w:ascii="Arial" w:hAnsi="Arial" w:cs="Arial"/>
          <w:lang w:val="es-ES_tradnl"/>
        </w:rPr>
        <w:t xml:space="preserve">Conforme al acervo probatorio </w:t>
      </w:r>
      <w:r>
        <w:rPr>
          <w:rFonts w:ascii="Arial" w:hAnsi="Arial" w:cs="Arial"/>
          <w:lang w:val="es-ES_tradnl"/>
        </w:rPr>
        <w:t xml:space="preserve">el despacho judicial accionado </w:t>
      </w:r>
      <w:r w:rsidRPr="00A80FCC">
        <w:rPr>
          <w:rFonts w:ascii="Arial" w:hAnsi="Arial" w:cs="Arial"/>
          <w:lang w:val="es-ES_tradnl"/>
        </w:rPr>
        <w:t xml:space="preserve">mediante proveído </w:t>
      </w:r>
      <w:r>
        <w:rPr>
          <w:rFonts w:ascii="Arial" w:hAnsi="Arial" w:cs="Arial"/>
          <w:lang w:val="es-ES_tradnl"/>
        </w:rPr>
        <w:t>que data del</w:t>
      </w:r>
      <w:r w:rsidR="00681049">
        <w:rPr>
          <w:rFonts w:ascii="Arial" w:hAnsi="Arial" w:cs="Arial"/>
          <w:lang w:val="es-ES_tradnl"/>
        </w:rPr>
        <w:t xml:space="preserve"> 13</w:t>
      </w:r>
      <w:r>
        <w:rPr>
          <w:rFonts w:ascii="Arial" w:hAnsi="Arial" w:cs="Arial"/>
          <w:lang w:val="es-ES_tradnl"/>
        </w:rPr>
        <w:t>-1</w:t>
      </w:r>
      <w:r w:rsidR="00681049">
        <w:rPr>
          <w:rFonts w:ascii="Arial" w:hAnsi="Arial" w:cs="Arial"/>
          <w:lang w:val="es-ES_tradnl"/>
        </w:rPr>
        <w:t>2</w:t>
      </w:r>
      <w:r>
        <w:rPr>
          <w:rFonts w:ascii="Arial" w:hAnsi="Arial" w:cs="Arial"/>
          <w:lang w:val="es-ES_tradnl"/>
        </w:rPr>
        <w:t>-</w:t>
      </w:r>
      <w:r w:rsidRPr="00A80FCC">
        <w:rPr>
          <w:rFonts w:ascii="Arial" w:hAnsi="Arial" w:cs="Arial"/>
          <w:lang w:val="es-ES_tradnl"/>
        </w:rPr>
        <w:t>2016</w:t>
      </w:r>
      <w:r>
        <w:rPr>
          <w:rFonts w:ascii="Arial" w:hAnsi="Arial" w:cs="Arial"/>
          <w:lang w:val="es-ES_tradnl"/>
        </w:rPr>
        <w:t>,</w:t>
      </w:r>
      <w:r w:rsidRPr="00A80FCC">
        <w:rPr>
          <w:rFonts w:ascii="Arial" w:hAnsi="Arial" w:cs="Arial"/>
          <w:lang w:val="es-ES_tradnl"/>
        </w:rPr>
        <w:t xml:space="preserve"> </w:t>
      </w:r>
      <w:r w:rsidRPr="003E0E8A">
        <w:rPr>
          <w:rFonts w:ascii="Arial" w:hAnsi="Arial" w:cs="Arial"/>
        </w:rPr>
        <w:t>inadmitió la acci</w:t>
      </w:r>
      <w:r>
        <w:rPr>
          <w:rFonts w:ascii="Arial" w:hAnsi="Arial" w:cs="Arial"/>
        </w:rPr>
        <w:t xml:space="preserve">ón </w:t>
      </w:r>
      <w:r w:rsidRPr="003E0E8A">
        <w:rPr>
          <w:rFonts w:ascii="Arial" w:hAnsi="Arial" w:cs="Arial"/>
        </w:rPr>
        <w:t>popular</w:t>
      </w:r>
      <w:r>
        <w:rPr>
          <w:rFonts w:ascii="Arial" w:hAnsi="Arial" w:cs="Arial"/>
        </w:rPr>
        <w:t xml:space="preserve"> </w:t>
      </w:r>
      <w:r w:rsidRPr="003E0E8A">
        <w:rPr>
          <w:rFonts w:ascii="Arial" w:hAnsi="Arial" w:cs="Arial"/>
        </w:rPr>
        <w:t>y requirió al actor para qu</w:t>
      </w:r>
      <w:r w:rsidR="00681049">
        <w:rPr>
          <w:rFonts w:ascii="Arial" w:hAnsi="Arial" w:cs="Arial"/>
        </w:rPr>
        <w:t>e, en el término de tres (3) día</w:t>
      </w:r>
      <w:r w:rsidRPr="003E0E8A">
        <w:rPr>
          <w:rFonts w:ascii="Arial" w:hAnsi="Arial" w:cs="Arial"/>
        </w:rPr>
        <w:t>s,</w:t>
      </w:r>
      <w:r>
        <w:rPr>
          <w:rFonts w:ascii="Arial" w:hAnsi="Arial" w:cs="Arial"/>
        </w:rPr>
        <w:t xml:space="preserve"> pues debía</w:t>
      </w:r>
      <w:r w:rsidR="00681049">
        <w:rPr>
          <w:rFonts w:ascii="Arial" w:hAnsi="Arial" w:cs="Arial"/>
        </w:rPr>
        <w:t xml:space="preserve"> </w:t>
      </w:r>
      <w:r w:rsidR="00E614B8">
        <w:rPr>
          <w:rFonts w:ascii="Arial" w:hAnsi="Arial" w:cs="Arial"/>
        </w:rPr>
        <w:t>determinar</w:t>
      </w:r>
      <w:r w:rsidR="00681049">
        <w:rPr>
          <w:rFonts w:ascii="Arial" w:hAnsi="Arial" w:cs="Arial"/>
        </w:rPr>
        <w:t xml:space="preserve"> el domicilio,</w:t>
      </w:r>
      <w:r w:rsidR="00E614B8">
        <w:rPr>
          <w:rFonts w:ascii="Arial" w:hAnsi="Arial" w:cs="Arial"/>
        </w:rPr>
        <w:t xml:space="preserve"> acreditar</w:t>
      </w:r>
      <w:r w:rsidR="00681049">
        <w:rPr>
          <w:rFonts w:ascii="Arial" w:hAnsi="Arial" w:cs="Arial"/>
        </w:rPr>
        <w:t xml:space="preserve"> la existencia y representación de la parte demandada; </w:t>
      </w:r>
      <w:r w:rsidR="00E614B8">
        <w:rPr>
          <w:rFonts w:ascii="Arial" w:hAnsi="Arial" w:cs="Arial"/>
        </w:rPr>
        <w:t>indicar</w:t>
      </w:r>
      <w:r w:rsidR="00681049">
        <w:rPr>
          <w:rFonts w:ascii="Arial" w:hAnsi="Arial" w:cs="Arial"/>
        </w:rPr>
        <w:t xml:space="preserve"> el derecho colectivo vulnerado y personas afectadas y </w:t>
      </w:r>
      <w:r w:rsidR="001E5907">
        <w:rPr>
          <w:rFonts w:ascii="Arial" w:hAnsi="Arial" w:cs="Arial"/>
        </w:rPr>
        <w:t>las pruebas de los supuestos fácticos</w:t>
      </w:r>
      <w:r w:rsidRPr="003E0E8A">
        <w:rPr>
          <w:rFonts w:ascii="Arial" w:hAnsi="Arial" w:cs="Arial"/>
        </w:rPr>
        <w:t xml:space="preserve">, </w:t>
      </w:r>
      <w:r>
        <w:rPr>
          <w:rFonts w:ascii="Arial" w:hAnsi="Arial" w:cs="Arial"/>
        </w:rPr>
        <w:t xml:space="preserve">decisión que fue </w:t>
      </w:r>
      <w:r w:rsidRPr="003E0E8A">
        <w:rPr>
          <w:rFonts w:ascii="Arial" w:hAnsi="Arial" w:cs="Arial"/>
        </w:rPr>
        <w:t>recurrid</w:t>
      </w:r>
      <w:r>
        <w:rPr>
          <w:rFonts w:ascii="Arial" w:hAnsi="Arial" w:cs="Arial"/>
        </w:rPr>
        <w:t>a</w:t>
      </w:r>
      <w:r w:rsidRPr="003E0E8A">
        <w:rPr>
          <w:rFonts w:ascii="Arial" w:hAnsi="Arial" w:cs="Arial"/>
        </w:rPr>
        <w:t xml:space="preserve"> en </w:t>
      </w:r>
      <w:r>
        <w:rPr>
          <w:rFonts w:ascii="Arial" w:hAnsi="Arial" w:cs="Arial"/>
        </w:rPr>
        <w:t xml:space="preserve">reposición y </w:t>
      </w:r>
      <w:r w:rsidR="00B869A9">
        <w:rPr>
          <w:rFonts w:ascii="Arial" w:hAnsi="Arial" w:cs="Arial"/>
        </w:rPr>
        <w:t xml:space="preserve">negada la </w:t>
      </w:r>
      <w:r>
        <w:rPr>
          <w:rFonts w:ascii="Arial" w:hAnsi="Arial" w:cs="Arial"/>
        </w:rPr>
        <w:t xml:space="preserve"> apelación</w:t>
      </w:r>
      <w:r w:rsidR="00CB5258">
        <w:rPr>
          <w:rFonts w:ascii="Arial" w:hAnsi="Arial" w:cs="Arial"/>
        </w:rPr>
        <w:t xml:space="preserve"> el 18-01-2017 (Folio 4 ibídem)</w:t>
      </w:r>
      <w:r w:rsidRPr="003E0E8A">
        <w:rPr>
          <w:rFonts w:ascii="Arial" w:hAnsi="Arial" w:cs="Arial"/>
        </w:rPr>
        <w:t xml:space="preserve">; vencido el término para subsanar la </w:t>
      </w:r>
      <w:r w:rsidRPr="00907324">
        <w:rPr>
          <w:rFonts w:ascii="Arial" w:hAnsi="Arial" w:cs="Arial"/>
        </w:rPr>
        <w:t xml:space="preserve">demanda, con auto del </w:t>
      </w:r>
      <w:r w:rsidR="00907324" w:rsidRPr="00907324">
        <w:rPr>
          <w:rFonts w:ascii="Arial" w:hAnsi="Arial" w:cs="Arial"/>
        </w:rPr>
        <w:t>30</w:t>
      </w:r>
      <w:r w:rsidR="001E5907" w:rsidRPr="00907324">
        <w:rPr>
          <w:rFonts w:ascii="Arial" w:hAnsi="Arial" w:cs="Arial"/>
        </w:rPr>
        <w:t>-01-2017</w:t>
      </w:r>
      <w:r w:rsidRPr="00907324">
        <w:rPr>
          <w:rFonts w:ascii="Arial" w:hAnsi="Arial" w:cs="Arial"/>
        </w:rPr>
        <w:t xml:space="preserve"> (Folio </w:t>
      </w:r>
      <w:r w:rsidR="001E5907" w:rsidRPr="00907324">
        <w:rPr>
          <w:rFonts w:ascii="Arial" w:hAnsi="Arial" w:cs="Arial"/>
        </w:rPr>
        <w:t>6</w:t>
      </w:r>
      <w:r w:rsidRPr="00907324">
        <w:rPr>
          <w:rFonts w:ascii="Arial" w:hAnsi="Arial" w:cs="Arial"/>
        </w:rPr>
        <w:t>, ib.) la rechazó y dispuso su archivo, sin que haya sido recurrido</w:t>
      </w:r>
      <w:r w:rsidR="00F26CEF">
        <w:rPr>
          <w:rFonts w:ascii="Arial" w:hAnsi="Arial" w:cs="Arial"/>
        </w:rPr>
        <w:t xml:space="preserve"> (Folio 38 ib.)</w:t>
      </w:r>
      <w:r w:rsidRPr="00907324">
        <w:rPr>
          <w:rFonts w:ascii="Arial" w:hAnsi="Arial" w:cs="Arial"/>
        </w:rPr>
        <w:t>.</w:t>
      </w:r>
      <w:r>
        <w:rPr>
          <w:rFonts w:ascii="Arial" w:hAnsi="Arial" w:cs="Arial"/>
        </w:rPr>
        <w:t xml:space="preserve"> </w:t>
      </w:r>
    </w:p>
    <w:p w:rsidR="006D6390" w:rsidRPr="00E65332" w:rsidRDefault="006D6390" w:rsidP="006D6390">
      <w:pPr>
        <w:spacing w:line="360" w:lineRule="auto"/>
        <w:jc w:val="both"/>
        <w:rPr>
          <w:rFonts w:ascii="Arial" w:hAnsi="Arial" w:cs="Arial"/>
          <w:sz w:val="22"/>
        </w:rPr>
      </w:pPr>
    </w:p>
    <w:p w:rsidR="006D6390" w:rsidRDefault="006D6390" w:rsidP="006D6390">
      <w:pPr>
        <w:spacing w:line="360" w:lineRule="auto"/>
        <w:jc w:val="both"/>
        <w:rPr>
          <w:rFonts w:ascii="Arial" w:hAnsi="Arial" w:cs="Arial"/>
        </w:rPr>
      </w:pPr>
      <w:r w:rsidRPr="0004784E">
        <w:rPr>
          <w:rFonts w:ascii="Arial" w:hAnsi="Arial" w:cs="Arial"/>
        </w:rPr>
        <w:lastRenderedPageBreak/>
        <w:t>En ese orden de ideas, se tiene que el accionante pretermitió agotar el recurso de reposición (Artículo 36, Ley 472), frente al proveído que rechaz</w:t>
      </w:r>
      <w:r>
        <w:rPr>
          <w:rFonts w:ascii="Arial" w:hAnsi="Arial" w:cs="Arial"/>
        </w:rPr>
        <w:t>ó</w:t>
      </w:r>
      <w:r w:rsidRPr="0004784E">
        <w:rPr>
          <w:rFonts w:ascii="Arial" w:hAnsi="Arial" w:cs="Arial"/>
        </w:rPr>
        <w:t xml:space="preserve"> </w:t>
      </w:r>
      <w:r w:rsidRPr="00A80FCC">
        <w:rPr>
          <w:rFonts w:ascii="Arial" w:hAnsi="Arial" w:cs="Arial"/>
          <w:lang w:val="es-ES_tradnl"/>
        </w:rPr>
        <w:t>la acci</w:t>
      </w:r>
      <w:r>
        <w:rPr>
          <w:rFonts w:ascii="Arial" w:hAnsi="Arial" w:cs="Arial"/>
          <w:lang w:val="es-ES_tradnl"/>
        </w:rPr>
        <w:t xml:space="preserve">ón </w:t>
      </w:r>
      <w:r w:rsidRPr="00A80FCC">
        <w:rPr>
          <w:rFonts w:ascii="Arial" w:hAnsi="Arial" w:cs="Arial"/>
          <w:lang w:val="es-ES_tradnl"/>
        </w:rPr>
        <w:t>popular</w:t>
      </w:r>
      <w:r w:rsidRPr="0004784E">
        <w:rPr>
          <w:rFonts w:ascii="Arial" w:hAnsi="Arial" w:cs="Arial"/>
        </w:rPr>
        <w:t>, cuando ese era el mecanismo ordinario y expedito que tenía para procurar que el estrado judicial accionado reconsiderara aquella determinación</w:t>
      </w:r>
      <w:r>
        <w:rPr>
          <w:rFonts w:ascii="Arial" w:hAnsi="Arial" w:cs="Arial"/>
        </w:rPr>
        <w:t>.</w:t>
      </w:r>
    </w:p>
    <w:p w:rsidR="006D6390" w:rsidRPr="00E65332" w:rsidRDefault="006D6390" w:rsidP="006D6390">
      <w:pPr>
        <w:spacing w:line="360" w:lineRule="auto"/>
        <w:jc w:val="both"/>
        <w:rPr>
          <w:rFonts w:ascii="Arial" w:hAnsi="Arial" w:cs="Arial"/>
          <w:sz w:val="22"/>
        </w:rPr>
      </w:pPr>
    </w:p>
    <w:p w:rsidR="006D6390" w:rsidRDefault="006D6390" w:rsidP="006D6390">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350894">
        <w:rPr>
          <w:rFonts w:ascii="Arial" w:hAnsi="Arial"/>
        </w:rPr>
        <w:t>CC</w:t>
      </w:r>
      <w:r>
        <w:rPr>
          <w:rFonts w:ascii="Arial" w:hAnsi="Arial"/>
        </w:rPr>
        <w:t>, que reiteradamente ha referido que la acción de tutela mal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6D6390" w:rsidRPr="00E65332" w:rsidRDefault="006D6390" w:rsidP="006D6390">
      <w:pPr>
        <w:spacing w:line="360" w:lineRule="auto"/>
        <w:jc w:val="both"/>
        <w:rPr>
          <w:rFonts w:ascii="Arial" w:hAnsi="Arial" w:cs="Arial"/>
          <w:bCs/>
          <w:sz w:val="22"/>
          <w:lang w:val="es-CO"/>
        </w:rPr>
      </w:pPr>
    </w:p>
    <w:p w:rsidR="006D6390" w:rsidRDefault="006D6390" w:rsidP="006D639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D6390" w:rsidRPr="00E65332" w:rsidRDefault="006D6390" w:rsidP="006D6390">
      <w:pPr>
        <w:spacing w:line="360" w:lineRule="auto"/>
        <w:ind w:right="51"/>
        <w:jc w:val="both"/>
        <w:rPr>
          <w:rFonts w:ascii="Arial" w:hAnsi="Arial"/>
          <w:sz w:val="22"/>
        </w:rPr>
      </w:pPr>
    </w:p>
    <w:p w:rsidR="006D6390" w:rsidRDefault="006D6390" w:rsidP="006D6390">
      <w:pPr>
        <w:spacing w:line="360" w:lineRule="auto"/>
        <w:ind w:right="51"/>
        <w:jc w:val="both"/>
        <w:rPr>
          <w:rFonts w:ascii="Arial" w:hAnsi="Arial"/>
        </w:rPr>
      </w:pPr>
      <w:r w:rsidRPr="0004784E">
        <w:rPr>
          <w:rFonts w:ascii="Arial" w:hAnsi="Arial" w:cs="Arial"/>
          <w:lang w:val="es-ES_tradnl"/>
        </w:rPr>
        <w:t>En ese contexto, la presente acci</w:t>
      </w:r>
      <w:r>
        <w:rPr>
          <w:rFonts w:ascii="Arial" w:hAnsi="Arial" w:cs="Arial"/>
          <w:lang w:val="es-ES_tradnl"/>
        </w:rPr>
        <w:t>ón d</w:t>
      </w:r>
      <w:r w:rsidRPr="0004784E">
        <w:rPr>
          <w:rFonts w:ascii="Arial" w:hAnsi="Arial" w:cs="Arial"/>
          <w:lang w:val="es-ES_tradnl"/>
        </w:rPr>
        <w:t xml:space="preserve">e tutela </w:t>
      </w:r>
      <w:r>
        <w:rPr>
          <w:rFonts w:ascii="Arial" w:hAnsi="Arial" w:cs="Arial"/>
          <w:lang w:val="es-ES_tradnl"/>
        </w:rPr>
        <w:t>e</w:t>
      </w:r>
      <w:r w:rsidRPr="0004784E">
        <w:rPr>
          <w:rFonts w:ascii="Arial" w:hAnsi="Arial" w:cs="Arial"/>
          <w:lang w:val="es-ES_tradnl"/>
        </w:rPr>
        <w:t>s improcedente toda vez que se incumple con uno de los siete (7) requisitos generales de procedibilidad, como lo es el de la subsidiariedad, pues no se formuló el recurso ordinario</w:t>
      </w:r>
      <w:r>
        <w:rPr>
          <w:rFonts w:ascii="Arial" w:hAnsi="Arial"/>
        </w:rPr>
        <w:t>.</w:t>
      </w:r>
    </w:p>
    <w:p w:rsidR="00E614B8" w:rsidRPr="00E65332" w:rsidRDefault="00E614B8" w:rsidP="006D639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8"/>
        </w:rPr>
      </w:pPr>
    </w:p>
    <w:p w:rsidR="006D6390" w:rsidRPr="00C035D6" w:rsidRDefault="006D6390" w:rsidP="006D6390">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Default="006D6390" w:rsidP="006D639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6F0A97">
        <w:rPr>
          <w:rFonts w:ascii="Arial" w:hAnsi="Arial"/>
        </w:rPr>
        <w:t>En armonía con las premisas expuestas: (i) Se declarará improcedente</w:t>
      </w:r>
      <w:r>
        <w:rPr>
          <w:rFonts w:ascii="Arial" w:hAnsi="Arial"/>
        </w:rPr>
        <w:t xml:space="preserve"> la</w:t>
      </w:r>
      <w:r w:rsidRPr="006F0A97">
        <w:rPr>
          <w:rFonts w:ascii="Arial" w:hAnsi="Arial"/>
        </w:rPr>
        <w:t xml:space="preserve"> acci</w:t>
      </w:r>
      <w:r>
        <w:rPr>
          <w:rFonts w:ascii="Arial" w:hAnsi="Arial"/>
        </w:rPr>
        <w:t xml:space="preserve">ón </w:t>
      </w:r>
      <w:r w:rsidRPr="006F0A97">
        <w:rPr>
          <w:rFonts w:ascii="Arial" w:hAnsi="Arial"/>
        </w:rPr>
        <w:t xml:space="preserve">constitucional frente al Juzgado </w:t>
      </w:r>
      <w:r w:rsidR="00643912">
        <w:rPr>
          <w:rFonts w:ascii="Arial" w:hAnsi="Arial"/>
        </w:rPr>
        <w:t xml:space="preserve">Promiscuo del Circuito de </w:t>
      </w:r>
      <w:r w:rsidR="00E65332">
        <w:rPr>
          <w:rFonts w:ascii="Arial" w:hAnsi="Arial"/>
        </w:rPr>
        <w:t>L</w:t>
      </w:r>
      <w:r w:rsidR="00643912">
        <w:rPr>
          <w:rFonts w:ascii="Arial" w:hAnsi="Arial"/>
        </w:rPr>
        <w:t>a Virginia, R.</w:t>
      </w:r>
      <w:r w:rsidRPr="006F0A97">
        <w:rPr>
          <w:rFonts w:ascii="Arial" w:hAnsi="Arial"/>
        </w:rPr>
        <w:t xml:space="preserve"> con estribo en que se incumplió el presupuesto de subsidiariedad; y también, (ii) Respecto a los vinculados por carecer de legitimación</w:t>
      </w:r>
      <w:r>
        <w:rPr>
          <w:rFonts w:ascii="Arial" w:hAnsi="Arial" w:cs="Arial"/>
        </w:rPr>
        <w:t>.</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Default="006D6390" w:rsidP="006D6390">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D6390" w:rsidRPr="004D5812" w:rsidRDefault="006D6390" w:rsidP="006D6390">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Pr="00F72E96" w:rsidRDefault="006D6390" w:rsidP="006D6390">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 xml:space="preserve">DECLARAR improcedente la tutela propuesta por el señor </w:t>
      </w:r>
      <w:r w:rsidR="0058352B">
        <w:rPr>
          <w:rFonts w:ascii="Arial" w:hAnsi="Arial" w:cs="Arial"/>
        </w:rPr>
        <w:t xml:space="preserve">Javier Elías Arias </w:t>
      </w:r>
      <w:proofErr w:type="spellStart"/>
      <w:r w:rsidR="0058352B">
        <w:rPr>
          <w:rFonts w:ascii="Arial" w:hAnsi="Arial" w:cs="Arial"/>
        </w:rPr>
        <w:t>Idárraga</w:t>
      </w:r>
      <w:proofErr w:type="spellEnd"/>
      <w:r w:rsidRPr="00F72E96">
        <w:rPr>
          <w:rFonts w:ascii="Arial" w:hAnsi="Arial" w:cs="Arial"/>
        </w:rPr>
        <w:t xml:space="preserve"> contra el Juzgado</w:t>
      </w:r>
      <w:r w:rsidR="00E65332">
        <w:rPr>
          <w:rFonts w:ascii="Arial" w:hAnsi="Arial" w:cs="Arial"/>
        </w:rPr>
        <w:t xml:space="preserve"> Promiscuo del Circuito de L</w:t>
      </w:r>
      <w:r w:rsidR="0058352B">
        <w:rPr>
          <w:rFonts w:ascii="Arial" w:hAnsi="Arial" w:cs="Arial"/>
        </w:rPr>
        <w:t>a Virginia, R.</w:t>
      </w:r>
      <w:r w:rsidRPr="00F72E96">
        <w:rPr>
          <w:rFonts w:ascii="Arial" w:hAnsi="Arial" w:cs="Arial"/>
        </w:rPr>
        <w:t xml:space="preserve">, la </w:t>
      </w:r>
      <w:r w:rsidR="0058352B">
        <w:rPr>
          <w:rFonts w:ascii="Arial" w:hAnsi="Arial" w:cs="Arial"/>
        </w:rPr>
        <w:t xml:space="preserve">Procuraduría y la </w:t>
      </w:r>
      <w:r w:rsidRPr="00F72E96">
        <w:rPr>
          <w:rFonts w:ascii="Arial" w:hAnsi="Arial" w:cs="Arial"/>
        </w:rPr>
        <w:t>Defensoría del Pueblo</w:t>
      </w:r>
      <w:r w:rsidR="0058352B">
        <w:rPr>
          <w:rFonts w:ascii="Arial" w:hAnsi="Arial" w:cs="Arial"/>
        </w:rPr>
        <w:t xml:space="preserve"> Regional de Risaralda</w:t>
      </w:r>
      <w:r w:rsidRPr="00F72E96">
        <w:rPr>
          <w:rFonts w:ascii="Arial" w:hAnsi="Arial" w:cs="Arial"/>
        </w:rPr>
        <w:t xml:space="preserve">, y la Alcaldía y la Personería </w:t>
      </w:r>
      <w:r w:rsidRPr="00F72E96">
        <w:rPr>
          <w:rFonts w:ascii="Arial" w:hAnsi="Arial" w:cs="Arial"/>
          <w:spacing w:val="3"/>
        </w:rPr>
        <w:t xml:space="preserve">de </w:t>
      </w:r>
      <w:r w:rsidR="0058352B">
        <w:rPr>
          <w:rFonts w:ascii="Arial" w:hAnsi="Arial" w:cs="Arial"/>
          <w:spacing w:val="3"/>
        </w:rPr>
        <w:t>la Virginia, R.</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Pr="00F72E96" w:rsidRDefault="006D6390" w:rsidP="006D6390">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F72E96">
        <w:rPr>
          <w:rFonts w:ascii="Arial" w:hAnsi="Arial"/>
          <w:spacing w:val="-3"/>
          <w:lang w:val="es-ES_tradnl"/>
        </w:rPr>
        <w:t>NOTIFICAR esta decisión a todas las partes, por el medio más expedito y eficaz.</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Pr="00F72E96" w:rsidRDefault="006D6390" w:rsidP="006D6390">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F72E96">
        <w:rPr>
          <w:rFonts w:ascii="Arial" w:hAnsi="Arial"/>
          <w:spacing w:val="-3"/>
          <w:lang w:val="es-ES_tradnl"/>
        </w:rPr>
        <w:t xml:space="preserve">REMITIR este expediente, a la Corte Constitucional para su eventual revisión, </w:t>
      </w:r>
      <w:r w:rsidRPr="00F72E96">
        <w:rPr>
          <w:rFonts w:ascii="Arial" w:hAnsi="Arial" w:cs="Arial"/>
        </w:rPr>
        <w:t>de no ser impugnada</w:t>
      </w:r>
      <w:r w:rsidRPr="00F72E96">
        <w:rPr>
          <w:rFonts w:ascii="Arial" w:hAnsi="Arial"/>
          <w:spacing w:val="-3"/>
          <w:lang w:val="es-ES_tradnl"/>
        </w:rPr>
        <w:t>.</w:t>
      </w:r>
    </w:p>
    <w:p w:rsidR="006D6390" w:rsidRPr="00E65332" w:rsidRDefault="006D6390" w:rsidP="006D6390">
      <w:pPr>
        <w:pStyle w:val="Corpsdetexte"/>
        <w:spacing w:line="360" w:lineRule="auto"/>
        <w:jc w:val="center"/>
        <w:rPr>
          <w:rFonts w:ascii="Arial" w:hAnsi="Arial" w:cs="Arial"/>
          <w:bCs/>
          <w:smallCaps/>
          <w:sz w:val="22"/>
          <w:szCs w:val="24"/>
        </w:rPr>
      </w:pPr>
    </w:p>
    <w:p w:rsidR="006D6390" w:rsidRPr="00F72E96" w:rsidRDefault="006D6390" w:rsidP="006D6390">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F72E96">
        <w:rPr>
          <w:rFonts w:ascii="Arial" w:hAnsi="Arial" w:cs="Arial"/>
        </w:rPr>
        <w:t>ORDENAR el archivo del expediente, surtidos los trámites anteriores.</w:t>
      </w:r>
    </w:p>
    <w:p w:rsidR="006D6390" w:rsidRPr="00F72E96" w:rsidRDefault="006D6390" w:rsidP="006D6390">
      <w:pPr>
        <w:pStyle w:val="Corpsdetexte"/>
        <w:spacing w:line="360" w:lineRule="auto"/>
        <w:jc w:val="center"/>
        <w:rPr>
          <w:rFonts w:ascii="Arial" w:hAnsi="Arial" w:cs="Arial"/>
          <w:bCs/>
          <w:smallCaps/>
          <w:sz w:val="20"/>
          <w:szCs w:val="24"/>
        </w:rPr>
      </w:pPr>
    </w:p>
    <w:p w:rsidR="006D6390" w:rsidRPr="003843DB" w:rsidRDefault="006D6390" w:rsidP="006D6390">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6D6390" w:rsidRPr="00E65332" w:rsidRDefault="006D6390" w:rsidP="006D6390">
      <w:pPr>
        <w:pStyle w:val="Corpsdetexte"/>
        <w:spacing w:line="360" w:lineRule="auto"/>
        <w:jc w:val="center"/>
        <w:rPr>
          <w:rFonts w:ascii="Arial" w:hAnsi="Arial"/>
          <w:szCs w:val="24"/>
          <w:lang w:val="en-US"/>
        </w:rPr>
      </w:pPr>
    </w:p>
    <w:p w:rsidR="006D6390" w:rsidRPr="00E65332" w:rsidRDefault="006D6390" w:rsidP="006D6390">
      <w:pPr>
        <w:pStyle w:val="Corpsdetexte"/>
        <w:spacing w:line="360" w:lineRule="auto"/>
        <w:jc w:val="center"/>
        <w:rPr>
          <w:rFonts w:ascii="Arial" w:hAnsi="Arial"/>
          <w:sz w:val="32"/>
          <w:szCs w:val="24"/>
          <w:lang w:val="en-US"/>
        </w:rPr>
      </w:pPr>
    </w:p>
    <w:p w:rsidR="006D6390" w:rsidRPr="003843DB" w:rsidRDefault="006D6390" w:rsidP="006D63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E65332" w:rsidRPr="003843DB" w:rsidRDefault="006D6390" w:rsidP="00E65332">
      <w:pPr>
        <w:pStyle w:val="Corpsdetexte"/>
        <w:spacing w:line="360" w:lineRule="auto"/>
        <w:jc w:val="center"/>
        <w:rPr>
          <w:rFonts w:ascii="Arial" w:hAnsi="Arial"/>
          <w:smallCaps/>
          <w:szCs w:val="24"/>
          <w:lang w:val="en-US"/>
        </w:rPr>
      </w:pPr>
      <w:r w:rsidRPr="003843DB">
        <w:rPr>
          <w:rFonts w:ascii="Arial" w:hAnsi="Arial" w:cs="Arial"/>
          <w:i/>
          <w:w w:val="150"/>
          <w:sz w:val="28"/>
          <w:lang w:val="en-US"/>
        </w:rPr>
        <w:t>M</w:t>
      </w:r>
      <w:r w:rsidRPr="003843DB">
        <w:rPr>
          <w:rFonts w:ascii="Arial" w:hAnsi="Arial" w:cs="Arial"/>
          <w:i/>
          <w:w w:val="150"/>
          <w:lang w:val="en-US"/>
        </w:rPr>
        <w:t xml:space="preserve"> </w:t>
      </w:r>
      <w:r w:rsidRPr="003843DB">
        <w:rPr>
          <w:rFonts w:ascii="Arial" w:hAnsi="Arial" w:cs="Arial"/>
          <w:i/>
          <w:w w:val="150"/>
          <w:sz w:val="18"/>
          <w:lang w:val="en-US"/>
        </w:rPr>
        <w:t>A G I S T R A D O</w:t>
      </w:r>
    </w:p>
    <w:p w:rsidR="00E65332" w:rsidRPr="00E65332" w:rsidRDefault="00E65332" w:rsidP="00E65332">
      <w:pPr>
        <w:pStyle w:val="Corpsdetexte"/>
        <w:spacing w:line="360" w:lineRule="auto"/>
        <w:jc w:val="center"/>
        <w:rPr>
          <w:rFonts w:ascii="Arial" w:hAnsi="Arial"/>
          <w:szCs w:val="24"/>
          <w:lang w:val="en-US"/>
        </w:rPr>
      </w:pPr>
    </w:p>
    <w:p w:rsidR="00E65332" w:rsidRPr="00E65332" w:rsidRDefault="00E65332" w:rsidP="00E65332">
      <w:pPr>
        <w:pStyle w:val="Corpsdetexte"/>
        <w:spacing w:line="360" w:lineRule="auto"/>
        <w:jc w:val="center"/>
        <w:rPr>
          <w:rFonts w:ascii="Arial" w:hAnsi="Arial"/>
          <w:sz w:val="32"/>
          <w:szCs w:val="24"/>
          <w:lang w:val="en-US"/>
        </w:rPr>
      </w:pPr>
    </w:p>
    <w:p w:rsidR="006D6390" w:rsidRPr="003843DB" w:rsidRDefault="006D6390" w:rsidP="00E653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6D6390" w:rsidRDefault="006D6390" w:rsidP="00E653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E65332" w:rsidRPr="00E65332" w:rsidRDefault="00E65332" w:rsidP="00E6533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lang w:val="es-CO"/>
        </w:rPr>
      </w:pPr>
      <w:r w:rsidRPr="00E65332">
        <w:rPr>
          <w:rFonts w:ascii="Arial" w:hAnsi="Arial" w:cs="Arial"/>
          <w:i/>
          <w:w w:val="150"/>
          <w:sz w:val="10"/>
          <w:lang w:val="en-GB"/>
        </w:rPr>
        <w:t>DGH/LSCL/2017</w:t>
      </w:r>
    </w:p>
    <w:sectPr w:rsidR="00E65332" w:rsidRPr="00E65332" w:rsidSect="00B6361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34" w:rsidRDefault="008F1834" w:rsidP="0099045D">
      <w:r>
        <w:separator/>
      </w:r>
    </w:p>
  </w:endnote>
  <w:endnote w:type="continuationSeparator" w:id="0">
    <w:p w:rsidR="008F1834" w:rsidRDefault="008F183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34" w:rsidRDefault="008F1834" w:rsidP="0099045D">
      <w:r>
        <w:separator/>
      </w:r>
    </w:p>
  </w:footnote>
  <w:footnote w:type="continuationSeparator" w:id="0">
    <w:p w:rsidR="008F1834" w:rsidRDefault="008F1834" w:rsidP="0099045D">
      <w:r>
        <w:continuationSeparator/>
      </w:r>
    </w:p>
  </w:footnote>
  <w:footnote w:id="1">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Vías de hecho, acción de tutela contra providencias, Editorial Temis SA, Bogotá, 2013, p.103.</w:t>
      </w:r>
    </w:p>
  </w:footnote>
  <w:footnote w:id="2">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MX"/>
        </w:rPr>
        <w:t>CC.  Sentencia T-917 de 2011.</w:t>
      </w:r>
    </w:p>
  </w:footnote>
  <w:footnote w:id="3">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CC. Sentencia C-590 de 2005.</w:t>
      </w:r>
    </w:p>
  </w:footnote>
  <w:footnote w:id="4">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lang w:val="es-MX"/>
        </w:rPr>
        <w:t xml:space="preserve"> CC. Sentencias </w:t>
      </w:r>
      <w:r w:rsidRPr="00F72E96">
        <w:rPr>
          <w:rFonts w:asciiTheme="minorHAnsi" w:hAnsiTheme="minorHAnsi" w:cstheme="minorHAnsi"/>
          <w:bCs/>
        </w:rPr>
        <w:t>T-107 de 2016</w:t>
      </w:r>
      <w:r w:rsidRPr="00F72E96">
        <w:rPr>
          <w:rFonts w:asciiTheme="minorHAnsi" w:hAnsiTheme="minorHAnsi" w:cstheme="minorHAnsi"/>
        </w:rPr>
        <w:t xml:space="preserve"> y </w:t>
      </w:r>
      <w:r w:rsidRPr="00F72E96">
        <w:rPr>
          <w:rFonts w:asciiTheme="minorHAnsi" w:hAnsiTheme="minorHAnsi" w:cstheme="minorHAnsi"/>
          <w:lang w:val="es-MX"/>
        </w:rPr>
        <w:t>T-064 de 2015, entre otras.</w:t>
      </w:r>
    </w:p>
  </w:footnote>
  <w:footnote w:id="5">
    <w:p w:rsidR="006D6390" w:rsidRPr="00F72E96" w:rsidRDefault="006D6390" w:rsidP="006D6390">
      <w:pPr>
        <w:pStyle w:val="Notedebasdepage"/>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MX"/>
        </w:rPr>
        <w:t>CC. Sentencia T-307 de 2015.</w:t>
      </w:r>
    </w:p>
  </w:footnote>
  <w:footnote w:id="6">
    <w:p w:rsidR="006D6390" w:rsidRPr="00F72E96" w:rsidRDefault="006D6390" w:rsidP="006D6390">
      <w:pPr>
        <w:pStyle w:val="Notedebasdepage"/>
        <w:jc w:val="both"/>
        <w:rPr>
          <w:rFonts w:asciiTheme="minorHAnsi" w:hAnsiTheme="minorHAnsi" w:cstheme="minorHAnsi"/>
        </w:rPr>
      </w:pPr>
      <w:r w:rsidRPr="00F72E96">
        <w:rPr>
          <w:rFonts w:asciiTheme="minorHAnsi" w:hAnsiTheme="minorHAnsi" w:cstheme="minorHAnsi"/>
          <w:vertAlign w:val="superscript"/>
        </w:rPr>
        <w:footnoteRef/>
      </w:r>
      <w:r w:rsidRPr="00F72E96">
        <w:rPr>
          <w:rFonts w:asciiTheme="minorHAnsi" w:hAnsiTheme="minorHAnsi" w:cstheme="minorHAnsi"/>
        </w:rPr>
        <w:t xml:space="preserve"> ESCUELA JUDICIAL RODRIGO LARA BONILLA. </w:t>
      </w:r>
      <w:r w:rsidRPr="00F72E96">
        <w:rPr>
          <w:rFonts w:asciiTheme="minorHAnsi" w:hAnsiTheme="minorHAnsi" w:cstheme="minorHAnsi"/>
          <w:lang w:val="es-CO"/>
        </w:rPr>
        <w:t xml:space="preserve">La acción de tutela en el ordenamiento constitucional colombiano, Universidad Nacional de Colombia, Catalina Botero Marino, </w:t>
      </w:r>
      <w:proofErr w:type="spellStart"/>
      <w:r w:rsidRPr="00F72E96">
        <w:rPr>
          <w:rFonts w:asciiTheme="minorHAnsi" w:hAnsiTheme="minorHAnsi" w:cstheme="minorHAnsi"/>
          <w:lang w:val="es-CO"/>
        </w:rPr>
        <w:t>Ediprime</w:t>
      </w:r>
      <w:proofErr w:type="spellEnd"/>
      <w:r w:rsidRPr="00F72E96">
        <w:rPr>
          <w:rFonts w:asciiTheme="minorHAnsi" w:hAnsiTheme="minorHAnsi" w:cstheme="minorHAnsi"/>
          <w:lang w:val="es-CO"/>
        </w:rPr>
        <w:t xml:space="preserve"> Ltda., 2006, p.61-75.</w:t>
      </w:r>
    </w:p>
  </w:footnote>
  <w:footnote w:id="7">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QUINCHE RAMÍREZ, Manuel Fernando. La acción de tutela, el amparo en Colombia, Bogotá DC, 2011, p.233-285.</w:t>
      </w:r>
    </w:p>
  </w:footnote>
  <w:footnote w:id="8">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T-134 de 1994. </w:t>
      </w:r>
    </w:p>
  </w:footnote>
  <w:footnote w:id="9">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T-103 de 2014.</w:t>
      </w:r>
    </w:p>
  </w:footnote>
  <w:footnote w:id="10">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T-567 de 1998.</w:t>
      </w:r>
    </w:p>
  </w:footnote>
  <w:footnote w:id="11">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T-662 de 2013.</w:t>
      </w:r>
      <w:r w:rsidRPr="003955A7">
        <w:rPr>
          <w:rFonts w:asciiTheme="minorHAnsi" w:hAnsiTheme="minorHAnsi" w:cstheme="minorHAnsi"/>
          <w:b/>
          <w:bCs/>
          <w:color w:val="2D2D2D"/>
          <w:sz w:val="28"/>
          <w:szCs w:val="28"/>
          <w:bdr w:val="none" w:sz="0" w:space="0" w:color="auto" w:frame="1"/>
          <w:shd w:val="clear" w:color="auto" w:fill="FFFFFF"/>
          <w:lang w:val="fr-FR"/>
        </w:rPr>
        <w:t xml:space="preserve"> </w:t>
      </w:r>
    </w:p>
  </w:footnote>
  <w:footnote w:id="12">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w:t>
      </w:r>
      <w:r w:rsidRPr="003955A7">
        <w:rPr>
          <w:rFonts w:asciiTheme="minorHAnsi" w:hAnsiTheme="minorHAnsi" w:cstheme="minorHAnsi"/>
          <w:bCs/>
          <w:bdr w:val="none" w:sz="0" w:space="0" w:color="auto" w:frame="1"/>
          <w:shd w:val="clear" w:color="auto" w:fill="FFFFFF"/>
          <w:lang w:val="fr-FR"/>
        </w:rPr>
        <w:t>Sentencia T-037 de 2016 y T-120 de 2016.</w:t>
      </w:r>
    </w:p>
  </w:footnote>
  <w:footnote w:id="13">
    <w:p w:rsidR="006D6390" w:rsidRPr="00F72E96" w:rsidRDefault="006D6390" w:rsidP="006D6390">
      <w:pPr>
        <w:pStyle w:val="Notedebasdepage"/>
        <w:jc w:val="both"/>
        <w:rPr>
          <w:rFonts w:asciiTheme="minorHAnsi" w:hAnsiTheme="minorHAnsi" w:cstheme="minorHAnsi"/>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Sala Civil. Sentencia del 02-09-2014, MP: Margarita Cabello Blanco, </w:t>
      </w:r>
      <w:proofErr w:type="spellStart"/>
      <w:r w:rsidRPr="00F72E96">
        <w:rPr>
          <w:rFonts w:asciiTheme="minorHAnsi" w:hAnsiTheme="minorHAnsi" w:cstheme="minorHAnsi"/>
          <w:lang w:val="es-CO"/>
        </w:rPr>
        <w:t>exp</w:t>
      </w:r>
      <w:proofErr w:type="spellEnd"/>
      <w:r w:rsidRPr="00F72E96">
        <w:rPr>
          <w:rFonts w:asciiTheme="minorHAnsi" w:hAnsiTheme="minorHAnsi" w:cstheme="minorHAnsi"/>
          <w:lang w:val="es-CO"/>
        </w:rPr>
        <w:t>. No.23001-22-14-000-2014-00097-01</w:t>
      </w:r>
      <w:r w:rsidRPr="00F72E96">
        <w:rPr>
          <w:rFonts w:asciiTheme="minorHAnsi" w:hAnsiTheme="minorHAnsi" w:cstheme="minorHAnsi"/>
          <w:w w:val="110"/>
          <w:lang w:val="es-CO"/>
        </w:rPr>
        <w:t>.</w:t>
      </w:r>
    </w:p>
  </w:footnote>
  <w:footnote w:id="14">
    <w:p w:rsidR="006D6390" w:rsidRPr="00F72E96" w:rsidRDefault="006D6390" w:rsidP="006D6390">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Sala Civil.  Providencia STC6121-2015.</w:t>
      </w:r>
    </w:p>
  </w:footnote>
  <w:footnote w:id="15">
    <w:p w:rsidR="006D6390" w:rsidRPr="00F72E96" w:rsidRDefault="006D6390" w:rsidP="006D6390">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F72E96">
        <w:rPr>
          <w:rFonts w:asciiTheme="minorHAnsi" w:hAnsiTheme="minorHAnsi" w:cstheme="minorHAnsi"/>
        </w:rPr>
        <w:t xml:space="preserve"> </w:t>
      </w:r>
      <w:r w:rsidRPr="00F72E96">
        <w:rPr>
          <w:rFonts w:asciiTheme="minorHAnsi" w:hAnsiTheme="minorHAnsi" w:cstheme="minorHAnsi"/>
          <w:lang w:val="es-CO"/>
        </w:rPr>
        <w:t xml:space="preserve">CSJ, </w:t>
      </w:r>
      <w:r w:rsidRPr="00F72E96">
        <w:rPr>
          <w:rFonts w:asciiTheme="minorHAnsi" w:hAnsiTheme="minorHAnsi" w:cstheme="minorHAnsi"/>
        </w:rPr>
        <w:t xml:space="preserve">Sala Civil.  Providencia </w:t>
      </w:r>
      <w:r w:rsidRPr="00F72E96">
        <w:rPr>
          <w:rFonts w:asciiTheme="minorHAnsi" w:hAnsiTheme="minorHAnsi" w:cstheme="minorHAnsi"/>
          <w:lang w:val="es-CO"/>
        </w:rPr>
        <w:t>STC3931-2016, entre otras.</w:t>
      </w:r>
    </w:p>
  </w:footnote>
  <w:footnote w:id="16">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T-567 de 1998.</w:t>
      </w:r>
    </w:p>
  </w:footnote>
  <w:footnote w:id="17">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T-717 de 22-09-2011.</w:t>
      </w:r>
    </w:p>
  </w:footnote>
  <w:footnote w:id="18">
    <w:p w:rsidR="006D6390" w:rsidRPr="003955A7" w:rsidRDefault="006D6390" w:rsidP="006D6390">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3955A7">
        <w:rPr>
          <w:rFonts w:asciiTheme="minorHAnsi" w:hAnsiTheme="minorHAnsi" w:cstheme="minorHAnsi"/>
          <w:lang w:val="fr-FR"/>
        </w:rPr>
        <w:t xml:space="preserve"> 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332" w:rsidRPr="006414F7" w:rsidRDefault="00E65332" w:rsidP="00E65332">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76100">
      <w:rPr>
        <w:rFonts w:ascii="Calibri" w:hAnsi="Calibri" w:cs="Calibri"/>
        <w:i/>
        <w:noProof/>
        <w:sz w:val="20"/>
      </w:rPr>
      <w:t>1</w:t>
    </w:r>
    <w:r w:rsidRPr="006414F7">
      <w:rPr>
        <w:rFonts w:ascii="Calibri" w:hAnsi="Calibri" w:cs="Calibri"/>
        <w:i/>
        <w:sz w:val="20"/>
      </w:rPr>
      <w:fldChar w:fldCharType="end"/>
    </w:r>
  </w:p>
  <w:p w:rsidR="00E65332" w:rsidRPr="006414F7" w:rsidRDefault="00E65332" w:rsidP="00E65332">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2017-00059-00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954"/>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AD"/>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254"/>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7F6"/>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4DF"/>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907"/>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60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AE4"/>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46E"/>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894"/>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B1E"/>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7E7"/>
    <w:rsid w:val="00390E90"/>
    <w:rsid w:val="0039143D"/>
    <w:rsid w:val="00391560"/>
    <w:rsid w:val="00391B1A"/>
    <w:rsid w:val="00391FA3"/>
    <w:rsid w:val="003928A7"/>
    <w:rsid w:val="00392F23"/>
    <w:rsid w:val="003931C4"/>
    <w:rsid w:val="0039383D"/>
    <w:rsid w:val="003938A6"/>
    <w:rsid w:val="00395005"/>
    <w:rsid w:val="003955A7"/>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6DF"/>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70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2ACF"/>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193"/>
    <w:rsid w:val="004E683C"/>
    <w:rsid w:val="004E6C03"/>
    <w:rsid w:val="004E6D93"/>
    <w:rsid w:val="004E6E4A"/>
    <w:rsid w:val="004E727B"/>
    <w:rsid w:val="004E7B1B"/>
    <w:rsid w:val="004F03F3"/>
    <w:rsid w:val="004F04E6"/>
    <w:rsid w:val="004F092F"/>
    <w:rsid w:val="004F0E54"/>
    <w:rsid w:val="004F142A"/>
    <w:rsid w:val="004F1880"/>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19"/>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11B"/>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352B"/>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912"/>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188A"/>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049"/>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390"/>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BEA"/>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73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157"/>
    <w:rsid w:val="00870B5E"/>
    <w:rsid w:val="0087164D"/>
    <w:rsid w:val="0087259B"/>
    <w:rsid w:val="00872ABC"/>
    <w:rsid w:val="0087303E"/>
    <w:rsid w:val="00873EFE"/>
    <w:rsid w:val="00873FF8"/>
    <w:rsid w:val="0087572D"/>
    <w:rsid w:val="0087586A"/>
    <w:rsid w:val="00875F9C"/>
    <w:rsid w:val="0087641B"/>
    <w:rsid w:val="008766B4"/>
    <w:rsid w:val="0087677D"/>
    <w:rsid w:val="00876E20"/>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34"/>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5EFC"/>
    <w:rsid w:val="009068F1"/>
    <w:rsid w:val="00906BF2"/>
    <w:rsid w:val="00907324"/>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009"/>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31"/>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54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5D0F"/>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61C"/>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69A9"/>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6E8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F38"/>
    <w:rsid w:val="00C431B3"/>
    <w:rsid w:val="00C43A90"/>
    <w:rsid w:val="00C43D20"/>
    <w:rsid w:val="00C44194"/>
    <w:rsid w:val="00C449AF"/>
    <w:rsid w:val="00C45D1C"/>
    <w:rsid w:val="00C46E4A"/>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100"/>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086"/>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258"/>
    <w:rsid w:val="00CB5836"/>
    <w:rsid w:val="00CB5BE1"/>
    <w:rsid w:val="00CB6B86"/>
    <w:rsid w:val="00CB6B9D"/>
    <w:rsid w:val="00CB7B5E"/>
    <w:rsid w:val="00CB7BC1"/>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5F1E"/>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14B8"/>
    <w:rsid w:val="00E62C1E"/>
    <w:rsid w:val="00E62F1F"/>
    <w:rsid w:val="00E63652"/>
    <w:rsid w:val="00E6533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06CE"/>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41C"/>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6CEF"/>
    <w:rsid w:val="00F27DCF"/>
    <w:rsid w:val="00F3020D"/>
    <w:rsid w:val="00F30A2B"/>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33D"/>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82FB-B198-4D70-8A2C-816AF571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2093</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41</cp:revision>
  <cp:lastPrinted>2017-02-16T13:11:00Z</cp:lastPrinted>
  <dcterms:created xsi:type="dcterms:W3CDTF">2017-01-19T02:11:00Z</dcterms:created>
  <dcterms:modified xsi:type="dcterms:W3CDTF">2017-05-10T04:21:00Z</dcterms:modified>
</cp:coreProperties>
</file>