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51" w:rsidRPr="00A817A6" w:rsidRDefault="00295751" w:rsidP="00295751">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486062" w:rsidRPr="00055048" w:rsidRDefault="00D0509A" w:rsidP="002403C8">
      <w:pPr>
        <w:pStyle w:val="Sansinterligne"/>
        <w:tabs>
          <w:tab w:val="left" w:pos="3579"/>
        </w:tabs>
        <w:spacing w:line="360" w:lineRule="auto"/>
        <w:jc w:val="center"/>
        <w:rPr>
          <w:rFonts w:ascii="Arial" w:hAnsi="Arial" w:cs="Arial"/>
          <w:w w:val="140"/>
          <w:sz w:val="14"/>
        </w:rPr>
      </w:pPr>
      <w:r>
        <w:rPr>
          <w:noProof/>
          <w:lang w:val="fr-FR" w:eastAsia="fr-FR"/>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ansinterligne"/>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ansinterligne"/>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ansinterligne"/>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ansinterligne"/>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Default="00970930" w:rsidP="00F560C3">
      <w:pPr>
        <w:pStyle w:val="Corpsdetex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295751">
        <w:rPr>
          <w:rFonts w:ascii="Arial" w:hAnsi="Arial" w:cs="Arial"/>
          <w:sz w:val="22"/>
          <w:szCs w:val="22"/>
        </w:rPr>
        <w:t>Providencia</w:t>
      </w:r>
      <w:r w:rsidR="0099045D" w:rsidRPr="002060F5">
        <w:rPr>
          <w:rFonts w:ascii="Arial" w:hAnsi="Arial" w:cs="Arial"/>
          <w:sz w:val="22"/>
          <w:szCs w:val="22"/>
        </w:rPr>
        <w:tab/>
      </w:r>
      <w:r w:rsidR="0099045D" w:rsidRPr="002060F5">
        <w:rPr>
          <w:rFonts w:ascii="Arial" w:hAnsi="Arial" w:cs="Arial"/>
          <w:sz w:val="22"/>
          <w:szCs w:val="22"/>
        </w:rPr>
        <w:tab/>
        <w:t xml:space="preserve">: Sentencia </w:t>
      </w:r>
      <w:r w:rsidR="00295751">
        <w:rPr>
          <w:rFonts w:ascii="Arial" w:hAnsi="Arial" w:cs="Arial"/>
          <w:sz w:val="22"/>
          <w:szCs w:val="22"/>
        </w:rPr>
        <w:t>– 1ª instancia – 07 de marzo de 2017</w:t>
      </w:r>
    </w:p>
    <w:p w:rsidR="00295751" w:rsidRPr="002060F5" w:rsidRDefault="00295751" w:rsidP="00F560C3">
      <w:pPr>
        <w:pStyle w:val="Corpsdetex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Proceso</w:t>
      </w:r>
      <w:r>
        <w:rPr>
          <w:rFonts w:ascii="Arial" w:hAnsi="Arial" w:cs="Arial"/>
          <w:sz w:val="22"/>
          <w:szCs w:val="22"/>
        </w:rPr>
        <w:tab/>
      </w:r>
      <w:r>
        <w:rPr>
          <w:rFonts w:ascii="Arial" w:hAnsi="Arial" w:cs="Arial"/>
          <w:sz w:val="22"/>
          <w:szCs w:val="22"/>
        </w:rPr>
        <w:tab/>
        <w:t>: Acción de Tutela – Declara improcedente la acción</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Accionante</w:t>
      </w:r>
      <w:r w:rsidRPr="00964618">
        <w:rPr>
          <w:rFonts w:ascii="Arial" w:hAnsi="Arial" w:cs="Arial"/>
          <w:sz w:val="22"/>
        </w:rPr>
        <w:tab/>
      </w:r>
      <w:r w:rsidRPr="00964618">
        <w:rPr>
          <w:rFonts w:ascii="Arial" w:hAnsi="Arial" w:cs="Arial"/>
          <w:sz w:val="22"/>
        </w:rPr>
        <w:tab/>
        <w:t xml:space="preserve">: </w:t>
      </w:r>
      <w:r w:rsidR="00D11143">
        <w:rPr>
          <w:rFonts w:ascii="Arial" w:hAnsi="Arial" w:cs="Arial"/>
          <w:sz w:val="22"/>
        </w:rPr>
        <w:t>Javier Elías Arias Idárraga</w:t>
      </w:r>
    </w:p>
    <w:p w:rsidR="00630B75" w:rsidRDefault="00964618" w:rsidP="00630B75">
      <w:pPr>
        <w:pStyle w:val="Corpsdetex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743686">
        <w:rPr>
          <w:rFonts w:ascii="Arial" w:hAnsi="Arial" w:cs="Arial"/>
          <w:sz w:val="22"/>
        </w:rPr>
        <w:t xml:space="preserve">Segundo </w:t>
      </w:r>
      <w:r w:rsidRPr="00964618">
        <w:rPr>
          <w:rFonts w:ascii="Arial" w:hAnsi="Arial" w:cs="Arial"/>
          <w:sz w:val="22"/>
        </w:rPr>
        <w:t>Civil del Circuito de Pereira</w:t>
      </w:r>
    </w:p>
    <w:p w:rsidR="00964618" w:rsidRPr="00964618" w:rsidRDefault="00964618" w:rsidP="00630B75">
      <w:pPr>
        <w:pStyle w:val="Corpsdetexte"/>
        <w:spacing w:line="360" w:lineRule="auto"/>
        <w:ind w:left="1416"/>
        <w:rPr>
          <w:rFonts w:ascii="Arial" w:hAnsi="Arial" w:cs="Arial"/>
          <w:sz w:val="22"/>
          <w:szCs w:val="22"/>
        </w:rPr>
      </w:pPr>
      <w:r w:rsidRPr="00964618">
        <w:rPr>
          <w:rFonts w:ascii="Arial" w:hAnsi="Arial" w:cs="Arial"/>
          <w:sz w:val="22"/>
          <w:szCs w:val="22"/>
        </w:rPr>
        <w:t>Vinculado (s)</w:t>
      </w:r>
      <w:r w:rsidRPr="00964618">
        <w:rPr>
          <w:rFonts w:ascii="Arial" w:hAnsi="Arial" w:cs="Arial"/>
          <w:sz w:val="22"/>
          <w:szCs w:val="22"/>
        </w:rPr>
        <w:tab/>
      </w:r>
      <w:r>
        <w:rPr>
          <w:rFonts w:ascii="Arial" w:hAnsi="Arial" w:cs="Arial"/>
          <w:sz w:val="22"/>
          <w:szCs w:val="22"/>
        </w:rPr>
        <w:tab/>
      </w:r>
      <w:r w:rsidRPr="00964618">
        <w:rPr>
          <w:rFonts w:ascii="Arial" w:hAnsi="Arial" w:cs="Arial"/>
          <w:sz w:val="22"/>
          <w:szCs w:val="22"/>
        </w:rPr>
        <w:t xml:space="preserve">: </w:t>
      </w:r>
      <w:r w:rsidR="00743686">
        <w:rPr>
          <w:rFonts w:ascii="Arial" w:hAnsi="Arial" w:cs="Arial"/>
          <w:sz w:val="22"/>
          <w:szCs w:val="22"/>
        </w:rPr>
        <w:t>Andrés Mauricio Arboleda</w:t>
      </w:r>
      <w:r w:rsidRPr="00964618">
        <w:rPr>
          <w:rFonts w:ascii="Arial" w:hAnsi="Arial" w:cs="Arial"/>
          <w:sz w:val="22"/>
          <w:szCs w:val="22"/>
        </w:rPr>
        <w:t xml:space="preserve"> y otros</w:t>
      </w:r>
    </w:p>
    <w:p w:rsidR="00964618" w:rsidRPr="00964618" w:rsidRDefault="00964618" w:rsidP="00964618">
      <w:pPr>
        <w:pStyle w:val="Corpsdetex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F7395A">
        <w:rPr>
          <w:rFonts w:ascii="Arial" w:hAnsi="Arial" w:cs="Arial"/>
          <w:sz w:val="22"/>
        </w:rPr>
        <w:t>201</w:t>
      </w:r>
      <w:r w:rsidR="00630B75">
        <w:rPr>
          <w:rFonts w:ascii="Arial" w:hAnsi="Arial" w:cs="Arial"/>
          <w:sz w:val="22"/>
        </w:rPr>
        <w:t>7</w:t>
      </w:r>
      <w:r w:rsidR="00F7395A">
        <w:rPr>
          <w:rFonts w:ascii="Arial" w:hAnsi="Arial" w:cs="Arial"/>
          <w:sz w:val="22"/>
        </w:rPr>
        <w:t>-</w:t>
      </w:r>
      <w:r w:rsidR="00743686">
        <w:rPr>
          <w:rFonts w:ascii="Arial" w:hAnsi="Arial" w:cs="Arial"/>
          <w:sz w:val="22"/>
        </w:rPr>
        <w:t>00134</w:t>
      </w:r>
      <w:r w:rsidR="00D11143">
        <w:rPr>
          <w:rFonts w:ascii="Arial" w:hAnsi="Arial" w:cs="Arial"/>
          <w:sz w:val="22"/>
        </w:rPr>
        <w:t>-00</w:t>
      </w:r>
      <w:r w:rsidRPr="00964618">
        <w:rPr>
          <w:rFonts w:ascii="Arial" w:hAnsi="Arial" w:cs="Arial"/>
          <w:sz w:val="22"/>
        </w:rPr>
        <w:t xml:space="preserve"> </w:t>
      </w:r>
      <w:r w:rsidR="00743686">
        <w:rPr>
          <w:rFonts w:ascii="Arial" w:hAnsi="Arial" w:cs="Arial"/>
          <w:sz w:val="22"/>
        </w:rPr>
        <w:t xml:space="preserve"> y 2017-00136-00</w:t>
      </w:r>
    </w:p>
    <w:p w:rsidR="0099045D" w:rsidRPr="002060F5" w:rsidRDefault="008E5334" w:rsidP="008E5334">
      <w:pPr>
        <w:pStyle w:val="Corpsdetex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026BFF" w:rsidRDefault="00026BFF" w:rsidP="00026BFF">
      <w:pPr>
        <w:spacing w:line="360" w:lineRule="auto"/>
        <w:ind w:left="708" w:firstLine="708"/>
        <w:rPr>
          <w:rFonts w:ascii="Arial" w:hAnsi="Arial"/>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 xml:space="preserve">: </w:t>
      </w:r>
      <w:r w:rsidR="00002C46">
        <w:rPr>
          <w:rFonts w:ascii="Arial" w:hAnsi="Arial"/>
          <w:sz w:val="22"/>
          <w:szCs w:val="22"/>
        </w:rPr>
        <w:t>114 DE 07-03-2017</w:t>
      </w:r>
    </w:p>
    <w:p w:rsidR="00295751" w:rsidRPr="00D87D45" w:rsidRDefault="00295751" w:rsidP="00026BFF">
      <w:pPr>
        <w:spacing w:line="360" w:lineRule="auto"/>
        <w:ind w:left="708" w:firstLine="708"/>
        <w:rPr>
          <w:rFonts w:ascii="Arial" w:hAnsi="Arial"/>
          <w:sz w:val="6"/>
          <w:szCs w:val="6"/>
        </w:rPr>
      </w:pPr>
    </w:p>
    <w:p w:rsidR="00295751" w:rsidRDefault="00295751" w:rsidP="00D87D45">
      <w:pPr>
        <w:pStyle w:val="Corpsdetexte"/>
        <w:spacing w:line="240" w:lineRule="auto"/>
        <w:ind w:left="1416" w:hanging="1416"/>
        <w:rPr>
          <w:rFonts w:ascii="Arial" w:hAnsi="Arial"/>
          <w:sz w:val="22"/>
          <w:szCs w:val="22"/>
        </w:rPr>
      </w:pPr>
      <w:r w:rsidRPr="002060F5">
        <w:rPr>
          <w:rFonts w:ascii="Arial" w:hAnsi="Arial" w:cs="Arial"/>
          <w:sz w:val="22"/>
          <w:szCs w:val="22"/>
        </w:rPr>
        <w:tab/>
      </w:r>
      <w:r w:rsidRPr="002060F5">
        <w:rPr>
          <w:rFonts w:ascii="Arial" w:hAnsi="Arial" w:cs="Arial"/>
          <w:sz w:val="22"/>
          <w:szCs w:val="22"/>
        </w:rPr>
        <w:tab/>
        <w:t>Tema</w:t>
      </w:r>
      <w:r>
        <w:rPr>
          <w:rFonts w:ascii="Arial" w:hAnsi="Arial" w:cs="Arial"/>
          <w:sz w:val="22"/>
          <w:szCs w:val="22"/>
        </w:rPr>
        <w:t>s</w:t>
      </w:r>
      <w:r w:rsidRPr="002060F5">
        <w:rPr>
          <w:rFonts w:ascii="Arial" w:hAnsi="Arial" w:cs="Arial"/>
          <w:sz w:val="22"/>
          <w:szCs w:val="22"/>
        </w:rPr>
        <w:tab/>
      </w:r>
      <w:r w:rsidRPr="002060F5">
        <w:rPr>
          <w:rFonts w:ascii="Arial" w:hAnsi="Arial" w:cs="Arial"/>
          <w:sz w:val="22"/>
          <w:szCs w:val="22"/>
        </w:rPr>
        <w:tab/>
      </w:r>
      <w:r w:rsidRPr="002060F5">
        <w:rPr>
          <w:rFonts w:ascii="Arial" w:hAnsi="Arial" w:cs="Arial"/>
          <w:sz w:val="22"/>
          <w:szCs w:val="22"/>
        </w:rPr>
        <w:tab/>
        <w:t>:</w:t>
      </w:r>
      <w:r>
        <w:rPr>
          <w:rFonts w:ascii="Arial" w:hAnsi="Arial" w:cs="Arial"/>
          <w:sz w:val="22"/>
          <w:szCs w:val="22"/>
        </w:rPr>
        <w:t xml:space="preserve"> </w:t>
      </w:r>
      <w:r w:rsidR="00D87D45" w:rsidRPr="00D87D45">
        <w:rPr>
          <w:rFonts w:ascii="Arial" w:hAnsi="Arial" w:cs="Arial"/>
          <w:b/>
          <w:bCs/>
          <w:iCs/>
          <w:sz w:val="22"/>
          <w:szCs w:val="22"/>
          <w:lang w:val="es-CO"/>
        </w:rPr>
        <w:t xml:space="preserve">DEBIDO PROCESO / TUTELA CONTRA PROVIDENCIA JUDICIAL / AUSENCIA DE INMEDIATEZ / </w:t>
      </w:r>
      <w:r w:rsidR="00D87D45" w:rsidRPr="00D87D45">
        <w:rPr>
          <w:rFonts w:ascii="Arial" w:hAnsi="Arial" w:cs="Arial"/>
          <w:b/>
          <w:bCs/>
          <w:iCs/>
          <w:sz w:val="22"/>
          <w:szCs w:val="22"/>
          <w:lang w:val="es-419"/>
        </w:rPr>
        <w:t xml:space="preserve">IMPROCEDENCIA. </w:t>
      </w:r>
      <w:r w:rsidR="00D87D45" w:rsidRPr="00D87D45">
        <w:rPr>
          <w:rFonts w:ascii="Arial" w:hAnsi="Arial" w:cs="Arial"/>
          <w:bCs/>
          <w:iCs/>
          <w:sz w:val="22"/>
          <w:szCs w:val="22"/>
          <w:lang w:val="es-419"/>
        </w:rPr>
        <w:t>“</w:t>
      </w:r>
      <w:r w:rsidR="00D87D45" w:rsidRPr="00D87D45">
        <w:rPr>
          <w:rFonts w:ascii="Arial" w:hAnsi="Arial" w:cs="Arial"/>
          <w:bCs/>
          <w:iCs/>
          <w:sz w:val="22"/>
          <w:szCs w:val="22"/>
          <w:lang w:val="es-ES"/>
        </w:rPr>
        <w:t>La parte accionante se duele porque el juzgado accionado no hizo pronunciamiento alguno respecto de los correos electrónicos que envió el 20-06-2016 (Folios 3 y 7, ib.). Evidente es que los presentes amparos carecen de inmediatez, pues su interposición (16-02-2017) desborda el plazo de los seis (6) meses fijado por la jurisprudencia; como tiempo razonable, ya que han transcurrido aproximadamente ocho (8) meses desde que remitió sus escritos. (…) En ese contexto, la presente acción de tutela es improcedente toda vez que se incumple con uno de los siete (7) requisitos generales de procedibilidad, como lo es el de la inmediatez, pues se formuló ocho (8) meses después de presentados los memoriales.”.</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002C46">
        <w:rPr>
          <w:rFonts w:ascii="Arial" w:hAnsi="Arial" w:cs="Arial"/>
          <w:iCs/>
          <w:smallCaps/>
          <w:sz w:val="28"/>
          <w:szCs w:val="28"/>
          <w:lang w:val="es-CO"/>
        </w:rPr>
        <w:t xml:space="preserve">siete </w:t>
      </w:r>
      <w:r w:rsidRPr="00D11143">
        <w:rPr>
          <w:rFonts w:ascii="Arial" w:hAnsi="Arial" w:cs="Arial"/>
          <w:iCs/>
          <w:smallCaps/>
          <w:sz w:val="28"/>
          <w:szCs w:val="28"/>
          <w:lang w:val="es-CO"/>
        </w:rPr>
        <w:t>(</w:t>
      </w:r>
      <w:r w:rsidR="00002C46">
        <w:rPr>
          <w:rFonts w:ascii="Arial" w:hAnsi="Arial" w:cs="Arial"/>
          <w:iCs/>
          <w:smallCaps/>
          <w:sz w:val="28"/>
          <w:szCs w:val="28"/>
          <w:lang w:val="es-CO"/>
        </w:rPr>
        <w:t>7</w:t>
      </w:r>
      <w:r w:rsidRPr="00D11143">
        <w:rPr>
          <w:rFonts w:ascii="Arial" w:hAnsi="Arial" w:cs="Arial"/>
          <w:iCs/>
          <w:smallCaps/>
          <w:sz w:val="28"/>
          <w:szCs w:val="28"/>
          <w:lang w:val="es-CO"/>
        </w:rPr>
        <w:t xml:space="preserve">) de </w:t>
      </w:r>
      <w:r w:rsidR="003A3E22">
        <w:rPr>
          <w:rFonts w:ascii="Arial" w:hAnsi="Arial" w:cs="Arial"/>
          <w:iCs/>
          <w:smallCaps/>
          <w:sz w:val="28"/>
          <w:szCs w:val="28"/>
          <w:lang w:val="es-CO"/>
        </w:rPr>
        <w:t xml:space="preserve">marzo </w:t>
      </w:r>
      <w:r w:rsidRPr="00D11143">
        <w:rPr>
          <w:rFonts w:ascii="Arial" w:hAnsi="Arial" w:cs="Arial"/>
          <w:iCs/>
          <w:smallCaps/>
          <w:sz w:val="28"/>
          <w:szCs w:val="28"/>
          <w:lang w:val="es-CO"/>
        </w:rPr>
        <w:t xml:space="preserve">de dos mil </w:t>
      </w:r>
      <w:r w:rsidR="005B5B7F">
        <w:rPr>
          <w:rFonts w:ascii="Arial" w:hAnsi="Arial" w:cs="Arial"/>
          <w:iCs/>
          <w:smallCaps/>
          <w:sz w:val="28"/>
          <w:szCs w:val="28"/>
          <w:lang w:val="es-CO"/>
        </w:rPr>
        <w:t>diecisiete</w:t>
      </w:r>
      <w:r w:rsidR="000C5EA2" w:rsidRPr="00D11143">
        <w:rPr>
          <w:rFonts w:ascii="Arial" w:hAnsi="Arial" w:cs="Arial"/>
          <w:iCs/>
          <w:smallCaps/>
          <w:sz w:val="28"/>
          <w:szCs w:val="28"/>
          <w:lang w:val="es-CO"/>
        </w:rPr>
        <w:t xml:space="preserve"> </w:t>
      </w:r>
      <w:r w:rsidRPr="00D11143">
        <w:rPr>
          <w:rFonts w:ascii="Arial" w:hAnsi="Arial" w:cs="Arial"/>
          <w:iCs/>
          <w:smallCaps/>
          <w:sz w:val="28"/>
          <w:szCs w:val="28"/>
          <w:lang w:val="es-CO"/>
        </w:rPr>
        <w:t>(</w:t>
      </w:r>
      <w:r w:rsidR="005B5B7F">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asunto por decidir</w:t>
      </w:r>
    </w:p>
    <w:p w:rsidR="00CB272A" w:rsidRPr="00F9418E" w:rsidRDefault="00CB272A" w:rsidP="00CB272A">
      <w:pPr>
        <w:pStyle w:val="Corpsdetexte"/>
        <w:spacing w:line="360" w:lineRule="auto"/>
        <w:rPr>
          <w:rFonts w:ascii="Arial" w:hAnsi="Arial"/>
          <w:szCs w:val="24"/>
        </w:rPr>
      </w:pPr>
    </w:p>
    <w:p w:rsidR="00CB272A" w:rsidRDefault="00CB272A" w:rsidP="00CB272A">
      <w:pPr>
        <w:pStyle w:val="Corpsdetexte"/>
        <w:spacing w:line="360" w:lineRule="auto"/>
        <w:rPr>
          <w:rFonts w:ascii="Arial" w:hAnsi="Arial"/>
          <w:szCs w:val="24"/>
        </w:rPr>
      </w:pPr>
      <w:r w:rsidRPr="00F9418E">
        <w:rPr>
          <w:rFonts w:ascii="Arial" w:hAnsi="Arial"/>
          <w:szCs w:val="24"/>
        </w:rPr>
        <w:t>La</w:t>
      </w:r>
      <w:r w:rsidR="00743686">
        <w:rPr>
          <w:rFonts w:ascii="Arial" w:hAnsi="Arial"/>
          <w:szCs w:val="24"/>
        </w:rPr>
        <w:t>s</w:t>
      </w:r>
      <w:r w:rsidRPr="00F9418E">
        <w:rPr>
          <w:rFonts w:ascii="Arial" w:hAnsi="Arial"/>
          <w:szCs w:val="24"/>
        </w:rPr>
        <w:t xml:space="preserve"> </w:t>
      </w:r>
      <w:r w:rsidR="00743686">
        <w:rPr>
          <w:rFonts w:ascii="Arial" w:hAnsi="Arial"/>
          <w:szCs w:val="24"/>
        </w:rPr>
        <w:t xml:space="preserve">acciones </w:t>
      </w:r>
      <w:r w:rsidRPr="00F9418E">
        <w:rPr>
          <w:rFonts w:ascii="Arial" w:hAnsi="Arial"/>
          <w:szCs w:val="24"/>
        </w:rPr>
        <w:t>constitucional</w:t>
      </w:r>
      <w:r w:rsidR="00743686">
        <w:rPr>
          <w:rFonts w:ascii="Arial" w:hAnsi="Arial"/>
          <w:szCs w:val="24"/>
        </w:rPr>
        <w:t>es</w:t>
      </w:r>
      <w:r w:rsidRPr="00F9418E">
        <w:rPr>
          <w:rFonts w:ascii="Arial" w:hAnsi="Arial"/>
          <w:szCs w:val="24"/>
        </w:rPr>
        <w:t xml:space="preserve"> </w:t>
      </w:r>
      <w:r w:rsidR="00D11143">
        <w:rPr>
          <w:rFonts w:ascii="Arial" w:hAnsi="Arial"/>
          <w:szCs w:val="24"/>
        </w:rPr>
        <w:t>referenciada</w:t>
      </w:r>
      <w:r w:rsidR="00743686">
        <w:rPr>
          <w:rFonts w:ascii="Arial" w:hAnsi="Arial"/>
          <w:szCs w:val="24"/>
        </w:rPr>
        <w:t>s</w:t>
      </w:r>
      <w:r>
        <w:rPr>
          <w:rFonts w:ascii="Arial" w:hAnsi="Arial"/>
          <w:szCs w:val="24"/>
        </w:rPr>
        <w:t xml:space="preserve">, 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sidR="00743686">
        <w:rPr>
          <w:rFonts w:ascii="Arial" w:hAnsi="Arial"/>
          <w:szCs w:val="24"/>
        </w:rPr>
        <w:t>s</w:t>
      </w:r>
      <w:r w:rsidRPr="00F9418E">
        <w:rPr>
          <w:rFonts w:ascii="Arial" w:hAnsi="Arial"/>
          <w:szCs w:val="24"/>
        </w:rPr>
        <w:t xml:space="preserve"> invalide</w:t>
      </w:r>
      <w:r w:rsidR="00743686">
        <w:rPr>
          <w:rFonts w:ascii="Arial" w:hAnsi="Arial"/>
          <w:szCs w:val="24"/>
        </w:rPr>
        <w:t>n</w:t>
      </w:r>
      <w:r w:rsidRPr="00F9418E">
        <w:rPr>
          <w:rFonts w:ascii="Arial" w:hAnsi="Arial"/>
          <w:szCs w:val="24"/>
        </w:rPr>
        <w:t>.</w:t>
      </w:r>
    </w:p>
    <w:p w:rsidR="00CB272A" w:rsidRPr="00BA69B4" w:rsidRDefault="00CB272A" w:rsidP="00CB272A">
      <w:pPr>
        <w:pStyle w:val="Corpsdetexte"/>
        <w:spacing w:line="360" w:lineRule="auto"/>
        <w:rPr>
          <w:rFonts w:ascii="Arial" w:hAnsi="Arial"/>
          <w:szCs w:val="24"/>
        </w:rPr>
      </w:pPr>
    </w:p>
    <w:p w:rsidR="00CB272A" w:rsidRPr="00040EA1" w:rsidRDefault="00040EA1" w:rsidP="00CB272A">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los supuestos fácticos relevantes</w:t>
      </w:r>
    </w:p>
    <w:p w:rsidR="00CB272A" w:rsidRDefault="00CB272A" w:rsidP="00CB272A">
      <w:pPr>
        <w:pStyle w:val="Corpsdetexte"/>
        <w:spacing w:line="360" w:lineRule="auto"/>
        <w:rPr>
          <w:rFonts w:ascii="Arial" w:hAnsi="Arial" w:cs="Arial"/>
          <w:szCs w:val="24"/>
        </w:rPr>
      </w:pPr>
    </w:p>
    <w:p w:rsidR="00CB272A" w:rsidRDefault="00147E5B" w:rsidP="00CB272A">
      <w:pPr>
        <w:spacing w:line="360" w:lineRule="auto"/>
        <w:jc w:val="both"/>
        <w:rPr>
          <w:rFonts w:ascii="Arial" w:hAnsi="Arial" w:cs="Arial"/>
        </w:rPr>
      </w:pPr>
      <w:r>
        <w:rPr>
          <w:rFonts w:ascii="Arial" w:hAnsi="Arial" w:cs="Arial"/>
        </w:rPr>
        <w:t>Indicó</w:t>
      </w:r>
      <w:r w:rsidR="00630B75">
        <w:rPr>
          <w:rFonts w:ascii="Arial" w:hAnsi="Arial" w:cs="Arial"/>
        </w:rPr>
        <w:t xml:space="preserve"> </w:t>
      </w:r>
      <w:r w:rsidR="00CB272A">
        <w:rPr>
          <w:rFonts w:ascii="Arial" w:hAnsi="Arial" w:cs="Arial"/>
        </w:rPr>
        <w:t xml:space="preserve">el actor </w:t>
      </w:r>
      <w:r w:rsidR="005B5B7F">
        <w:rPr>
          <w:rFonts w:ascii="Arial" w:hAnsi="Arial" w:cs="Arial"/>
        </w:rPr>
        <w:t>que</w:t>
      </w:r>
      <w:r w:rsidR="00743686">
        <w:rPr>
          <w:rFonts w:ascii="Arial" w:hAnsi="Arial" w:cs="Arial"/>
        </w:rPr>
        <w:t xml:space="preserve"> por correo electrónico remitió al juzgado accionado dos (2) memoriales relacionados con las acciones populares 2015-00254-00 y 2015-00021-00, con el fin de que le “</w:t>
      </w:r>
      <w:r w:rsidR="00743686" w:rsidRPr="00743686">
        <w:rPr>
          <w:rFonts w:ascii="Arial" w:hAnsi="Arial" w:cs="Arial"/>
          <w:i/>
          <w:sz w:val="22"/>
        </w:rPr>
        <w:t>(…) informara si existía RENUENCIA (…)”</w:t>
      </w:r>
      <w:r w:rsidR="00743686" w:rsidRPr="00743686">
        <w:rPr>
          <w:rFonts w:ascii="Arial" w:hAnsi="Arial" w:cs="Arial"/>
        </w:rPr>
        <w:t>, pero nunca fueron resueltos</w:t>
      </w:r>
      <w:r w:rsidR="00ED15E9">
        <w:rPr>
          <w:rFonts w:ascii="Arial" w:hAnsi="Arial" w:cs="Arial"/>
        </w:rPr>
        <w:t xml:space="preserve">; consideró que esa conducta contraviene </w:t>
      </w:r>
      <w:r w:rsidR="00743686">
        <w:rPr>
          <w:rFonts w:ascii="Arial" w:hAnsi="Arial" w:cs="Arial"/>
        </w:rPr>
        <w:t xml:space="preserve">los artículos 109 y 103 del CGP, y la Ley 527 </w:t>
      </w:r>
      <w:r w:rsidR="006F3881">
        <w:rPr>
          <w:rFonts w:ascii="Arial" w:hAnsi="Arial" w:cs="Arial"/>
        </w:rPr>
        <w:t>(</w:t>
      </w:r>
      <w:r w:rsidR="0075069E">
        <w:rPr>
          <w:rFonts w:ascii="Arial" w:hAnsi="Arial" w:cs="Arial"/>
        </w:rPr>
        <w:t>Folio</w:t>
      </w:r>
      <w:r w:rsidR="00743686">
        <w:rPr>
          <w:rFonts w:ascii="Arial" w:hAnsi="Arial" w:cs="Arial"/>
        </w:rPr>
        <w:t>s</w:t>
      </w:r>
      <w:r w:rsidR="0075069E">
        <w:rPr>
          <w:rFonts w:ascii="Arial" w:hAnsi="Arial" w:cs="Arial"/>
        </w:rPr>
        <w:t xml:space="preserve"> 1</w:t>
      </w:r>
      <w:r w:rsidR="005B5B7F">
        <w:rPr>
          <w:rFonts w:ascii="Arial" w:hAnsi="Arial" w:cs="Arial"/>
        </w:rPr>
        <w:t xml:space="preserve"> </w:t>
      </w:r>
      <w:r w:rsidR="00743686">
        <w:rPr>
          <w:rFonts w:ascii="Arial" w:hAnsi="Arial" w:cs="Arial"/>
        </w:rPr>
        <w:t xml:space="preserve">y 5, </w:t>
      </w:r>
      <w:r w:rsidR="0075069E">
        <w:rPr>
          <w:rFonts w:ascii="Arial" w:hAnsi="Arial" w:cs="Arial"/>
        </w:rPr>
        <w:t>este cuaderno</w:t>
      </w:r>
      <w:r w:rsidR="00CB272A">
        <w:rPr>
          <w:rFonts w:ascii="Arial" w:hAnsi="Arial" w:cs="Arial"/>
        </w:rPr>
        <w:t>)</w:t>
      </w:r>
      <w:r w:rsidR="00CB272A" w:rsidRPr="00AF753A">
        <w:rPr>
          <w:rFonts w:ascii="Arial" w:hAnsi="Arial" w:cs="Arial"/>
        </w:rPr>
        <w:t xml:space="preserve">. </w:t>
      </w:r>
    </w:p>
    <w:p w:rsidR="00CB272A" w:rsidRPr="005B5B7F" w:rsidRDefault="00CB272A" w:rsidP="0099045D">
      <w:pPr>
        <w:pStyle w:val="Corpsdetexte"/>
        <w:spacing w:line="360" w:lineRule="auto"/>
        <w:rPr>
          <w:rFonts w:ascii="Arial" w:hAnsi="Arial"/>
          <w:szCs w:val="24"/>
          <w:lang w:val="es-ES"/>
        </w:rPr>
      </w:pPr>
    </w:p>
    <w:p w:rsidR="0099045D" w:rsidRDefault="00743686"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lastRenderedPageBreak/>
        <w:t>El derecho invocado</w:t>
      </w:r>
    </w:p>
    <w:p w:rsidR="00002C46" w:rsidRPr="00040EA1" w:rsidRDefault="00002C46" w:rsidP="00002C46">
      <w:pPr>
        <w:pStyle w:val="Corpsdetexte"/>
        <w:spacing w:line="360" w:lineRule="auto"/>
        <w:ind w:left="360"/>
        <w:rPr>
          <w:rFonts w:ascii="Arial" w:hAnsi="Arial"/>
          <w:smallCaps/>
          <w:sz w:val="28"/>
          <w:szCs w:val="28"/>
        </w:rPr>
      </w:pPr>
    </w:p>
    <w:p w:rsidR="00505404" w:rsidRDefault="0074368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Se infiere de los petitorios de tutela que el actor </w:t>
      </w:r>
      <w:r w:rsidR="003F77C9">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Pr>
          <w:rFonts w:ascii="Arial" w:hAnsi="Arial" w:cs="Arial"/>
          <w:spacing w:val="-3"/>
          <w:lang w:val="es-ES_tradnl"/>
        </w:rPr>
        <w:t xml:space="preserve">n </w:t>
      </w:r>
      <w:r w:rsidR="006F3881">
        <w:rPr>
          <w:rFonts w:ascii="Arial" w:hAnsi="Arial" w:cs="Arial"/>
          <w:spacing w:val="-3"/>
          <w:lang w:val="es-ES_tradnl"/>
        </w:rPr>
        <w:t>los</w:t>
      </w:r>
      <w:r w:rsidR="005B5B7F">
        <w:rPr>
          <w:rFonts w:ascii="Arial" w:hAnsi="Arial" w:cs="Arial"/>
          <w:spacing w:val="-3"/>
          <w:lang w:val="es-ES_tradnl"/>
        </w:rPr>
        <w:t xml:space="preserve"> derecho</w:t>
      </w:r>
      <w:r w:rsidR="006F3881">
        <w:rPr>
          <w:rFonts w:ascii="Arial" w:hAnsi="Arial" w:cs="Arial"/>
          <w:spacing w:val="-3"/>
          <w:lang w:val="es-ES_tradnl"/>
        </w:rPr>
        <w:t>s</w:t>
      </w:r>
      <w:r w:rsidR="005B5B7F">
        <w:rPr>
          <w:rFonts w:ascii="Arial" w:hAnsi="Arial" w:cs="Arial"/>
          <w:spacing w:val="-3"/>
          <w:lang w:val="es-ES_tradnl"/>
        </w:rPr>
        <w:t xml:space="preserve"> a</w:t>
      </w:r>
      <w:r w:rsidR="00ED15E9">
        <w:rPr>
          <w:rFonts w:ascii="Arial" w:hAnsi="Arial" w:cs="Arial"/>
          <w:spacing w:val="-3"/>
          <w:lang w:val="es-ES_tradnl"/>
        </w:rPr>
        <w:t>l</w:t>
      </w:r>
      <w:r w:rsidR="005B5B7F">
        <w:rPr>
          <w:rFonts w:ascii="Arial" w:hAnsi="Arial" w:cs="Arial"/>
          <w:spacing w:val="-3"/>
          <w:lang w:val="es-ES_tradnl"/>
        </w:rPr>
        <w:t xml:space="preserve"> </w:t>
      </w:r>
      <w:r w:rsidR="00ED15E9" w:rsidRPr="005B2CE1">
        <w:rPr>
          <w:rFonts w:ascii="Arial" w:hAnsi="Arial" w:cs="Arial"/>
          <w:spacing w:val="-3"/>
          <w:lang w:val="es-ES_tradnl"/>
        </w:rPr>
        <w:t>debido proceso</w:t>
      </w:r>
      <w:r>
        <w:rPr>
          <w:rFonts w:ascii="Arial" w:hAnsi="Arial" w:cs="Arial"/>
          <w:spacing w:val="-3"/>
          <w:lang w:val="es-ES_tradnl"/>
        </w:rPr>
        <w:t xml:space="preserve"> y el acceso a la </w:t>
      </w:r>
      <w:r w:rsidR="00ED15E9" w:rsidRPr="005B2CE1">
        <w:rPr>
          <w:rFonts w:ascii="Arial" w:hAnsi="Arial" w:cs="Arial"/>
          <w:spacing w:val="-3"/>
          <w:lang w:val="es-ES_tradnl"/>
        </w:rPr>
        <w:t>administración de justicia</w:t>
      </w:r>
      <w:r w:rsidR="005B5B7F" w:rsidRPr="005B2CE1">
        <w:rPr>
          <w:rFonts w:ascii="Arial" w:hAnsi="Arial" w:cs="Arial"/>
          <w:i/>
          <w:spacing w:val="-3"/>
          <w:lang w:val="es-ES_tradnl"/>
        </w:rPr>
        <w:t xml:space="preserve"> </w:t>
      </w:r>
      <w:r w:rsidR="001B6BBA" w:rsidRPr="00AF753A">
        <w:rPr>
          <w:rFonts w:ascii="Arial" w:hAnsi="Arial" w:cs="Arial"/>
        </w:rPr>
        <w:t>(</w:t>
      </w:r>
      <w:r w:rsidR="0075069E">
        <w:rPr>
          <w:rFonts w:ascii="Arial" w:hAnsi="Arial" w:cs="Arial"/>
        </w:rPr>
        <w:t xml:space="preserve">Folio </w:t>
      </w:r>
      <w:r w:rsidR="00ED15E9">
        <w:rPr>
          <w:rFonts w:ascii="Arial" w:hAnsi="Arial" w:cs="Arial"/>
        </w:rPr>
        <w:t>1</w:t>
      </w:r>
      <w:r>
        <w:rPr>
          <w:rFonts w:ascii="Arial" w:hAnsi="Arial" w:cs="Arial"/>
        </w:rPr>
        <w:t xml:space="preserve"> y 5</w:t>
      </w:r>
      <w:r w:rsidR="0075069E">
        <w:rPr>
          <w:rFonts w:ascii="Arial" w:hAnsi="Arial" w:cs="Arial"/>
        </w:rPr>
        <w:t>, este cuaderno</w:t>
      </w:r>
      <w:r w:rsidR="001B6BBA">
        <w:rPr>
          <w:rFonts w:ascii="Arial" w:hAnsi="Arial" w:cs="Arial"/>
        </w:rPr>
        <w:t>)</w:t>
      </w:r>
      <w:r w:rsidR="001B6BBA" w:rsidRPr="00AF753A">
        <w:rPr>
          <w:rFonts w:ascii="Arial" w:hAnsi="Arial" w:cs="Arial"/>
        </w:rPr>
        <w:t>.</w:t>
      </w:r>
    </w:p>
    <w:p w:rsidR="003A3E22" w:rsidRDefault="003A3E22"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99045D">
      <w:pPr>
        <w:pStyle w:val="Corpsdetexte"/>
        <w:numPr>
          <w:ilvl w:val="0"/>
          <w:numId w:val="1"/>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petición de protección</w:t>
      </w:r>
    </w:p>
    <w:p w:rsidR="00BA69B4" w:rsidRPr="009C04FD" w:rsidRDefault="00BA69B4" w:rsidP="00BA69B4">
      <w:pPr>
        <w:pStyle w:val="Corpsdetex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rPr>
        <w:t>Solicit</w:t>
      </w:r>
      <w:r w:rsidR="00CA5A96">
        <w:rPr>
          <w:rFonts w:ascii="Arial" w:hAnsi="Arial" w:cs="Arial"/>
        </w:rPr>
        <w:t>ó</w:t>
      </w:r>
      <w:r>
        <w:rPr>
          <w:rFonts w:ascii="Arial" w:hAnsi="Arial" w:cs="Arial"/>
        </w:rPr>
        <w:t xml:space="preserve"> </w:t>
      </w:r>
      <w:r w:rsidR="003F77C9">
        <w:rPr>
          <w:rFonts w:ascii="Arial" w:hAnsi="Arial" w:cs="Arial"/>
        </w:rPr>
        <w:t>que</w:t>
      </w:r>
      <w:r w:rsidR="00B442DC">
        <w:rPr>
          <w:rFonts w:ascii="Arial" w:hAnsi="Arial" w:cs="Arial"/>
        </w:rPr>
        <w:t xml:space="preserve"> se ordene</w:t>
      </w:r>
      <w:r w:rsidR="005B2CE1">
        <w:rPr>
          <w:rFonts w:ascii="Arial" w:hAnsi="Arial" w:cs="Arial"/>
        </w:rPr>
        <w:t xml:space="preserve"> al Juzgado accionado </w:t>
      </w:r>
      <w:r w:rsidR="00743686">
        <w:rPr>
          <w:rFonts w:ascii="Arial" w:hAnsi="Arial" w:cs="Arial"/>
        </w:rPr>
        <w:t xml:space="preserve">tramitar y resolver los memoriales enviados por medio electrónico  </w:t>
      </w:r>
      <w:r w:rsidR="00006C6E" w:rsidRPr="00AF753A">
        <w:rPr>
          <w:rFonts w:ascii="Arial" w:hAnsi="Arial" w:cs="Arial"/>
        </w:rPr>
        <w:t>(</w:t>
      </w:r>
      <w:r w:rsidR="0075069E">
        <w:rPr>
          <w:rFonts w:ascii="Arial" w:hAnsi="Arial" w:cs="Arial"/>
        </w:rPr>
        <w:t>Folio</w:t>
      </w:r>
      <w:r w:rsidR="00743686">
        <w:rPr>
          <w:rFonts w:ascii="Arial" w:hAnsi="Arial" w:cs="Arial"/>
        </w:rPr>
        <w:t>s</w:t>
      </w:r>
      <w:r w:rsidR="0075069E">
        <w:rPr>
          <w:rFonts w:ascii="Arial" w:hAnsi="Arial" w:cs="Arial"/>
        </w:rPr>
        <w:t xml:space="preserve"> </w:t>
      </w:r>
      <w:r w:rsidR="00743686">
        <w:rPr>
          <w:rFonts w:ascii="Arial" w:hAnsi="Arial" w:cs="Arial"/>
        </w:rPr>
        <w:t>2 y 6</w:t>
      </w:r>
      <w:r w:rsidR="0075069E">
        <w:rPr>
          <w:rFonts w:ascii="Arial" w:hAnsi="Arial" w:cs="Arial"/>
        </w:rPr>
        <w:t>, este cuaderno</w:t>
      </w:r>
      <w:r w:rsidR="00006C6E">
        <w:rPr>
          <w:rFonts w:ascii="Arial" w:hAnsi="Arial" w:cs="Arial"/>
        </w:rPr>
        <w:t>)</w:t>
      </w:r>
      <w:r w:rsidR="00006C6E" w:rsidRPr="00AF753A">
        <w:rPr>
          <w:rFonts w:ascii="Arial" w:hAnsi="Arial" w:cs="Arial"/>
        </w:rPr>
        <w:t>.</w:t>
      </w:r>
    </w:p>
    <w:p w:rsidR="00743686" w:rsidRDefault="00743686"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p>
    <w:p w:rsidR="0099045D" w:rsidRPr="00040EA1" w:rsidRDefault="00040EA1" w:rsidP="00101AE0">
      <w:pPr>
        <w:pStyle w:val="Sansinterligne"/>
        <w:numPr>
          <w:ilvl w:val="0"/>
          <w:numId w:val="1"/>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síntesis de la crónica procesal</w:t>
      </w:r>
    </w:p>
    <w:p w:rsidR="0035297D" w:rsidRPr="00B442DC" w:rsidRDefault="0035297D" w:rsidP="00704D44">
      <w:pPr>
        <w:pStyle w:val="Sansinterligne"/>
        <w:tabs>
          <w:tab w:val="left" w:pos="1200"/>
        </w:tabs>
        <w:spacing w:line="360" w:lineRule="auto"/>
        <w:jc w:val="both"/>
        <w:rPr>
          <w:rFonts w:ascii="Arial" w:hAnsi="Arial"/>
          <w:sz w:val="22"/>
          <w:szCs w:val="24"/>
        </w:rPr>
      </w:pPr>
    </w:p>
    <w:p w:rsidR="00B41B34" w:rsidRDefault="007016C8" w:rsidP="00E51070">
      <w:pPr>
        <w:spacing w:line="360" w:lineRule="auto"/>
        <w:jc w:val="both"/>
        <w:rPr>
          <w:rFonts w:ascii="Arial" w:hAnsi="Arial"/>
        </w:rPr>
      </w:pPr>
      <w:r>
        <w:rPr>
          <w:rFonts w:ascii="Arial" w:hAnsi="Arial"/>
        </w:rPr>
        <w:t xml:space="preserve">Por reparto ordinario se asignó el conocimiento a este Despacho el </w:t>
      </w:r>
      <w:r w:rsidR="003235EB">
        <w:rPr>
          <w:rFonts w:ascii="Arial" w:hAnsi="Arial"/>
        </w:rPr>
        <w:t>17</w:t>
      </w:r>
      <w:r>
        <w:rPr>
          <w:rFonts w:ascii="Arial" w:hAnsi="Arial"/>
        </w:rPr>
        <w:t>-</w:t>
      </w:r>
      <w:r w:rsidR="00634DD8">
        <w:rPr>
          <w:rFonts w:ascii="Arial" w:hAnsi="Arial"/>
        </w:rPr>
        <w:t>02</w:t>
      </w:r>
      <w:r>
        <w:rPr>
          <w:rFonts w:ascii="Arial" w:hAnsi="Arial"/>
        </w:rPr>
        <w:t>-201</w:t>
      </w:r>
      <w:r w:rsidR="00634DD8">
        <w:rPr>
          <w:rFonts w:ascii="Arial" w:hAnsi="Arial"/>
        </w:rPr>
        <w:t>7</w:t>
      </w:r>
      <w:r>
        <w:rPr>
          <w:rFonts w:ascii="Arial" w:hAnsi="Arial"/>
        </w:rPr>
        <w:t xml:space="preserve">, </w:t>
      </w:r>
      <w:r w:rsidRPr="00B74361">
        <w:rPr>
          <w:rFonts w:ascii="Arial" w:hAnsi="Arial"/>
        </w:rPr>
        <w:t>con providencia</w:t>
      </w:r>
      <w:r w:rsidRPr="008E5A62">
        <w:rPr>
          <w:rFonts w:ascii="Arial" w:hAnsi="Arial"/>
        </w:rPr>
        <w:t xml:space="preserve"> de</w:t>
      </w:r>
      <w:r>
        <w:rPr>
          <w:rFonts w:ascii="Arial" w:hAnsi="Arial"/>
        </w:rPr>
        <w:t xml:space="preserve">l </w:t>
      </w:r>
      <w:r w:rsidR="00D32A1B">
        <w:rPr>
          <w:rFonts w:ascii="Arial" w:hAnsi="Arial"/>
        </w:rPr>
        <w:t xml:space="preserve">día </w:t>
      </w:r>
      <w:r w:rsidR="003235EB">
        <w:rPr>
          <w:rFonts w:ascii="Arial" w:hAnsi="Arial"/>
        </w:rPr>
        <w:t xml:space="preserve">hábil </w:t>
      </w:r>
      <w:r w:rsidR="00D32A1B">
        <w:rPr>
          <w:rFonts w:ascii="Arial" w:hAnsi="Arial"/>
        </w:rPr>
        <w:t>siguiente se</w:t>
      </w:r>
      <w:r w:rsidRPr="008E5A62">
        <w:rPr>
          <w:rFonts w:ascii="Arial" w:hAnsi="Arial"/>
        </w:rPr>
        <w:t xml:space="preserve"> </w:t>
      </w:r>
      <w:r w:rsidR="003235EB">
        <w:rPr>
          <w:rFonts w:ascii="Arial" w:hAnsi="Arial"/>
        </w:rPr>
        <w:t>acumularon, se 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w:t>
      </w:r>
      <w:r w:rsidR="009C1B3A" w:rsidRPr="00D55E5A">
        <w:rPr>
          <w:rFonts w:ascii="Arial" w:hAnsi="Arial"/>
        </w:rPr>
        <w:t xml:space="preserve"> (Folio</w:t>
      </w:r>
      <w:r w:rsidR="00D32A1B">
        <w:rPr>
          <w:rFonts w:ascii="Arial" w:hAnsi="Arial"/>
        </w:rPr>
        <w:t xml:space="preserve">s </w:t>
      </w:r>
      <w:r w:rsidR="003235EB">
        <w:rPr>
          <w:rFonts w:ascii="Arial" w:hAnsi="Arial"/>
        </w:rPr>
        <w:t>10 y 11</w:t>
      </w:r>
      <w:r w:rsidR="00006C6E">
        <w:rPr>
          <w:rFonts w:ascii="Arial" w:hAnsi="Arial"/>
        </w:rPr>
        <w:t>,</w:t>
      </w:r>
      <w:r w:rsidR="002B6241">
        <w:rPr>
          <w:rFonts w:ascii="Arial" w:hAnsi="Arial"/>
        </w:rPr>
        <w:t xml:space="preserve"> </w:t>
      </w:r>
      <w:r w:rsidR="005B2CE1">
        <w:rPr>
          <w:rFonts w:ascii="Arial" w:hAnsi="Arial"/>
        </w:rPr>
        <w:t>ibídem</w:t>
      </w:r>
      <w:r w:rsidR="009C1B3A" w:rsidRPr="00D55E5A">
        <w:rPr>
          <w:rFonts w:ascii="Arial" w:hAnsi="Arial"/>
        </w:rPr>
        <w:t xml:space="preserve">). Fueron </w:t>
      </w:r>
      <w:r w:rsidR="009C1B3A">
        <w:rPr>
          <w:rFonts w:ascii="Arial" w:hAnsi="Arial"/>
        </w:rPr>
        <w:t xml:space="preserve">debidamente </w:t>
      </w:r>
      <w:r w:rsidR="009C1B3A" w:rsidRPr="00D55E5A">
        <w:rPr>
          <w:rFonts w:ascii="Arial" w:hAnsi="Arial"/>
        </w:rPr>
        <w:t>notificados los extremos de la acción (Folio</w:t>
      </w:r>
      <w:r w:rsidR="00343F0C">
        <w:rPr>
          <w:rFonts w:ascii="Arial" w:hAnsi="Arial"/>
        </w:rPr>
        <w:t xml:space="preserve">s </w:t>
      </w:r>
      <w:r w:rsidR="003235EB">
        <w:rPr>
          <w:rFonts w:ascii="Arial" w:hAnsi="Arial"/>
        </w:rPr>
        <w:t>12 a 16</w:t>
      </w:r>
      <w:r w:rsidR="009C1B3A" w:rsidRPr="00D55E5A">
        <w:rPr>
          <w:rFonts w:ascii="Arial" w:hAnsi="Arial"/>
        </w:rPr>
        <w:t xml:space="preserve">, </w:t>
      </w:r>
      <w:r w:rsidR="00006C6E">
        <w:rPr>
          <w:rFonts w:ascii="Arial" w:hAnsi="Arial"/>
        </w:rPr>
        <w:t>ibídem</w:t>
      </w:r>
      <w:r w:rsidR="009C1B3A" w:rsidRPr="00D55E5A">
        <w:rPr>
          <w:rFonts w:ascii="Arial" w:hAnsi="Arial"/>
        </w:rPr>
        <w:t xml:space="preserve">). </w:t>
      </w:r>
      <w:r w:rsidR="0012749A" w:rsidRPr="008E5A62">
        <w:rPr>
          <w:rFonts w:ascii="Arial" w:hAnsi="Arial"/>
        </w:rPr>
        <w:t>Contestaron</w:t>
      </w:r>
      <w:r w:rsidR="00D522B5">
        <w:rPr>
          <w:rFonts w:ascii="Arial" w:hAnsi="Arial"/>
        </w:rPr>
        <w:t xml:space="preserve"> </w:t>
      </w:r>
      <w:r w:rsidR="00D522B5">
        <w:rPr>
          <w:rFonts w:ascii="Arial" w:hAnsi="Arial" w:cs="Arial"/>
          <w:spacing w:val="3"/>
        </w:rPr>
        <w:t xml:space="preserve">la </w:t>
      </w:r>
      <w:r w:rsidR="003235EB">
        <w:rPr>
          <w:rFonts w:ascii="Arial" w:hAnsi="Arial" w:cs="Arial"/>
          <w:spacing w:val="3"/>
        </w:rPr>
        <w:t xml:space="preserve">Procuraduría General de la Nación, Regional Risaralda </w:t>
      </w:r>
      <w:r w:rsidR="003235EB">
        <w:rPr>
          <w:rFonts w:ascii="Arial" w:hAnsi="Arial" w:cs="Arial"/>
          <w:spacing w:val="3"/>
          <w:lang w:val="es-CO"/>
        </w:rPr>
        <w:t>(Folio 17, ibídem), la Defensoría del Pueblo, Regional Caldas (Folio 20, ib.) y la Alcaldía de Pereira (Folios 25 y 26, ib.)</w:t>
      </w:r>
      <w:r w:rsidR="00C01E52">
        <w:rPr>
          <w:rFonts w:ascii="Arial" w:hAnsi="Arial" w:cs="Arial"/>
          <w:spacing w:val="3"/>
        </w:rPr>
        <w:t>.</w:t>
      </w:r>
      <w:r w:rsidR="005B2CE1">
        <w:rPr>
          <w:rFonts w:ascii="Arial" w:hAnsi="Arial" w:cs="Arial"/>
          <w:spacing w:val="3"/>
        </w:rPr>
        <w:t xml:space="preserve"> El Juzgado accionado arrimó las copias requeridas (Folios </w:t>
      </w:r>
      <w:r w:rsidR="003235EB">
        <w:rPr>
          <w:rFonts w:ascii="Arial" w:hAnsi="Arial" w:cs="Arial"/>
          <w:spacing w:val="3"/>
        </w:rPr>
        <w:t>22 a 24</w:t>
      </w:r>
      <w:r w:rsidR="005B2CE1">
        <w:rPr>
          <w:rFonts w:ascii="Arial" w:hAnsi="Arial" w:cs="Arial"/>
          <w:spacing w:val="3"/>
        </w:rPr>
        <w:t>, ib.).</w:t>
      </w:r>
    </w:p>
    <w:p w:rsidR="003A2CB1" w:rsidRPr="003A3E22" w:rsidRDefault="003A2CB1" w:rsidP="00B50331">
      <w:pPr>
        <w:spacing w:line="360" w:lineRule="auto"/>
        <w:jc w:val="both"/>
        <w:rPr>
          <w:rFonts w:ascii="Arial" w:hAnsi="Arial"/>
          <w:sz w:val="18"/>
        </w:rPr>
      </w:pPr>
    </w:p>
    <w:p w:rsidR="003A2CB1" w:rsidRPr="00040EA1" w:rsidRDefault="00040EA1" w:rsidP="003A2CB1">
      <w:pPr>
        <w:numPr>
          <w:ilvl w:val="0"/>
          <w:numId w:val="18"/>
        </w:numPr>
        <w:spacing w:line="360" w:lineRule="auto"/>
        <w:jc w:val="both"/>
        <w:rPr>
          <w:rFonts w:ascii="Arial" w:hAnsi="Arial"/>
          <w:smallCaps/>
          <w:sz w:val="28"/>
          <w:szCs w:val="28"/>
        </w:rPr>
      </w:pPr>
      <w:r>
        <w:rPr>
          <w:rFonts w:ascii="Arial" w:hAnsi="Arial"/>
          <w:smallCaps/>
          <w:sz w:val="28"/>
          <w:szCs w:val="28"/>
        </w:rPr>
        <w:t>L</w:t>
      </w:r>
      <w:r w:rsidRPr="00040EA1">
        <w:rPr>
          <w:rFonts w:ascii="Arial" w:hAnsi="Arial"/>
          <w:smallCaps/>
          <w:sz w:val="28"/>
          <w:szCs w:val="28"/>
        </w:rPr>
        <w:t>a sinopsis de las respuestas</w:t>
      </w:r>
    </w:p>
    <w:p w:rsidR="003A2CB1" w:rsidRPr="003A3E22" w:rsidRDefault="003A2CB1" w:rsidP="003A2CB1">
      <w:pPr>
        <w:spacing w:line="360" w:lineRule="auto"/>
        <w:jc w:val="both"/>
        <w:rPr>
          <w:rFonts w:ascii="Arial" w:hAnsi="Arial"/>
          <w:sz w:val="16"/>
        </w:rPr>
      </w:pPr>
    </w:p>
    <w:p w:rsidR="003235EB" w:rsidRDefault="003235EB" w:rsidP="003235EB">
      <w:pPr>
        <w:spacing w:line="360" w:lineRule="auto"/>
        <w:jc w:val="both"/>
        <w:rPr>
          <w:rFonts w:ascii="Arial" w:hAnsi="Arial"/>
        </w:rPr>
      </w:pPr>
      <w:r w:rsidRPr="00DD0773">
        <w:rPr>
          <w:rFonts w:ascii="Arial" w:hAnsi="Arial" w:cs="Arial"/>
        </w:rPr>
        <w:t xml:space="preserve">La Procuraduría General de la Nación, Regional Risaralda </w:t>
      </w:r>
      <w:r>
        <w:rPr>
          <w:rFonts w:ascii="Arial" w:hAnsi="Arial" w:cs="Arial"/>
        </w:rPr>
        <w:t xml:space="preserve">y la Alcaldía de Pereira, pidieron su desvinculación porque </w:t>
      </w:r>
      <w:r w:rsidRPr="00DD0773">
        <w:rPr>
          <w:rFonts w:ascii="Arial" w:hAnsi="Arial" w:cs="Arial"/>
        </w:rPr>
        <w:t>la situación alegada es ajena a su</w:t>
      </w:r>
      <w:r>
        <w:rPr>
          <w:rFonts w:ascii="Arial" w:hAnsi="Arial" w:cs="Arial"/>
        </w:rPr>
        <w:t xml:space="preserve">s funciones y es al </w:t>
      </w:r>
      <w:r w:rsidRPr="00DD0773">
        <w:rPr>
          <w:rFonts w:ascii="Arial" w:hAnsi="Arial" w:cs="Arial"/>
        </w:rPr>
        <w:t xml:space="preserve">Juzgado </w:t>
      </w:r>
      <w:r>
        <w:rPr>
          <w:rFonts w:ascii="Arial" w:hAnsi="Arial" w:cs="Arial"/>
        </w:rPr>
        <w:t xml:space="preserve">a quien le </w:t>
      </w:r>
      <w:r w:rsidRPr="00DD0773">
        <w:rPr>
          <w:rFonts w:ascii="Arial" w:hAnsi="Arial" w:cs="Arial"/>
        </w:rPr>
        <w:t xml:space="preserve">competente tramitar </w:t>
      </w:r>
      <w:r>
        <w:rPr>
          <w:rFonts w:ascii="Arial" w:hAnsi="Arial" w:cs="Arial"/>
        </w:rPr>
        <w:t>las acciones populares (Folios 17, 25 y 26, ib.)</w:t>
      </w:r>
      <w:r w:rsidRPr="00DD0773">
        <w:rPr>
          <w:rFonts w:ascii="Arial" w:hAnsi="Arial" w:cs="Arial"/>
        </w:rPr>
        <w:t>.</w:t>
      </w:r>
      <w:r>
        <w:rPr>
          <w:rFonts w:ascii="Arial" w:hAnsi="Arial" w:cs="Arial"/>
        </w:rPr>
        <w:t xml:space="preserve"> </w:t>
      </w:r>
      <w:r w:rsidR="00B442DC">
        <w:rPr>
          <w:rFonts w:ascii="Arial" w:hAnsi="Arial"/>
        </w:rPr>
        <w:t xml:space="preserve">La </w:t>
      </w:r>
      <w:r w:rsidR="00E11ACC">
        <w:rPr>
          <w:rFonts w:ascii="Arial" w:hAnsi="Arial"/>
        </w:rPr>
        <w:t>Defensoría del Pueblo Regional Caldas</w:t>
      </w:r>
      <w:r w:rsidR="00B442DC" w:rsidRPr="00253A38">
        <w:rPr>
          <w:rFonts w:ascii="Arial" w:hAnsi="Arial"/>
        </w:rPr>
        <w:t xml:space="preserve">, </w:t>
      </w:r>
      <w:r>
        <w:rPr>
          <w:rFonts w:ascii="Arial" w:hAnsi="Arial"/>
        </w:rPr>
        <w:t>adujo el accionante actúa con temeridad y mala fe porque en los últimos tres (3) meses ha promovido 455 tutelas por los mismos hechos ante distintos Tribunales del país, por consiguiente, solicitó declarar su improcedencia, sancionarlo con multa y compulsar copias a la Fiscalía General de la Nación</w:t>
      </w:r>
      <w:r w:rsidRPr="00253A38">
        <w:rPr>
          <w:rFonts w:ascii="Arial" w:hAnsi="Arial"/>
        </w:rPr>
        <w:t xml:space="preserve"> </w:t>
      </w:r>
      <w:r>
        <w:rPr>
          <w:rFonts w:ascii="Arial" w:hAnsi="Arial"/>
        </w:rPr>
        <w:t>(</w:t>
      </w:r>
      <w:r>
        <w:rPr>
          <w:rFonts w:ascii="Arial" w:hAnsi="Arial" w:cs="Arial"/>
          <w:spacing w:val="3"/>
        </w:rPr>
        <w:t xml:space="preserve">Disco compacto </w:t>
      </w:r>
      <w:r>
        <w:rPr>
          <w:rFonts w:ascii="Arial" w:hAnsi="Arial"/>
        </w:rPr>
        <w:t>visible a folio 20, ib.).</w:t>
      </w:r>
    </w:p>
    <w:p w:rsidR="00ED2408" w:rsidRDefault="00ED2408" w:rsidP="00B442DC">
      <w:pPr>
        <w:spacing w:line="360" w:lineRule="auto"/>
        <w:jc w:val="both"/>
        <w:rPr>
          <w:rFonts w:ascii="Arial" w:hAnsi="Arial"/>
        </w:rPr>
      </w:pPr>
    </w:p>
    <w:p w:rsidR="00CF429F" w:rsidRDefault="00040EA1" w:rsidP="00CF429F">
      <w:pPr>
        <w:pStyle w:val="Corpsdetexte"/>
        <w:numPr>
          <w:ilvl w:val="0"/>
          <w:numId w:val="18"/>
        </w:numPr>
        <w:spacing w:line="360" w:lineRule="auto"/>
        <w:rPr>
          <w:rFonts w:ascii="Arial" w:hAnsi="Arial"/>
          <w:smallCaps/>
          <w:sz w:val="28"/>
          <w:szCs w:val="28"/>
        </w:rPr>
      </w:pPr>
      <w:r>
        <w:rPr>
          <w:rFonts w:ascii="Arial" w:hAnsi="Arial"/>
          <w:smallCaps/>
          <w:sz w:val="28"/>
          <w:szCs w:val="28"/>
        </w:rPr>
        <w:t>L</w:t>
      </w:r>
      <w:r w:rsidRPr="00040EA1">
        <w:rPr>
          <w:rFonts w:ascii="Arial" w:hAnsi="Arial"/>
          <w:smallCaps/>
          <w:sz w:val="28"/>
          <w:szCs w:val="28"/>
        </w:rPr>
        <w:t>a fundamentación jurídica para decidir</w:t>
      </w:r>
    </w:p>
    <w:p w:rsidR="00002C46" w:rsidRDefault="00002C46" w:rsidP="00002C46">
      <w:pPr>
        <w:pStyle w:val="Corpsdetexte"/>
        <w:spacing w:line="360" w:lineRule="auto"/>
        <w:ind w:left="400"/>
        <w:rPr>
          <w:rFonts w:ascii="Arial" w:hAnsi="Arial"/>
          <w:smallCaps/>
          <w:sz w:val="28"/>
          <w:szCs w:val="28"/>
        </w:rPr>
      </w:pPr>
    </w:p>
    <w:p w:rsidR="00CF429F" w:rsidRDefault="00CF429F" w:rsidP="005B2CE1">
      <w:pPr>
        <w:pStyle w:val="Corpsdetexte"/>
        <w:numPr>
          <w:ilvl w:val="1"/>
          <w:numId w:val="18"/>
        </w:numPr>
        <w:spacing w:line="360" w:lineRule="auto"/>
        <w:rPr>
          <w:rFonts w:ascii="Arial" w:hAnsi="Arial" w:cs="Arial"/>
          <w:szCs w:val="24"/>
        </w:rPr>
      </w:pPr>
      <w:r w:rsidRPr="00002C46">
        <w:rPr>
          <w:rFonts w:ascii="Arial" w:hAnsi="Arial"/>
          <w:smallCaps/>
          <w:szCs w:val="26"/>
        </w:rPr>
        <w:t>La competencia</w:t>
      </w:r>
      <w:r w:rsidR="005B2CE1">
        <w:rPr>
          <w:rFonts w:ascii="Arial" w:hAnsi="Arial"/>
          <w:smallCaps/>
          <w:sz w:val="26"/>
          <w:szCs w:val="26"/>
        </w:rPr>
        <w:t xml:space="preserve">. </w:t>
      </w:r>
      <w:r w:rsidR="005427D5" w:rsidRPr="005B2CE1">
        <w:rPr>
          <w:rFonts w:ascii="Arial" w:hAnsi="Arial" w:cs="Arial"/>
          <w:szCs w:val="24"/>
        </w:rPr>
        <w:t>Este Tribunal es competente para conocer la acción en razón a que es el superior jerárquico del</w:t>
      </w:r>
      <w:r w:rsidR="00D720D8" w:rsidRPr="005B2CE1">
        <w:rPr>
          <w:rFonts w:ascii="Arial" w:hAnsi="Arial" w:cs="Arial"/>
          <w:szCs w:val="24"/>
        </w:rPr>
        <w:t xml:space="preserve"> Juzgado accionado</w:t>
      </w:r>
      <w:r w:rsidR="00CF2DED" w:rsidRPr="005B2CE1">
        <w:rPr>
          <w:rFonts w:ascii="Arial" w:hAnsi="Arial" w:cs="Arial"/>
          <w:szCs w:val="24"/>
        </w:rPr>
        <w:t>.</w:t>
      </w:r>
    </w:p>
    <w:p w:rsidR="005B2CE1" w:rsidRDefault="005B2CE1" w:rsidP="005B2CE1">
      <w:pPr>
        <w:pStyle w:val="Corpsdetexte"/>
        <w:tabs>
          <w:tab w:val="clear" w:pos="0"/>
          <w:tab w:val="clear" w:pos="708"/>
          <w:tab w:val="clear" w:pos="1416"/>
          <w:tab w:val="left" w:pos="709"/>
        </w:tabs>
        <w:spacing w:line="360" w:lineRule="auto"/>
        <w:rPr>
          <w:rFonts w:ascii="Arial" w:hAnsi="Arial"/>
          <w:smallCaps/>
          <w:szCs w:val="24"/>
        </w:rPr>
      </w:pPr>
    </w:p>
    <w:p w:rsidR="005B2CE1" w:rsidRPr="00282DC4" w:rsidRDefault="005B2CE1" w:rsidP="00FC2001">
      <w:pPr>
        <w:pStyle w:val="Textopredeterminado"/>
        <w:numPr>
          <w:ilvl w:val="1"/>
          <w:numId w:val="18"/>
        </w:numPr>
        <w:spacing w:line="360" w:lineRule="auto"/>
        <w:jc w:val="both"/>
        <w:rPr>
          <w:rFonts w:ascii="Arial" w:hAnsi="Arial" w:cs="Arial"/>
          <w:spacing w:val="3"/>
        </w:rPr>
      </w:pPr>
      <w:r w:rsidRPr="00002C46">
        <w:rPr>
          <w:rFonts w:ascii="Arial" w:hAnsi="Arial"/>
          <w:smallCaps/>
          <w:szCs w:val="24"/>
        </w:rPr>
        <w:lastRenderedPageBreak/>
        <w:t>La legitimación en la causa</w:t>
      </w:r>
      <w:r>
        <w:rPr>
          <w:rFonts w:ascii="Arial" w:hAnsi="Arial"/>
          <w:smallCaps/>
          <w:szCs w:val="24"/>
        </w:rPr>
        <w:t xml:space="preserve">. </w:t>
      </w:r>
      <w:r w:rsidRPr="00D91A51">
        <w:rPr>
          <w:rFonts w:ascii="Arial" w:hAnsi="Arial" w:cs="Arial"/>
          <w:szCs w:val="24"/>
        </w:rPr>
        <w:t xml:space="preserve">Se cumple </w:t>
      </w:r>
      <w:r w:rsidRPr="009A6E75">
        <w:rPr>
          <w:rFonts w:ascii="Arial" w:hAnsi="Arial" w:cs="Arial"/>
          <w:szCs w:val="24"/>
        </w:rPr>
        <w:t xml:space="preserve">por activa dado que el actor presentó la acción popular </w:t>
      </w:r>
      <w:r w:rsidR="002F6BFA">
        <w:rPr>
          <w:rFonts w:ascii="Arial" w:hAnsi="Arial" w:cs="Arial"/>
          <w:szCs w:val="24"/>
        </w:rPr>
        <w:t xml:space="preserve">No.2015-00254-00 y es coadyuvante en la acción popular No. 2015-00021-00 </w:t>
      </w:r>
      <w:r w:rsidRPr="009A6E75">
        <w:rPr>
          <w:rFonts w:ascii="Arial" w:hAnsi="Arial" w:cs="Arial"/>
          <w:szCs w:val="24"/>
        </w:rPr>
        <w:t>en la</w:t>
      </w:r>
      <w:r w:rsidR="002F6BFA">
        <w:rPr>
          <w:rFonts w:ascii="Arial" w:hAnsi="Arial" w:cs="Arial"/>
          <w:szCs w:val="24"/>
        </w:rPr>
        <w:t>s</w:t>
      </w:r>
      <w:r w:rsidRPr="009A6E75">
        <w:rPr>
          <w:rFonts w:ascii="Arial" w:hAnsi="Arial" w:cs="Arial"/>
          <w:szCs w:val="24"/>
        </w:rPr>
        <w:t xml:space="preserve"> que se reprocha la falta al debido proceso. Y por pasiva, lo es el Juzgado </w:t>
      </w:r>
      <w:r w:rsidR="002F6BFA">
        <w:rPr>
          <w:rFonts w:ascii="Arial" w:hAnsi="Arial" w:cs="Arial"/>
          <w:szCs w:val="24"/>
        </w:rPr>
        <w:t xml:space="preserve">Segundo </w:t>
      </w:r>
      <w:r w:rsidRPr="009A6E75">
        <w:rPr>
          <w:rFonts w:ascii="Arial" w:hAnsi="Arial" w:cs="Arial"/>
          <w:szCs w:val="24"/>
        </w:rPr>
        <w:t>Civil del Circuito de Pereira, por ser la autoridad judicial</w:t>
      </w:r>
      <w:r w:rsidRPr="009A3C9D">
        <w:rPr>
          <w:rFonts w:ascii="Arial" w:hAnsi="Arial" w:cs="Arial"/>
          <w:szCs w:val="24"/>
        </w:rPr>
        <w:t xml:space="preserve"> que </w:t>
      </w:r>
      <w:r>
        <w:rPr>
          <w:rFonts w:ascii="Arial" w:hAnsi="Arial" w:cs="Arial"/>
          <w:szCs w:val="24"/>
        </w:rPr>
        <w:t xml:space="preserve">conoce </w:t>
      </w:r>
      <w:r w:rsidR="002F6BFA">
        <w:rPr>
          <w:rFonts w:ascii="Arial" w:hAnsi="Arial" w:cs="Arial"/>
          <w:szCs w:val="24"/>
        </w:rPr>
        <w:t xml:space="preserve">los </w:t>
      </w:r>
      <w:r>
        <w:rPr>
          <w:rFonts w:ascii="Arial" w:hAnsi="Arial" w:cs="Arial"/>
          <w:szCs w:val="24"/>
        </w:rPr>
        <w:t>juicio</w:t>
      </w:r>
      <w:r w:rsidR="002F6BFA">
        <w:rPr>
          <w:rFonts w:ascii="Arial" w:hAnsi="Arial" w:cs="Arial"/>
          <w:szCs w:val="24"/>
        </w:rPr>
        <w:t>s</w:t>
      </w:r>
      <w:r w:rsidR="00FC2001" w:rsidRPr="00E17BC5">
        <w:rPr>
          <w:rFonts w:ascii="Arial" w:hAnsi="Arial" w:cs="Arial"/>
        </w:rPr>
        <w:t>.</w:t>
      </w:r>
    </w:p>
    <w:p w:rsidR="00282DC4" w:rsidRDefault="00282DC4" w:rsidP="00282DC4">
      <w:pPr>
        <w:pStyle w:val="Paragraphedeliste"/>
        <w:rPr>
          <w:rFonts w:ascii="Arial" w:hAnsi="Arial" w:cs="Arial"/>
          <w:spacing w:val="3"/>
        </w:rPr>
      </w:pPr>
    </w:p>
    <w:p w:rsidR="00282DC4" w:rsidRDefault="00282DC4" w:rsidP="00282DC4">
      <w:pPr>
        <w:pStyle w:val="Textopredeterminado"/>
        <w:spacing w:line="360" w:lineRule="auto"/>
        <w:ind w:left="720"/>
        <w:jc w:val="both"/>
        <w:rPr>
          <w:rFonts w:ascii="Arial" w:hAnsi="Arial" w:cs="Arial"/>
        </w:rPr>
      </w:pPr>
      <w:r>
        <w:rPr>
          <w:rFonts w:ascii="Arial" w:hAnsi="Arial" w:cs="Arial"/>
          <w:spacing w:val="3"/>
        </w:rPr>
        <w:t xml:space="preserve">No sucede lo mismo respecto de la </w:t>
      </w:r>
      <w:r>
        <w:rPr>
          <w:rFonts w:ascii="Arial" w:hAnsi="Arial" w:cs="Arial"/>
        </w:rPr>
        <w:t xml:space="preserve">Procuraduría y la Defensoría de Pueblo, Regionales de Risaralda, y la Alcaldía y Personería de Pereira, porque no intervinieron en las acciones populares, carecen de legitimación, por lo tanto se declararán improcedentes los amparos. </w:t>
      </w:r>
    </w:p>
    <w:p w:rsidR="00D87D45" w:rsidRDefault="00D87D45" w:rsidP="00282DC4">
      <w:pPr>
        <w:pStyle w:val="Textopredeterminado"/>
        <w:spacing w:line="360" w:lineRule="auto"/>
        <w:ind w:left="720"/>
        <w:jc w:val="both"/>
        <w:rPr>
          <w:rFonts w:ascii="Arial" w:hAnsi="Arial" w:cs="Arial"/>
        </w:rPr>
      </w:pPr>
    </w:p>
    <w:p w:rsidR="005427D5" w:rsidRPr="00F5472B" w:rsidRDefault="00CF429F" w:rsidP="005B2CE1">
      <w:pPr>
        <w:pStyle w:val="Corpsdetexte"/>
        <w:numPr>
          <w:ilvl w:val="1"/>
          <w:numId w:val="18"/>
        </w:numPr>
        <w:tabs>
          <w:tab w:val="clear" w:pos="708"/>
          <w:tab w:val="clear" w:pos="1416"/>
          <w:tab w:val="left" w:pos="709"/>
        </w:tabs>
        <w:spacing w:line="360" w:lineRule="auto"/>
        <w:rPr>
          <w:rFonts w:ascii="Arial" w:hAnsi="Arial" w:cs="Arial"/>
        </w:rPr>
      </w:pPr>
      <w:r w:rsidRPr="00002C46">
        <w:rPr>
          <w:rFonts w:ascii="Arial" w:hAnsi="Arial"/>
          <w:smallCaps/>
          <w:szCs w:val="26"/>
        </w:rPr>
        <w:t>El problema jurídico a resolver</w:t>
      </w:r>
      <w:r w:rsidR="00F5472B" w:rsidRPr="00002C46">
        <w:rPr>
          <w:rFonts w:ascii="Arial" w:hAnsi="Arial"/>
          <w:smallCaps/>
          <w:szCs w:val="26"/>
        </w:rPr>
        <w:t>.</w:t>
      </w:r>
      <w:r w:rsidR="00F5472B" w:rsidRPr="00F5472B">
        <w:rPr>
          <w:rFonts w:ascii="Arial" w:hAnsi="Arial"/>
          <w:smallCaps/>
          <w:sz w:val="26"/>
          <w:szCs w:val="26"/>
        </w:rPr>
        <w:t xml:space="preserve"> </w:t>
      </w:r>
      <w:r w:rsidR="005427D5" w:rsidRPr="00F5472B">
        <w:rPr>
          <w:rFonts w:ascii="Arial" w:hAnsi="Arial" w:cs="Arial"/>
        </w:rPr>
        <w:t xml:space="preserve">¿El Juzgado </w:t>
      </w:r>
      <w:r w:rsidR="002F6BFA">
        <w:rPr>
          <w:rFonts w:ascii="Arial" w:hAnsi="Arial" w:cs="Arial"/>
        </w:rPr>
        <w:t>Segundo</w:t>
      </w:r>
      <w:r w:rsidR="005B5B7F" w:rsidRPr="00F5472B">
        <w:rPr>
          <w:rFonts w:ascii="Arial" w:hAnsi="Arial" w:cs="Arial"/>
        </w:rPr>
        <w:t xml:space="preserve"> </w:t>
      </w:r>
      <w:r w:rsidR="005F0330" w:rsidRPr="00F5472B">
        <w:rPr>
          <w:rFonts w:ascii="Arial" w:hAnsi="Arial" w:cs="Arial"/>
        </w:rPr>
        <w:t xml:space="preserve">Civil del Circuito de Pereira </w:t>
      </w:r>
      <w:r w:rsidR="005427D5" w:rsidRPr="00F5472B">
        <w:rPr>
          <w:rFonts w:ascii="Arial" w:hAnsi="Arial" w:cs="Arial"/>
        </w:rPr>
        <w:t xml:space="preserve">ha vulnerado o amenazado los derechos fundamentales del accionante </w:t>
      </w:r>
      <w:r w:rsidR="00F5472B">
        <w:rPr>
          <w:rFonts w:ascii="Arial" w:hAnsi="Arial" w:cs="Arial"/>
        </w:rPr>
        <w:t>con ocasión del trámite surtido en la acción popular</w:t>
      </w:r>
      <w:r w:rsidR="005427D5" w:rsidRPr="00F5472B">
        <w:rPr>
          <w:rFonts w:ascii="Arial" w:hAnsi="Arial" w:cs="Arial"/>
        </w:rPr>
        <w:t xml:space="preserve">, según lo expuesto en </w:t>
      </w:r>
      <w:r w:rsidR="00A67DDB" w:rsidRPr="00F5472B">
        <w:rPr>
          <w:rFonts w:ascii="Arial" w:hAnsi="Arial" w:cs="Arial"/>
        </w:rPr>
        <w:t>e</w:t>
      </w:r>
      <w:r w:rsidR="005427D5" w:rsidRPr="00F5472B">
        <w:rPr>
          <w:rFonts w:ascii="Arial" w:hAnsi="Arial" w:cs="Arial"/>
        </w:rPr>
        <w:t>l escrito de tutela?</w:t>
      </w:r>
      <w:r w:rsidR="0078091F" w:rsidRPr="00F5472B">
        <w:rPr>
          <w:rFonts w:ascii="Arial" w:hAnsi="Arial" w:cs="Arial"/>
        </w:rPr>
        <w:t xml:space="preserve"> </w:t>
      </w:r>
    </w:p>
    <w:p w:rsidR="00FF100E" w:rsidRPr="00AE73C7" w:rsidRDefault="00FF100E" w:rsidP="00F5472B">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hanging="142"/>
        <w:jc w:val="both"/>
        <w:rPr>
          <w:rFonts w:ascii="Arial" w:hAnsi="Arial" w:cs="Arial"/>
          <w:spacing w:val="-3"/>
          <w:lang w:val="es-ES_tradnl"/>
        </w:rPr>
      </w:pPr>
    </w:p>
    <w:p w:rsidR="0084306F" w:rsidRPr="00FC2001" w:rsidRDefault="0084306F" w:rsidP="00FC2001">
      <w:pPr>
        <w:pStyle w:val="Corpsdetexte"/>
        <w:numPr>
          <w:ilvl w:val="0"/>
          <w:numId w:val="18"/>
        </w:numPr>
        <w:tabs>
          <w:tab w:val="clear" w:pos="708"/>
          <w:tab w:val="clear" w:pos="1416"/>
          <w:tab w:val="left" w:pos="709"/>
          <w:tab w:val="left" w:pos="1418"/>
        </w:tabs>
        <w:spacing w:line="360" w:lineRule="auto"/>
        <w:rPr>
          <w:rFonts w:ascii="Arial" w:hAnsi="Arial"/>
          <w:smallCaps/>
          <w:sz w:val="28"/>
          <w:szCs w:val="26"/>
        </w:rPr>
      </w:pPr>
      <w:r w:rsidRPr="00FC2001">
        <w:rPr>
          <w:rFonts w:ascii="Arial" w:hAnsi="Arial"/>
          <w:smallCaps/>
          <w:sz w:val="28"/>
          <w:szCs w:val="26"/>
        </w:rPr>
        <w:t>La resolución del problema jurídico</w:t>
      </w:r>
    </w:p>
    <w:p w:rsidR="0084306F" w:rsidRDefault="0084306F" w:rsidP="0084306F">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 w:val="22"/>
          <w:szCs w:val="24"/>
          <w:lang w:val="es-ES"/>
        </w:rPr>
      </w:pPr>
    </w:p>
    <w:p w:rsidR="00BF3A7D" w:rsidRPr="00002C46" w:rsidRDefault="00BF3A7D" w:rsidP="00FC2001">
      <w:pPr>
        <w:pStyle w:val="Corpsdetexte"/>
        <w:numPr>
          <w:ilvl w:val="1"/>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mallCaps/>
          <w:szCs w:val="24"/>
        </w:rPr>
      </w:pPr>
      <w:r w:rsidRPr="00002C46">
        <w:rPr>
          <w:rFonts w:ascii="Arial" w:hAnsi="Arial" w:cs="Arial"/>
          <w:smallCaps/>
          <w:szCs w:val="24"/>
        </w:rPr>
        <w:t>Las sub-reglas de análisis en la procedibilidad frente a decisiones judiciales</w:t>
      </w:r>
    </w:p>
    <w:p w:rsidR="00BF3A7D" w:rsidRDefault="00BF3A7D" w:rsidP="00BF3A7D">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ind w:left="720"/>
        <w:textAlignment w:val="auto"/>
        <w:rPr>
          <w:rFonts w:ascii="Arial" w:hAnsi="Arial" w:cs="Arial"/>
          <w:szCs w:val="24"/>
        </w:rPr>
      </w:pPr>
    </w:p>
    <w:p w:rsidR="00BF0AC3" w:rsidRDefault="005D7E7E" w:rsidP="00BF0AC3">
      <w:pPr>
        <w:pStyle w:val="Corpsdetexte"/>
        <w:spacing w:line="360" w:lineRule="auto"/>
        <w:rPr>
          <w:rFonts w:ascii="Arial" w:hAnsi="Arial" w:cs="Arial"/>
          <w:szCs w:val="24"/>
        </w:rPr>
      </w:pPr>
      <w:r>
        <w:rPr>
          <w:rFonts w:ascii="Arial" w:hAnsi="Arial" w:cs="Arial"/>
          <w:szCs w:val="24"/>
        </w:rPr>
        <w:t>A partir</w:t>
      </w:r>
      <w:r w:rsidR="00BF0AC3">
        <w:rPr>
          <w:rFonts w:ascii="Arial" w:hAnsi="Arial" w:cs="Arial"/>
          <w:szCs w:val="24"/>
        </w:rPr>
        <w:t xml:space="preserve"> </w:t>
      </w:r>
      <w:r>
        <w:rPr>
          <w:rFonts w:ascii="Arial" w:hAnsi="Arial" w:cs="Arial"/>
          <w:szCs w:val="24"/>
        </w:rPr>
        <w:t xml:space="preserve">de </w:t>
      </w:r>
      <w:r w:rsidR="00BF0AC3" w:rsidRPr="00907C22">
        <w:rPr>
          <w:rFonts w:ascii="Arial" w:hAnsi="Arial" w:cs="Arial"/>
          <w:szCs w:val="24"/>
        </w:rPr>
        <w:t xml:space="preserve">la </w:t>
      </w:r>
      <w:r w:rsidR="00BF0AC3">
        <w:rPr>
          <w:rFonts w:ascii="Arial" w:hAnsi="Arial" w:cs="Arial"/>
          <w:szCs w:val="24"/>
        </w:rPr>
        <w:t xml:space="preserve"> </w:t>
      </w:r>
      <w:r w:rsidR="00BF0AC3" w:rsidRPr="00907C22">
        <w:rPr>
          <w:rFonts w:ascii="Arial" w:hAnsi="Arial" w:cs="Arial"/>
          <w:szCs w:val="24"/>
        </w:rPr>
        <w:t xml:space="preserve">sentencia </w:t>
      </w:r>
      <w:r w:rsidR="00BF0AC3">
        <w:rPr>
          <w:rFonts w:ascii="Arial" w:hAnsi="Arial" w:cs="Arial"/>
          <w:szCs w:val="24"/>
        </w:rPr>
        <w:t xml:space="preserve"> </w:t>
      </w:r>
      <w:r w:rsidR="00BF0AC3" w:rsidRPr="00907C22">
        <w:rPr>
          <w:rFonts w:ascii="Arial" w:hAnsi="Arial" w:cs="Arial"/>
          <w:szCs w:val="24"/>
        </w:rPr>
        <w:t xml:space="preserve">C-543 </w:t>
      </w:r>
      <w:r w:rsidR="00BF0AC3">
        <w:t xml:space="preserve"> </w:t>
      </w:r>
      <w:r w:rsidR="00BF0AC3" w:rsidRPr="00907C22">
        <w:rPr>
          <w:rFonts w:ascii="Arial" w:hAnsi="Arial" w:cs="Arial"/>
          <w:szCs w:val="24"/>
        </w:rPr>
        <w:t xml:space="preserve">de </w:t>
      </w:r>
      <w:r w:rsidR="00BF0AC3">
        <w:rPr>
          <w:rFonts w:ascii="Arial" w:hAnsi="Arial" w:cs="Arial"/>
          <w:szCs w:val="24"/>
        </w:rPr>
        <w:t xml:space="preserve"> </w:t>
      </w:r>
      <w:r w:rsidR="00BF0AC3" w:rsidRPr="00907C22">
        <w:rPr>
          <w:rFonts w:ascii="Arial" w:hAnsi="Arial" w:cs="Arial"/>
          <w:szCs w:val="24"/>
        </w:rPr>
        <w:t xml:space="preserve">1992, </w:t>
      </w:r>
      <w:r w:rsidR="00BF0AC3">
        <w:rPr>
          <w:rFonts w:ascii="Arial" w:hAnsi="Arial" w:cs="Arial"/>
          <w:szCs w:val="24"/>
        </w:rPr>
        <w:t xml:space="preserve"> que examinó </w:t>
      </w:r>
      <w:r w:rsidR="00BF0AC3" w:rsidRPr="00907C22">
        <w:rPr>
          <w:rFonts w:ascii="Arial" w:hAnsi="Arial" w:cs="Arial"/>
          <w:szCs w:val="24"/>
        </w:rPr>
        <w:t xml:space="preserve">en constitucionalidad, los artículos 11, 12 y 40 del Decreto 2591 de 1991, </w:t>
      </w:r>
      <w:r w:rsidR="00BF0AC3">
        <w:rPr>
          <w:rFonts w:ascii="Arial" w:hAnsi="Arial" w:cs="Arial"/>
          <w:szCs w:val="24"/>
        </w:rPr>
        <w:t>declarados</w:t>
      </w:r>
      <w:r w:rsidR="00BF0AC3" w:rsidRPr="00907C22">
        <w:rPr>
          <w:rFonts w:ascii="Arial" w:hAnsi="Arial" w:cs="Arial"/>
          <w:szCs w:val="24"/>
        </w:rPr>
        <w:t xml:space="preserve"> ajustados a la Carta, </w:t>
      </w:r>
      <w:r>
        <w:rPr>
          <w:rFonts w:ascii="Arial" w:hAnsi="Arial" w:cs="Arial"/>
          <w:szCs w:val="24"/>
        </w:rPr>
        <w:t xml:space="preserve">se </w:t>
      </w:r>
      <w:r w:rsidR="00BF0AC3" w:rsidRPr="00907C22">
        <w:rPr>
          <w:rFonts w:ascii="Arial" w:hAnsi="Arial" w:cs="Arial"/>
          <w:szCs w:val="24"/>
        </w:rPr>
        <w:t>inicia la línea jurisprudencial en torno a la tutela contra providencias judiciales, que ha evolucionado hasta una re-definición dogmática entre 2003 y 2005</w:t>
      </w:r>
      <w:r w:rsidR="00BF0AC3" w:rsidRPr="00907C22">
        <w:rPr>
          <w:rStyle w:val="Appelnotedebasdep"/>
          <w:rFonts w:ascii="Arial" w:hAnsi="Arial" w:cs="Arial"/>
          <w:szCs w:val="24"/>
        </w:rPr>
        <w:footnoteReference w:id="1"/>
      </w:r>
      <w:r w:rsidR="00BF0AC3" w:rsidRPr="00907C22">
        <w:rPr>
          <w:rFonts w:ascii="Arial" w:hAnsi="Arial" w:cs="Arial"/>
          <w:szCs w:val="24"/>
        </w:rPr>
        <w:t xml:space="preserve">, básicamente </w:t>
      </w:r>
      <w:r w:rsidR="00BF0AC3">
        <w:rPr>
          <w:rFonts w:ascii="Arial" w:hAnsi="Arial" w:cs="Arial"/>
          <w:szCs w:val="24"/>
        </w:rPr>
        <w:t>sustituyó</w:t>
      </w:r>
      <w:r w:rsidR="00BF0AC3" w:rsidRPr="00907C22">
        <w:rPr>
          <w:rFonts w:ascii="Arial" w:hAnsi="Arial" w:cs="Arial"/>
          <w:szCs w:val="24"/>
        </w:rPr>
        <w:t xml:space="preserve"> la expresión “vías de </w:t>
      </w:r>
      <w:r w:rsidR="003A3E22">
        <w:rPr>
          <w:rFonts w:ascii="Arial" w:hAnsi="Arial" w:cs="Arial"/>
          <w:szCs w:val="24"/>
        </w:rPr>
        <w:t xml:space="preserve"> </w:t>
      </w:r>
      <w:r w:rsidR="00BF0AC3" w:rsidRPr="00907C22">
        <w:rPr>
          <w:rFonts w:ascii="Arial" w:hAnsi="Arial" w:cs="Arial"/>
          <w:szCs w:val="24"/>
        </w:rPr>
        <w:t xml:space="preserve">hecho” </w:t>
      </w:r>
      <w:r w:rsidR="003A3E22">
        <w:rPr>
          <w:rFonts w:ascii="Arial" w:hAnsi="Arial" w:cs="Arial"/>
          <w:szCs w:val="24"/>
        </w:rPr>
        <w:t xml:space="preserve"> </w:t>
      </w:r>
      <w:r w:rsidR="00BF0AC3">
        <w:rPr>
          <w:rFonts w:ascii="Arial" w:hAnsi="Arial" w:cs="Arial"/>
          <w:szCs w:val="24"/>
        </w:rPr>
        <w:t xml:space="preserve">por </w:t>
      </w:r>
      <w:r w:rsidR="003A3E22">
        <w:rPr>
          <w:rFonts w:ascii="Arial" w:hAnsi="Arial" w:cs="Arial"/>
          <w:szCs w:val="24"/>
        </w:rPr>
        <w:t xml:space="preserve"> </w:t>
      </w:r>
      <w:r w:rsidR="00BF0AC3">
        <w:rPr>
          <w:rFonts w:ascii="Arial" w:hAnsi="Arial" w:cs="Arial"/>
          <w:szCs w:val="24"/>
        </w:rPr>
        <w:t>la</w:t>
      </w:r>
      <w:r w:rsidR="003A3E22">
        <w:rPr>
          <w:rFonts w:ascii="Arial" w:hAnsi="Arial" w:cs="Arial"/>
          <w:szCs w:val="24"/>
        </w:rPr>
        <w:t xml:space="preserve"> </w:t>
      </w:r>
      <w:r w:rsidR="00BF0AC3">
        <w:rPr>
          <w:rFonts w:ascii="Arial" w:hAnsi="Arial" w:cs="Arial"/>
          <w:szCs w:val="24"/>
        </w:rPr>
        <w:t xml:space="preserve"> </w:t>
      </w:r>
      <w:r w:rsidR="00BF0AC3" w:rsidRPr="00907C22">
        <w:rPr>
          <w:rFonts w:ascii="Arial" w:hAnsi="Arial" w:cs="Arial"/>
          <w:szCs w:val="24"/>
        </w:rPr>
        <w:t>de</w:t>
      </w:r>
      <w:r w:rsidR="003A3E22">
        <w:rPr>
          <w:rFonts w:ascii="Arial" w:hAnsi="Arial" w:cs="Arial"/>
          <w:szCs w:val="24"/>
        </w:rPr>
        <w:t xml:space="preserve"> </w:t>
      </w:r>
      <w:r w:rsidR="00BF0AC3" w:rsidRPr="00907C22">
        <w:rPr>
          <w:rFonts w:ascii="Arial" w:hAnsi="Arial" w:cs="Arial"/>
          <w:szCs w:val="24"/>
        </w:rPr>
        <w:t xml:space="preserve"> “causales </w:t>
      </w:r>
      <w:r w:rsidR="003A3E22">
        <w:rPr>
          <w:rFonts w:ascii="Arial" w:hAnsi="Arial" w:cs="Arial"/>
          <w:szCs w:val="24"/>
        </w:rPr>
        <w:t xml:space="preserve"> </w:t>
      </w:r>
      <w:r w:rsidR="00BF0AC3" w:rsidRPr="00907C22">
        <w:rPr>
          <w:rFonts w:ascii="Arial" w:hAnsi="Arial" w:cs="Arial"/>
          <w:szCs w:val="24"/>
        </w:rPr>
        <w:t>genérica</w:t>
      </w:r>
      <w:r w:rsidR="00BF0AC3">
        <w:rPr>
          <w:rFonts w:ascii="Arial" w:hAnsi="Arial" w:cs="Arial"/>
          <w:szCs w:val="24"/>
        </w:rPr>
        <w:t>s</w:t>
      </w:r>
      <w:r w:rsidR="003A3E22">
        <w:rPr>
          <w:rFonts w:ascii="Arial" w:hAnsi="Arial" w:cs="Arial"/>
          <w:szCs w:val="24"/>
        </w:rPr>
        <w:t xml:space="preserve"> </w:t>
      </w:r>
      <w:r w:rsidR="00BF0AC3">
        <w:rPr>
          <w:rFonts w:ascii="Arial" w:hAnsi="Arial" w:cs="Arial"/>
          <w:szCs w:val="24"/>
        </w:rPr>
        <w:t xml:space="preserve"> de </w:t>
      </w:r>
      <w:r w:rsidR="003A3E22">
        <w:rPr>
          <w:rFonts w:ascii="Arial" w:hAnsi="Arial" w:cs="Arial"/>
          <w:szCs w:val="24"/>
        </w:rPr>
        <w:t xml:space="preserve"> </w:t>
      </w:r>
      <w:r w:rsidR="00BF0AC3">
        <w:rPr>
          <w:rFonts w:ascii="Arial" w:hAnsi="Arial" w:cs="Arial"/>
          <w:szCs w:val="24"/>
        </w:rPr>
        <w:t>procedibilidad”</w:t>
      </w:r>
      <w:r w:rsidR="003A3E22">
        <w:rPr>
          <w:rFonts w:ascii="Arial" w:hAnsi="Arial" w:cs="Arial"/>
          <w:szCs w:val="24"/>
        </w:rPr>
        <w:t xml:space="preserve"> </w:t>
      </w:r>
      <w:r w:rsidR="00BF0AC3">
        <w:rPr>
          <w:rFonts w:ascii="Arial" w:hAnsi="Arial" w:cs="Arial"/>
          <w:szCs w:val="24"/>
        </w:rPr>
        <w:t xml:space="preserve"> y</w:t>
      </w:r>
      <w:r w:rsidR="003A3E22">
        <w:rPr>
          <w:rFonts w:ascii="Arial" w:hAnsi="Arial" w:cs="Arial"/>
          <w:szCs w:val="24"/>
        </w:rPr>
        <w:t xml:space="preserve">  </w:t>
      </w:r>
      <w:r w:rsidR="00BF0AC3">
        <w:rPr>
          <w:rFonts w:ascii="Arial" w:hAnsi="Arial" w:cs="Arial"/>
          <w:szCs w:val="24"/>
        </w:rPr>
        <w:t>ensanchó</w:t>
      </w:r>
      <w:r w:rsidR="003A3E22">
        <w:rPr>
          <w:rFonts w:ascii="Arial" w:hAnsi="Arial" w:cs="Arial"/>
          <w:szCs w:val="24"/>
        </w:rPr>
        <w:t xml:space="preserve"> </w:t>
      </w:r>
      <w:r w:rsidR="00BF0AC3" w:rsidRPr="00907C22">
        <w:rPr>
          <w:rFonts w:ascii="Arial" w:hAnsi="Arial" w:cs="Arial"/>
          <w:szCs w:val="24"/>
        </w:rPr>
        <w:t xml:space="preserve"> las </w:t>
      </w:r>
      <w:r w:rsidR="003A3E22">
        <w:rPr>
          <w:rFonts w:ascii="Arial" w:hAnsi="Arial" w:cs="Arial"/>
          <w:szCs w:val="24"/>
        </w:rPr>
        <w:t xml:space="preserve"> </w:t>
      </w:r>
      <w:r w:rsidR="00BF0AC3" w:rsidRPr="00907C22">
        <w:rPr>
          <w:rFonts w:ascii="Arial" w:hAnsi="Arial" w:cs="Arial"/>
          <w:szCs w:val="24"/>
        </w:rPr>
        <w:t>causales</w:t>
      </w:r>
      <w:r w:rsidR="00BF0AC3">
        <w:rPr>
          <w:rFonts w:ascii="Arial" w:hAnsi="Arial" w:cs="Arial"/>
          <w:szCs w:val="24"/>
        </w:rPr>
        <w:t xml:space="preserve"> especiales</w:t>
      </w:r>
      <w:r w:rsidR="00BF0AC3" w:rsidRPr="00907C22">
        <w:rPr>
          <w:rFonts w:ascii="Arial" w:hAnsi="Arial" w:cs="Arial"/>
          <w:szCs w:val="24"/>
        </w:rPr>
        <w:t>, p</w:t>
      </w:r>
      <w:r w:rsidR="00BF0AC3">
        <w:rPr>
          <w:rFonts w:ascii="Arial" w:hAnsi="Arial" w:cs="Arial"/>
          <w:szCs w:val="24"/>
        </w:rPr>
        <w:t>asando de cuatro (4) a ocho (8)</w:t>
      </w:r>
      <w:r w:rsidR="00BF0AC3" w:rsidRPr="00907C22">
        <w:rPr>
          <w:rFonts w:ascii="Arial" w:hAnsi="Arial" w:cs="Arial"/>
          <w:szCs w:val="24"/>
        </w:rPr>
        <w:t>.</w:t>
      </w:r>
      <w:r w:rsidR="00BF0AC3">
        <w:rPr>
          <w:rFonts w:ascii="Arial" w:hAnsi="Arial" w:cs="Arial"/>
          <w:szCs w:val="24"/>
        </w:rPr>
        <w:t xml:space="preserve">  </w:t>
      </w:r>
      <w:r w:rsidR="00BF0AC3" w:rsidRPr="001C56B4">
        <w:rPr>
          <w:rFonts w:ascii="Arial" w:hAnsi="Arial" w:cs="Arial"/>
          <w:szCs w:val="24"/>
        </w:rPr>
        <w:t xml:space="preserve">En el mismo sentido Quiroga </w:t>
      </w:r>
      <w:proofErr w:type="spellStart"/>
      <w:r w:rsidR="00BF0AC3" w:rsidRPr="001C56B4">
        <w:rPr>
          <w:rFonts w:ascii="Arial" w:hAnsi="Arial" w:cs="Arial"/>
          <w:szCs w:val="24"/>
        </w:rPr>
        <w:t>Natale</w:t>
      </w:r>
      <w:proofErr w:type="spellEnd"/>
      <w:r w:rsidR="00BF0AC3" w:rsidRPr="001C56B4">
        <w:rPr>
          <w:rStyle w:val="Appelnotedebasdep"/>
          <w:rFonts w:ascii="Arial" w:hAnsi="Arial"/>
          <w:szCs w:val="24"/>
        </w:rPr>
        <w:footnoteReference w:id="2"/>
      </w:r>
      <w:r w:rsidR="00BF0AC3" w:rsidRPr="001C56B4">
        <w:rPr>
          <w:rFonts w:ascii="Arial" w:hAnsi="Arial" w:cs="Arial"/>
          <w:szCs w:val="24"/>
        </w:rPr>
        <w:t>.</w:t>
      </w:r>
    </w:p>
    <w:p w:rsidR="00002C46" w:rsidRPr="00907C22" w:rsidRDefault="00002C46"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Appelnotedebasdep"/>
          <w:rFonts w:ascii="Arial" w:hAnsi="Arial" w:cs="Arial"/>
          <w:szCs w:val="24"/>
        </w:rPr>
        <w:footnoteReference w:id="3"/>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lastRenderedPageBreak/>
        <w:t>Los requisitos generales de procedibilidad, explicados en amplitud en la sentencia C-590 de 2005</w:t>
      </w:r>
      <w:r w:rsidRPr="00907C22">
        <w:rPr>
          <w:rStyle w:val="Appelnotedebasdep"/>
          <w:rFonts w:ascii="Arial" w:hAnsi="Arial" w:cs="Arial"/>
          <w:szCs w:val="24"/>
        </w:rPr>
        <w:footnoteReference w:id="4"/>
      </w:r>
      <w:r w:rsidRPr="00907C22">
        <w:rPr>
          <w:rFonts w:ascii="Arial" w:hAnsi="Arial" w:cs="Arial"/>
          <w:szCs w:val="24"/>
        </w:rPr>
        <w:t xml:space="preserve"> y reiterados en la consolidada línea jurisprudencial de la </w:t>
      </w:r>
      <w:r w:rsidR="00FC2001">
        <w:rPr>
          <w:rFonts w:ascii="Arial" w:hAnsi="Arial" w:cs="Arial"/>
          <w:szCs w:val="24"/>
        </w:rPr>
        <w:t>CC</w:t>
      </w:r>
      <w:r w:rsidRPr="00907C22">
        <w:rPr>
          <w:rStyle w:val="Appelnotedebasdep"/>
          <w:rFonts w:ascii="Arial" w:hAnsi="Arial" w:cs="Arial"/>
          <w:szCs w:val="24"/>
        </w:rPr>
        <w:footnoteReference w:id="5"/>
      </w:r>
      <w:r w:rsidRPr="00907C22">
        <w:rPr>
          <w:rFonts w:ascii="Arial" w:hAnsi="Arial"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Appelnotedebasdep"/>
          <w:rFonts w:ascii="Arial" w:hAnsi="Arial"/>
          <w:szCs w:val="24"/>
        </w:rPr>
        <w:footnoteReference w:id="6"/>
      </w:r>
      <w:r w:rsidRPr="00907C22">
        <w:rPr>
          <w:rFonts w:ascii="Arial" w:hAnsi="Arial" w:cs="Arial"/>
          <w:szCs w:val="24"/>
        </w:rPr>
        <w:t>.</w:t>
      </w:r>
    </w:p>
    <w:p w:rsidR="00BF0AC3" w:rsidRPr="00E649FA" w:rsidRDefault="00BF0AC3" w:rsidP="00BF0AC3">
      <w:pPr>
        <w:pStyle w:val="Corpsdetexte"/>
        <w:spacing w:line="360" w:lineRule="auto"/>
        <w:rPr>
          <w:rFonts w:ascii="Arial" w:hAnsi="Arial" w:cs="Arial"/>
          <w:szCs w:val="24"/>
        </w:rPr>
      </w:pPr>
    </w:p>
    <w:p w:rsidR="00BF0AC3" w:rsidRPr="00907C22" w:rsidRDefault="00BF0AC3" w:rsidP="00BF0AC3">
      <w:pPr>
        <w:pStyle w:val="Corpsdetexte"/>
        <w:spacing w:line="360" w:lineRule="auto"/>
        <w:rPr>
          <w:rFonts w:ascii="Arial" w:hAnsi="Arial" w:cs="Arial"/>
          <w:szCs w:val="24"/>
        </w:rPr>
      </w:pPr>
      <w:r w:rsidRPr="00907C22">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7"/>
      </w:r>
      <w:r w:rsidRPr="00907C22">
        <w:rPr>
          <w:rFonts w:ascii="Arial" w:hAnsi="Arial" w:cs="Arial"/>
          <w:szCs w:val="24"/>
        </w:rPr>
        <w:t xml:space="preserve"> y Quinche Ramírez</w:t>
      </w:r>
      <w:r w:rsidRPr="00907C22">
        <w:rPr>
          <w:rStyle w:val="Appelnotedebasdep"/>
          <w:rFonts w:ascii="Arial" w:hAnsi="Arial" w:cs="Arial"/>
          <w:szCs w:val="24"/>
        </w:rPr>
        <w:footnoteReference w:id="8"/>
      </w:r>
      <w:r w:rsidRPr="00907C22">
        <w:rPr>
          <w:rFonts w:ascii="Arial" w:hAnsi="Arial" w:cs="Arial"/>
          <w:szCs w:val="24"/>
        </w:rPr>
        <w:t>.</w:t>
      </w:r>
    </w:p>
    <w:p w:rsidR="001F36A0" w:rsidRDefault="001F36A0" w:rsidP="00BF3A7D">
      <w:pPr>
        <w:pStyle w:val="Corpsdetexte"/>
        <w:spacing w:line="360" w:lineRule="auto"/>
        <w:rPr>
          <w:rFonts w:ascii="Arial" w:hAnsi="Arial" w:cs="Arial"/>
          <w:szCs w:val="24"/>
        </w:rPr>
      </w:pPr>
    </w:p>
    <w:p w:rsidR="001F36A0" w:rsidRPr="00002C46" w:rsidRDefault="003A3E22" w:rsidP="00FC2001">
      <w:pPr>
        <w:pStyle w:val="Corpsdetexte"/>
        <w:numPr>
          <w:ilvl w:val="1"/>
          <w:numId w:val="18"/>
        </w:numPr>
        <w:tabs>
          <w:tab w:val="clear" w:pos="0"/>
          <w:tab w:val="clear" w:pos="708"/>
          <w:tab w:val="left" w:pos="993"/>
        </w:tabs>
        <w:suppressAutoHyphens w:val="0"/>
        <w:overflowPunct/>
        <w:autoSpaceDE/>
        <w:adjustRightInd/>
        <w:spacing w:line="360" w:lineRule="auto"/>
        <w:textAlignment w:val="auto"/>
        <w:rPr>
          <w:rFonts w:ascii="Arial" w:hAnsi="Arial" w:cs="Arial"/>
          <w:smallCaps/>
          <w:szCs w:val="24"/>
        </w:rPr>
      </w:pPr>
      <w:r w:rsidRPr="00002C46">
        <w:rPr>
          <w:rFonts w:ascii="Arial" w:hAnsi="Arial" w:cs="Arial"/>
          <w:smallCaps/>
          <w:szCs w:val="24"/>
        </w:rPr>
        <w:t xml:space="preserve">La inmediatez de </w:t>
      </w:r>
      <w:r w:rsidR="001F36A0" w:rsidRPr="00002C46">
        <w:rPr>
          <w:rFonts w:ascii="Arial" w:hAnsi="Arial" w:cs="Arial"/>
          <w:smallCaps/>
          <w:szCs w:val="24"/>
        </w:rPr>
        <w:t>la acción de tutela</w:t>
      </w:r>
      <w:r w:rsidR="001F36A0" w:rsidRPr="00002C46">
        <w:rPr>
          <w:rFonts w:ascii="Arial" w:hAnsi="Arial" w:cs="Arial"/>
          <w:smallCaps/>
          <w:szCs w:val="24"/>
        </w:rPr>
        <w:tab/>
      </w:r>
    </w:p>
    <w:p w:rsidR="003A3E22" w:rsidRDefault="003A3E22" w:rsidP="003A3E22">
      <w:pPr>
        <w:spacing w:line="360" w:lineRule="auto"/>
        <w:jc w:val="both"/>
        <w:rPr>
          <w:rFonts w:ascii="Arial" w:hAnsi="Arial" w:cs="Arial"/>
        </w:rPr>
      </w:pPr>
    </w:p>
    <w:p w:rsidR="003A3E22" w:rsidRDefault="003A3E22" w:rsidP="003A3E22">
      <w:pPr>
        <w:spacing w:line="360" w:lineRule="auto"/>
        <w:jc w:val="both"/>
        <w:rPr>
          <w:rFonts w:ascii="Arial" w:hAnsi="Arial" w:cs="Arial"/>
          <w:u w:val="single"/>
        </w:rPr>
      </w:pPr>
      <w:r>
        <w:rPr>
          <w:rFonts w:ascii="Arial" w:hAnsi="Arial" w:cs="Arial"/>
        </w:rPr>
        <w:t>Según constante jurisprudencia de nuestro máximo Tribunal Constitucional</w:t>
      </w:r>
      <w:r>
        <w:rPr>
          <w:rStyle w:val="Appelnotedebasdep"/>
        </w:rPr>
        <w:footnoteReference w:id="9"/>
      </w:r>
      <w:r>
        <w:rPr>
          <w:rFonts w:ascii="Arial" w:hAnsi="Arial" w:cs="Arial"/>
        </w:rPr>
        <w:t>, y también de la CSJ</w:t>
      </w:r>
      <w:r>
        <w:rPr>
          <w:rStyle w:val="Appelnotedebasdep"/>
          <w:rFonts w:ascii="Calibri" w:hAnsi="Calibri" w:cs="Calibri"/>
        </w:rPr>
        <w:footnoteReference w:id="10"/>
      </w:r>
      <w:r>
        <w:rPr>
          <w:rFonts w:ascii="Calibri" w:hAnsi="Calibri" w:cs="Calibri"/>
        </w:rPr>
        <w:t xml:space="preserve"> (</w:t>
      </w:r>
      <w:r>
        <w:rPr>
          <w:rFonts w:ascii="Arial" w:hAnsi="Arial" w:cs="Arial"/>
        </w:rPr>
        <w:t xml:space="preserve">Sala de Casación Civil), la inmediatez en la protección, que implica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3A3E22" w:rsidRDefault="003A3E22" w:rsidP="003A3E22">
      <w:pPr>
        <w:spacing w:line="360" w:lineRule="auto"/>
        <w:jc w:val="both"/>
        <w:rPr>
          <w:rFonts w:ascii="Arial" w:hAnsi="Arial" w:cs="Arial"/>
          <w:u w:val="single"/>
        </w:rPr>
      </w:pPr>
    </w:p>
    <w:p w:rsidR="003A3E22" w:rsidRDefault="003A3E22" w:rsidP="003A3E22">
      <w:pPr>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procedibilidad esencial para el ejercicio del amparo </w:t>
      </w:r>
      <w:r>
        <w:rPr>
          <w:rFonts w:ascii="Arial" w:hAnsi="Arial" w:cs="Arial"/>
          <w:u w:val="single"/>
        </w:rPr>
        <w:lastRenderedPageBreak/>
        <w:t>constitucional</w:t>
      </w:r>
      <w:r>
        <w:rPr>
          <w:rStyle w:val="Appelnotedebasdep"/>
          <w:rFonts w:ascii="Calibri" w:hAnsi="Calibri" w:cs="Calibri"/>
        </w:rPr>
        <w:footnoteReference w:id="11"/>
      </w:r>
      <w:r>
        <w:rPr>
          <w:rFonts w:ascii="Arial" w:hAnsi="Arial" w:cs="Arial"/>
        </w:rPr>
        <w:t>. Así mismo lo ha señalado la CSJ, Sala de Casación Civil</w:t>
      </w:r>
      <w:r>
        <w:rPr>
          <w:rStyle w:val="Appelnotedebasdep"/>
          <w:rFonts w:ascii="Arial" w:hAnsi="Arial" w:cs="Arial"/>
        </w:rPr>
        <w:footnoteReference w:id="12"/>
      </w:r>
      <w:r>
        <w:rPr>
          <w:rFonts w:ascii="Arial" w:hAnsi="Arial" w:cs="Arial"/>
        </w:rPr>
        <w:t xml:space="preserve">, que en reciente providencia reiteró: </w:t>
      </w:r>
    </w:p>
    <w:p w:rsidR="003A3E22" w:rsidRPr="00002C46" w:rsidRDefault="003A3E22" w:rsidP="003A3E22">
      <w:pPr>
        <w:spacing w:line="360" w:lineRule="auto"/>
        <w:ind w:right="22"/>
        <w:jc w:val="both"/>
        <w:rPr>
          <w:rFonts w:ascii="Arial" w:hAnsi="Arial" w:cs="Arial"/>
          <w:sz w:val="22"/>
        </w:rPr>
      </w:pPr>
    </w:p>
    <w:p w:rsidR="003A3E22" w:rsidRPr="006B6DC3" w:rsidRDefault="003A3E22" w:rsidP="003A3E22">
      <w:pPr>
        <w:ind w:left="720" w:right="618"/>
        <w:jc w:val="both"/>
        <w:rPr>
          <w:rFonts w:ascii="Bookman Old Style" w:hAnsi="Bookman Old Style" w:cs="Arial"/>
          <w:iCs/>
        </w:rPr>
      </w:pPr>
      <w:r w:rsidRPr="006B6DC3">
        <w:rPr>
          <w:rFonts w:ascii="Arial" w:hAnsi="Arial" w:cs="Arial"/>
          <w:iCs/>
        </w:rPr>
        <w:t xml:space="preserve">… </w:t>
      </w:r>
      <w:r w:rsidRPr="006B6DC3">
        <w:rPr>
          <w:rFonts w:ascii="Arial" w:hAnsi="Arial" w:cs="Arial"/>
          <w:szCs w:val="28"/>
        </w:rPr>
        <w:t>[D]</w:t>
      </w:r>
      <w:proofErr w:type="spellStart"/>
      <w:r w:rsidRPr="006B6DC3">
        <w:rPr>
          <w:rFonts w:ascii="Arial" w:hAnsi="Arial" w:cs="Arial"/>
          <w:szCs w:val="28"/>
        </w:rPr>
        <w:t>escendiendo</w:t>
      </w:r>
      <w:proofErr w:type="spellEnd"/>
      <w:r w:rsidRPr="006B6DC3">
        <w:rPr>
          <w:rFonts w:ascii="Arial" w:hAnsi="Arial" w:cs="Arial"/>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6B6DC3">
        <w:rPr>
          <w:rFonts w:ascii="Arial" w:hAnsi="Arial" w:cs="Arial"/>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6B6DC3">
        <w:rPr>
          <w:rFonts w:ascii="Arial" w:hAnsi="Arial" w:cs="Arial"/>
          <w:szCs w:val="28"/>
        </w:rPr>
        <w:t>; sin que la parte accionante hubiera alegado ni menos demostrado motivo alguno que justifique tan notoria tardanza</w:t>
      </w:r>
      <w:r w:rsidRPr="006B6DC3">
        <w:rPr>
          <w:rFonts w:ascii="Arial" w:hAnsi="Arial" w:cs="Arial"/>
          <w:iCs/>
        </w:rPr>
        <w:t>.</w:t>
      </w:r>
      <w:r w:rsidRPr="006B6DC3">
        <w:rPr>
          <w:rFonts w:ascii="Arial" w:hAnsi="Arial" w:cs="Arial"/>
        </w:rPr>
        <w:t xml:space="preserve"> </w:t>
      </w:r>
      <w:proofErr w:type="spellStart"/>
      <w:r w:rsidRPr="006B6DC3">
        <w:rPr>
          <w:rFonts w:ascii="Arial" w:hAnsi="Arial" w:cs="Arial"/>
        </w:rPr>
        <w:t>Sublínea</w:t>
      </w:r>
      <w:proofErr w:type="spellEnd"/>
      <w:r w:rsidRPr="006B6DC3">
        <w:rPr>
          <w:rFonts w:ascii="Arial" w:hAnsi="Arial" w:cs="Arial"/>
        </w:rPr>
        <w:t xml:space="preserve"> de esta Sala.</w:t>
      </w:r>
    </w:p>
    <w:p w:rsidR="003A3E22" w:rsidRPr="006B6DC3" w:rsidRDefault="003A3E22" w:rsidP="003A3E22">
      <w:pPr>
        <w:spacing w:line="360" w:lineRule="auto"/>
        <w:ind w:right="22"/>
        <w:jc w:val="both"/>
        <w:rPr>
          <w:rFonts w:ascii="Arial" w:hAnsi="Arial" w:cs="Arial"/>
        </w:rPr>
      </w:pPr>
    </w:p>
    <w:p w:rsidR="003A3E22" w:rsidRPr="0098589D" w:rsidRDefault="003A3E22" w:rsidP="003A3E22">
      <w:pPr>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3A3E22" w:rsidRPr="0098589D" w:rsidRDefault="003A3E22" w:rsidP="003A3E22">
      <w:pPr>
        <w:spacing w:line="360" w:lineRule="auto"/>
        <w:ind w:right="22"/>
        <w:jc w:val="both"/>
        <w:rPr>
          <w:rFonts w:ascii="Arial" w:hAnsi="Arial" w:cs="Arial"/>
        </w:rPr>
      </w:pPr>
    </w:p>
    <w:p w:rsidR="003A3E22" w:rsidRDefault="003A3E22" w:rsidP="003A3E22">
      <w:pPr>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t>CC</w:t>
      </w:r>
      <w:r w:rsidRPr="0098589D">
        <w:rPr>
          <w:rStyle w:val="Appelnotedebasdep"/>
          <w:rFonts w:ascii="Arial" w:hAnsi="Arial" w:cs="Arial"/>
        </w:rPr>
        <w:footnoteReference w:id="13"/>
      </w:r>
      <w:r w:rsidRPr="0098589D">
        <w:rPr>
          <w:rFonts w:ascii="Arial" w:hAnsi="Arial" w:cs="Arial"/>
        </w:rPr>
        <w:t>, con apoyo en un precedente anterior de 2003</w:t>
      </w:r>
      <w:r w:rsidRPr="0098589D">
        <w:rPr>
          <w:rStyle w:val="Appelnotedebasdep"/>
          <w:rFonts w:ascii="Arial" w:hAnsi="Arial" w:cs="Arial"/>
        </w:rPr>
        <w:footnoteReference w:id="14"/>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00825F31">
        <w:rPr>
          <w:rFonts w:ascii="Arial" w:hAnsi="Arial" w:cs="Arial"/>
        </w:rPr>
        <w:t>.</w:t>
      </w:r>
      <w:r w:rsidRPr="0098589D">
        <w:rPr>
          <w:rStyle w:val="Appelnotedebasdep"/>
          <w:rFonts w:ascii="Arial" w:hAnsi="Arial" w:cs="Arial"/>
        </w:rPr>
        <w:footnoteReference w:id="15"/>
      </w:r>
      <w:r w:rsidRPr="0098589D">
        <w:rPr>
          <w:rFonts w:ascii="Arial" w:hAnsi="Arial" w:cs="Arial"/>
        </w:rPr>
        <w:t>.</w:t>
      </w:r>
    </w:p>
    <w:p w:rsidR="003A3E22" w:rsidRPr="00EC12E0" w:rsidRDefault="003A3E22" w:rsidP="003A3E22">
      <w:pPr>
        <w:spacing w:line="360" w:lineRule="auto"/>
        <w:ind w:right="22"/>
        <w:jc w:val="both"/>
        <w:rPr>
          <w:rFonts w:ascii="Arial" w:hAnsi="Arial" w:cs="Arial"/>
          <w:lang w:val="es-CO"/>
        </w:rPr>
      </w:pPr>
    </w:p>
    <w:p w:rsidR="003A3E22" w:rsidRPr="00825F31" w:rsidRDefault="003A3E22" w:rsidP="003A3E22">
      <w:pPr>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Appelnotedebasdep"/>
          <w:rFonts w:ascii="Arial" w:hAnsi="Arial" w:cs="Arial"/>
        </w:rPr>
        <w:footnoteReference w:id="16"/>
      </w:r>
      <w:r w:rsidR="00825F31">
        <w:rPr>
          <w:rFonts w:ascii="Arial" w:hAnsi="Arial" w:cs="Arial"/>
          <w:vertAlign w:val="superscript"/>
          <w:lang w:val="es-ES_tradnl"/>
        </w:rPr>
        <w:t>-</w:t>
      </w:r>
      <w:r w:rsidR="00825F31">
        <w:rPr>
          <w:rStyle w:val="Appelnotedebasdep"/>
          <w:rFonts w:ascii="Arial" w:hAnsi="Arial"/>
          <w:lang w:val="es-ES_tradn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como presupuesto de procedibilidad, así acotó:</w:t>
      </w:r>
    </w:p>
    <w:p w:rsidR="003A3E22" w:rsidRPr="00002C46" w:rsidRDefault="003A3E22" w:rsidP="003A3E22">
      <w:pPr>
        <w:ind w:left="567"/>
        <w:jc w:val="both"/>
        <w:rPr>
          <w:rFonts w:ascii="Arial" w:hAnsi="Arial" w:cs="Arial"/>
          <w:sz w:val="28"/>
          <w:lang w:val="es-ES_tradnl"/>
        </w:rPr>
      </w:pPr>
    </w:p>
    <w:p w:rsidR="003A3E22" w:rsidRPr="00825F31" w:rsidRDefault="003A3E22" w:rsidP="003A3E22">
      <w:pPr>
        <w:ind w:left="567"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 xml:space="preserve">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w:t>
      </w:r>
      <w:r w:rsidRPr="00825F31">
        <w:rPr>
          <w:rFonts w:ascii="Arial" w:hAnsi="Arial" w:cs="Arial"/>
          <w:u w:val="single"/>
          <w:shd w:val="clear" w:color="auto" w:fill="FFFFFF"/>
        </w:rPr>
        <w:lastRenderedPageBreak/>
        <w:t>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de este Tribunal.</w:t>
      </w:r>
    </w:p>
    <w:p w:rsidR="00DA232C" w:rsidRPr="00002C46" w:rsidRDefault="00DA232C" w:rsidP="00DA232C">
      <w:pPr>
        <w:spacing w:line="360" w:lineRule="auto"/>
        <w:jc w:val="both"/>
        <w:rPr>
          <w:rFonts w:ascii="Arial" w:hAnsi="Arial" w:cs="Arial"/>
          <w:sz w:val="32"/>
          <w:lang w:val="es-ES_tradnl"/>
        </w:rPr>
      </w:pPr>
    </w:p>
    <w:p w:rsidR="007B26AC" w:rsidRPr="00040EA1" w:rsidRDefault="00040EA1" w:rsidP="00FC2001">
      <w:pPr>
        <w:pStyle w:val="Corpsdetexte"/>
        <w:numPr>
          <w:ilvl w:val="0"/>
          <w:numId w:val="18"/>
        </w:numPr>
        <w:tabs>
          <w:tab w:val="clear" w:pos="0"/>
          <w:tab w:val="clear" w:pos="1416"/>
        </w:tabs>
        <w:spacing w:line="360" w:lineRule="auto"/>
        <w:rPr>
          <w:rFonts w:ascii="Arial" w:hAnsi="Arial"/>
          <w:smallCaps/>
          <w:sz w:val="28"/>
          <w:szCs w:val="28"/>
        </w:rPr>
      </w:pPr>
      <w:r>
        <w:rPr>
          <w:rFonts w:ascii="Arial" w:hAnsi="Arial"/>
          <w:smallCaps/>
          <w:sz w:val="28"/>
          <w:szCs w:val="28"/>
        </w:rPr>
        <w:t>E</w:t>
      </w:r>
      <w:r w:rsidRPr="00040EA1">
        <w:rPr>
          <w:rFonts w:ascii="Arial" w:hAnsi="Arial"/>
          <w:smallCaps/>
          <w:sz w:val="28"/>
          <w:szCs w:val="28"/>
        </w:rPr>
        <w:t>l caso concreto materia de análisis</w:t>
      </w:r>
    </w:p>
    <w:p w:rsidR="00040EA1" w:rsidRDefault="00040EA1" w:rsidP="00D87D45">
      <w:pPr>
        <w:pStyle w:val="Corpsdetexte"/>
        <w:tabs>
          <w:tab w:val="clear" w:pos="0"/>
          <w:tab w:val="clear" w:pos="1416"/>
        </w:tabs>
        <w:spacing w:line="240" w:lineRule="auto"/>
        <w:ind w:left="400"/>
        <w:rPr>
          <w:rFonts w:ascii="Arial" w:hAnsi="Arial"/>
          <w:szCs w:val="24"/>
        </w:rPr>
      </w:pPr>
    </w:p>
    <w:p w:rsidR="001F36A0" w:rsidRPr="00FC2001" w:rsidRDefault="001F36A0" w:rsidP="00FC2001">
      <w:pPr>
        <w:spacing w:line="360" w:lineRule="auto"/>
        <w:jc w:val="both"/>
        <w:rPr>
          <w:rFonts w:ascii="Arial" w:hAnsi="Arial" w:cs="Arial"/>
          <w:lang w:val="es-ES_tradnl"/>
        </w:rPr>
      </w:pPr>
      <w:r w:rsidRPr="00FC2001">
        <w:rPr>
          <w:rFonts w:ascii="Arial" w:hAnsi="Arial" w:cs="Arial"/>
          <w:lang w:val="es-ES_tradnl"/>
        </w:rPr>
        <w:t xml:space="preserve">Dado que los requisitos generales de procedibilidad son concurrentes, esto es, incumplido uno, se torna inane el examen de los demás, menos podrían revisarse los supuestos especiales, el análisis que sigue se concentrará en la </w:t>
      </w:r>
      <w:r w:rsidR="00825F31">
        <w:rPr>
          <w:rFonts w:ascii="Arial" w:hAnsi="Arial" w:cs="Arial"/>
          <w:lang w:val="es-ES_tradnl"/>
        </w:rPr>
        <w:t>inmediatez</w:t>
      </w:r>
      <w:r w:rsidRPr="00FC2001">
        <w:rPr>
          <w:rFonts w:ascii="Arial" w:hAnsi="Arial" w:cs="Arial"/>
          <w:lang w:val="es-ES_tradnl"/>
        </w:rPr>
        <w:t xml:space="preserve">, porque es el elemento que se echa de menos y resulta suficiente </w:t>
      </w:r>
      <w:r w:rsidR="007B44EA" w:rsidRPr="00FC2001">
        <w:rPr>
          <w:rFonts w:ascii="Arial" w:hAnsi="Arial" w:cs="Arial"/>
          <w:lang w:val="es-ES_tradnl"/>
        </w:rPr>
        <w:t>para el fracaso de</w:t>
      </w:r>
      <w:r w:rsidRPr="00FC2001">
        <w:rPr>
          <w:rFonts w:ascii="Arial" w:hAnsi="Arial" w:cs="Arial"/>
          <w:lang w:val="es-ES_tradnl"/>
        </w:rPr>
        <w:t>l amparo.</w:t>
      </w:r>
    </w:p>
    <w:p w:rsidR="001F36A0" w:rsidRPr="00D54497" w:rsidRDefault="001F36A0" w:rsidP="001F36A0">
      <w:pPr>
        <w:spacing w:line="360" w:lineRule="auto"/>
        <w:jc w:val="both"/>
        <w:rPr>
          <w:rFonts w:ascii="Arial" w:hAnsi="Arial" w:cs="Arial"/>
          <w:sz w:val="20"/>
          <w:lang w:val="es-ES_tradnl"/>
        </w:rPr>
      </w:pPr>
    </w:p>
    <w:p w:rsidR="00825F31" w:rsidRDefault="001F36A0" w:rsidP="00825F31">
      <w:pPr>
        <w:spacing w:line="360" w:lineRule="auto"/>
        <w:jc w:val="both"/>
        <w:rPr>
          <w:rFonts w:ascii="Arial" w:hAnsi="Arial" w:cs="Arial"/>
        </w:rPr>
      </w:pPr>
      <w:r>
        <w:rPr>
          <w:rFonts w:ascii="Arial" w:hAnsi="Arial" w:cs="Arial"/>
          <w:lang w:val="es-ES_tradnl"/>
        </w:rPr>
        <w:t xml:space="preserve">La parte accionante </w:t>
      </w:r>
      <w:r w:rsidRPr="004802FE">
        <w:rPr>
          <w:rFonts w:ascii="Arial" w:hAnsi="Arial" w:cs="Arial"/>
          <w:lang w:val="es-ES_tradnl"/>
        </w:rPr>
        <w:t>se duele porque el</w:t>
      </w:r>
      <w:r>
        <w:rPr>
          <w:rFonts w:ascii="Arial" w:hAnsi="Arial" w:cs="Arial"/>
          <w:lang w:val="es-ES_tradnl"/>
        </w:rPr>
        <w:t xml:space="preserve"> juzgado</w:t>
      </w:r>
      <w:r w:rsidR="00282DC4">
        <w:rPr>
          <w:rFonts w:ascii="Arial" w:hAnsi="Arial" w:cs="Arial"/>
          <w:lang w:val="es-ES_tradnl"/>
        </w:rPr>
        <w:t xml:space="preserve"> accionado</w:t>
      </w:r>
      <w:r w:rsidR="00F5472B">
        <w:rPr>
          <w:rFonts w:ascii="Arial" w:hAnsi="Arial" w:cs="Arial"/>
          <w:lang w:val="es-ES_tradnl"/>
        </w:rPr>
        <w:t xml:space="preserve"> no </w:t>
      </w:r>
      <w:r w:rsidR="002F6BFA">
        <w:rPr>
          <w:rFonts w:ascii="Arial" w:hAnsi="Arial" w:cs="Arial"/>
          <w:lang w:val="es-ES_tradnl"/>
        </w:rPr>
        <w:t>hizo pronunciamiento alguno respecto de los correo</w:t>
      </w:r>
      <w:r w:rsidR="00282DC4">
        <w:rPr>
          <w:rFonts w:ascii="Arial" w:hAnsi="Arial" w:cs="Arial"/>
          <w:lang w:val="es-ES_tradnl"/>
        </w:rPr>
        <w:t>s</w:t>
      </w:r>
      <w:r w:rsidR="002F6BFA">
        <w:rPr>
          <w:rFonts w:ascii="Arial" w:hAnsi="Arial" w:cs="Arial"/>
          <w:lang w:val="es-ES_tradnl"/>
        </w:rPr>
        <w:t xml:space="preserve"> electrónico</w:t>
      </w:r>
      <w:r w:rsidR="00282DC4">
        <w:rPr>
          <w:rFonts w:ascii="Arial" w:hAnsi="Arial" w:cs="Arial"/>
          <w:lang w:val="es-ES_tradnl"/>
        </w:rPr>
        <w:t xml:space="preserve">s que envió </w:t>
      </w:r>
      <w:r w:rsidR="002F6BFA">
        <w:rPr>
          <w:rFonts w:ascii="Arial" w:hAnsi="Arial" w:cs="Arial"/>
          <w:lang w:val="es-ES_tradnl"/>
        </w:rPr>
        <w:t>el 20-06-2016 (Folios 3 y 7, ib.). E</w:t>
      </w:r>
      <w:r w:rsidR="00825F31">
        <w:rPr>
          <w:rFonts w:ascii="Arial" w:hAnsi="Arial" w:cs="Arial"/>
        </w:rPr>
        <w:t xml:space="preserve">vidente </w:t>
      </w:r>
      <w:r w:rsidR="002F6BFA">
        <w:rPr>
          <w:rFonts w:ascii="Arial" w:hAnsi="Arial" w:cs="Arial"/>
        </w:rPr>
        <w:t xml:space="preserve">es </w:t>
      </w:r>
      <w:r w:rsidR="00825F31">
        <w:rPr>
          <w:rFonts w:ascii="Arial" w:hAnsi="Arial" w:cs="Arial"/>
        </w:rPr>
        <w:t xml:space="preserve">que </w:t>
      </w:r>
      <w:r w:rsidR="002F6BFA">
        <w:rPr>
          <w:rFonts w:ascii="Arial" w:hAnsi="Arial" w:cs="Arial"/>
        </w:rPr>
        <w:t xml:space="preserve">los </w:t>
      </w:r>
      <w:r w:rsidR="00825F31">
        <w:rPr>
          <w:rFonts w:ascii="Arial" w:hAnsi="Arial" w:cs="Arial"/>
        </w:rPr>
        <w:t>presente</w:t>
      </w:r>
      <w:r w:rsidR="002F6BFA">
        <w:rPr>
          <w:rFonts w:ascii="Arial" w:hAnsi="Arial" w:cs="Arial"/>
        </w:rPr>
        <w:t>s</w:t>
      </w:r>
      <w:r w:rsidR="00825F31">
        <w:rPr>
          <w:rFonts w:ascii="Arial" w:hAnsi="Arial" w:cs="Arial"/>
        </w:rPr>
        <w:t xml:space="preserve"> amparo</w:t>
      </w:r>
      <w:r w:rsidR="002F6BFA">
        <w:rPr>
          <w:rFonts w:ascii="Arial" w:hAnsi="Arial" w:cs="Arial"/>
        </w:rPr>
        <w:t>s</w:t>
      </w:r>
      <w:r w:rsidR="00825F31">
        <w:rPr>
          <w:rFonts w:ascii="Arial" w:hAnsi="Arial" w:cs="Arial"/>
        </w:rPr>
        <w:t xml:space="preserve"> carece</w:t>
      </w:r>
      <w:r w:rsidR="002F6BFA">
        <w:rPr>
          <w:rFonts w:ascii="Arial" w:hAnsi="Arial" w:cs="Arial"/>
        </w:rPr>
        <w:t>n</w:t>
      </w:r>
      <w:r w:rsidR="00825F31">
        <w:rPr>
          <w:rFonts w:ascii="Arial" w:hAnsi="Arial" w:cs="Arial"/>
        </w:rPr>
        <w:t xml:space="preserve"> de inmediatez, pues su interposición (</w:t>
      </w:r>
      <w:r w:rsidR="00B46365">
        <w:rPr>
          <w:rFonts w:ascii="Arial" w:hAnsi="Arial" w:cs="Arial"/>
        </w:rPr>
        <w:t>16-02-2017</w:t>
      </w:r>
      <w:r w:rsidR="00825F31">
        <w:rPr>
          <w:rFonts w:ascii="Arial" w:hAnsi="Arial" w:cs="Arial"/>
        </w:rPr>
        <w:t>) desborda el plazo de los seis (6) meses fijado por la jurisprudencia</w:t>
      </w:r>
      <w:r w:rsidR="00825F31" w:rsidRPr="0098589D">
        <w:rPr>
          <w:rStyle w:val="Appelnotedebasdep"/>
          <w:rFonts w:ascii="Calibri" w:hAnsi="Calibri" w:cs="Calibri"/>
        </w:rPr>
        <w:footnoteReference w:id="18"/>
      </w:r>
      <w:r w:rsidR="00B46365">
        <w:rPr>
          <w:rFonts w:ascii="Arial" w:hAnsi="Arial" w:cs="Arial"/>
          <w:vertAlign w:val="superscript"/>
        </w:rPr>
        <w:t>-</w:t>
      </w:r>
      <w:r w:rsidR="00825F31">
        <w:rPr>
          <w:rStyle w:val="Appelnotedebasdep"/>
          <w:rFonts w:ascii="Arial" w:hAnsi="Arial"/>
        </w:rPr>
        <w:footnoteReference w:id="19"/>
      </w:r>
      <w:r w:rsidR="00825F31">
        <w:rPr>
          <w:rFonts w:ascii="Arial" w:hAnsi="Arial" w:cs="Arial"/>
        </w:rPr>
        <w:t xml:space="preserve">; como tiempo razonable, ya que han transcurrido aproximadamente </w:t>
      </w:r>
      <w:r w:rsidR="00282DC4">
        <w:rPr>
          <w:rFonts w:ascii="Arial" w:hAnsi="Arial" w:cs="Arial"/>
        </w:rPr>
        <w:t xml:space="preserve">ocho </w:t>
      </w:r>
      <w:r w:rsidR="00825F31">
        <w:rPr>
          <w:rFonts w:ascii="Arial" w:hAnsi="Arial" w:cs="Arial"/>
        </w:rPr>
        <w:t>(</w:t>
      </w:r>
      <w:r w:rsidR="00282DC4">
        <w:rPr>
          <w:rFonts w:ascii="Arial" w:hAnsi="Arial" w:cs="Arial"/>
        </w:rPr>
        <w:t>8</w:t>
      </w:r>
      <w:r w:rsidR="00825F31">
        <w:rPr>
          <w:rFonts w:ascii="Arial" w:hAnsi="Arial" w:cs="Arial"/>
        </w:rPr>
        <w:t xml:space="preserve">) meses desde </w:t>
      </w:r>
      <w:r w:rsidR="00B46365">
        <w:rPr>
          <w:rFonts w:ascii="Arial" w:hAnsi="Arial" w:cs="Arial"/>
        </w:rPr>
        <w:t xml:space="preserve">que </w:t>
      </w:r>
      <w:r w:rsidR="00282DC4">
        <w:rPr>
          <w:rFonts w:ascii="Arial" w:hAnsi="Arial" w:cs="Arial"/>
        </w:rPr>
        <w:t>remitió sus escritos</w:t>
      </w:r>
      <w:r w:rsidR="00825F31">
        <w:rPr>
          <w:rFonts w:ascii="Arial" w:hAnsi="Arial" w:cs="Arial"/>
        </w:rPr>
        <w:t>.</w:t>
      </w:r>
    </w:p>
    <w:p w:rsidR="00B72A62" w:rsidRDefault="00B72A62" w:rsidP="001F36A0">
      <w:pPr>
        <w:spacing w:line="360" w:lineRule="auto"/>
        <w:jc w:val="both"/>
        <w:rPr>
          <w:rFonts w:ascii="Arial" w:hAnsi="Arial" w:cs="Arial"/>
          <w:highlight w:val="yellow"/>
          <w:lang w:val="es-CO"/>
        </w:rPr>
      </w:pPr>
    </w:p>
    <w:p w:rsidR="00B46365" w:rsidRDefault="00B46365" w:rsidP="00B46365">
      <w:pPr>
        <w:spacing w:line="360" w:lineRule="auto"/>
        <w:jc w:val="both"/>
        <w:rPr>
          <w:rFonts w:ascii="Arial" w:hAnsi="Arial" w:cs="Arial"/>
        </w:rPr>
      </w:pPr>
      <w:r>
        <w:rPr>
          <w:rFonts w:ascii="Arial" w:hAnsi="Arial" w:cs="Arial"/>
        </w:rPr>
        <w:t xml:space="preserve">Es cierto que conforme a la doctrina, el juez de la causa debe tener flexibilidad en la aplicación de este principio, pero a ese </w:t>
      </w:r>
      <w:r>
        <w:rPr>
          <w:rFonts w:ascii="Arial" w:hAnsi="Arial" w:cs="Arial"/>
          <w:lang w:val="es-ES_tradnl"/>
        </w:rPr>
        <w:t xml:space="preserve">tenor, se debe </w:t>
      </w:r>
      <w:r w:rsidRPr="008B0539">
        <w:rPr>
          <w:rFonts w:ascii="Arial" w:hAnsi="Arial" w:cs="Arial"/>
        </w:rPr>
        <w:t>proba</w:t>
      </w:r>
      <w:r>
        <w:rPr>
          <w:rFonts w:ascii="Arial" w:hAnsi="Arial" w:cs="Arial"/>
        </w:rPr>
        <w:t>r</w:t>
      </w:r>
      <w:r w:rsidRPr="008B0539">
        <w:rPr>
          <w:rFonts w:ascii="Arial" w:hAnsi="Arial" w:cs="Arial"/>
        </w:rPr>
        <w:t xml:space="preserve"> </w:t>
      </w:r>
      <w:r>
        <w:rPr>
          <w:rFonts w:ascii="Arial" w:hAnsi="Arial" w:cs="Arial"/>
        </w:rPr>
        <w:t>o alegar</w:t>
      </w:r>
      <w:r w:rsidRPr="008B0539">
        <w:rPr>
          <w:rFonts w:ascii="Arial" w:hAnsi="Arial" w:cs="Arial"/>
        </w:rPr>
        <w:t>, que medi</w:t>
      </w:r>
      <w:r>
        <w:rPr>
          <w:rFonts w:ascii="Arial" w:hAnsi="Arial" w:cs="Arial"/>
        </w:rPr>
        <w:t>ó</w:t>
      </w:r>
      <w:r w:rsidRPr="008B0539">
        <w:rPr>
          <w:rFonts w:ascii="Arial" w:hAnsi="Arial" w:cs="Arial"/>
        </w:rPr>
        <w:t xml:space="preserve"> causa alguna de fuerza mayor o caso fortuito que impidiera </w:t>
      </w:r>
      <w:r>
        <w:rPr>
          <w:rFonts w:ascii="Arial" w:hAnsi="Arial" w:cs="Arial"/>
        </w:rPr>
        <w:t xml:space="preserve">al </w:t>
      </w:r>
      <w:r w:rsidRPr="008B0539">
        <w:rPr>
          <w:rFonts w:ascii="Arial" w:hAnsi="Arial" w:cs="Arial"/>
        </w:rPr>
        <w:t>actor gestionar</w:t>
      </w:r>
      <w:r>
        <w:rPr>
          <w:rFonts w:ascii="Arial" w:hAnsi="Arial" w:cs="Arial"/>
        </w:rPr>
        <w:t>,</w:t>
      </w:r>
      <w:r w:rsidRPr="008B0539">
        <w:rPr>
          <w:rFonts w:ascii="Arial" w:hAnsi="Arial" w:cs="Arial"/>
        </w:rPr>
        <w:t xml:space="preserve"> su defensa</w:t>
      </w:r>
      <w:r>
        <w:rPr>
          <w:rFonts w:ascii="Arial" w:hAnsi="Arial" w:cs="Arial"/>
        </w:rPr>
        <w:t xml:space="preserve"> a través de esta acción</w:t>
      </w:r>
      <w:r w:rsidRPr="008B0539">
        <w:rPr>
          <w:rFonts w:ascii="Arial" w:hAnsi="Arial" w:cs="Arial"/>
        </w:rPr>
        <w:t xml:space="preserve"> con mayor celeridad sin desconocer</w:t>
      </w:r>
      <w:r>
        <w:rPr>
          <w:rFonts w:ascii="Arial" w:hAnsi="Arial" w:cs="Arial"/>
        </w:rPr>
        <w:t xml:space="preserve"> la inmediatez</w:t>
      </w:r>
      <w:r>
        <w:rPr>
          <w:rStyle w:val="Appelnotedebasdep"/>
          <w:rFonts w:ascii="Arial" w:hAnsi="Arial"/>
        </w:rPr>
        <w:footnoteReference w:id="20"/>
      </w:r>
      <w:r>
        <w:rPr>
          <w:rFonts w:ascii="Arial" w:hAnsi="Arial" w:cs="Arial"/>
        </w:rPr>
        <w:t xml:space="preserve">; circunstancias que no fueron expuestas ni probadas en el trámite. </w:t>
      </w:r>
    </w:p>
    <w:p w:rsidR="00B46365" w:rsidRPr="00B46365" w:rsidRDefault="00B46365" w:rsidP="00B46365">
      <w:pPr>
        <w:spacing w:line="360" w:lineRule="auto"/>
        <w:jc w:val="both"/>
        <w:rPr>
          <w:rFonts w:ascii="Arial" w:hAnsi="Arial" w:cs="Arial"/>
          <w:sz w:val="20"/>
        </w:rPr>
      </w:pPr>
    </w:p>
    <w:p w:rsidR="00B46365" w:rsidRDefault="00B46365" w:rsidP="00B46365">
      <w:pPr>
        <w:spacing w:line="360" w:lineRule="auto"/>
        <w:jc w:val="both"/>
        <w:rPr>
          <w:rFonts w:ascii="Arial" w:hAnsi="Arial" w:cs="Arial"/>
        </w:rPr>
      </w:pPr>
      <w:r>
        <w:rPr>
          <w:rFonts w:ascii="Arial" w:hAnsi="Arial" w:cs="Arial"/>
        </w:rPr>
        <w:t>De igual forma, no se encuentra ni alegado ni probado, que el actor sea persona de especial protección constitucional</w:t>
      </w:r>
      <w:r>
        <w:rPr>
          <w:rStyle w:val="Appelnotedebasdep"/>
          <w:rFonts w:ascii="Arial" w:hAnsi="Arial"/>
        </w:rPr>
        <w:footnoteReference w:id="21"/>
      </w:r>
      <w:r>
        <w:rPr>
          <w:rFonts w:ascii="Arial" w:hAnsi="Arial" w:cs="Arial"/>
        </w:rPr>
        <w:t xml:space="preserve">; ni que </w:t>
      </w:r>
      <w:r w:rsidR="00282DC4">
        <w:rPr>
          <w:rFonts w:ascii="Arial" w:hAnsi="Arial" w:cs="Arial"/>
        </w:rPr>
        <w:t xml:space="preserve">la falta de pronunciamiento </w:t>
      </w:r>
      <w:r w:rsidRPr="00A36EB8">
        <w:rPr>
          <w:rFonts w:ascii="Arial" w:hAnsi="Arial" w:cs="Arial"/>
        </w:rPr>
        <w:t xml:space="preserve">vulnere o amenace </w:t>
      </w:r>
      <w:r>
        <w:rPr>
          <w:rFonts w:ascii="Arial" w:hAnsi="Arial" w:cs="Arial"/>
        </w:rPr>
        <w:t xml:space="preserve">sus </w:t>
      </w:r>
      <w:r w:rsidRPr="00A36EB8">
        <w:rPr>
          <w:rFonts w:ascii="Arial" w:hAnsi="Arial" w:cs="Arial"/>
        </w:rPr>
        <w:t>derechos de f</w:t>
      </w:r>
      <w:r>
        <w:rPr>
          <w:rFonts w:ascii="Arial" w:hAnsi="Arial" w:cs="Arial"/>
        </w:rPr>
        <w:t>orma tal que pueda estar incurso</w:t>
      </w:r>
      <w:r w:rsidRPr="00A36EB8">
        <w:rPr>
          <w:rFonts w:ascii="Arial" w:hAnsi="Arial" w:cs="Arial"/>
        </w:rPr>
        <w:t xml:space="preserve"> en una debilidad manifiesta</w:t>
      </w:r>
      <w:r w:rsidR="00282DC4">
        <w:rPr>
          <w:rFonts w:ascii="Arial" w:hAnsi="Arial" w:cs="Arial"/>
        </w:rPr>
        <w:t>, si se tiene en cuenta que las acciones populares fueron terminadas por desistimiento tácito previamente a que se enviaran los correos electrónicos (Discos compactos visibles a folios 23 y 24, ib.).</w:t>
      </w:r>
      <w:r>
        <w:rPr>
          <w:rFonts w:ascii="Arial" w:hAnsi="Arial" w:cs="Arial"/>
        </w:rPr>
        <w:t xml:space="preserve"> </w:t>
      </w:r>
    </w:p>
    <w:p w:rsidR="00B46365" w:rsidRDefault="00B46365" w:rsidP="00D87D45">
      <w:pPr>
        <w:jc w:val="both"/>
        <w:rPr>
          <w:rFonts w:ascii="Arial" w:hAnsi="Arial" w:cs="Arial"/>
          <w:highlight w:val="yellow"/>
          <w:lang w:val="es-CO"/>
        </w:rPr>
      </w:pPr>
    </w:p>
    <w:p w:rsidR="001F36A0" w:rsidRDefault="001F36A0" w:rsidP="001F36A0">
      <w:pPr>
        <w:spacing w:line="360" w:lineRule="auto"/>
        <w:ind w:right="51"/>
        <w:jc w:val="both"/>
        <w:rPr>
          <w:rFonts w:ascii="Arial" w:hAnsi="Arial"/>
        </w:rPr>
      </w:pPr>
      <w:r w:rsidRPr="00F572A7">
        <w:rPr>
          <w:rFonts w:ascii="Arial" w:hAnsi="Arial" w:cs="Arial"/>
          <w:lang w:val="es-ES_tradnl"/>
        </w:rPr>
        <w:t xml:space="preserve">En ese contexto, </w:t>
      </w:r>
      <w:r w:rsidR="006455AA">
        <w:rPr>
          <w:rFonts w:ascii="Arial" w:hAnsi="Arial"/>
        </w:rPr>
        <w:t xml:space="preserve">la </w:t>
      </w:r>
      <w:r w:rsidRPr="00486763">
        <w:rPr>
          <w:rFonts w:ascii="Arial" w:hAnsi="Arial"/>
        </w:rPr>
        <w:t xml:space="preserve">presente </w:t>
      </w:r>
      <w:r w:rsidR="00054044">
        <w:rPr>
          <w:rFonts w:ascii="Arial" w:hAnsi="Arial"/>
        </w:rPr>
        <w:t>acción</w:t>
      </w:r>
      <w:r w:rsidR="006455AA">
        <w:rPr>
          <w:rFonts w:ascii="Arial" w:hAnsi="Arial"/>
        </w:rPr>
        <w:t xml:space="preserve"> </w:t>
      </w:r>
      <w:r w:rsidRPr="00486763">
        <w:rPr>
          <w:rFonts w:ascii="Arial" w:hAnsi="Arial"/>
        </w:rPr>
        <w:t xml:space="preserve">de tutela </w:t>
      </w:r>
      <w:r w:rsidR="0096225E">
        <w:rPr>
          <w:rFonts w:ascii="Arial" w:hAnsi="Arial"/>
        </w:rPr>
        <w:t>e</w:t>
      </w:r>
      <w:r w:rsidR="006455AA">
        <w:rPr>
          <w:rFonts w:ascii="Arial" w:hAnsi="Arial"/>
        </w:rPr>
        <w:t xml:space="preserve">s </w:t>
      </w:r>
      <w:r w:rsidRPr="00486763">
        <w:rPr>
          <w:rFonts w:ascii="Arial" w:hAnsi="Arial"/>
        </w:rPr>
        <w:t xml:space="preserve">improcedente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xml:space="preserve">) requisitos generales de procedibilidad, como lo es el de la </w:t>
      </w:r>
      <w:r w:rsidR="00B46365">
        <w:rPr>
          <w:rFonts w:ascii="Arial" w:hAnsi="Arial"/>
        </w:rPr>
        <w:t xml:space="preserve">inmediatez, pues se formuló </w:t>
      </w:r>
      <w:r w:rsidR="00282DC4">
        <w:rPr>
          <w:rFonts w:ascii="Arial" w:hAnsi="Arial"/>
        </w:rPr>
        <w:t>ocho (8</w:t>
      </w:r>
      <w:r w:rsidR="00B46365">
        <w:rPr>
          <w:rFonts w:ascii="Arial" w:hAnsi="Arial"/>
        </w:rPr>
        <w:t xml:space="preserve">) meses después de </w:t>
      </w:r>
      <w:r w:rsidR="00282DC4">
        <w:rPr>
          <w:rFonts w:ascii="Arial" w:hAnsi="Arial"/>
        </w:rPr>
        <w:t>presentados los memoriales</w:t>
      </w:r>
      <w:r>
        <w:rPr>
          <w:rFonts w:ascii="Arial" w:hAnsi="Arial"/>
        </w:rPr>
        <w:t>.</w:t>
      </w:r>
    </w:p>
    <w:p w:rsidR="006E3281" w:rsidRPr="00C035D6" w:rsidRDefault="00C035D6" w:rsidP="00B46365">
      <w:pPr>
        <w:pStyle w:val="Corpsdetex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ind w:left="567" w:hanging="567"/>
        <w:textAlignment w:val="auto"/>
        <w:rPr>
          <w:rFonts w:ascii="Arial" w:hAnsi="Arial" w:cs="Arial"/>
          <w:sz w:val="28"/>
          <w:szCs w:val="28"/>
        </w:rPr>
      </w:pPr>
      <w:r w:rsidRPr="00C035D6">
        <w:rPr>
          <w:rFonts w:ascii="Arial" w:hAnsi="Arial" w:cs="Arial"/>
          <w:smallCaps/>
          <w:sz w:val="28"/>
          <w:szCs w:val="28"/>
        </w:rPr>
        <w:lastRenderedPageBreak/>
        <w:t>Las conclusiones</w:t>
      </w:r>
      <w:r w:rsidRPr="00C035D6">
        <w:rPr>
          <w:rFonts w:ascii="Arial" w:hAnsi="Arial" w:cs="Arial"/>
          <w:sz w:val="28"/>
          <w:szCs w:val="28"/>
        </w:rPr>
        <w:t xml:space="preserve"> </w:t>
      </w:r>
    </w:p>
    <w:p w:rsidR="006E3281" w:rsidRPr="000F5F85" w:rsidRDefault="006E3281" w:rsidP="006E3281">
      <w:pPr>
        <w:pStyle w:val="Corpsdetex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22"/>
          <w:szCs w:val="24"/>
        </w:rPr>
      </w:pPr>
    </w:p>
    <w:p w:rsidR="00BF72EF" w:rsidRDefault="006E3281" w:rsidP="00BF72EF">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sidRPr="00951700">
        <w:rPr>
          <w:rFonts w:ascii="Arial" w:hAnsi="Arial"/>
        </w:rPr>
        <w:t>En armonía con las premisas expuestas en los acápites anteriores</w:t>
      </w:r>
      <w:r w:rsidR="00282DC4">
        <w:rPr>
          <w:rFonts w:ascii="Arial" w:hAnsi="Arial" w:cs="Arial"/>
        </w:rPr>
        <w:t xml:space="preserve"> se </w:t>
      </w:r>
      <w:r w:rsidR="00BF72EF" w:rsidRPr="00E538DC">
        <w:rPr>
          <w:rFonts w:ascii="Arial" w:hAnsi="Arial" w:cs="Arial"/>
        </w:rPr>
        <w:t xml:space="preserve">declarará improcedente </w:t>
      </w:r>
      <w:r w:rsidR="00BF72EF">
        <w:rPr>
          <w:rFonts w:ascii="Arial" w:hAnsi="Arial" w:cs="Arial"/>
        </w:rPr>
        <w:t xml:space="preserve">la </w:t>
      </w:r>
      <w:r w:rsidR="007E1314">
        <w:rPr>
          <w:rFonts w:ascii="Arial" w:hAnsi="Arial" w:cs="Arial"/>
        </w:rPr>
        <w:t>acción</w:t>
      </w:r>
      <w:r w:rsidR="00BF72EF">
        <w:rPr>
          <w:rFonts w:ascii="Arial" w:hAnsi="Arial" w:cs="Arial"/>
        </w:rPr>
        <w:t xml:space="preserve"> </w:t>
      </w:r>
      <w:r w:rsidR="00BF72EF" w:rsidRPr="00E538DC">
        <w:rPr>
          <w:rFonts w:ascii="Arial" w:hAnsi="Arial" w:cs="Arial"/>
        </w:rPr>
        <w:t xml:space="preserve">constitucional frente al Juzgado </w:t>
      </w:r>
      <w:r w:rsidR="00282DC4">
        <w:rPr>
          <w:rFonts w:ascii="Arial" w:hAnsi="Arial" w:cs="Arial"/>
        </w:rPr>
        <w:t xml:space="preserve">Segundo </w:t>
      </w:r>
      <w:r w:rsidR="00ED2098">
        <w:rPr>
          <w:rFonts w:ascii="Arial" w:hAnsi="Arial" w:cs="Arial"/>
        </w:rPr>
        <w:t>C</w:t>
      </w:r>
      <w:r w:rsidR="00BF72EF" w:rsidRPr="00E538DC">
        <w:rPr>
          <w:rFonts w:ascii="Arial" w:hAnsi="Arial" w:cs="Arial"/>
        </w:rPr>
        <w:t>ivil del Circuito de Pereira</w:t>
      </w:r>
      <w:r w:rsidR="00A67FA2">
        <w:rPr>
          <w:rFonts w:ascii="Arial" w:hAnsi="Arial" w:cs="Arial"/>
        </w:rPr>
        <w:t>.</w:t>
      </w:r>
    </w:p>
    <w:p w:rsidR="00D07BE1" w:rsidRPr="00B46365" w:rsidRDefault="00D07BE1" w:rsidP="00D07BE1">
      <w:pPr>
        <w:spacing w:line="360" w:lineRule="auto"/>
        <w:ind w:right="51"/>
        <w:jc w:val="both"/>
        <w:rPr>
          <w:rFonts w:ascii="Arial" w:hAnsi="Arial" w:cs="Arial"/>
          <w:sz w:val="28"/>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Pr="004D5812" w:rsidRDefault="006E3281" w:rsidP="006E3281">
      <w:pPr>
        <w:pStyle w:val="Corpsdetexte"/>
        <w:spacing w:line="360" w:lineRule="auto"/>
        <w:jc w:val="center"/>
        <w:rPr>
          <w:rFonts w:ascii="Arial" w:hAnsi="Arial" w:cs="Arial"/>
          <w:bCs/>
          <w:smallCaps/>
          <w:szCs w:val="24"/>
        </w:rPr>
      </w:pPr>
      <w:r w:rsidRPr="004D5812">
        <w:rPr>
          <w:rFonts w:ascii="Arial" w:hAnsi="Arial" w:cs="Arial"/>
          <w:bCs/>
          <w:smallCaps/>
          <w:szCs w:val="24"/>
        </w:rPr>
        <w:t xml:space="preserve">F A L </w:t>
      </w:r>
      <w:proofErr w:type="spellStart"/>
      <w:r w:rsidRPr="004D5812">
        <w:rPr>
          <w:rFonts w:ascii="Arial" w:hAnsi="Arial" w:cs="Arial"/>
          <w:bCs/>
          <w:smallCaps/>
          <w:szCs w:val="24"/>
        </w:rPr>
        <w:t>L</w:t>
      </w:r>
      <w:proofErr w:type="spellEnd"/>
      <w:r w:rsidRPr="004D5812">
        <w:rPr>
          <w:rFonts w:ascii="Arial" w:hAnsi="Arial" w:cs="Arial"/>
          <w:bCs/>
          <w:smallCaps/>
          <w:szCs w:val="24"/>
        </w:rPr>
        <w:t xml:space="preserve"> A,</w:t>
      </w:r>
    </w:p>
    <w:p w:rsidR="00002C46" w:rsidRDefault="00ED2098" w:rsidP="00002C46">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r w:rsidRPr="00282DC4">
        <w:rPr>
          <w:rFonts w:ascii="Arial" w:hAnsi="Arial" w:cs="Arial"/>
        </w:rPr>
        <w:t xml:space="preserve"> </w:t>
      </w:r>
    </w:p>
    <w:p w:rsidR="00F81437" w:rsidRPr="00D87D45" w:rsidRDefault="00BF72EF" w:rsidP="00002C46">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hanging="426"/>
        <w:contextualSpacing/>
        <w:jc w:val="both"/>
        <w:textAlignment w:val="baseline"/>
        <w:rPr>
          <w:rFonts w:ascii="Arial" w:hAnsi="Arial" w:cs="Arial"/>
        </w:rPr>
      </w:pPr>
      <w:r w:rsidRPr="00D87D45">
        <w:rPr>
          <w:rFonts w:ascii="Arial" w:hAnsi="Arial" w:cs="Arial"/>
        </w:rPr>
        <w:t xml:space="preserve">DECLARAR improcedente la tutela propuesta por el señor Javier Elías Arias </w:t>
      </w:r>
      <w:r w:rsidR="00ED2098" w:rsidRPr="00D87D45">
        <w:rPr>
          <w:rFonts w:ascii="Arial" w:hAnsi="Arial" w:cs="Arial"/>
        </w:rPr>
        <w:t xml:space="preserve"> </w:t>
      </w:r>
      <w:proofErr w:type="spellStart"/>
      <w:r w:rsidRPr="00D87D45">
        <w:rPr>
          <w:rFonts w:ascii="Arial" w:hAnsi="Arial" w:cs="Arial"/>
        </w:rPr>
        <w:t>Idárraga</w:t>
      </w:r>
      <w:proofErr w:type="spellEnd"/>
      <w:r w:rsidRPr="00D87D45">
        <w:rPr>
          <w:rFonts w:ascii="Arial" w:hAnsi="Arial" w:cs="Arial"/>
        </w:rPr>
        <w:t xml:space="preserve"> contra </w:t>
      </w:r>
      <w:r w:rsidR="00B46365" w:rsidRPr="00D87D45">
        <w:rPr>
          <w:rFonts w:ascii="Arial" w:hAnsi="Arial" w:cs="Arial"/>
        </w:rPr>
        <w:t xml:space="preserve"> </w:t>
      </w:r>
      <w:r w:rsidRPr="00D87D45">
        <w:rPr>
          <w:rFonts w:ascii="Arial" w:hAnsi="Arial" w:cs="Arial"/>
        </w:rPr>
        <w:t xml:space="preserve">el </w:t>
      </w:r>
      <w:r w:rsidR="00B46365" w:rsidRPr="00D87D45">
        <w:rPr>
          <w:rFonts w:ascii="Arial" w:hAnsi="Arial" w:cs="Arial"/>
        </w:rPr>
        <w:t xml:space="preserve"> </w:t>
      </w:r>
      <w:r w:rsidRPr="00D87D45">
        <w:rPr>
          <w:rFonts w:ascii="Arial" w:hAnsi="Arial" w:cs="Arial"/>
        </w:rPr>
        <w:t xml:space="preserve">Juzgado </w:t>
      </w:r>
      <w:r w:rsidR="00B46365" w:rsidRPr="00D87D45">
        <w:rPr>
          <w:rFonts w:ascii="Arial" w:hAnsi="Arial" w:cs="Arial"/>
        </w:rPr>
        <w:t xml:space="preserve"> </w:t>
      </w:r>
      <w:r w:rsidR="00282DC4" w:rsidRPr="00D87D45">
        <w:rPr>
          <w:rFonts w:ascii="Arial" w:hAnsi="Arial" w:cs="Arial"/>
        </w:rPr>
        <w:t xml:space="preserve">Segundo </w:t>
      </w:r>
      <w:r w:rsidRPr="00D87D45">
        <w:rPr>
          <w:rFonts w:ascii="Arial" w:hAnsi="Arial" w:cs="Arial"/>
        </w:rPr>
        <w:t xml:space="preserve">Civil </w:t>
      </w:r>
      <w:r w:rsidR="00B46365" w:rsidRPr="00D87D45">
        <w:rPr>
          <w:rFonts w:ascii="Arial" w:hAnsi="Arial" w:cs="Arial"/>
        </w:rPr>
        <w:t xml:space="preserve"> </w:t>
      </w:r>
      <w:r w:rsidRPr="00D87D45">
        <w:rPr>
          <w:rFonts w:ascii="Arial" w:hAnsi="Arial" w:cs="Arial"/>
        </w:rPr>
        <w:t xml:space="preserve">del </w:t>
      </w:r>
      <w:r w:rsidR="00B46365" w:rsidRPr="00D87D45">
        <w:rPr>
          <w:rFonts w:ascii="Arial" w:hAnsi="Arial" w:cs="Arial"/>
        </w:rPr>
        <w:t xml:space="preserve"> </w:t>
      </w:r>
      <w:r w:rsidRPr="00D87D45">
        <w:rPr>
          <w:rFonts w:ascii="Arial" w:hAnsi="Arial" w:cs="Arial"/>
        </w:rPr>
        <w:t xml:space="preserve">Circuito </w:t>
      </w:r>
      <w:r w:rsidR="00B46365" w:rsidRPr="00D87D45">
        <w:rPr>
          <w:rFonts w:ascii="Arial" w:hAnsi="Arial" w:cs="Arial"/>
        </w:rPr>
        <w:t xml:space="preserve"> </w:t>
      </w:r>
      <w:r w:rsidRPr="00D87D45">
        <w:rPr>
          <w:rFonts w:ascii="Arial" w:hAnsi="Arial" w:cs="Arial"/>
        </w:rPr>
        <w:t xml:space="preserve">de </w:t>
      </w:r>
      <w:r w:rsidR="00B46365" w:rsidRPr="00D87D45">
        <w:rPr>
          <w:rFonts w:ascii="Arial" w:hAnsi="Arial" w:cs="Arial"/>
        </w:rPr>
        <w:t xml:space="preserve"> </w:t>
      </w:r>
      <w:r w:rsidRPr="00D87D45">
        <w:rPr>
          <w:rFonts w:ascii="Arial" w:hAnsi="Arial" w:cs="Arial"/>
        </w:rPr>
        <w:t>Pereira</w:t>
      </w:r>
      <w:r w:rsidR="00282DC4" w:rsidRPr="00D87D45">
        <w:rPr>
          <w:rFonts w:ascii="Arial" w:hAnsi="Arial" w:cs="Arial"/>
        </w:rPr>
        <w:t xml:space="preserve">, la Procuraduría y la </w:t>
      </w:r>
      <w:r w:rsidR="00D87D45">
        <w:rPr>
          <w:rFonts w:ascii="Arial" w:hAnsi="Arial" w:cs="Arial"/>
        </w:rPr>
        <w:t xml:space="preserve"> </w:t>
      </w:r>
      <w:r w:rsidR="00282DC4" w:rsidRPr="00D87D45">
        <w:rPr>
          <w:rFonts w:ascii="Arial" w:hAnsi="Arial" w:cs="Arial"/>
        </w:rPr>
        <w:t>Defensoría de Pueblo, Regionales de Risaralda, y la Alcaldía y Personería de Pereira.</w:t>
      </w:r>
    </w:p>
    <w:p w:rsidR="00002C46" w:rsidRPr="00282DC4" w:rsidRDefault="00002C46" w:rsidP="00002C46">
      <w:pPr>
        <w:pStyle w:val="Paragraphedeliste"/>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Arial" w:hAnsi="Arial" w:cs="Arial"/>
        </w:rPr>
      </w:pPr>
    </w:p>
    <w:p w:rsidR="006E3281" w:rsidRPr="00ED2098" w:rsidRDefault="00ED2098" w:rsidP="00241E63">
      <w:pPr>
        <w:pStyle w:val="Paragraphedeliste"/>
        <w:widowControl/>
        <w:numPr>
          <w:ilvl w:val="0"/>
          <w:numId w:val="6"/>
        </w:numPr>
        <w:tabs>
          <w:tab w:val="clear" w:pos="786"/>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ED2098">
        <w:rPr>
          <w:rFonts w:ascii="Arial" w:hAnsi="Arial" w:cs="Arial"/>
        </w:rPr>
        <w:t>NOTIFICAR</w:t>
      </w:r>
      <w:r w:rsidR="006E3281" w:rsidRPr="00ED2098">
        <w:rPr>
          <w:rFonts w:ascii="Arial" w:hAnsi="Arial"/>
          <w:spacing w:val="-3"/>
          <w:lang w:val="es-ES_tradnl"/>
        </w:rPr>
        <w:t xml:space="preserve"> esta decisión a todas las partes, por el medio más expedito y eficaz.</w:t>
      </w:r>
    </w:p>
    <w:p w:rsidR="006E3281" w:rsidRPr="00002C46" w:rsidRDefault="006E3281" w:rsidP="00C5485C">
      <w:pPr>
        <w:pStyle w:val="Paragraphedeliste"/>
        <w:widowControl/>
        <w:tabs>
          <w:tab w:val="left" w:pos="0"/>
          <w:tab w:val="left" w:pos="142"/>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contextualSpacing/>
        <w:jc w:val="both"/>
        <w:textAlignment w:val="baseline"/>
        <w:rPr>
          <w:rFonts w:ascii="Arial" w:hAnsi="Arial"/>
          <w:spacing w:val="-3"/>
          <w:szCs w:val="18"/>
          <w:lang w:val="es-ES_tradnl"/>
        </w:rPr>
      </w:pPr>
    </w:p>
    <w:p w:rsidR="006E3281" w:rsidRPr="004D5812" w:rsidRDefault="006E3281"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REMITIR este expediente, a la Corte Constitucional para su eventual revisión.</w:t>
      </w:r>
    </w:p>
    <w:p w:rsidR="00023B2D" w:rsidRPr="004D5812" w:rsidRDefault="00023B2D" w:rsidP="00C5485C">
      <w:pPr>
        <w:spacing w:line="360" w:lineRule="auto"/>
        <w:rPr>
          <w:rFonts w:ascii="Arial" w:hAnsi="Arial"/>
          <w:spacing w:val="-3"/>
          <w:lang w:val="es-ES_tradnl"/>
        </w:rPr>
      </w:pPr>
    </w:p>
    <w:p w:rsidR="001F4C1B" w:rsidRPr="004D5812" w:rsidRDefault="001F4C1B" w:rsidP="00C5485C">
      <w:pPr>
        <w:pStyle w:val="Paragraphedeliste"/>
        <w:widowControl/>
        <w:numPr>
          <w:ilvl w:val="0"/>
          <w:numId w:val="6"/>
        </w:numPr>
        <w:tabs>
          <w:tab w:val="left" w:pos="0"/>
          <w:tab w:val="left" w:pos="142"/>
          <w:tab w:val="num" w:pos="360"/>
          <w:tab w:val="num" w:pos="426"/>
          <w:tab w:val="left" w:pos="4956"/>
          <w:tab w:val="left" w:pos="5664"/>
          <w:tab w:val="left" w:pos="6372"/>
          <w:tab w:val="left" w:pos="7080"/>
          <w:tab w:val="left" w:pos="7788"/>
          <w:tab w:val="left" w:pos="7920"/>
        </w:tabs>
        <w:suppressAutoHyphens/>
        <w:overflowPunct w:val="0"/>
        <w:autoSpaceDE/>
        <w:autoSpaceDN/>
        <w:adjustRightInd/>
        <w:spacing w:line="360" w:lineRule="auto"/>
        <w:ind w:left="0" w:firstLine="0"/>
        <w:contextualSpacing/>
        <w:jc w:val="both"/>
        <w:textAlignment w:val="baseline"/>
        <w:rPr>
          <w:rFonts w:ascii="Arial" w:hAnsi="Arial"/>
          <w:spacing w:val="-3"/>
          <w:lang w:val="es-ES_tradnl"/>
        </w:rPr>
      </w:pPr>
      <w:r w:rsidRPr="004D5812">
        <w:rPr>
          <w:rFonts w:ascii="Arial" w:hAnsi="Arial"/>
          <w:spacing w:val="-3"/>
          <w:lang w:val="es-ES_tradnl"/>
        </w:rPr>
        <w:t>ORDENAR el archivo del expediente, surtidos los trámites anteriores.</w:t>
      </w:r>
    </w:p>
    <w:p w:rsidR="00984EE4" w:rsidRPr="00002C46" w:rsidRDefault="00984EE4" w:rsidP="00126266">
      <w:pPr>
        <w:pStyle w:val="Corpsdetexte"/>
        <w:spacing w:line="360" w:lineRule="auto"/>
        <w:jc w:val="center"/>
        <w:rPr>
          <w:rFonts w:ascii="Arial" w:hAnsi="Arial"/>
          <w:smallCaps/>
          <w:sz w:val="20"/>
          <w:szCs w:val="24"/>
        </w:rPr>
      </w:pPr>
    </w:p>
    <w:p w:rsidR="00126266" w:rsidRPr="00002C46" w:rsidRDefault="00126266" w:rsidP="00126266">
      <w:pPr>
        <w:pStyle w:val="Corpsdetexte"/>
        <w:spacing w:line="360" w:lineRule="auto"/>
        <w:jc w:val="center"/>
        <w:rPr>
          <w:rFonts w:ascii="Arial" w:hAnsi="Arial"/>
          <w:smallCaps/>
          <w:sz w:val="28"/>
          <w:szCs w:val="24"/>
          <w:lang w:val="en-US"/>
        </w:rPr>
      </w:pPr>
      <w:proofErr w:type="spellStart"/>
      <w:r w:rsidRPr="00002C46">
        <w:rPr>
          <w:rFonts w:ascii="Arial" w:hAnsi="Arial"/>
          <w:smallCaps/>
          <w:sz w:val="28"/>
          <w:szCs w:val="24"/>
          <w:lang w:val="en-US"/>
        </w:rPr>
        <w:t>Notifíquese</w:t>
      </w:r>
      <w:proofErr w:type="spellEnd"/>
      <w:r w:rsidRPr="00002C46">
        <w:rPr>
          <w:rFonts w:ascii="Arial" w:hAnsi="Arial"/>
          <w:smallCaps/>
          <w:sz w:val="28"/>
          <w:szCs w:val="24"/>
          <w:lang w:val="en-US"/>
        </w:rPr>
        <w:t>,</w:t>
      </w:r>
    </w:p>
    <w:p w:rsidR="000848A3" w:rsidRPr="001B6BBA" w:rsidRDefault="000848A3" w:rsidP="00C641FE">
      <w:pPr>
        <w:pStyle w:val="Corpsdetexte"/>
        <w:spacing w:line="360" w:lineRule="auto"/>
        <w:jc w:val="center"/>
        <w:rPr>
          <w:rFonts w:ascii="Arial" w:hAnsi="Arial"/>
          <w:lang w:val="en-US"/>
        </w:rPr>
      </w:pPr>
    </w:p>
    <w:p w:rsidR="000006D6" w:rsidRPr="00C5485C" w:rsidRDefault="000006D6" w:rsidP="00017666">
      <w:pPr>
        <w:pStyle w:val="Corpsdetexte"/>
        <w:spacing w:line="360" w:lineRule="auto"/>
        <w:rPr>
          <w:sz w:val="40"/>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002C46"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40"/>
          <w:szCs w:val="18"/>
          <w:lang w:val="en-US"/>
        </w:rPr>
      </w:pPr>
    </w:p>
    <w:p w:rsidR="00F04FAF" w:rsidRPr="00322A4E" w:rsidRDefault="00F04FA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12"/>
          <w:szCs w:val="18"/>
          <w:lang w:val="en-US"/>
        </w:rPr>
      </w:pPr>
    </w:p>
    <w:p w:rsidR="00017666" w:rsidRPr="001B6BBA" w:rsidRDefault="00017666"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671332"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881F89" w:rsidRPr="00295751" w:rsidRDefault="00881F89" w:rsidP="00DA0621">
      <w:pPr>
        <w:pStyle w:val="Corpsdetexte"/>
        <w:spacing w:line="360" w:lineRule="auto"/>
        <w:jc w:val="right"/>
        <w:rPr>
          <w:rFonts w:ascii="Arial" w:hAnsi="Arial"/>
          <w:w w:val="150"/>
          <w:sz w:val="8"/>
          <w:szCs w:val="10"/>
          <w:lang w:val="en-GB"/>
        </w:rPr>
      </w:pPr>
    </w:p>
    <w:p w:rsidR="00881F89" w:rsidRPr="00295751" w:rsidRDefault="00881F89" w:rsidP="00DA0621">
      <w:pPr>
        <w:pStyle w:val="Corpsdetexte"/>
        <w:spacing w:line="360" w:lineRule="auto"/>
        <w:jc w:val="right"/>
        <w:rPr>
          <w:rFonts w:ascii="Arial" w:hAnsi="Arial"/>
          <w:w w:val="150"/>
          <w:sz w:val="8"/>
          <w:szCs w:val="10"/>
          <w:lang w:val="en-GB"/>
        </w:rPr>
      </w:pPr>
    </w:p>
    <w:p w:rsidR="00881F89" w:rsidRPr="00295751" w:rsidRDefault="00881F89" w:rsidP="00DA0621">
      <w:pPr>
        <w:pStyle w:val="Corpsdetexte"/>
        <w:spacing w:line="360" w:lineRule="auto"/>
        <w:jc w:val="right"/>
        <w:rPr>
          <w:rFonts w:ascii="Arial" w:hAnsi="Arial"/>
          <w:w w:val="150"/>
          <w:sz w:val="8"/>
          <w:szCs w:val="10"/>
          <w:lang w:val="en-GB"/>
        </w:rPr>
      </w:pPr>
    </w:p>
    <w:p w:rsidR="00881F89" w:rsidRPr="00295751" w:rsidRDefault="00881F89" w:rsidP="00DA0621">
      <w:pPr>
        <w:pStyle w:val="Corpsdetexte"/>
        <w:spacing w:line="360" w:lineRule="auto"/>
        <w:jc w:val="right"/>
        <w:rPr>
          <w:rFonts w:ascii="Arial" w:hAnsi="Arial"/>
          <w:w w:val="150"/>
          <w:sz w:val="8"/>
          <w:szCs w:val="10"/>
          <w:lang w:val="en-GB"/>
        </w:rPr>
      </w:pPr>
    </w:p>
    <w:p w:rsidR="00B65814" w:rsidRPr="00DA0621" w:rsidRDefault="00C16956" w:rsidP="00DA0621">
      <w:pPr>
        <w:pStyle w:val="Corpsdetexte"/>
        <w:spacing w:line="360" w:lineRule="auto"/>
        <w:jc w:val="right"/>
        <w:rPr>
          <w:rFonts w:ascii="Arial" w:hAnsi="Arial"/>
          <w:sz w:val="22"/>
        </w:rPr>
      </w:pPr>
      <w:bookmarkStart w:id="0" w:name="_GoBack"/>
      <w:bookmarkEnd w:id="0"/>
      <w:proofErr w:type="spellStart"/>
      <w:r w:rsidRPr="003C77B1">
        <w:rPr>
          <w:rFonts w:ascii="Arial" w:hAnsi="Arial"/>
          <w:w w:val="150"/>
          <w:sz w:val="8"/>
          <w:szCs w:val="10"/>
          <w:lang w:val="es-CO"/>
        </w:rPr>
        <w:t>DGH</w:t>
      </w:r>
      <w:proofErr w:type="spellEnd"/>
      <w:r w:rsidRPr="003C77B1">
        <w:rPr>
          <w:rFonts w:ascii="Arial" w:hAnsi="Arial"/>
          <w:w w:val="150"/>
          <w:sz w:val="8"/>
          <w:szCs w:val="10"/>
          <w:lang w:val="es-CO"/>
        </w:rPr>
        <w:t>/</w:t>
      </w:r>
      <w:proofErr w:type="spellStart"/>
      <w:r w:rsidR="00AF623E">
        <w:rPr>
          <w:rFonts w:ascii="Arial" w:hAnsi="Arial"/>
          <w:w w:val="150"/>
          <w:sz w:val="8"/>
          <w:szCs w:val="10"/>
          <w:lang w:val="es-CO"/>
        </w:rPr>
        <w:t>LSCL</w:t>
      </w:r>
      <w:proofErr w:type="spellEnd"/>
      <w:r w:rsidR="00AF623E">
        <w:rPr>
          <w:rFonts w:ascii="Arial" w:hAnsi="Arial"/>
          <w:w w:val="150"/>
          <w:sz w:val="8"/>
          <w:szCs w:val="10"/>
          <w:lang w:val="es-CO"/>
        </w:rPr>
        <w:t>/</w:t>
      </w:r>
      <w:proofErr w:type="spellStart"/>
      <w:r w:rsidR="00F04FAF" w:rsidRPr="003C77B1">
        <w:rPr>
          <w:rFonts w:ascii="Arial" w:hAnsi="Arial"/>
          <w:w w:val="150"/>
          <w:sz w:val="8"/>
          <w:szCs w:val="10"/>
          <w:lang w:val="es-CO"/>
        </w:rPr>
        <w:t>ODCD</w:t>
      </w:r>
      <w:proofErr w:type="spellEnd"/>
      <w:r w:rsidR="004E4D7B" w:rsidRPr="003C77B1">
        <w:rPr>
          <w:rFonts w:ascii="Arial" w:hAnsi="Arial"/>
          <w:w w:val="150"/>
          <w:sz w:val="8"/>
          <w:szCs w:val="10"/>
          <w:lang w:val="es-CO"/>
        </w:rPr>
        <w:t>/</w:t>
      </w:r>
      <w:r w:rsidR="00F04FAF" w:rsidRPr="003C77B1">
        <w:rPr>
          <w:rFonts w:ascii="Arial" w:hAnsi="Arial"/>
          <w:w w:val="150"/>
          <w:sz w:val="8"/>
          <w:szCs w:val="10"/>
          <w:lang w:val="es-CO"/>
        </w:rPr>
        <w:t>201</w:t>
      </w:r>
      <w:r w:rsidR="00AF623E">
        <w:rPr>
          <w:rFonts w:ascii="Arial" w:hAnsi="Arial"/>
          <w:w w:val="150"/>
          <w:sz w:val="8"/>
          <w:szCs w:val="10"/>
          <w:lang w:val="es-CO"/>
        </w:rPr>
        <w:t>7</w:t>
      </w:r>
    </w:p>
    <w:sectPr w:rsidR="00B65814" w:rsidRPr="00DA0621" w:rsidSect="00002C46">
      <w:headerReference w:type="default" r:id="rId10"/>
      <w:footerReference w:type="default" r:id="rId11"/>
      <w:pgSz w:w="12242" w:h="18722" w:code="121"/>
      <w:pgMar w:top="1310"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06B" w:rsidRDefault="0064006B" w:rsidP="0099045D">
      <w:r>
        <w:separator/>
      </w:r>
    </w:p>
  </w:endnote>
  <w:endnote w:type="continuationSeparator" w:id="0">
    <w:p w:rsidR="0064006B" w:rsidRDefault="0064006B"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Default="001C56B4" w:rsidP="0013771A">
    <w:pPr>
      <w:pStyle w:val="Pieddepage"/>
      <w:pBdr>
        <w:bottom w:val="double" w:sz="6" w:space="1" w:color="auto"/>
      </w:pBdr>
      <w:spacing w:line="360" w:lineRule="auto"/>
      <w:jc w:val="right"/>
      <w:rPr>
        <w:rFonts w:ascii="Arial" w:hAnsi="Arial" w:cs="Arial"/>
        <w:spacing w:val="20"/>
        <w:w w:val="200"/>
        <w:sz w:val="14"/>
        <w:szCs w:val="10"/>
        <w:lang w:val="es-CO"/>
      </w:rPr>
    </w:pPr>
  </w:p>
  <w:p w:rsidR="001C56B4" w:rsidRDefault="001C56B4" w:rsidP="0013771A">
    <w:pPr>
      <w:pStyle w:val="Pieddepage"/>
      <w:spacing w:line="360" w:lineRule="auto"/>
      <w:jc w:val="right"/>
      <w:rPr>
        <w:rFonts w:ascii="Arial" w:hAnsi="Arial" w:cs="Arial"/>
        <w:spacing w:val="20"/>
        <w:w w:val="200"/>
        <w:sz w:val="14"/>
        <w:szCs w:val="10"/>
        <w:lang w:val="es-CO"/>
      </w:rPr>
    </w:pPr>
  </w:p>
  <w:p w:rsidR="001C56B4" w:rsidRPr="003E18D8" w:rsidRDefault="001C56B4" w:rsidP="0013771A">
    <w:pPr>
      <w:pStyle w:val="Pieddepage"/>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1C56B4" w:rsidRPr="007F7D49" w:rsidRDefault="001C56B4" w:rsidP="0013771A">
    <w:pPr>
      <w:pStyle w:val="Pieddepage"/>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06B" w:rsidRDefault="0064006B" w:rsidP="0099045D">
      <w:r>
        <w:separator/>
      </w:r>
    </w:p>
  </w:footnote>
  <w:footnote w:type="continuationSeparator" w:id="0">
    <w:p w:rsidR="0064006B" w:rsidRDefault="0064006B" w:rsidP="0099045D">
      <w:r>
        <w:continuationSeparator/>
      </w:r>
    </w:p>
  </w:footnote>
  <w:footnote w:id="1">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 Vías de hecho, acción de tutela contra providencias, Temis SA, Bogotá, 2013, p.103.</w:t>
      </w:r>
    </w:p>
  </w:footnote>
  <w:footnote w:id="2">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sidR="00FC2001">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1C56B4" w:rsidRPr="00295751"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95751">
        <w:rPr>
          <w:rFonts w:asciiTheme="minorHAnsi" w:hAnsiTheme="minorHAnsi" w:cs="Calibri"/>
          <w:lang w:val="fr-FR"/>
        </w:rPr>
        <w:t xml:space="preserve"> CC. T-917 de 2011.</w:t>
      </w:r>
    </w:p>
  </w:footnote>
  <w:footnote w:id="4">
    <w:p w:rsidR="001C56B4" w:rsidRPr="00295751" w:rsidRDefault="001C56B4" w:rsidP="00BF0AC3">
      <w:pPr>
        <w:pStyle w:val="Notedebasdepage"/>
        <w:jc w:val="both"/>
        <w:rPr>
          <w:rFonts w:asciiTheme="minorHAnsi" w:hAnsiTheme="minorHAnsi"/>
          <w:lang w:val="fr-FR"/>
        </w:rPr>
      </w:pPr>
      <w:r w:rsidRPr="00E17BD7">
        <w:rPr>
          <w:rStyle w:val="Appelnotedebasdep"/>
          <w:rFonts w:asciiTheme="minorHAnsi" w:hAnsiTheme="minorHAnsi" w:cs="Calibri"/>
        </w:rPr>
        <w:footnoteRef/>
      </w:r>
      <w:r w:rsidRPr="00295751">
        <w:rPr>
          <w:rFonts w:asciiTheme="minorHAnsi" w:hAnsiTheme="minorHAnsi" w:cs="Calibri"/>
          <w:lang w:val="fr-FR"/>
        </w:rPr>
        <w:t xml:space="preserve"> CC. C-590 de 2005.</w:t>
      </w:r>
    </w:p>
  </w:footnote>
  <w:footnote w:id="5">
    <w:p w:rsidR="001C56B4" w:rsidRPr="00295751" w:rsidRDefault="001C56B4" w:rsidP="00BF0AC3">
      <w:pPr>
        <w:pStyle w:val="Notedebasdepage"/>
        <w:jc w:val="both"/>
        <w:rPr>
          <w:rFonts w:asciiTheme="minorHAnsi" w:hAnsiTheme="minorHAnsi" w:cs="Calibri"/>
          <w:lang w:val="fr-FR"/>
        </w:rPr>
      </w:pPr>
      <w:r w:rsidRPr="00E17BD7">
        <w:rPr>
          <w:rStyle w:val="Appelnotedebasdep"/>
          <w:rFonts w:asciiTheme="minorHAnsi" w:hAnsiTheme="minorHAnsi" w:cs="Calibri"/>
        </w:rPr>
        <w:footnoteRef/>
      </w:r>
      <w:r w:rsidRPr="00295751">
        <w:rPr>
          <w:rFonts w:asciiTheme="minorHAnsi" w:hAnsiTheme="minorHAnsi" w:cs="Calibri"/>
          <w:lang w:val="fr-FR"/>
        </w:rPr>
        <w:t xml:space="preserve"> CC. </w:t>
      </w:r>
      <w:r w:rsidRPr="00295751">
        <w:rPr>
          <w:rFonts w:asciiTheme="minorHAnsi" w:hAnsiTheme="minorHAnsi" w:cs="Calibri"/>
          <w:bCs/>
          <w:lang w:val="fr-FR"/>
        </w:rPr>
        <w:t>T-107 de 2016</w:t>
      </w:r>
      <w:r w:rsidRPr="00295751">
        <w:rPr>
          <w:rFonts w:asciiTheme="minorHAnsi" w:hAnsiTheme="minorHAnsi" w:cs="Calibri"/>
          <w:lang w:val="fr-FR"/>
        </w:rPr>
        <w:t xml:space="preserve"> y T-064 de 2015, entre otras.</w:t>
      </w:r>
    </w:p>
  </w:footnote>
  <w:footnote w:id="6">
    <w:p w:rsidR="001C56B4" w:rsidRPr="00295751" w:rsidRDefault="001C56B4" w:rsidP="00BF0AC3">
      <w:pPr>
        <w:pStyle w:val="Notedebasdepage"/>
        <w:rPr>
          <w:rFonts w:asciiTheme="minorHAnsi" w:hAnsiTheme="minorHAnsi"/>
          <w:lang w:val="fr-FR"/>
        </w:rPr>
      </w:pPr>
      <w:r w:rsidRPr="00E17BD7">
        <w:rPr>
          <w:rStyle w:val="Appelnotedebasdep"/>
          <w:rFonts w:asciiTheme="minorHAnsi" w:hAnsiTheme="minorHAnsi"/>
        </w:rPr>
        <w:footnoteRef/>
      </w:r>
      <w:r w:rsidRPr="00295751">
        <w:rPr>
          <w:rFonts w:asciiTheme="minorHAnsi" w:hAnsiTheme="minorHAnsi"/>
          <w:lang w:val="fr-FR"/>
        </w:rPr>
        <w:t xml:space="preserve"> </w:t>
      </w:r>
      <w:r w:rsidRPr="00295751">
        <w:rPr>
          <w:rFonts w:asciiTheme="minorHAnsi" w:hAnsiTheme="minorHAnsi" w:cs="Calibri"/>
          <w:lang w:val="fr-FR"/>
        </w:rPr>
        <w:t>CC. T-307 de 2015.</w:t>
      </w:r>
    </w:p>
  </w:footnote>
  <w:footnote w:id="7">
    <w:p w:rsidR="001C56B4" w:rsidRPr="00E17BD7" w:rsidRDefault="001C56B4" w:rsidP="00BF0AC3">
      <w:pPr>
        <w:pStyle w:val="Notedebasdepag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8">
    <w:p w:rsidR="001C56B4" w:rsidRPr="00E17BD7" w:rsidRDefault="001C56B4" w:rsidP="00BF0AC3">
      <w:pPr>
        <w:pStyle w:val="Notedebasdepage"/>
        <w:jc w:val="both"/>
        <w:rPr>
          <w:rFonts w:asciiTheme="minorHAnsi" w:hAnsiTheme="minorHAnsi"/>
        </w:rPr>
      </w:pPr>
      <w:r w:rsidRPr="00E17BD7">
        <w:rPr>
          <w:rStyle w:val="Appelnotedebasdep"/>
          <w:rFonts w:asciiTheme="minorHAnsi" w:hAnsiTheme="minorHAnsi" w:cs="Calibri"/>
        </w:rPr>
        <w:footnoteRef/>
      </w:r>
      <w:r w:rsidRPr="00E17BD7">
        <w:rPr>
          <w:rFonts w:asciiTheme="minorHAnsi" w:hAnsiTheme="minorHAnsi" w:cs="Calibri"/>
        </w:rPr>
        <w:t xml:space="preserve"> QUINCHE R</w:t>
      </w:r>
      <w:r w:rsidR="00FC2001">
        <w:rPr>
          <w:rFonts w:asciiTheme="minorHAnsi" w:hAnsiTheme="minorHAnsi" w:cs="Calibri"/>
        </w:rPr>
        <w:t>.</w:t>
      </w:r>
      <w:r w:rsidRPr="00E17BD7">
        <w:rPr>
          <w:rFonts w:asciiTheme="minorHAnsi" w:hAnsiTheme="minorHAnsi" w:cs="Calibri"/>
        </w:rPr>
        <w:t>, Manuel F</w:t>
      </w:r>
      <w:r w:rsidR="00FC2001">
        <w:rPr>
          <w:rFonts w:asciiTheme="minorHAnsi" w:hAnsiTheme="minorHAnsi" w:cs="Calibri"/>
        </w:rPr>
        <w:t>.</w:t>
      </w:r>
      <w:r w:rsidR="00BC5A2A">
        <w:rPr>
          <w:rFonts w:asciiTheme="minorHAnsi" w:hAnsiTheme="minorHAnsi" w:cs="Calibri"/>
        </w:rPr>
        <w:t xml:space="preserve"> </w:t>
      </w:r>
      <w:r w:rsidRPr="00E17BD7">
        <w:rPr>
          <w:rFonts w:asciiTheme="minorHAnsi" w:hAnsiTheme="minorHAnsi" w:cs="Calibri"/>
        </w:rPr>
        <w:t>La acción de tutela, el amparo en Colombia, Bogotá DC, 2011, p.233-285.</w:t>
      </w:r>
    </w:p>
  </w:footnote>
  <w:footnote w:id="9">
    <w:p w:rsidR="003A3E22" w:rsidRPr="00295751" w:rsidRDefault="003A3E22" w:rsidP="003A3E22">
      <w:pPr>
        <w:pStyle w:val="Notedebasdepage"/>
        <w:jc w:val="both"/>
        <w:rPr>
          <w:rFonts w:asciiTheme="minorHAnsi" w:hAnsiTheme="minorHAnsi"/>
          <w:lang w:val="fr-FR"/>
        </w:rPr>
      </w:pPr>
      <w:r>
        <w:rPr>
          <w:rStyle w:val="Appelnotedebasdep"/>
          <w:rFonts w:asciiTheme="minorHAnsi" w:hAnsiTheme="minorHAnsi" w:cs="Calibri"/>
        </w:rPr>
        <w:footnoteRef/>
      </w:r>
      <w:r w:rsidRPr="00295751">
        <w:rPr>
          <w:rFonts w:asciiTheme="minorHAnsi" w:hAnsiTheme="minorHAnsi" w:cs="Calibri"/>
          <w:lang w:val="fr-FR"/>
        </w:rPr>
        <w:t xml:space="preserve"> CC.  Sentencias SU-961 de 1999, T-890 de 2006, T-548 de 2011, T-172 de 2013.</w:t>
      </w:r>
    </w:p>
  </w:footnote>
  <w:footnote w:id="10">
    <w:p w:rsidR="003A3E22" w:rsidRPr="00825F31" w:rsidRDefault="003A3E22" w:rsidP="003A3E22">
      <w:pPr>
        <w:pStyle w:val="Notedebasdepage"/>
        <w:jc w:val="both"/>
        <w:rPr>
          <w:rFonts w:ascii="Calibri" w:hAnsi="Calibri"/>
        </w:rPr>
      </w:pPr>
      <w:r w:rsidRPr="00825F31">
        <w:rPr>
          <w:rStyle w:val="Appelnotedebasdep"/>
          <w:rFonts w:ascii="Calibri" w:hAnsi="Calibri" w:cs="Calibri"/>
        </w:rPr>
        <w:footnoteRef/>
      </w:r>
      <w:r w:rsidRPr="00825F31">
        <w:rPr>
          <w:rFonts w:ascii="Calibri" w:hAnsi="Calibri" w:cs="Calibri"/>
          <w:lang w:val="es-CO"/>
        </w:rPr>
        <w:t xml:space="preserve"> CSJ, Sala Civil. Sentencia del 09-03-2011</w:t>
      </w:r>
      <w:r w:rsidR="00825F31" w:rsidRPr="00825F31">
        <w:rPr>
          <w:rFonts w:ascii="Calibri" w:hAnsi="Calibri" w:cs="Calibri"/>
          <w:lang w:val="es-CO"/>
        </w:rPr>
        <w:t xml:space="preserve">, MP: Jaime A. </w:t>
      </w:r>
      <w:proofErr w:type="spellStart"/>
      <w:r w:rsidR="00825F31" w:rsidRPr="00825F31">
        <w:rPr>
          <w:rFonts w:ascii="Calibri" w:hAnsi="Calibri" w:cs="Calibri"/>
          <w:lang w:val="es-CO"/>
        </w:rPr>
        <w:t>Arrubla</w:t>
      </w:r>
      <w:proofErr w:type="spellEnd"/>
      <w:r w:rsidR="00825F31" w:rsidRPr="00825F31">
        <w:rPr>
          <w:rFonts w:ascii="Calibri" w:hAnsi="Calibri" w:cs="Calibri"/>
          <w:lang w:val="es-CO"/>
        </w:rPr>
        <w:t xml:space="preserve"> P., No.</w:t>
      </w:r>
      <w:r w:rsidR="00825F31" w:rsidRPr="00825F31">
        <w:rPr>
          <w:rFonts w:ascii="Calibri" w:hAnsi="Calibri"/>
          <w:w w:val="110"/>
        </w:rPr>
        <w:t>11001-02-03-000-2011-00373-00</w:t>
      </w:r>
      <w:r w:rsidRPr="00825F31">
        <w:rPr>
          <w:rFonts w:ascii="Calibri" w:hAnsi="Calibri" w:cs="Calibri"/>
          <w:lang w:val="es-CO"/>
        </w:rPr>
        <w:t>.</w:t>
      </w:r>
    </w:p>
  </w:footnote>
  <w:footnote w:id="11">
    <w:p w:rsidR="003A3E22" w:rsidRPr="00422741" w:rsidRDefault="003A3E22" w:rsidP="003A3E22">
      <w:pPr>
        <w:pStyle w:val="Notedebasdepage"/>
        <w:jc w:val="both"/>
        <w:rPr>
          <w:rFonts w:ascii="Calibri" w:hAnsi="Calibri"/>
          <w:lang w:val="es-CO"/>
        </w:rPr>
      </w:pPr>
      <w:r w:rsidRPr="00422741">
        <w:rPr>
          <w:rStyle w:val="Appelnotedebasdep"/>
          <w:rFonts w:ascii="Calibri" w:hAnsi="Calibri" w:cs="Calibri"/>
          <w:lang w:val="es-CO"/>
        </w:rPr>
        <w:footnoteRef/>
      </w:r>
      <w:r w:rsidRPr="00422741">
        <w:rPr>
          <w:rFonts w:ascii="Calibri" w:hAnsi="Calibri" w:cs="Calibri"/>
          <w:lang w:val="es-CO"/>
        </w:rPr>
        <w:t xml:space="preserve"> </w:t>
      </w:r>
      <w:r w:rsidRPr="0020456C">
        <w:rPr>
          <w:rFonts w:asciiTheme="minorHAnsi" w:hAnsiTheme="minorHAnsi" w:cs="Calibri"/>
        </w:rPr>
        <w:t>CC</w:t>
      </w:r>
      <w:r w:rsidRPr="00422741">
        <w:rPr>
          <w:rFonts w:ascii="Calibri" w:hAnsi="Calibri" w:cs="Calibri"/>
          <w:lang w:val="es-CO"/>
        </w:rPr>
        <w:t>.  T-1079 de 2008.</w:t>
      </w:r>
    </w:p>
  </w:footnote>
  <w:footnote w:id="12">
    <w:p w:rsidR="003A3E22" w:rsidRPr="00E501C4" w:rsidRDefault="003A3E22" w:rsidP="003A3E22">
      <w:pPr>
        <w:pStyle w:val="Notedebasdepage"/>
        <w:jc w:val="both"/>
        <w:rPr>
          <w:rFonts w:ascii="Calibri" w:hAnsi="Calibri"/>
          <w:b/>
          <w:iCs/>
          <w:lang w:val="es-CO"/>
        </w:rPr>
      </w:pPr>
      <w:r w:rsidRPr="00422741">
        <w:rPr>
          <w:rStyle w:val="Appelnotedebasdep"/>
          <w:rFonts w:ascii="Calibri" w:hAnsi="Calibri"/>
          <w:lang w:val="es-CO"/>
        </w:rPr>
        <w:footnoteRef/>
      </w:r>
      <w:r w:rsidRPr="00422741">
        <w:rPr>
          <w:rFonts w:ascii="Calibri" w:hAnsi="Calibri"/>
          <w:lang w:val="es-CO"/>
        </w:rPr>
        <w:t xml:space="preserve"> CSJ, Sala Civil, </w:t>
      </w:r>
      <w:r w:rsidRPr="00BE7936">
        <w:rPr>
          <w:rFonts w:ascii="Calibri" w:hAnsi="Calibri"/>
          <w:iCs/>
        </w:rPr>
        <w:t>STC4837-2015</w:t>
      </w:r>
      <w:r w:rsidRPr="00422741">
        <w:rPr>
          <w:rFonts w:ascii="Calibri" w:hAnsi="Calibri"/>
          <w:iCs/>
        </w:rPr>
        <w:t>, reiterada en la</w:t>
      </w:r>
      <w:r>
        <w:rPr>
          <w:rFonts w:ascii="Calibri" w:hAnsi="Calibri"/>
          <w:iCs/>
        </w:rPr>
        <w:t>s</w:t>
      </w:r>
      <w:r w:rsidRPr="00422741">
        <w:rPr>
          <w:rFonts w:ascii="Calibri" w:hAnsi="Calibri"/>
          <w:iCs/>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3">
    <w:p w:rsidR="003A3E22" w:rsidRPr="00295751" w:rsidRDefault="003A3E22" w:rsidP="003A3E22">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295751">
        <w:rPr>
          <w:rFonts w:asciiTheme="minorHAnsi" w:hAnsiTheme="minorHAnsi" w:cs="Calibri"/>
          <w:lang w:val="fr-FR"/>
        </w:rPr>
        <w:t xml:space="preserve"> CC. T-016 </w:t>
      </w:r>
      <w:r w:rsidR="00825F31" w:rsidRPr="00295751">
        <w:rPr>
          <w:rFonts w:asciiTheme="minorHAnsi" w:hAnsiTheme="minorHAnsi" w:cs="Calibri"/>
          <w:lang w:val="fr-FR"/>
        </w:rPr>
        <w:t xml:space="preserve">de </w:t>
      </w:r>
      <w:r w:rsidRPr="00295751">
        <w:rPr>
          <w:rFonts w:asciiTheme="minorHAnsi" w:hAnsiTheme="minorHAnsi" w:cs="Calibri"/>
          <w:lang w:val="fr-FR"/>
        </w:rPr>
        <w:t>2006.</w:t>
      </w:r>
    </w:p>
  </w:footnote>
  <w:footnote w:id="14">
    <w:p w:rsidR="003A3E22" w:rsidRPr="00295751" w:rsidRDefault="003A3E22" w:rsidP="003A3E22">
      <w:pPr>
        <w:pStyle w:val="Notedebasdepage"/>
        <w:jc w:val="both"/>
        <w:rPr>
          <w:rFonts w:asciiTheme="minorHAnsi" w:hAnsiTheme="minorHAnsi"/>
          <w:lang w:val="fr-FR"/>
        </w:rPr>
      </w:pPr>
      <w:r w:rsidRPr="009565CF">
        <w:rPr>
          <w:rStyle w:val="Appelnotedebasdep"/>
          <w:rFonts w:asciiTheme="minorHAnsi" w:hAnsiTheme="minorHAnsi" w:cs="Calibri"/>
          <w:lang w:val="es-CO"/>
        </w:rPr>
        <w:footnoteRef/>
      </w:r>
      <w:r w:rsidRPr="00295751">
        <w:rPr>
          <w:rFonts w:asciiTheme="minorHAnsi" w:hAnsiTheme="minorHAnsi" w:cs="Calibri"/>
          <w:lang w:val="fr-FR"/>
        </w:rPr>
        <w:t xml:space="preserve"> CC. T-684 </w:t>
      </w:r>
      <w:r w:rsidR="00825F31" w:rsidRPr="00295751">
        <w:rPr>
          <w:rFonts w:asciiTheme="minorHAnsi" w:hAnsiTheme="minorHAnsi" w:cs="Calibri"/>
          <w:lang w:val="fr-FR"/>
        </w:rPr>
        <w:t xml:space="preserve">de </w:t>
      </w:r>
      <w:r w:rsidRPr="00295751">
        <w:rPr>
          <w:rFonts w:asciiTheme="minorHAnsi" w:hAnsiTheme="minorHAnsi" w:cs="Calibri"/>
          <w:lang w:val="fr-FR"/>
        </w:rPr>
        <w:t>2003.</w:t>
      </w:r>
    </w:p>
  </w:footnote>
  <w:footnote w:id="15">
    <w:p w:rsidR="003A3E22" w:rsidRPr="009565CF" w:rsidRDefault="003A3E22" w:rsidP="003A3E22">
      <w:pPr>
        <w:pStyle w:val="Notedebasdepage"/>
        <w:jc w:val="both"/>
        <w:rPr>
          <w:rFonts w:asciiTheme="minorHAnsi" w:hAnsiTheme="minorHAnsi"/>
          <w:lang w:val="es-CO"/>
        </w:rPr>
      </w:pPr>
      <w:r w:rsidRPr="009565CF">
        <w:rPr>
          <w:rStyle w:val="Appelnotedebasdep"/>
          <w:rFonts w:asciiTheme="minorHAnsi" w:hAnsiTheme="minorHAnsi" w:cs="Calibri"/>
          <w:lang w:val="es-CO"/>
        </w:rPr>
        <w:footnoteRef/>
      </w:r>
      <w:r w:rsidRPr="009565CF">
        <w:rPr>
          <w:rFonts w:asciiTheme="minorHAnsi" w:hAnsiTheme="minorHAnsi" w:cs="Calibri"/>
          <w:lang w:val="es-CO"/>
        </w:rPr>
        <w:t xml:space="preserve"> QUINCHE R</w:t>
      </w:r>
      <w:r w:rsidR="00825F31">
        <w:rPr>
          <w:rFonts w:asciiTheme="minorHAnsi" w:hAnsiTheme="minorHAnsi" w:cs="Calibri"/>
          <w:lang w:val="es-CO"/>
        </w:rPr>
        <w:t>.</w:t>
      </w:r>
      <w:r w:rsidRPr="009565CF">
        <w:rPr>
          <w:rFonts w:asciiTheme="minorHAnsi" w:hAnsiTheme="minorHAnsi" w:cs="Calibri"/>
          <w:lang w:val="es-CO"/>
        </w:rPr>
        <w:t>, Manuel F. La acción de tutela, el amparo en Colombia, Temis, Bogotá DC, 2011, p.105-106.</w:t>
      </w:r>
    </w:p>
  </w:footnote>
  <w:footnote w:id="16">
    <w:p w:rsidR="003A3E22" w:rsidRPr="00295751" w:rsidRDefault="003A3E22" w:rsidP="003A3E22">
      <w:pPr>
        <w:pStyle w:val="Notedebasdepage"/>
        <w:rPr>
          <w:rFonts w:asciiTheme="minorHAnsi" w:hAnsiTheme="minorHAnsi"/>
          <w:lang w:val="fr-FR"/>
        </w:rPr>
      </w:pPr>
      <w:r w:rsidRPr="00E501C4">
        <w:rPr>
          <w:rStyle w:val="Appelnotedebasdep"/>
          <w:rFonts w:asciiTheme="minorHAnsi" w:hAnsiTheme="minorHAnsi" w:cs="Calibri"/>
        </w:rPr>
        <w:footnoteRef/>
      </w:r>
      <w:r w:rsidRPr="00295751">
        <w:rPr>
          <w:rFonts w:asciiTheme="minorHAnsi" w:hAnsiTheme="minorHAnsi" w:cs="Calibri"/>
          <w:lang w:val="fr-FR"/>
        </w:rPr>
        <w:t xml:space="preserve"> CC. T-323 de 2016.</w:t>
      </w:r>
    </w:p>
  </w:footnote>
  <w:footnote w:id="17">
    <w:p w:rsidR="00825F31" w:rsidRPr="00295751" w:rsidRDefault="00825F31">
      <w:pPr>
        <w:pStyle w:val="Notedebasdepage"/>
        <w:rPr>
          <w:lang w:val="fr-FR"/>
        </w:rPr>
      </w:pPr>
      <w:r>
        <w:rPr>
          <w:rStyle w:val="Appelnotedebasdep"/>
        </w:rPr>
        <w:footnoteRef/>
      </w:r>
      <w:r w:rsidRPr="00295751">
        <w:rPr>
          <w:lang w:val="fr-FR"/>
        </w:rPr>
        <w:t xml:space="preserve"> </w:t>
      </w:r>
      <w:r w:rsidRPr="00295751">
        <w:rPr>
          <w:rFonts w:ascii="Calibri" w:hAnsi="Calibri" w:cs="Courier New"/>
          <w:lang w:val="fr-FR"/>
        </w:rPr>
        <w:t xml:space="preserve">CC. </w:t>
      </w:r>
      <w:hyperlink r:id="rId1" w:history="1">
        <w:proofErr w:type="spellStart"/>
        <w:r w:rsidRPr="00295751">
          <w:rPr>
            <w:rStyle w:val="Lienhypertexte"/>
            <w:rFonts w:ascii="Calibri" w:hAnsi="Calibri" w:cs="Courier New"/>
            <w:color w:val="auto"/>
            <w:u w:val="none"/>
            <w:lang w:val="fr-FR"/>
          </w:rPr>
          <w:t>SU-499</w:t>
        </w:r>
        <w:proofErr w:type="spellEnd"/>
        <w:r w:rsidRPr="00295751">
          <w:rPr>
            <w:rStyle w:val="Lienhypertexte"/>
            <w:rFonts w:ascii="Calibri" w:hAnsi="Calibri" w:cs="Courier New"/>
            <w:color w:val="auto"/>
            <w:u w:val="none"/>
            <w:lang w:val="fr-FR"/>
          </w:rPr>
          <w:t xml:space="preserve"> de 2016</w:t>
        </w:r>
      </w:hyperlink>
      <w:r w:rsidR="00B46365" w:rsidRPr="00295751">
        <w:rPr>
          <w:rStyle w:val="Lienhypertexte"/>
          <w:rFonts w:ascii="Calibri" w:hAnsi="Calibri" w:cs="Courier New"/>
          <w:color w:val="auto"/>
          <w:u w:val="none"/>
          <w:lang w:val="fr-FR"/>
        </w:rPr>
        <w:t>.</w:t>
      </w:r>
    </w:p>
  </w:footnote>
  <w:footnote w:id="18">
    <w:p w:rsidR="00825F31" w:rsidRPr="009C4841" w:rsidRDefault="00825F31" w:rsidP="00825F31">
      <w:pPr>
        <w:pStyle w:val="Notedebasdepage"/>
        <w:jc w:val="both"/>
        <w:rPr>
          <w:rFonts w:asciiTheme="minorHAnsi" w:hAnsiTheme="minorHAnsi"/>
        </w:rPr>
      </w:pPr>
      <w:r w:rsidRPr="009C4841">
        <w:rPr>
          <w:rStyle w:val="Appelnotedebasdep"/>
          <w:rFonts w:asciiTheme="minorHAnsi" w:hAnsiTheme="minorHAnsi" w:cs="Calibri"/>
        </w:rPr>
        <w:footnoteRef/>
      </w:r>
      <w:r w:rsidRPr="009C4841">
        <w:rPr>
          <w:rFonts w:asciiTheme="minorHAnsi" w:hAnsiTheme="minorHAnsi" w:cs="Calibri"/>
        </w:rPr>
        <w:t xml:space="preserve"> </w:t>
      </w:r>
      <w:r w:rsidR="00B46365">
        <w:rPr>
          <w:rFonts w:asciiTheme="minorHAnsi" w:hAnsiTheme="minorHAnsi" w:cs="Calibri"/>
        </w:rPr>
        <w:t xml:space="preserve">CC. </w:t>
      </w:r>
      <w:hyperlink r:id="rId2" w:history="1">
        <w:r w:rsidR="00B46365" w:rsidRPr="00527A62">
          <w:rPr>
            <w:rStyle w:val="Lienhypertexte"/>
            <w:rFonts w:ascii="Calibri" w:hAnsi="Calibri" w:cs="Courier New"/>
            <w:color w:val="auto"/>
            <w:u w:val="none"/>
          </w:rPr>
          <w:t>SU-499 de 2016</w:t>
        </w:r>
      </w:hyperlink>
      <w:r w:rsidR="00B46365">
        <w:rPr>
          <w:rStyle w:val="Lienhypertexte"/>
          <w:rFonts w:ascii="Calibri" w:hAnsi="Calibri" w:cs="Courier New"/>
          <w:color w:val="auto"/>
          <w:u w:val="none"/>
        </w:rPr>
        <w:t>.</w:t>
      </w:r>
    </w:p>
  </w:footnote>
  <w:footnote w:id="19">
    <w:p w:rsidR="00825F31" w:rsidRPr="009C4841" w:rsidRDefault="00825F31" w:rsidP="00825F31">
      <w:pPr>
        <w:pStyle w:val="Notedebasdepage"/>
        <w:jc w:val="both"/>
        <w:rPr>
          <w:rFonts w:asciiTheme="minorHAnsi" w:hAnsiTheme="minorHAnsi"/>
          <w:lang w:val="es-CO"/>
        </w:rPr>
      </w:pPr>
      <w:r w:rsidRPr="009C4841">
        <w:rPr>
          <w:rStyle w:val="Appelnotedebasdep"/>
          <w:rFonts w:asciiTheme="minorHAnsi" w:hAnsiTheme="minorHAnsi"/>
          <w:lang w:val="es-CO"/>
        </w:rPr>
        <w:footnoteRef/>
      </w:r>
      <w:r w:rsidRPr="009C4841">
        <w:rPr>
          <w:rFonts w:asciiTheme="minorHAnsi" w:hAnsiTheme="minorHAnsi"/>
          <w:lang w:val="es-CO"/>
        </w:rPr>
        <w:t xml:space="preserve"> </w:t>
      </w:r>
      <w:r w:rsidR="00B46365" w:rsidRPr="00422741">
        <w:rPr>
          <w:rFonts w:ascii="Calibri" w:hAnsi="Calibri"/>
          <w:lang w:val="es-CO"/>
        </w:rPr>
        <w:t xml:space="preserve">CSJ, Sala Civil, </w:t>
      </w:r>
      <w:r w:rsidR="00B46365" w:rsidRPr="00BE7936">
        <w:rPr>
          <w:rFonts w:ascii="Calibri" w:hAnsi="Calibri"/>
          <w:iCs/>
        </w:rPr>
        <w:t>STC4837-2015</w:t>
      </w:r>
      <w:r w:rsidR="00B46365" w:rsidRPr="00422741">
        <w:rPr>
          <w:rFonts w:ascii="Calibri" w:hAnsi="Calibri"/>
          <w:iCs/>
        </w:rPr>
        <w:t>, reiterada en la</w:t>
      </w:r>
      <w:r w:rsidR="00B46365">
        <w:rPr>
          <w:rFonts w:ascii="Calibri" w:hAnsi="Calibri"/>
          <w:iCs/>
        </w:rPr>
        <w:t>s</w:t>
      </w:r>
      <w:r w:rsidR="00B46365" w:rsidRPr="00422741">
        <w:rPr>
          <w:rFonts w:ascii="Calibri" w:hAnsi="Calibri"/>
          <w:iCs/>
        </w:rPr>
        <w:t xml:space="preserve"> </w:t>
      </w:r>
      <w:r w:rsidR="00B46365" w:rsidRPr="00BE7936">
        <w:rPr>
          <w:rFonts w:ascii="Calibri" w:hAnsi="Calibri"/>
          <w:iCs/>
        </w:rPr>
        <w:t>STC2154-2016</w:t>
      </w:r>
      <w:r w:rsidR="00B46365">
        <w:rPr>
          <w:rFonts w:ascii="Calibri" w:hAnsi="Calibri"/>
          <w:iCs/>
        </w:rPr>
        <w:t xml:space="preserve"> y </w:t>
      </w:r>
      <w:r w:rsidR="00B46365" w:rsidRPr="00E501C4">
        <w:rPr>
          <w:rFonts w:ascii="Calibri" w:hAnsi="Calibri"/>
          <w:iCs/>
          <w:lang w:val="es-CO"/>
        </w:rPr>
        <w:t>STC</w:t>
      </w:r>
      <w:r w:rsidR="00B46365">
        <w:rPr>
          <w:rFonts w:ascii="Calibri" w:hAnsi="Calibri"/>
          <w:iCs/>
          <w:lang w:val="es-CO"/>
        </w:rPr>
        <w:t>10383</w:t>
      </w:r>
      <w:r w:rsidR="00B46365" w:rsidRPr="00E501C4">
        <w:rPr>
          <w:rFonts w:ascii="Calibri" w:hAnsi="Calibri"/>
          <w:iCs/>
          <w:lang w:val="es-CO"/>
        </w:rPr>
        <w:t>-2016</w:t>
      </w:r>
      <w:r w:rsidRPr="00E501C4">
        <w:rPr>
          <w:rFonts w:asciiTheme="minorHAnsi" w:hAnsiTheme="minorHAnsi"/>
          <w:lang w:val="es-CO"/>
        </w:rPr>
        <w:t>.</w:t>
      </w:r>
    </w:p>
  </w:footnote>
  <w:footnote w:id="20">
    <w:p w:rsidR="00B46365" w:rsidRPr="00295751" w:rsidRDefault="00B46365" w:rsidP="00B46365">
      <w:pPr>
        <w:pStyle w:val="Notedebasdepage"/>
        <w:rPr>
          <w:rFonts w:asciiTheme="minorHAnsi" w:hAnsiTheme="minorHAnsi"/>
          <w:lang w:val="fr-FR"/>
        </w:rPr>
      </w:pPr>
      <w:r w:rsidRPr="004905B4">
        <w:rPr>
          <w:rStyle w:val="Appelnotedebasdep"/>
          <w:rFonts w:asciiTheme="minorHAnsi" w:hAnsiTheme="minorHAnsi"/>
        </w:rPr>
        <w:footnoteRef/>
      </w:r>
      <w:r w:rsidRPr="00295751">
        <w:rPr>
          <w:rFonts w:asciiTheme="minorHAnsi" w:hAnsiTheme="minorHAnsi"/>
          <w:lang w:val="fr-FR"/>
        </w:rPr>
        <w:t xml:space="preserve"> </w:t>
      </w:r>
      <w:r w:rsidRPr="00295751">
        <w:rPr>
          <w:rFonts w:asciiTheme="minorHAnsi" w:hAnsiTheme="minorHAnsi" w:cs="Calibri"/>
          <w:lang w:val="fr-FR"/>
        </w:rPr>
        <w:t xml:space="preserve">CC. </w:t>
      </w:r>
      <w:hyperlink r:id="rId3" w:history="1">
        <w:proofErr w:type="spellStart"/>
        <w:r w:rsidRPr="00295751">
          <w:rPr>
            <w:rStyle w:val="Lienhypertexte"/>
            <w:rFonts w:ascii="Calibri" w:hAnsi="Calibri" w:cs="Courier New"/>
            <w:color w:val="auto"/>
            <w:u w:val="none"/>
            <w:lang w:val="fr-FR"/>
          </w:rPr>
          <w:t>SU-499</w:t>
        </w:r>
        <w:proofErr w:type="spellEnd"/>
        <w:r w:rsidRPr="00295751">
          <w:rPr>
            <w:rStyle w:val="Lienhypertexte"/>
            <w:rFonts w:ascii="Calibri" w:hAnsi="Calibri" w:cs="Courier New"/>
            <w:color w:val="auto"/>
            <w:u w:val="none"/>
            <w:lang w:val="fr-FR"/>
          </w:rPr>
          <w:t xml:space="preserve"> de 2016</w:t>
        </w:r>
      </w:hyperlink>
      <w:r w:rsidRPr="00295751">
        <w:rPr>
          <w:rFonts w:asciiTheme="minorHAnsi" w:hAnsiTheme="minorHAnsi" w:cs="Calibri"/>
          <w:lang w:val="fr-FR"/>
        </w:rPr>
        <w:t>.</w:t>
      </w:r>
    </w:p>
  </w:footnote>
  <w:footnote w:id="21">
    <w:p w:rsidR="00B46365" w:rsidRPr="00295751" w:rsidRDefault="00B46365" w:rsidP="00B46365">
      <w:pPr>
        <w:pStyle w:val="Notedebasdepage"/>
        <w:rPr>
          <w:lang w:val="fr-FR"/>
        </w:rPr>
      </w:pPr>
      <w:r>
        <w:rPr>
          <w:rStyle w:val="Appelnotedebasdep"/>
        </w:rPr>
        <w:footnoteRef/>
      </w:r>
      <w:r w:rsidRPr="00295751">
        <w:rPr>
          <w:lang w:val="fr-FR"/>
        </w:rPr>
        <w:t xml:space="preserve"> </w:t>
      </w:r>
      <w:r w:rsidRPr="00295751">
        <w:rPr>
          <w:rFonts w:asciiTheme="minorHAnsi" w:hAnsiTheme="minorHAnsi" w:cs="Calibri"/>
          <w:lang w:val="fr-FR"/>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6B4" w:rsidRPr="006414F7" w:rsidRDefault="001C56B4" w:rsidP="003A3E22">
    <w:pPr>
      <w:pStyle w:val="En-tte"/>
      <w:pBdr>
        <w:bottom w:val="single" w:sz="4" w:space="2" w:color="D9D9D9"/>
      </w:pBdr>
      <w:jc w:val="right"/>
      <w:rPr>
        <w:rFonts w:ascii="Calibri" w:hAnsi="Calibri" w:cs="Calibri"/>
        <w:i/>
        <w:sz w:val="20"/>
      </w:rPr>
    </w:pPr>
    <w:r>
      <w:rPr>
        <w:rFonts w:ascii="Arial" w:hAnsi="Arial" w:cs="Arial"/>
        <w:i/>
        <w:sz w:val="18"/>
        <w:szCs w:val="18"/>
      </w:rPr>
      <w:tab/>
    </w:r>
    <w:r>
      <w:rPr>
        <w:rFonts w:ascii="Arial" w:hAnsi="Arial" w:cs="Arial"/>
        <w:i/>
        <w:sz w:val="18"/>
        <w:szCs w:val="18"/>
      </w:rPr>
      <w:tab/>
    </w: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D87D45">
      <w:rPr>
        <w:rFonts w:ascii="Calibri" w:hAnsi="Calibri" w:cs="Calibri"/>
        <w:i/>
        <w:noProof/>
        <w:sz w:val="20"/>
      </w:rPr>
      <w:t>7</w:t>
    </w:r>
    <w:r w:rsidRPr="006414F7">
      <w:rPr>
        <w:rFonts w:ascii="Calibri" w:hAnsi="Calibri" w:cs="Calibri"/>
        <w:i/>
        <w:sz w:val="20"/>
      </w:rPr>
      <w:fldChar w:fldCharType="end"/>
    </w:r>
  </w:p>
  <w:p w:rsidR="001C56B4" w:rsidRPr="003A3E22" w:rsidRDefault="003A3E22">
    <w:pPr>
      <w:pStyle w:val="En-tte"/>
      <w:rPr>
        <w:rFonts w:ascii="Calibri" w:hAnsi="Calibri" w:cs="Arial"/>
        <w:i/>
        <w:sz w:val="20"/>
        <w:szCs w:val="20"/>
      </w:rPr>
    </w:pPr>
    <w:r w:rsidRPr="003A3E22">
      <w:rPr>
        <w:rFonts w:ascii="Calibri" w:hAnsi="Calibri" w:cs="Arial"/>
        <w:i/>
        <w:sz w:val="20"/>
        <w:szCs w:val="20"/>
      </w:rPr>
      <w:t>EXPEDIENTE No.2017-</w:t>
    </w:r>
    <w:r w:rsidR="00743686">
      <w:rPr>
        <w:rFonts w:ascii="Calibri" w:hAnsi="Calibri" w:cs="Arial"/>
        <w:i/>
        <w:sz w:val="20"/>
        <w:szCs w:val="20"/>
      </w:rPr>
      <w:t>00134</w:t>
    </w:r>
    <w:r w:rsidRPr="003A3E22">
      <w:rPr>
        <w:rFonts w:ascii="Calibri" w:hAnsi="Calibri" w:cs="Arial"/>
        <w:i/>
        <w:sz w:val="20"/>
        <w:szCs w:val="20"/>
      </w:rPr>
      <w:t>-00</w:t>
    </w:r>
    <w:r w:rsidR="00743686">
      <w:rPr>
        <w:rFonts w:ascii="Calibri" w:hAnsi="Calibri" w:cs="Arial"/>
        <w:i/>
        <w:sz w:val="20"/>
        <w:szCs w:val="20"/>
      </w:rPr>
      <w:t xml:space="preserve"> ACUMULADA UNA 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8"/>
  </w:num>
  <w:num w:numId="2">
    <w:abstractNumId w:val="14"/>
  </w:num>
  <w:num w:numId="3">
    <w:abstractNumId w:val="13"/>
  </w:num>
  <w:num w:numId="4">
    <w:abstractNumId w:val="2"/>
  </w:num>
  <w:num w:numId="5">
    <w:abstractNumId w:val="26"/>
  </w:num>
  <w:num w:numId="6">
    <w:abstractNumId w:val="0"/>
  </w:num>
  <w:num w:numId="7">
    <w:abstractNumId w:val="20"/>
  </w:num>
  <w:num w:numId="8">
    <w:abstractNumId w:val="1"/>
  </w:num>
  <w:num w:numId="9">
    <w:abstractNumId w:val="27"/>
  </w:num>
  <w:num w:numId="10">
    <w:abstractNumId w:val="21"/>
  </w:num>
  <w:num w:numId="11">
    <w:abstractNumId w:val="17"/>
  </w:num>
  <w:num w:numId="12">
    <w:abstractNumId w:val="25"/>
  </w:num>
  <w:num w:numId="13">
    <w:abstractNumId w:val="9"/>
  </w:num>
  <w:num w:numId="14">
    <w:abstractNumId w:val="10"/>
  </w:num>
  <w:num w:numId="15">
    <w:abstractNumId w:val="15"/>
  </w:num>
  <w:num w:numId="16">
    <w:abstractNumId w:val="4"/>
  </w:num>
  <w:num w:numId="17">
    <w:abstractNumId w:val="16"/>
  </w:num>
  <w:num w:numId="18">
    <w:abstractNumId w:val="7"/>
  </w:num>
  <w:num w:numId="19">
    <w:abstractNumId w:val="5"/>
  </w:num>
  <w:num w:numId="20">
    <w:abstractNumId w:val="11"/>
  </w:num>
  <w:num w:numId="21">
    <w:abstractNumId w:val="18"/>
  </w:num>
  <w:num w:numId="22">
    <w:abstractNumId w:val="24"/>
  </w:num>
  <w:num w:numId="23">
    <w:abstractNumId w:val="6"/>
  </w:num>
  <w:num w:numId="24">
    <w:abstractNumId w:val="22"/>
  </w:num>
  <w:num w:numId="25">
    <w:abstractNumId w:val="3"/>
  </w:num>
  <w:num w:numId="26">
    <w:abstractNumId w:val="12"/>
  </w:num>
  <w:num w:numId="27">
    <w:abstractNumId w:val="23"/>
  </w:num>
  <w:num w:numId="28">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45D"/>
    <w:rsid w:val="000006AB"/>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C46"/>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40A4"/>
    <w:rsid w:val="00024136"/>
    <w:rsid w:val="000243C4"/>
    <w:rsid w:val="00024442"/>
    <w:rsid w:val="000247B3"/>
    <w:rsid w:val="00024831"/>
    <w:rsid w:val="00024FF0"/>
    <w:rsid w:val="000256AC"/>
    <w:rsid w:val="00025EDE"/>
    <w:rsid w:val="00026116"/>
    <w:rsid w:val="00026255"/>
    <w:rsid w:val="000267D2"/>
    <w:rsid w:val="00026BFF"/>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0EA1"/>
    <w:rsid w:val="0004100F"/>
    <w:rsid w:val="00041210"/>
    <w:rsid w:val="00042D53"/>
    <w:rsid w:val="00043741"/>
    <w:rsid w:val="00043BB5"/>
    <w:rsid w:val="000449B2"/>
    <w:rsid w:val="000454FB"/>
    <w:rsid w:val="00045578"/>
    <w:rsid w:val="00046CCE"/>
    <w:rsid w:val="00046FFB"/>
    <w:rsid w:val="000474A6"/>
    <w:rsid w:val="0004780D"/>
    <w:rsid w:val="000501A9"/>
    <w:rsid w:val="000503C6"/>
    <w:rsid w:val="00050733"/>
    <w:rsid w:val="00050EF2"/>
    <w:rsid w:val="00051418"/>
    <w:rsid w:val="0005233B"/>
    <w:rsid w:val="00052EDD"/>
    <w:rsid w:val="00053152"/>
    <w:rsid w:val="00054044"/>
    <w:rsid w:val="0005410F"/>
    <w:rsid w:val="0005443E"/>
    <w:rsid w:val="00054679"/>
    <w:rsid w:val="000547E1"/>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307"/>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7B9"/>
    <w:rsid w:val="000938B9"/>
    <w:rsid w:val="00093C3D"/>
    <w:rsid w:val="00095EAB"/>
    <w:rsid w:val="000965B3"/>
    <w:rsid w:val="00096A82"/>
    <w:rsid w:val="000970D6"/>
    <w:rsid w:val="0009797E"/>
    <w:rsid w:val="00097C7C"/>
    <w:rsid w:val="000A0704"/>
    <w:rsid w:val="000A07E3"/>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AA8"/>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128"/>
    <w:rsid w:val="000C585F"/>
    <w:rsid w:val="000C5EA2"/>
    <w:rsid w:val="000C69DD"/>
    <w:rsid w:val="000C6EEB"/>
    <w:rsid w:val="000C71EA"/>
    <w:rsid w:val="000C74DD"/>
    <w:rsid w:val="000D1189"/>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49A"/>
    <w:rsid w:val="00127568"/>
    <w:rsid w:val="00127F19"/>
    <w:rsid w:val="001300AF"/>
    <w:rsid w:val="0013082E"/>
    <w:rsid w:val="00130941"/>
    <w:rsid w:val="0013192A"/>
    <w:rsid w:val="00131B57"/>
    <w:rsid w:val="001329A2"/>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9B9"/>
    <w:rsid w:val="00145B7C"/>
    <w:rsid w:val="001460B2"/>
    <w:rsid w:val="001460F3"/>
    <w:rsid w:val="00147691"/>
    <w:rsid w:val="001479D9"/>
    <w:rsid w:val="00147AF1"/>
    <w:rsid w:val="00147E5B"/>
    <w:rsid w:val="001502BC"/>
    <w:rsid w:val="0015081F"/>
    <w:rsid w:val="00150828"/>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B78"/>
    <w:rsid w:val="00165C60"/>
    <w:rsid w:val="0016605C"/>
    <w:rsid w:val="00166D62"/>
    <w:rsid w:val="001677E3"/>
    <w:rsid w:val="001678A1"/>
    <w:rsid w:val="00170F1F"/>
    <w:rsid w:val="00171238"/>
    <w:rsid w:val="0017157E"/>
    <w:rsid w:val="001730B1"/>
    <w:rsid w:val="00173831"/>
    <w:rsid w:val="001747C9"/>
    <w:rsid w:val="00175062"/>
    <w:rsid w:val="001753AB"/>
    <w:rsid w:val="00175C70"/>
    <w:rsid w:val="00175D2D"/>
    <w:rsid w:val="00176205"/>
    <w:rsid w:val="00176C9B"/>
    <w:rsid w:val="001778CF"/>
    <w:rsid w:val="00180005"/>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540"/>
    <w:rsid w:val="001A07E8"/>
    <w:rsid w:val="001A0924"/>
    <w:rsid w:val="001A0973"/>
    <w:rsid w:val="001A0BC5"/>
    <w:rsid w:val="001A122A"/>
    <w:rsid w:val="001A143F"/>
    <w:rsid w:val="001A1B54"/>
    <w:rsid w:val="001A1CE0"/>
    <w:rsid w:val="001A1EA0"/>
    <w:rsid w:val="001A1F48"/>
    <w:rsid w:val="001A2A8F"/>
    <w:rsid w:val="001A52A7"/>
    <w:rsid w:val="001A6A5E"/>
    <w:rsid w:val="001A6BD6"/>
    <w:rsid w:val="001A7270"/>
    <w:rsid w:val="001B024F"/>
    <w:rsid w:val="001B0E0F"/>
    <w:rsid w:val="001B1B9D"/>
    <w:rsid w:val="001B20E8"/>
    <w:rsid w:val="001B392D"/>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30A0"/>
    <w:rsid w:val="001C3455"/>
    <w:rsid w:val="001C3481"/>
    <w:rsid w:val="001C3987"/>
    <w:rsid w:val="001C3B6F"/>
    <w:rsid w:val="001C3EE2"/>
    <w:rsid w:val="001C4890"/>
    <w:rsid w:val="001C4CEF"/>
    <w:rsid w:val="001C4ED0"/>
    <w:rsid w:val="001C539D"/>
    <w:rsid w:val="001C56B4"/>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3F05"/>
    <w:rsid w:val="001E44BF"/>
    <w:rsid w:val="001E49C5"/>
    <w:rsid w:val="001E4A76"/>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AEC"/>
    <w:rsid w:val="001F4C1B"/>
    <w:rsid w:val="001F4D67"/>
    <w:rsid w:val="001F53B6"/>
    <w:rsid w:val="001F5FAD"/>
    <w:rsid w:val="001F657C"/>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5E87"/>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A38"/>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21C2"/>
    <w:rsid w:val="00282DC4"/>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4D83"/>
    <w:rsid w:val="00295335"/>
    <w:rsid w:val="00295751"/>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621"/>
    <w:rsid w:val="002A5CA9"/>
    <w:rsid w:val="002A5D8E"/>
    <w:rsid w:val="002A6014"/>
    <w:rsid w:val="002A6894"/>
    <w:rsid w:val="002A6DBD"/>
    <w:rsid w:val="002A7D01"/>
    <w:rsid w:val="002A7FA0"/>
    <w:rsid w:val="002B0607"/>
    <w:rsid w:val="002B1AFC"/>
    <w:rsid w:val="002B1D72"/>
    <w:rsid w:val="002B2263"/>
    <w:rsid w:val="002B24DA"/>
    <w:rsid w:val="002B49BF"/>
    <w:rsid w:val="002B4AF2"/>
    <w:rsid w:val="002B53A4"/>
    <w:rsid w:val="002B5533"/>
    <w:rsid w:val="002B5FD5"/>
    <w:rsid w:val="002B60F4"/>
    <w:rsid w:val="002B6241"/>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4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4E9F"/>
    <w:rsid w:val="002E5BE7"/>
    <w:rsid w:val="002E5C3E"/>
    <w:rsid w:val="002E6116"/>
    <w:rsid w:val="002E656F"/>
    <w:rsid w:val="002E708B"/>
    <w:rsid w:val="002E7E3A"/>
    <w:rsid w:val="002F05F4"/>
    <w:rsid w:val="002F0909"/>
    <w:rsid w:val="002F11E7"/>
    <w:rsid w:val="002F1A51"/>
    <w:rsid w:val="002F24C2"/>
    <w:rsid w:val="002F307C"/>
    <w:rsid w:val="002F37F9"/>
    <w:rsid w:val="002F3875"/>
    <w:rsid w:val="002F3E1D"/>
    <w:rsid w:val="002F413A"/>
    <w:rsid w:val="002F4C69"/>
    <w:rsid w:val="002F55D1"/>
    <w:rsid w:val="002F5CFC"/>
    <w:rsid w:val="002F6BFA"/>
    <w:rsid w:val="002F6CFE"/>
    <w:rsid w:val="0030086F"/>
    <w:rsid w:val="00301345"/>
    <w:rsid w:val="00301699"/>
    <w:rsid w:val="00302001"/>
    <w:rsid w:val="00302228"/>
    <w:rsid w:val="0030262F"/>
    <w:rsid w:val="00303613"/>
    <w:rsid w:val="00303DD9"/>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2A4E"/>
    <w:rsid w:val="003232B0"/>
    <w:rsid w:val="003235EB"/>
    <w:rsid w:val="00323F7B"/>
    <w:rsid w:val="003249F4"/>
    <w:rsid w:val="00325212"/>
    <w:rsid w:val="00325FDA"/>
    <w:rsid w:val="003261E4"/>
    <w:rsid w:val="003266C0"/>
    <w:rsid w:val="00326A31"/>
    <w:rsid w:val="00326BCE"/>
    <w:rsid w:val="00326C60"/>
    <w:rsid w:val="00326CD4"/>
    <w:rsid w:val="003271C1"/>
    <w:rsid w:val="00327614"/>
    <w:rsid w:val="00330025"/>
    <w:rsid w:val="003327BC"/>
    <w:rsid w:val="00333FB6"/>
    <w:rsid w:val="00334539"/>
    <w:rsid w:val="00334A5D"/>
    <w:rsid w:val="00334C3A"/>
    <w:rsid w:val="00335FCF"/>
    <w:rsid w:val="00336AC5"/>
    <w:rsid w:val="00336ADF"/>
    <w:rsid w:val="00337AED"/>
    <w:rsid w:val="00337F22"/>
    <w:rsid w:val="00340361"/>
    <w:rsid w:val="00340F08"/>
    <w:rsid w:val="00341465"/>
    <w:rsid w:val="00341EE9"/>
    <w:rsid w:val="00342323"/>
    <w:rsid w:val="003428A4"/>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09"/>
    <w:rsid w:val="00367643"/>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85C"/>
    <w:rsid w:val="00386A62"/>
    <w:rsid w:val="0038712D"/>
    <w:rsid w:val="003876D0"/>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34DF"/>
    <w:rsid w:val="003A3642"/>
    <w:rsid w:val="003A36E4"/>
    <w:rsid w:val="003A3B20"/>
    <w:rsid w:val="003A3E22"/>
    <w:rsid w:val="003A4170"/>
    <w:rsid w:val="003A4181"/>
    <w:rsid w:val="003A44FA"/>
    <w:rsid w:val="003A4A61"/>
    <w:rsid w:val="003A52DC"/>
    <w:rsid w:val="003A58B3"/>
    <w:rsid w:val="003A5B20"/>
    <w:rsid w:val="003A5BB2"/>
    <w:rsid w:val="003B08F5"/>
    <w:rsid w:val="003B0B82"/>
    <w:rsid w:val="003B0EE1"/>
    <w:rsid w:val="003B12FB"/>
    <w:rsid w:val="003B1C6C"/>
    <w:rsid w:val="003B3673"/>
    <w:rsid w:val="003B37F0"/>
    <w:rsid w:val="003B4005"/>
    <w:rsid w:val="003B50F3"/>
    <w:rsid w:val="003B5178"/>
    <w:rsid w:val="003B6402"/>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1FA"/>
    <w:rsid w:val="003D0EEE"/>
    <w:rsid w:val="003D2AE0"/>
    <w:rsid w:val="003D2BB1"/>
    <w:rsid w:val="003D2BDB"/>
    <w:rsid w:val="003D2D95"/>
    <w:rsid w:val="003D3318"/>
    <w:rsid w:val="003D33C9"/>
    <w:rsid w:val="003D3565"/>
    <w:rsid w:val="003D3663"/>
    <w:rsid w:val="003D3D4C"/>
    <w:rsid w:val="003D3F60"/>
    <w:rsid w:val="003D4090"/>
    <w:rsid w:val="003D4557"/>
    <w:rsid w:val="003D45B1"/>
    <w:rsid w:val="003D46EB"/>
    <w:rsid w:val="003D475E"/>
    <w:rsid w:val="003D4FD9"/>
    <w:rsid w:val="003D5956"/>
    <w:rsid w:val="003D5FC6"/>
    <w:rsid w:val="003D65B3"/>
    <w:rsid w:val="003D6763"/>
    <w:rsid w:val="003D6BEE"/>
    <w:rsid w:val="003E0939"/>
    <w:rsid w:val="003E0D08"/>
    <w:rsid w:val="003E0DA0"/>
    <w:rsid w:val="003E15C3"/>
    <w:rsid w:val="003E15EB"/>
    <w:rsid w:val="003E18D8"/>
    <w:rsid w:val="003E2887"/>
    <w:rsid w:val="003E288D"/>
    <w:rsid w:val="003E35E2"/>
    <w:rsid w:val="003E3CD6"/>
    <w:rsid w:val="003E3F84"/>
    <w:rsid w:val="003E44F9"/>
    <w:rsid w:val="003E4897"/>
    <w:rsid w:val="003E5253"/>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84C"/>
    <w:rsid w:val="00447A55"/>
    <w:rsid w:val="00450A8F"/>
    <w:rsid w:val="00450F26"/>
    <w:rsid w:val="004513F3"/>
    <w:rsid w:val="00451431"/>
    <w:rsid w:val="00451F8A"/>
    <w:rsid w:val="00453189"/>
    <w:rsid w:val="00453E95"/>
    <w:rsid w:val="00453EC1"/>
    <w:rsid w:val="004548B6"/>
    <w:rsid w:val="004549AD"/>
    <w:rsid w:val="00454F83"/>
    <w:rsid w:val="004557D6"/>
    <w:rsid w:val="00455F07"/>
    <w:rsid w:val="00455FCE"/>
    <w:rsid w:val="00456151"/>
    <w:rsid w:val="00457916"/>
    <w:rsid w:val="00460CA9"/>
    <w:rsid w:val="0046196A"/>
    <w:rsid w:val="00461BB8"/>
    <w:rsid w:val="00461DD6"/>
    <w:rsid w:val="00461E46"/>
    <w:rsid w:val="00461EBB"/>
    <w:rsid w:val="00462069"/>
    <w:rsid w:val="00462151"/>
    <w:rsid w:val="00462F25"/>
    <w:rsid w:val="0046344B"/>
    <w:rsid w:val="00463819"/>
    <w:rsid w:val="00463C27"/>
    <w:rsid w:val="00463C79"/>
    <w:rsid w:val="00463E48"/>
    <w:rsid w:val="00464452"/>
    <w:rsid w:val="00464F84"/>
    <w:rsid w:val="00465137"/>
    <w:rsid w:val="00465173"/>
    <w:rsid w:val="0046657E"/>
    <w:rsid w:val="0046667A"/>
    <w:rsid w:val="00466EA1"/>
    <w:rsid w:val="00467126"/>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B0FC2"/>
    <w:rsid w:val="004B115F"/>
    <w:rsid w:val="004B1986"/>
    <w:rsid w:val="004B1BC3"/>
    <w:rsid w:val="004B36EB"/>
    <w:rsid w:val="004B3732"/>
    <w:rsid w:val="004B3F03"/>
    <w:rsid w:val="004B3F1F"/>
    <w:rsid w:val="004B45E4"/>
    <w:rsid w:val="004B4FA9"/>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812"/>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5CCF"/>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7D5"/>
    <w:rsid w:val="00543EE6"/>
    <w:rsid w:val="005440CF"/>
    <w:rsid w:val="00544859"/>
    <w:rsid w:val="00545409"/>
    <w:rsid w:val="00545914"/>
    <w:rsid w:val="00545F39"/>
    <w:rsid w:val="00546006"/>
    <w:rsid w:val="005463F5"/>
    <w:rsid w:val="00546AD5"/>
    <w:rsid w:val="0054725D"/>
    <w:rsid w:val="00547699"/>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BA9"/>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2CE1"/>
    <w:rsid w:val="005B38CC"/>
    <w:rsid w:val="005B3C2E"/>
    <w:rsid w:val="005B3E44"/>
    <w:rsid w:val="005B3EFB"/>
    <w:rsid w:val="005B41D2"/>
    <w:rsid w:val="005B5B7F"/>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E7E"/>
    <w:rsid w:val="005E006B"/>
    <w:rsid w:val="005E1750"/>
    <w:rsid w:val="005E19F3"/>
    <w:rsid w:val="005E2879"/>
    <w:rsid w:val="005E2C13"/>
    <w:rsid w:val="005E2E8A"/>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631"/>
    <w:rsid w:val="00604DD7"/>
    <w:rsid w:val="00606BB5"/>
    <w:rsid w:val="00606CB7"/>
    <w:rsid w:val="00607525"/>
    <w:rsid w:val="0060792A"/>
    <w:rsid w:val="00607B80"/>
    <w:rsid w:val="00607C97"/>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B75"/>
    <w:rsid w:val="00630C41"/>
    <w:rsid w:val="00630CCB"/>
    <w:rsid w:val="00631011"/>
    <w:rsid w:val="00631466"/>
    <w:rsid w:val="006319BF"/>
    <w:rsid w:val="00631F9A"/>
    <w:rsid w:val="006320EA"/>
    <w:rsid w:val="00634B41"/>
    <w:rsid w:val="00634C22"/>
    <w:rsid w:val="00634D43"/>
    <w:rsid w:val="00634DD8"/>
    <w:rsid w:val="00634FEE"/>
    <w:rsid w:val="00635741"/>
    <w:rsid w:val="006365A4"/>
    <w:rsid w:val="006369B3"/>
    <w:rsid w:val="006372C3"/>
    <w:rsid w:val="006372ED"/>
    <w:rsid w:val="00637FA1"/>
    <w:rsid w:val="0064006B"/>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0ACF"/>
    <w:rsid w:val="00652120"/>
    <w:rsid w:val="006532D1"/>
    <w:rsid w:val="00653C27"/>
    <w:rsid w:val="00653C29"/>
    <w:rsid w:val="006542CC"/>
    <w:rsid w:val="006546C4"/>
    <w:rsid w:val="00654D0B"/>
    <w:rsid w:val="00654DB6"/>
    <w:rsid w:val="006557DB"/>
    <w:rsid w:val="00655E18"/>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E9D"/>
    <w:rsid w:val="00670818"/>
    <w:rsid w:val="00670D07"/>
    <w:rsid w:val="00671332"/>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2F74"/>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1D"/>
    <w:rsid w:val="006A4EA7"/>
    <w:rsid w:val="006A5A53"/>
    <w:rsid w:val="006A64CC"/>
    <w:rsid w:val="006A7A1D"/>
    <w:rsid w:val="006A7CCB"/>
    <w:rsid w:val="006B0120"/>
    <w:rsid w:val="006B0770"/>
    <w:rsid w:val="006B0A6C"/>
    <w:rsid w:val="006B0E46"/>
    <w:rsid w:val="006B1091"/>
    <w:rsid w:val="006B1931"/>
    <w:rsid w:val="006B2B98"/>
    <w:rsid w:val="006B421F"/>
    <w:rsid w:val="006B470D"/>
    <w:rsid w:val="006B551F"/>
    <w:rsid w:val="006B5597"/>
    <w:rsid w:val="006B6112"/>
    <w:rsid w:val="006B6C79"/>
    <w:rsid w:val="006B6DC3"/>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C5B"/>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881"/>
    <w:rsid w:val="006F398A"/>
    <w:rsid w:val="006F3D77"/>
    <w:rsid w:val="006F3DA8"/>
    <w:rsid w:val="006F4450"/>
    <w:rsid w:val="006F5223"/>
    <w:rsid w:val="006F58CD"/>
    <w:rsid w:val="006F5952"/>
    <w:rsid w:val="006F5FBB"/>
    <w:rsid w:val="006F65FF"/>
    <w:rsid w:val="006F6A74"/>
    <w:rsid w:val="006F7911"/>
    <w:rsid w:val="00700343"/>
    <w:rsid w:val="007004A9"/>
    <w:rsid w:val="00700E2B"/>
    <w:rsid w:val="007016AF"/>
    <w:rsid w:val="007016C8"/>
    <w:rsid w:val="00701E3F"/>
    <w:rsid w:val="00701F8A"/>
    <w:rsid w:val="00701FD1"/>
    <w:rsid w:val="00702CDD"/>
    <w:rsid w:val="00702D00"/>
    <w:rsid w:val="00703126"/>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4D55"/>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A93"/>
    <w:rsid w:val="00736D0F"/>
    <w:rsid w:val="007374A3"/>
    <w:rsid w:val="007374A7"/>
    <w:rsid w:val="0073760C"/>
    <w:rsid w:val="00737D3F"/>
    <w:rsid w:val="007400D3"/>
    <w:rsid w:val="007418F2"/>
    <w:rsid w:val="007422AA"/>
    <w:rsid w:val="007422B7"/>
    <w:rsid w:val="007427BD"/>
    <w:rsid w:val="00742DAD"/>
    <w:rsid w:val="00742E38"/>
    <w:rsid w:val="00743686"/>
    <w:rsid w:val="00744FF6"/>
    <w:rsid w:val="00745751"/>
    <w:rsid w:val="00746514"/>
    <w:rsid w:val="00746707"/>
    <w:rsid w:val="00746775"/>
    <w:rsid w:val="00746A59"/>
    <w:rsid w:val="00747715"/>
    <w:rsid w:val="00747E14"/>
    <w:rsid w:val="0075069E"/>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79F"/>
    <w:rsid w:val="0076398E"/>
    <w:rsid w:val="00763DE1"/>
    <w:rsid w:val="00764542"/>
    <w:rsid w:val="007645E0"/>
    <w:rsid w:val="00764C2F"/>
    <w:rsid w:val="00764D72"/>
    <w:rsid w:val="007651F3"/>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91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4EA"/>
    <w:rsid w:val="007B4AC7"/>
    <w:rsid w:val="007B5232"/>
    <w:rsid w:val="007B534D"/>
    <w:rsid w:val="007B5BC5"/>
    <w:rsid w:val="007B5CAC"/>
    <w:rsid w:val="007B5DF3"/>
    <w:rsid w:val="007B6BF8"/>
    <w:rsid w:val="007B6FAD"/>
    <w:rsid w:val="007B7F39"/>
    <w:rsid w:val="007C0320"/>
    <w:rsid w:val="007C0727"/>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14"/>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B4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DC1"/>
    <w:rsid w:val="00802D8F"/>
    <w:rsid w:val="00802EA3"/>
    <w:rsid w:val="008031C7"/>
    <w:rsid w:val="00803E05"/>
    <w:rsid w:val="00803EA2"/>
    <w:rsid w:val="00804242"/>
    <w:rsid w:val="00804404"/>
    <w:rsid w:val="00804C9F"/>
    <w:rsid w:val="00804F27"/>
    <w:rsid w:val="008052E8"/>
    <w:rsid w:val="00805E45"/>
    <w:rsid w:val="00805FED"/>
    <w:rsid w:val="00806547"/>
    <w:rsid w:val="00806C68"/>
    <w:rsid w:val="00807080"/>
    <w:rsid w:val="008073AB"/>
    <w:rsid w:val="008075EB"/>
    <w:rsid w:val="00807BA9"/>
    <w:rsid w:val="0081161B"/>
    <w:rsid w:val="008119F0"/>
    <w:rsid w:val="00811A3A"/>
    <w:rsid w:val="00811CD1"/>
    <w:rsid w:val="00812556"/>
    <w:rsid w:val="0081322E"/>
    <w:rsid w:val="00813552"/>
    <w:rsid w:val="0081546B"/>
    <w:rsid w:val="008154F0"/>
    <w:rsid w:val="00815548"/>
    <w:rsid w:val="00815EF9"/>
    <w:rsid w:val="008163C1"/>
    <w:rsid w:val="00816781"/>
    <w:rsid w:val="008200A3"/>
    <w:rsid w:val="00820AFB"/>
    <w:rsid w:val="008216F7"/>
    <w:rsid w:val="0082221D"/>
    <w:rsid w:val="00822D3B"/>
    <w:rsid w:val="00823DDB"/>
    <w:rsid w:val="00823F51"/>
    <w:rsid w:val="00824A43"/>
    <w:rsid w:val="0082564B"/>
    <w:rsid w:val="008259FB"/>
    <w:rsid w:val="00825E20"/>
    <w:rsid w:val="00825F31"/>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3A37"/>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2EE"/>
    <w:rsid w:val="0087775C"/>
    <w:rsid w:val="00880786"/>
    <w:rsid w:val="00880E10"/>
    <w:rsid w:val="008810AC"/>
    <w:rsid w:val="00881F89"/>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1B5"/>
    <w:rsid w:val="00897B89"/>
    <w:rsid w:val="008A0C58"/>
    <w:rsid w:val="008A119F"/>
    <w:rsid w:val="008A3363"/>
    <w:rsid w:val="008A4F3D"/>
    <w:rsid w:val="008A59F2"/>
    <w:rsid w:val="008A616E"/>
    <w:rsid w:val="008A69A5"/>
    <w:rsid w:val="008A6EBD"/>
    <w:rsid w:val="008A7371"/>
    <w:rsid w:val="008A7CE9"/>
    <w:rsid w:val="008A7F47"/>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27793"/>
    <w:rsid w:val="00930751"/>
    <w:rsid w:val="009307D1"/>
    <w:rsid w:val="00930A34"/>
    <w:rsid w:val="00930A64"/>
    <w:rsid w:val="00930CA4"/>
    <w:rsid w:val="0093201B"/>
    <w:rsid w:val="00932CAA"/>
    <w:rsid w:val="009345B8"/>
    <w:rsid w:val="00934829"/>
    <w:rsid w:val="0093486D"/>
    <w:rsid w:val="00934911"/>
    <w:rsid w:val="0093600B"/>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73F"/>
    <w:rsid w:val="00957A2F"/>
    <w:rsid w:val="00957B29"/>
    <w:rsid w:val="00960C2F"/>
    <w:rsid w:val="00960DC7"/>
    <w:rsid w:val="00961693"/>
    <w:rsid w:val="009619F8"/>
    <w:rsid w:val="009620CD"/>
    <w:rsid w:val="0096225E"/>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AB5"/>
    <w:rsid w:val="00976E97"/>
    <w:rsid w:val="009774F5"/>
    <w:rsid w:val="0098084D"/>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6E7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65C"/>
    <w:rsid w:val="009D5A25"/>
    <w:rsid w:val="009D5CFB"/>
    <w:rsid w:val="009D6634"/>
    <w:rsid w:val="009D6E82"/>
    <w:rsid w:val="009E0652"/>
    <w:rsid w:val="009E0807"/>
    <w:rsid w:val="009E0C05"/>
    <w:rsid w:val="009E0CA9"/>
    <w:rsid w:val="009E1812"/>
    <w:rsid w:val="009E1F62"/>
    <w:rsid w:val="009E20EF"/>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CAB"/>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6F1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DDB"/>
    <w:rsid w:val="00A67F54"/>
    <w:rsid w:val="00A67FA2"/>
    <w:rsid w:val="00A7037C"/>
    <w:rsid w:val="00A7096D"/>
    <w:rsid w:val="00A7163A"/>
    <w:rsid w:val="00A71F88"/>
    <w:rsid w:val="00A72360"/>
    <w:rsid w:val="00A72986"/>
    <w:rsid w:val="00A72BC7"/>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6D1"/>
    <w:rsid w:val="00A8399B"/>
    <w:rsid w:val="00A83C51"/>
    <w:rsid w:val="00A84222"/>
    <w:rsid w:val="00A847A8"/>
    <w:rsid w:val="00A847E6"/>
    <w:rsid w:val="00A8601B"/>
    <w:rsid w:val="00A86448"/>
    <w:rsid w:val="00A86ACC"/>
    <w:rsid w:val="00A86D9B"/>
    <w:rsid w:val="00A876F9"/>
    <w:rsid w:val="00A87737"/>
    <w:rsid w:val="00A90334"/>
    <w:rsid w:val="00A90853"/>
    <w:rsid w:val="00A913FC"/>
    <w:rsid w:val="00A91A31"/>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205"/>
    <w:rsid w:val="00AC034B"/>
    <w:rsid w:val="00AC175F"/>
    <w:rsid w:val="00AC26D1"/>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3C7"/>
    <w:rsid w:val="00AE7DDB"/>
    <w:rsid w:val="00AF046B"/>
    <w:rsid w:val="00AF0C6C"/>
    <w:rsid w:val="00AF1872"/>
    <w:rsid w:val="00AF29DA"/>
    <w:rsid w:val="00AF3D13"/>
    <w:rsid w:val="00AF4709"/>
    <w:rsid w:val="00AF4B63"/>
    <w:rsid w:val="00AF58CC"/>
    <w:rsid w:val="00AF5AF0"/>
    <w:rsid w:val="00AF5DA2"/>
    <w:rsid w:val="00AF5DC0"/>
    <w:rsid w:val="00AF5F92"/>
    <w:rsid w:val="00AF61E2"/>
    <w:rsid w:val="00AF623E"/>
    <w:rsid w:val="00AF6335"/>
    <w:rsid w:val="00AF6433"/>
    <w:rsid w:val="00AF65FD"/>
    <w:rsid w:val="00AF6EF9"/>
    <w:rsid w:val="00AF753A"/>
    <w:rsid w:val="00AF78AE"/>
    <w:rsid w:val="00AF7F62"/>
    <w:rsid w:val="00B00555"/>
    <w:rsid w:val="00B013CA"/>
    <w:rsid w:val="00B01CA9"/>
    <w:rsid w:val="00B01EBF"/>
    <w:rsid w:val="00B02C05"/>
    <w:rsid w:val="00B03045"/>
    <w:rsid w:val="00B05CA6"/>
    <w:rsid w:val="00B05F38"/>
    <w:rsid w:val="00B06A13"/>
    <w:rsid w:val="00B06BAF"/>
    <w:rsid w:val="00B06F71"/>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5FC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2DC"/>
    <w:rsid w:val="00B44CD8"/>
    <w:rsid w:val="00B460F0"/>
    <w:rsid w:val="00B46365"/>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A26"/>
    <w:rsid w:val="00B57C24"/>
    <w:rsid w:val="00B57C98"/>
    <w:rsid w:val="00B60E09"/>
    <w:rsid w:val="00B614B9"/>
    <w:rsid w:val="00B62013"/>
    <w:rsid w:val="00B6275C"/>
    <w:rsid w:val="00B62BE0"/>
    <w:rsid w:val="00B630EA"/>
    <w:rsid w:val="00B63216"/>
    <w:rsid w:val="00B63493"/>
    <w:rsid w:val="00B6361C"/>
    <w:rsid w:val="00B645D8"/>
    <w:rsid w:val="00B64C78"/>
    <w:rsid w:val="00B65106"/>
    <w:rsid w:val="00B65119"/>
    <w:rsid w:val="00B65814"/>
    <w:rsid w:val="00B65AFA"/>
    <w:rsid w:val="00B65B30"/>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2A62"/>
    <w:rsid w:val="00B74A2D"/>
    <w:rsid w:val="00B7545E"/>
    <w:rsid w:val="00B75611"/>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3C80"/>
    <w:rsid w:val="00BC4BF8"/>
    <w:rsid w:val="00BC4F1A"/>
    <w:rsid w:val="00BC531A"/>
    <w:rsid w:val="00BC5A2A"/>
    <w:rsid w:val="00BC5C6D"/>
    <w:rsid w:val="00BC5E51"/>
    <w:rsid w:val="00BC5FC3"/>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AC3"/>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35D6"/>
    <w:rsid w:val="00C047D3"/>
    <w:rsid w:val="00C04958"/>
    <w:rsid w:val="00C04DB2"/>
    <w:rsid w:val="00C05AD6"/>
    <w:rsid w:val="00C06085"/>
    <w:rsid w:val="00C0637C"/>
    <w:rsid w:val="00C063C4"/>
    <w:rsid w:val="00C067F0"/>
    <w:rsid w:val="00C06F81"/>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5EC4"/>
    <w:rsid w:val="00C262F5"/>
    <w:rsid w:val="00C26E04"/>
    <w:rsid w:val="00C27B65"/>
    <w:rsid w:val="00C27CAE"/>
    <w:rsid w:val="00C27E25"/>
    <w:rsid w:val="00C27E67"/>
    <w:rsid w:val="00C27F55"/>
    <w:rsid w:val="00C30A21"/>
    <w:rsid w:val="00C30A46"/>
    <w:rsid w:val="00C3244D"/>
    <w:rsid w:val="00C32BD4"/>
    <w:rsid w:val="00C34CEC"/>
    <w:rsid w:val="00C354B8"/>
    <w:rsid w:val="00C35C08"/>
    <w:rsid w:val="00C35C11"/>
    <w:rsid w:val="00C35C40"/>
    <w:rsid w:val="00C35E30"/>
    <w:rsid w:val="00C36209"/>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5DF0"/>
    <w:rsid w:val="00C47C36"/>
    <w:rsid w:val="00C47E58"/>
    <w:rsid w:val="00C51210"/>
    <w:rsid w:val="00C51C81"/>
    <w:rsid w:val="00C52552"/>
    <w:rsid w:val="00C5301B"/>
    <w:rsid w:val="00C531DB"/>
    <w:rsid w:val="00C53410"/>
    <w:rsid w:val="00C538EC"/>
    <w:rsid w:val="00C53ACD"/>
    <w:rsid w:val="00C53EB4"/>
    <w:rsid w:val="00C544F1"/>
    <w:rsid w:val="00C547E0"/>
    <w:rsid w:val="00C5485C"/>
    <w:rsid w:val="00C54C88"/>
    <w:rsid w:val="00C56183"/>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B7BC1"/>
    <w:rsid w:val="00CC0083"/>
    <w:rsid w:val="00CC020C"/>
    <w:rsid w:val="00CC08F2"/>
    <w:rsid w:val="00CC1A42"/>
    <w:rsid w:val="00CC2232"/>
    <w:rsid w:val="00CC2A00"/>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DED"/>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2A1B"/>
    <w:rsid w:val="00D32ADA"/>
    <w:rsid w:val="00D33C09"/>
    <w:rsid w:val="00D33E7B"/>
    <w:rsid w:val="00D34C8C"/>
    <w:rsid w:val="00D3531C"/>
    <w:rsid w:val="00D3719C"/>
    <w:rsid w:val="00D37435"/>
    <w:rsid w:val="00D3750C"/>
    <w:rsid w:val="00D37AB2"/>
    <w:rsid w:val="00D37E51"/>
    <w:rsid w:val="00D40128"/>
    <w:rsid w:val="00D408BD"/>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2B5"/>
    <w:rsid w:val="00D5260E"/>
    <w:rsid w:val="00D52AA8"/>
    <w:rsid w:val="00D52B5A"/>
    <w:rsid w:val="00D52BC3"/>
    <w:rsid w:val="00D53838"/>
    <w:rsid w:val="00D5409A"/>
    <w:rsid w:val="00D54D1A"/>
    <w:rsid w:val="00D55142"/>
    <w:rsid w:val="00D55187"/>
    <w:rsid w:val="00D5529A"/>
    <w:rsid w:val="00D55593"/>
    <w:rsid w:val="00D55A12"/>
    <w:rsid w:val="00D55C77"/>
    <w:rsid w:val="00D55CE8"/>
    <w:rsid w:val="00D55DC7"/>
    <w:rsid w:val="00D55DE1"/>
    <w:rsid w:val="00D560D5"/>
    <w:rsid w:val="00D56844"/>
    <w:rsid w:val="00D6033D"/>
    <w:rsid w:val="00D61CBA"/>
    <w:rsid w:val="00D61D58"/>
    <w:rsid w:val="00D61EC2"/>
    <w:rsid w:val="00D627B9"/>
    <w:rsid w:val="00D62E59"/>
    <w:rsid w:val="00D6333D"/>
    <w:rsid w:val="00D63C40"/>
    <w:rsid w:val="00D644C2"/>
    <w:rsid w:val="00D6524E"/>
    <w:rsid w:val="00D65A53"/>
    <w:rsid w:val="00D65D95"/>
    <w:rsid w:val="00D66276"/>
    <w:rsid w:val="00D67665"/>
    <w:rsid w:val="00D67902"/>
    <w:rsid w:val="00D67B7B"/>
    <w:rsid w:val="00D7070D"/>
    <w:rsid w:val="00D7080B"/>
    <w:rsid w:val="00D70A1B"/>
    <w:rsid w:val="00D720D8"/>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87D45"/>
    <w:rsid w:val="00D90100"/>
    <w:rsid w:val="00D91F49"/>
    <w:rsid w:val="00D9225F"/>
    <w:rsid w:val="00D93740"/>
    <w:rsid w:val="00D93E26"/>
    <w:rsid w:val="00D94140"/>
    <w:rsid w:val="00D941E8"/>
    <w:rsid w:val="00D94240"/>
    <w:rsid w:val="00D94343"/>
    <w:rsid w:val="00D9457C"/>
    <w:rsid w:val="00D94DBA"/>
    <w:rsid w:val="00D954F1"/>
    <w:rsid w:val="00D95A09"/>
    <w:rsid w:val="00D9642C"/>
    <w:rsid w:val="00D97026"/>
    <w:rsid w:val="00D97759"/>
    <w:rsid w:val="00D97BF7"/>
    <w:rsid w:val="00D97DB9"/>
    <w:rsid w:val="00DA0076"/>
    <w:rsid w:val="00DA02A1"/>
    <w:rsid w:val="00DA0621"/>
    <w:rsid w:val="00DA0A98"/>
    <w:rsid w:val="00DA1514"/>
    <w:rsid w:val="00DA22FB"/>
    <w:rsid w:val="00DA232C"/>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380"/>
    <w:rsid w:val="00DB7455"/>
    <w:rsid w:val="00DB7A08"/>
    <w:rsid w:val="00DB7CB0"/>
    <w:rsid w:val="00DB7F0B"/>
    <w:rsid w:val="00DC0666"/>
    <w:rsid w:val="00DC06D9"/>
    <w:rsid w:val="00DC0A56"/>
    <w:rsid w:val="00DC0CCE"/>
    <w:rsid w:val="00DC0D4C"/>
    <w:rsid w:val="00DC111B"/>
    <w:rsid w:val="00DC17DA"/>
    <w:rsid w:val="00DC1B10"/>
    <w:rsid w:val="00DC2105"/>
    <w:rsid w:val="00DC2E33"/>
    <w:rsid w:val="00DC33F6"/>
    <w:rsid w:val="00DC5092"/>
    <w:rsid w:val="00DC5645"/>
    <w:rsid w:val="00DC566D"/>
    <w:rsid w:val="00DC5CDA"/>
    <w:rsid w:val="00DC64A4"/>
    <w:rsid w:val="00DC70AB"/>
    <w:rsid w:val="00DC70C1"/>
    <w:rsid w:val="00DC7DA8"/>
    <w:rsid w:val="00DC7F66"/>
    <w:rsid w:val="00DD0131"/>
    <w:rsid w:val="00DD02FB"/>
    <w:rsid w:val="00DD087F"/>
    <w:rsid w:val="00DD0C60"/>
    <w:rsid w:val="00DD18FC"/>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1ACC"/>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1B4C"/>
    <w:rsid w:val="00E22703"/>
    <w:rsid w:val="00E22AB2"/>
    <w:rsid w:val="00E22E13"/>
    <w:rsid w:val="00E236D5"/>
    <w:rsid w:val="00E2382A"/>
    <w:rsid w:val="00E242C4"/>
    <w:rsid w:val="00E244F4"/>
    <w:rsid w:val="00E2573A"/>
    <w:rsid w:val="00E2638A"/>
    <w:rsid w:val="00E268B9"/>
    <w:rsid w:val="00E27186"/>
    <w:rsid w:val="00E27305"/>
    <w:rsid w:val="00E27D33"/>
    <w:rsid w:val="00E27D4D"/>
    <w:rsid w:val="00E309D8"/>
    <w:rsid w:val="00E30AFF"/>
    <w:rsid w:val="00E30C38"/>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9A7"/>
    <w:rsid w:val="00E419EE"/>
    <w:rsid w:val="00E41E77"/>
    <w:rsid w:val="00E42E97"/>
    <w:rsid w:val="00E43525"/>
    <w:rsid w:val="00E43D55"/>
    <w:rsid w:val="00E450B7"/>
    <w:rsid w:val="00E45DA2"/>
    <w:rsid w:val="00E46223"/>
    <w:rsid w:val="00E4662F"/>
    <w:rsid w:val="00E471E5"/>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4925"/>
    <w:rsid w:val="00E54D71"/>
    <w:rsid w:val="00E55F41"/>
    <w:rsid w:val="00E570CE"/>
    <w:rsid w:val="00E572C0"/>
    <w:rsid w:val="00E573F2"/>
    <w:rsid w:val="00E57557"/>
    <w:rsid w:val="00E57E43"/>
    <w:rsid w:val="00E6092C"/>
    <w:rsid w:val="00E60993"/>
    <w:rsid w:val="00E62C1E"/>
    <w:rsid w:val="00E62F1F"/>
    <w:rsid w:val="00E63652"/>
    <w:rsid w:val="00E6647B"/>
    <w:rsid w:val="00E66778"/>
    <w:rsid w:val="00E6739C"/>
    <w:rsid w:val="00E67583"/>
    <w:rsid w:val="00E67640"/>
    <w:rsid w:val="00E67681"/>
    <w:rsid w:val="00E67AE1"/>
    <w:rsid w:val="00E67F45"/>
    <w:rsid w:val="00E706C8"/>
    <w:rsid w:val="00E714B2"/>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6E8E"/>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18CB"/>
    <w:rsid w:val="00EA2512"/>
    <w:rsid w:val="00EA25C0"/>
    <w:rsid w:val="00EA27AF"/>
    <w:rsid w:val="00EA2A6B"/>
    <w:rsid w:val="00EA2D96"/>
    <w:rsid w:val="00EA34C7"/>
    <w:rsid w:val="00EA4A23"/>
    <w:rsid w:val="00EA614B"/>
    <w:rsid w:val="00EA6363"/>
    <w:rsid w:val="00EA6E3F"/>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D4D"/>
    <w:rsid w:val="00EC01BC"/>
    <w:rsid w:val="00EC0288"/>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15E9"/>
    <w:rsid w:val="00ED2098"/>
    <w:rsid w:val="00ED2336"/>
    <w:rsid w:val="00ED2337"/>
    <w:rsid w:val="00ED2408"/>
    <w:rsid w:val="00ED2E67"/>
    <w:rsid w:val="00ED2FEE"/>
    <w:rsid w:val="00ED3185"/>
    <w:rsid w:val="00ED31EF"/>
    <w:rsid w:val="00ED32C8"/>
    <w:rsid w:val="00ED32F9"/>
    <w:rsid w:val="00ED3317"/>
    <w:rsid w:val="00ED3D37"/>
    <w:rsid w:val="00ED3F97"/>
    <w:rsid w:val="00ED403A"/>
    <w:rsid w:val="00ED4333"/>
    <w:rsid w:val="00ED4790"/>
    <w:rsid w:val="00ED4826"/>
    <w:rsid w:val="00ED49A3"/>
    <w:rsid w:val="00ED4B67"/>
    <w:rsid w:val="00ED5117"/>
    <w:rsid w:val="00ED594C"/>
    <w:rsid w:val="00ED6E3C"/>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DCF"/>
    <w:rsid w:val="00F3020D"/>
    <w:rsid w:val="00F30A2B"/>
    <w:rsid w:val="00F30ADE"/>
    <w:rsid w:val="00F30E3D"/>
    <w:rsid w:val="00F316B0"/>
    <w:rsid w:val="00F330CE"/>
    <w:rsid w:val="00F332B5"/>
    <w:rsid w:val="00F336C8"/>
    <w:rsid w:val="00F33975"/>
    <w:rsid w:val="00F33A29"/>
    <w:rsid w:val="00F348E7"/>
    <w:rsid w:val="00F34A29"/>
    <w:rsid w:val="00F34CA4"/>
    <w:rsid w:val="00F350A7"/>
    <w:rsid w:val="00F36008"/>
    <w:rsid w:val="00F373C4"/>
    <w:rsid w:val="00F374EE"/>
    <w:rsid w:val="00F37541"/>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ED2"/>
    <w:rsid w:val="00F460C1"/>
    <w:rsid w:val="00F46225"/>
    <w:rsid w:val="00F46BEB"/>
    <w:rsid w:val="00F46D27"/>
    <w:rsid w:val="00F4746E"/>
    <w:rsid w:val="00F5025F"/>
    <w:rsid w:val="00F50AA8"/>
    <w:rsid w:val="00F51456"/>
    <w:rsid w:val="00F5194D"/>
    <w:rsid w:val="00F52923"/>
    <w:rsid w:val="00F54045"/>
    <w:rsid w:val="00F5472B"/>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2213"/>
    <w:rsid w:val="00F7268E"/>
    <w:rsid w:val="00F7312B"/>
    <w:rsid w:val="00F731B0"/>
    <w:rsid w:val="00F73664"/>
    <w:rsid w:val="00F738CC"/>
    <w:rsid w:val="00F7395A"/>
    <w:rsid w:val="00F73BA6"/>
    <w:rsid w:val="00F74127"/>
    <w:rsid w:val="00F74565"/>
    <w:rsid w:val="00F752BC"/>
    <w:rsid w:val="00F75751"/>
    <w:rsid w:val="00F75BA3"/>
    <w:rsid w:val="00F75E88"/>
    <w:rsid w:val="00F81437"/>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3BA"/>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E7E"/>
    <w:rsid w:val="00FB602A"/>
    <w:rsid w:val="00FB6998"/>
    <w:rsid w:val="00FB6CFE"/>
    <w:rsid w:val="00FB72A5"/>
    <w:rsid w:val="00FC06A3"/>
    <w:rsid w:val="00FC2001"/>
    <w:rsid w:val="00FC3205"/>
    <w:rsid w:val="00FC4973"/>
    <w:rsid w:val="00FC4AA8"/>
    <w:rsid w:val="00FC4FB2"/>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546"/>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100E"/>
    <w:rsid w:val="00FF21E8"/>
    <w:rsid w:val="00FF2A49"/>
    <w:rsid w:val="00FF35BF"/>
    <w:rsid w:val="00FF36AF"/>
    <w:rsid w:val="00FF4A0D"/>
    <w:rsid w:val="00FF4DA2"/>
    <w:rsid w:val="00FF4FAB"/>
    <w:rsid w:val="00FF6120"/>
    <w:rsid w:val="00FF6603"/>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itre1">
    <w:name w:val="heading 1"/>
    <w:basedOn w:val="Normal"/>
    <w:next w:val="Normal"/>
    <w:link w:val="Titre1Car"/>
    <w:uiPriority w:val="9"/>
    <w:qFormat/>
    <w:rsid w:val="00F047FB"/>
    <w:pPr>
      <w:keepNext/>
      <w:spacing w:before="240" w:after="60"/>
      <w:outlineLvl w:val="0"/>
    </w:pPr>
    <w:rPr>
      <w:rFonts w:ascii="Cambria" w:hAnsi="Cambria" w:cs="Times New Roman"/>
      <w:b/>
      <w:bCs/>
      <w:kern w:val="32"/>
      <w:sz w:val="32"/>
      <w:szCs w:val="32"/>
    </w:rPr>
  </w:style>
  <w:style w:type="paragraph" w:styleId="Titre3">
    <w:name w:val="heading 3"/>
    <w:basedOn w:val="Normal"/>
    <w:next w:val="Normal"/>
    <w:link w:val="Titre3Car"/>
    <w:uiPriority w:val="9"/>
    <w:qFormat/>
    <w:rsid w:val="005842CF"/>
    <w:pPr>
      <w:keepNext/>
      <w:spacing w:before="240" w:after="60"/>
      <w:outlineLvl w:val="2"/>
    </w:pPr>
    <w:rPr>
      <w:rFonts w:ascii="Cambria" w:hAnsi="Cambria" w:cs="Times New Roman"/>
      <w:b/>
      <w:bCs/>
      <w:sz w:val="26"/>
      <w:szCs w:val="26"/>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F047FB"/>
    <w:rPr>
      <w:rFonts w:ascii="Cambria" w:hAnsi="Cambria" w:cs="Times New Roman"/>
      <w:b/>
      <w:kern w:val="32"/>
      <w:sz w:val="32"/>
      <w:lang w:val="es-ES" w:eastAsia="es-ES"/>
    </w:rPr>
  </w:style>
  <w:style w:type="character" w:customStyle="1" w:styleId="Titre3Car">
    <w:name w:val="Titre 3 Car"/>
    <w:link w:val="Titre3"/>
    <w:uiPriority w:val="9"/>
    <w:semiHidden/>
    <w:locked/>
    <w:rsid w:val="005842CF"/>
    <w:rPr>
      <w:rFonts w:ascii="Cambria" w:eastAsia="Times New Roman" w:hAnsi="Cambria" w:cs="Times New Roman"/>
      <w:b/>
      <w:bCs/>
      <w:sz w:val="26"/>
      <w:szCs w:val="26"/>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99045D"/>
    <w:rPr>
      <w:rFonts w:cs="Times New Roman"/>
      <w:vertAlign w:val="superscript"/>
    </w:rPr>
  </w:style>
  <w:style w:type="paragraph" w:styleId="Corpsdetexte">
    <w:name w:val="Body Text"/>
    <w:aliases w:val="Car"/>
    <w:basedOn w:val="Normal"/>
    <w:link w:val="Corpsdetex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CorpsdetexteCar">
    <w:name w:val="Corps de texte Car"/>
    <w:aliases w:val="Car Car"/>
    <w:link w:val="Corpsdetexte"/>
    <w:uiPriority w:val="99"/>
    <w:locked/>
    <w:rsid w:val="0099045D"/>
    <w:rPr>
      <w:rFonts w:ascii="Verdana" w:hAnsi="Verdana" w:cs="Times New Roman"/>
      <w:spacing w:val="-3"/>
      <w:sz w:val="20"/>
      <w:lang w:val="es-ES_tradnl" w:eastAsia="es-ES"/>
    </w:r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link w:val="Notedebasdepage"/>
    <w:uiPriority w:val="99"/>
    <w:locked/>
    <w:rsid w:val="0099045D"/>
    <w:rPr>
      <w:rFonts w:ascii="Times New Roman" w:hAnsi="Times New Roman" w:cs="Times New Roman"/>
      <w:sz w:val="20"/>
      <w:lang w:val="es-ES" w:eastAsia="es-ES"/>
    </w:rPr>
  </w:style>
  <w:style w:type="paragraph" w:styleId="Paragraphedeliste">
    <w:name w:val="List Paragraph"/>
    <w:basedOn w:val="Normal"/>
    <w:uiPriority w:val="34"/>
    <w:qFormat/>
    <w:rsid w:val="0099045D"/>
    <w:pPr>
      <w:ind w:left="708"/>
    </w:pPr>
    <w:rPr>
      <w:rFonts w:cs="Courier New"/>
    </w:rPr>
  </w:style>
  <w:style w:type="paragraph" w:styleId="Sansinterligne">
    <w:name w:val="No Spacing"/>
    <w:link w:val="SansinterligneCar"/>
    <w:uiPriority w:val="1"/>
    <w:qFormat/>
    <w:rsid w:val="0099045D"/>
    <w:pPr>
      <w:widowControl w:val="0"/>
      <w:autoSpaceDE w:val="0"/>
      <w:autoSpaceDN w:val="0"/>
      <w:adjustRightInd w:val="0"/>
    </w:pPr>
    <w:rPr>
      <w:rFonts w:ascii="Courier New" w:hAnsi="Courier New" w:cs="Times New Roman"/>
      <w:sz w:val="24"/>
    </w:rPr>
  </w:style>
  <w:style w:type="paragraph" w:styleId="Retraitcorpsdetexte2">
    <w:name w:val="Body Text Indent 2"/>
    <w:basedOn w:val="Normal"/>
    <w:link w:val="Retraitcorpsdetexte2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Retraitcorpsdetexte2Car">
    <w:name w:val="Retrait corps de texte 2 Car"/>
    <w:link w:val="Retraitcorpsdetexte2"/>
    <w:uiPriority w:val="99"/>
    <w:locked/>
    <w:rsid w:val="0099045D"/>
    <w:rPr>
      <w:rFonts w:ascii="Times New Roman" w:hAnsi="Times New Roman" w:cs="Times New Roman"/>
      <w:sz w:val="20"/>
      <w:lang w:val="es-ES_tradnl" w:eastAsia="es-ES"/>
    </w:rPr>
  </w:style>
  <w:style w:type="paragraph" w:styleId="Textedebulles">
    <w:name w:val="Balloon Text"/>
    <w:basedOn w:val="Normal"/>
    <w:link w:val="TextedebullesCar"/>
    <w:uiPriority w:val="99"/>
    <w:semiHidden/>
    <w:unhideWhenUsed/>
    <w:rsid w:val="0099045D"/>
    <w:rPr>
      <w:rFonts w:ascii="Tahoma" w:hAnsi="Tahoma" w:cs="Times New Roman"/>
      <w:sz w:val="16"/>
      <w:szCs w:val="16"/>
    </w:rPr>
  </w:style>
  <w:style w:type="character" w:customStyle="1" w:styleId="TextedebullesCar">
    <w:name w:val="Texte de bulles Car"/>
    <w:link w:val="Textedebulles"/>
    <w:uiPriority w:val="99"/>
    <w:semiHidden/>
    <w:locked/>
    <w:rsid w:val="0099045D"/>
    <w:rPr>
      <w:rFonts w:ascii="Tahoma" w:hAnsi="Tahoma" w:cs="Times New Roman"/>
      <w:sz w:val="16"/>
      <w:lang w:val="es-ES" w:eastAsia="es-ES"/>
    </w:rPr>
  </w:style>
  <w:style w:type="paragraph" w:styleId="En-tte">
    <w:name w:val="header"/>
    <w:basedOn w:val="Normal"/>
    <w:link w:val="En-tteCar"/>
    <w:uiPriority w:val="99"/>
    <w:unhideWhenUsed/>
    <w:rsid w:val="00F41FF0"/>
    <w:pPr>
      <w:tabs>
        <w:tab w:val="center" w:pos="4419"/>
        <w:tab w:val="right" w:pos="8838"/>
      </w:tabs>
    </w:pPr>
    <w:rPr>
      <w:rFonts w:cs="Times New Roman"/>
    </w:rPr>
  </w:style>
  <w:style w:type="character" w:customStyle="1" w:styleId="En-tteCar">
    <w:name w:val="En-tête Car"/>
    <w:link w:val="En-tte"/>
    <w:uiPriority w:val="99"/>
    <w:locked/>
    <w:rsid w:val="00F41FF0"/>
    <w:rPr>
      <w:rFonts w:ascii="Courier New" w:hAnsi="Courier New" w:cs="Times New Roman"/>
      <w:sz w:val="24"/>
      <w:lang w:val="es-ES" w:eastAsia="es-ES"/>
    </w:rPr>
  </w:style>
  <w:style w:type="paragraph" w:styleId="Pieddepage">
    <w:name w:val="footer"/>
    <w:basedOn w:val="Normal"/>
    <w:link w:val="PieddepageCar"/>
    <w:uiPriority w:val="99"/>
    <w:unhideWhenUsed/>
    <w:rsid w:val="00F41FF0"/>
    <w:pPr>
      <w:tabs>
        <w:tab w:val="center" w:pos="4419"/>
        <w:tab w:val="right" w:pos="8838"/>
      </w:tabs>
    </w:pPr>
    <w:rPr>
      <w:rFonts w:cs="Times New Roman"/>
    </w:rPr>
  </w:style>
  <w:style w:type="character" w:customStyle="1" w:styleId="PieddepageCar">
    <w:name w:val="Pied de page Car"/>
    <w:link w:val="Pieddepage"/>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ansinterligneCar">
    <w:name w:val="Sans interligne Car"/>
    <w:link w:val="Sansinterligne"/>
    <w:uiPriority w:val="1"/>
    <w:locked/>
    <w:rsid w:val="00AD7767"/>
    <w:rPr>
      <w:rFonts w:ascii="Courier New" w:hAnsi="Courier New" w:cs="Times New Roman"/>
      <w:sz w:val="24"/>
      <w:lang w:val="es-ES" w:eastAsia="es-ES" w:bidi="ar-SA"/>
    </w:rPr>
  </w:style>
  <w:style w:type="paragraph" w:styleId="Retraitcorpsdetexte">
    <w:name w:val="Body Text Indent"/>
    <w:basedOn w:val="Normal"/>
    <w:link w:val="RetraitcorpsdetexteCar"/>
    <w:uiPriority w:val="99"/>
    <w:unhideWhenUsed/>
    <w:rsid w:val="00FA6C8A"/>
    <w:pPr>
      <w:spacing w:after="120"/>
      <w:ind w:left="283"/>
    </w:pPr>
  </w:style>
  <w:style w:type="character" w:customStyle="1" w:styleId="RetraitcorpsdetexteCar">
    <w:name w:val="Retrait corps de texte Car"/>
    <w:link w:val="Retraitcorpsdetexte"/>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tionintense">
    <w:name w:val="Intense Quote"/>
    <w:basedOn w:val="Normal"/>
    <w:next w:val="Normal"/>
    <w:link w:val="Citationintense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tionintenseCar">
    <w:name w:val="Citation intense Car"/>
    <w:link w:val="Citationintense"/>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e">
    <w:name w:val="List"/>
    <w:basedOn w:val="Normal"/>
    <w:uiPriority w:val="99"/>
    <w:unhideWhenUsed/>
    <w:rsid w:val="00F047FB"/>
    <w:pPr>
      <w:ind w:left="283" w:hanging="283"/>
      <w:contextualSpacing/>
    </w:pPr>
  </w:style>
  <w:style w:type="paragraph" w:styleId="Liste2">
    <w:name w:val="List 2"/>
    <w:basedOn w:val="Normal"/>
    <w:uiPriority w:val="99"/>
    <w:unhideWhenUsed/>
    <w:rsid w:val="00F047FB"/>
    <w:pPr>
      <w:ind w:left="566" w:hanging="283"/>
      <w:contextualSpacing/>
    </w:pPr>
  </w:style>
  <w:style w:type="paragraph" w:styleId="En-ttedemessage">
    <w:name w:val="Message Header"/>
    <w:basedOn w:val="Normal"/>
    <w:link w:val="En-ttedemessag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ttedemessageCar">
    <w:name w:val="En-tête de message Car"/>
    <w:link w:val="En-ttedemessage"/>
    <w:uiPriority w:val="99"/>
    <w:locked/>
    <w:rsid w:val="00F047FB"/>
    <w:rPr>
      <w:rFonts w:ascii="Cambria" w:hAnsi="Cambria" w:cs="Times New Roman"/>
      <w:sz w:val="24"/>
      <w:shd w:val="pct20" w:color="auto" w:fill="auto"/>
      <w:lang w:val="es-ES" w:eastAsia="es-ES"/>
    </w:rPr>
  </w:style>
  <w:style w:type="paragraph" w:styleId="Formuledepolitesse">
    <w:name w:val="Closing"/>
    <w:basedOn w:val="Normal"/>
    <w:link w:val="FormuledepolitesseCar"/>
    <w:uiPriority w:val="99"/>
    <w:unhideWhenUsed/>
    <w:rsid w:val="00F047FB"/>
    <w:pPr>
      <w:ind w:left="4252"/>
    </w:pPr>
  </w:style>
  <w:style w:type="character" w:customStyle="1" w:styleId="FormuledepolitesseCar">
    <w:name w:val="Formule de politesse Car"/>
    <w:link w:val="Formuledepolitesse"/>
    <w:uiPriority w:val="99"/>
    <w:locked/>
    <w:rsid w:val="00F047FB"/>
    <w:rPr>
      <w:rFonts w:ascii="Courier New" w:hAnsi="Courier New" w:cs="Times New Roman"/>
      <w:sz w:val="24"/>
      <w:lang w:val="es-ES" w:eastAsia="es-ES"/>
    </w:rPr>
  </w:style>
  <w:style w:type="paragraph" w:styleId="Listecontinue">
    <w:name w:val="List Continue"/>
    <w:basedOn w:val="Normal"/>
    <w:uiPriority w:val="99"/>
    <w:unhideWhenUsed/>
    <w:rsid w:val="00F047FB"/>
    <w:pPr>
      <w:spacing w:after="120"/>
      <w:ind w:left="283"/>
      <w:contextualSpacing/>
    </w:pPr>
  </w:style>
  <w:style w:type="paragraph" w:styleId="Listecontinue2">
    <w:name w:val="List Continue 2"/>
    <w:basedOn w:val="Normal"/>
    <w:uiPriority w:val="99"/>
    <w:unhideWhenUsed/>
    <w:rsid w:val="00F047FB"/>
    <w:pPr>
      <w:spacing w:after="120"/>
      <w:ind w:left="566"/>
      <w:contextualSpacing/>
    </w:pPr>
  </w:style>
  <w:style w:type="paragraph" w:styleId="Signature">
    <w:name w:val="Signature"/>
    <w:basedOn w:val="Normal"/>
    <w:link w:val="SignatureCar"/>
    <w:uiPriority w:val="99"/>
    <w:unhideWhenUsed/>
    <w:rsid w:val="00F047FB"/>
    <w:pPr>
      <w:ind w:left="4252"/>
    </w:pPr>
  </w:style>
  <w:style w:type="character" w:customStyle="1" w:styleId="SignatureCar">
    <w:name w:val="Signature Car"/>
    <w:link w:val="Signature"/>
    <w:uiPriority w:val="99"/>
    <w:locked/>
    <w:rsid w:val="00F047FB"/>
    <w:rPr>
      <w:rFonts w:ascii="Courier New" w:hAnsi="Courier New" w:cs="Times New Roman"/>
      <w:sz w:val="24"/>
      <w:lang w:val="es-ES" w:eastAsia="es-ES"/>
    </w:rPr>
  </w:style>
  <w:style w:type="paragraph" w:styleId="Retrait1religne">
    <w:name w:val="Body Text First Indent"/>
    <w:basedOn w:val="Corpsdetexte"/>
    <w:link w:val="Retrait1religne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Retrait1religneCar">
    <w:name w:val="Retrait 1re ligne Car"/>
    <w:link w:val="Retrait1religne"/>
    <w:uiPriority w:val="99"/>
    <w:locked/>
    <w:rsid w:val="00F047FB"/>
    <w:rPr>
      <w:rFonts w:ascii="Courier New" w:hAnsi="Courier New" w:cs="Times New Roman"/>
      <w:spacing w:val="-3"/>
      <w:sz w:val="24"/>
      <w:lang w:val="es-ES" w:eastAsia="es-ES"/>
    </w:rPr>
  </w:style>
  <w:style w:type="character" w:styleId="Lienhypertexte">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Corpsdetexte2">
    <w:name w:val="Body Text 2"/>
    <w:basedOn w:val="Normal"/>
    <w:link w:val="Corpsdetexte2Car"/>
    <w:uiPriority w:val="99"/>
    <w:semiHidden/>
    <w:unhideWhenUsed/>
    <w:rsid w:val="00CB6B86"/>
    <w:pPr>
      <w:spacing w:after="120" w:line="480" w:lineRule="auto"/>
    </w:pPr>
  </w:style>
  <w:style w:type="character" w:customStyle="1" w:styleId="Corpsdetexte2Car">
    <w:name w:val="Corps de texte 2 Car"/>
    <w:link w:val="Corpsdetex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Corpsdetexte3">
    <w:name w:val="Body Text 3"/>
    <w:basedOn w:val="Normal"/>
    <w:link w:val="Corpsdetex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Corpsdetexte3Car">
    <w:name w:val="Corps de texte 3 Car"/>
    <w:link w:val="Corpsdetex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Titre">
    <w:name w:val="Title"/>
    <w:basedOn w:val="Normal"/>
    <w:link w:val="TitreCar"/>
    <w:uiPriority w:val="99"/>
    <w:qFormat/>
    <w:rsid w:val="006A64CC"/>
    <w:pPr>
      <w:widowControl/>
      <w:autoSpaceDE/>
      <w:autoSpaceDN/>
      <w:adjustRightInd/>
      <w:jc w:val="center"/>
    </w:pPr>
    <w:rPr>
      <w:rFonts w:ascii="Arial" w:hAnsi="Arial" w:cs="Arial"/>
      <w:b/>
      <w:bCs/>
      <w:i/>
      <w:iCs/>
    </w:rPr>
  </w:style>
  <w:style w:type="character" w:customStyle="1" w:styleId="TitreCar">
    <w:name w:val="Titre Car"/>
    <w:basedOn w:val="Policepardfaut"/>
    <w:link w:val="Titre"/>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umrodepage">
    <w:name w:val="page number"/>
    <w:basedOn w:val="Policepardfaut"/>
    <w:uiPriority w:val="99"/>
    <w:rsid w:val="00326A31"/>
  </w:style>
  <w:style w:type="paragraph" w:customStyle="1" w:styleId="bodytext21">
    <w:name w:val="bodytext21"/>
    <w:basedOn w:val="Normal"/>
    <w:rsid w:val="00C45DF0"/>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6181">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09728483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www.corteconstitucional.gov.co/sentencias/2016/SU499-16.rtf" TargetMode="External"/><Relationship Id="rId2" Type="http://schemas.openxmlformats.org/officeDocument/2006/relationships/hyperlink" Target="http://www.corteconstitucional.gov.co/sentencias/2016/SU499-16.rtf" TargetMode="External"/><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FDFF1-FD7E-45A3-B54F-97C61A44D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7</Pages>
  <Words>2238</Words>
  <Characters>12309</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Malucimedina</cp:lastModifiedBy>
  <cp:revision>8</cp:revision>
  <cp:lastPrinted>2017-03-07T18:15:00Z</cp:lastPrinted>
  <dcterms:created xsi:type="dcterms:W3CDTF">2017-03-02T14:01:00Z</dcterms:created>
  <dcterms:modified xsi:type="dcterms:W3CDTF">2017-05-11T00:19:00Z</dcterms:modified>
</cp:coreProperties>
</file>