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E8" w:rsidRPr="00A817A6" w:rsidRDefault="00E771E8" w:rsidP="00E771E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139065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E771E8" w:rsidRDefault="00E771E8" w:rsidP="00D37757">
      <w:pPr>
        <w:pStyle w:val="Sansinterligne"/>
        <w:spacing w:line="360" w:lineRule="auto"/>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69459D">
      <w:pPr>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E771E8">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E771E8">
        <w:rPr>
          <w:rFonts w:ascii="Arial" w:hAnsi="Arial"/>
          <w:sz w:val="22"/>
          <w:szCs w:val="22"/>
        </w:rPr>
        <w:t xml:space="preserve">– </w:t>
      </w:r>
      <w:r w:rsidR="00771F3B">
        <w:rPr>
          <w:rFonts w:ascii="Arial" w:hAnsi="Arial"/>
          <w:sz w:val="22"/>
          <w:szCs w:val="22"/>
        </w:rPr>
        <w:t>2</w:t>
      </w:r>
      <w:r w:rsidR="00E771E8">
        <w:rPr>
          <w:rFonts w:ascii="Arial" w:hAnsi="Arial"/>
          <w:sz w:val="22"/>
          <w:szCs w:val="22"/>
        </w:rPr>
        <w:t>ª instancia – 22 de marzo de 2017</w:t>
      </w:r>
    </w:p>
    <w:p w:rsidR="00E771E8" w:rsidRPr="00F86DCE" w:rsidRDefault="00E771E8" w:rsidP="00E771E8">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Revoca amparo concedido y declara improcedente la acción</w:t>
      </w:r>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927125">
        <w:rPr>
          <w:rFonts w:ascii="Arial" w:hAnsi="Arial"/>
          <w:sz w:val="22"/>
          <w:szCs w:val="22"/>
        </w:rPr>
        <w:t xml:space="preserve">Luz Mabel Pérez Restrepo </w:t>
      </w:r>
    </w:p>
    <w:p w:rsidR="00BC7EAB" w:rsidRDefault="00E06AE8" w:rsidP="00E06AE8">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00706990">
        <w:rPr>
          <w:rFonts w:ascii="Arial" w:hAnsi="Arial"/>
          <w:sz w:val="22"/>
          <w:szCs w:val="22"/>
        </w:rPr>
        <w:t>Accionado (s)</w:t>
      </w:r>
      <w:r w:rsidR="00706990">
        <w:rPr>
          <w:rFonts w:ascii="Arial" w:hAnsi="Arial"/>
          <w:sz w:val="22"/>
          <w:szCs w:val="22"/>
        </w:rPr>
        <w:tab/>
      </w:r>
      <w:r w:rsidRPr="00F86DCE">
        <w:rPr>
          <w:rFonts w:ascii="Arial" w:hAnsi="Arial"/>
          <w:sz w:val="22"/>
          <w:szCs w:val="22"/>
        </w:rPr>
        <w:tab/>
        <w:t>:</w:t>
      </w:r>
      <w:r w:rsidR="002306D2">
        <w:rPr>
          <w:rFonts w:ascii="Arial" w:hAnsi="Arial"/>
          <w:sz w:val="22"/>
          <w:szCs w:val="22"/>
        </w:rPr>
        <w:t xml:space="preserve"> </w:t>
      </w:r>
      <w:r w:rsidR="00927125">
        <w:rPr>
          <w:rFonts w:ascii="Arial" w:hAnsi="Arial"/>
          <w:sz w:val="22"/>
          <w:szCs w:val="22"/>
        </w:rPr>
        <w:t>AFP Provenir y otras</w:t>
      </w:r>
    </w:p>
    <w:p w:rsidR="00E06AE8" w:rsidRDefault="00BC7EAB" w:rsidP="00E06AE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927125">
        <w:rPr>
          <w:rFonts w:ascii="Arial" w:hAnsi="Arial"/>
          <w:sz w:val="22"/>
          <w:szCs w:val="22"/>
        </w:rPr>
        <w:t xml:space="preserve">Vicariato Apostólico de Mitú </w:t>
      </w:r>
    </w:p>
    <w:p w:rsidR="003913E3" w:rsidRDefault="003913E3" w:rsidP="00F839CE">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927125">
        <w:rPr>
          <w:rFonts w:ascii="Arial" w:hAnsi="Arial"/>
          <w:sz w:val="22"/>
        </w:rPr>
        <w:t>2016-00432-02</w:t>
      </w:r>
    </w:p>
    <w:p w:rsidR="00DB2859" w:rsidRDefault="00435CCB" w:rsidP="00FF420C">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927125">
        <w:rPr>
          <w:rFonts w:ascii="Arial" w:hAnsi="Arial"/>
          <w:sz w:val="22"/>
          <w:szCs w:val="22"/>
        </w:rPr>
        <w:t>Juzgado Segundo Civil del Circuito 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4E795D" w:rsidRDefault="004E795D" w:rsidP="004E795D">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Pr>
          <w:rFonts w:ascii="Arial" w:hAnsi="Arial"/>
          <w:sz w:val="22"/>
          <w:szCs w:val="22"/>
        </w:rPr>
        <w:tab/>
        <w:t>: 144 de 22-03-2017</w:t>
      </w:r>
    </w:p>
    <w:p w:rsidR="00E771E8" w:rsidRPr="0069459D" w:rsidRDefault="00E771E8" w:rsidP="004E795D">
      <w:pPr>
        <w:spacing w:line="360" w:lineRule="auto"/>
        <w:ind w:left="708" w:firstLine="708"/>
        <w:rPr>
          <w:rFonts w:ascii="Arial" w:hAnsi="Arial"/>
          <w:sz w:val="10"/>
          <w:szCs w:val="10"/>
        </w:rPr>
      </w:pPr>
    </w:p>
    <w:p w:rsidR="00E771E8" w:rsidRDefault="00E771E8" w:rsidP="0069459D">
      <w:pPr>
        <w:pStyle w:val="Corpsdetexte"/>
        <w:spacing w:line="240" w:lineRule="auto"/>
        <w:ind w:left="1416" w:hanging="1416"/>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69459D" w:rsidRPr="0069459D">
        <w:rPr>
          <w:rFonts w:ascii="Arial" w:hAnsi="Arial"/>
          <w:b/>
          <w:bCs/>
          <w:iCs/>
          <w:sz w:val="22"/>
          <w:szCs w:val="22"/>
          <w:lang w:val="es-CO"/>
        </w:rPr>
        <w:t>DERECHO DE PETICIÓN / AUSENCIA DE INMEDIATEZ / IMPROCEDENCIA.</w:t>
      </w:r>
      <w:r w:rsidR="0069459D" w:rsidRPr="0069459D">
        <w:rPr>
          <w:rFonts w:ascii="Arial" w:hAnsi="Arial"/>
          <w:bCs/>
          <w:iCs/>
          <w:sz w:val="22"/>
          <w:szCs w:val="22"/>
          <w:lang w:val="es-CO"/>
        </w:rPr>
        <w:t xml:space="preserve"> “</w:t>
      </w:r>
      <w:r w:rsidR="0069459D" w:rsidRPr="0069459D">
        <w:rPr>
          <w:rFonts w:ascii="Arial" w:hAnsi="Arial"/>
          <w:bCs/>
          <w:iCs/>
          <w:sz w:val="22"/>
          <w:szCs w:val="22"/>
          <w:lang w:val="es-ES"/>
        </w:rPr>
        <w:t xml:space="preserve">Busca la actora que se ordene a la AFP Porvenir resolver una reclamación para devolución de aportes carente de fecha de radicación, pese a ello existen en el plenario dos respuestas  datadas los días 27-02-2015 y 24-07-2015 (Folios 15 y 21, cuaderno </w:t>
      </w:r>
      <w:proofErr w:type="spellStart"/>
      <w:r w:rsidR="0069459D" w:rsidRPr="0069459D">
        <w:rPr>
          <w:rFonts w:ascii="Arial" w:hAnsi="Arial"/>
          <w:bCs/>
          <w:iCs/>
          <w:sz w:val="22"/>
          <w:szCs w:val="22"/>
          <w:lang w:val="es-ES"/>
        </w:rPr>
        <w:t>No.1</w:t>
      </w:r>
      <w:proofErr w:type="spellEnd"/>
      <w:r w:rsidR="0069459D" w:rsidRPr="0069459D">
        <w:rPr>
          <w:rFonts w:ascii="Arial" w:hAnsi="Arial"/>
          <w:bCs/>
          <w:iCs/>
          <w:sz w:val="22"/>
          <w:szCs w:val="22"/>
          <w:lang w:val="es-ES"/>
        </w:rPr>
        <w:t>), que permiten a la Sala inferir que la solicitud fue presentada, cuando menos, en el mes de febrero de 2015. A partir de esa fecha se debe afirmar que la presente acción carece de inmediatez, pues su interposición desborda el plazo de los seis (6) meses fijado por la jurisprudencia tanto constitucional como ordinaria, según acaba de explicarse, como tiempo razonable para interponerla, ya que transcurrió, aproximadamente, un (1) año y nueve (9) meses, desde la formulación de la reclamación. (…) En armonía con las premisas expuestas en los acápites anteriores se revocará la sentencia de primera instancia y se declarará improcedente la tutela presentada.”.</w:t>
      </w:r>
    </w:p>
    <w:p w:rsidR="000420B2" w:rsidRPr="00E049C7" w:rsidRDefault="000420B2" w:rsidP="000420B2">
      <w:pPr>
        <w:pBdr>
          <w:bottom w:val="double" w:sz="6" w:space="1" w:color="auto"/>
        </w:pBdr>
        <w:spacing w:line="360" w:lineRule="auto"/>
        <w:jc w:val="center"/>
        <w:rPr>
          <w:rFonts w:ascii="Arial" w:hAnsi="Arial" w:cs="Arial"/>
          <w:b/>
          <w:bCs/>
          <w:sz w:val="18"/>
          <w:szCs w:val="22"/>
        </w:rPr>
      </w:pPr>
    </w:p>
    <w:p w:rsidR="000420B2" w:rsidRPr="0069459D" w:rsidRDefault="000420B2" w:rsidP="000420B2">
      <w:pPr>
        <w:spacing w:line="360" w:lineRule="auto"/>
        <w:jc w:val="center"/>
        <w:rPr>
          <w:rFonts w:ascii="Arial" w:hAnsi="Arial" w:cs="Arial"/>
          <w:iCs/>
          <w:smallCaps/>
          <w:sz w:val="12"/>
          <w:szCs w:val="12"/>
          <w:lang w:val="es-CO"/>
        </w:rPr>
      </w:pPr>
    </w:p>
    <w:p w:rsidR="000420B2" w:rsidRDefault="000420B2" w:rsidP="000420B2">
      <w:pPr>
        <w:spacing w:line="360" w:lineRule="auto"/>
        <w:jc w:val="center"/>
        <w:rPr>
          <w:rFonts w:ascii="Arial" w:hAnsi="Arial" w:cs="Arial"/>
          <w:iCs/>
          <w:sz w:val="28"/>
          <w:lang w:val="es-CO"/>
        </w:rPr>
      </w:pPr>
      <w:r>
        <w:rPr>
          <w:rFonts w:ascii="Arial" w:hAnsi="Arial" w:cs="Arial"/>
          <w:iCs/>
          <w:smallCaps/>
          <w:sz w:val="28"/>
          <w:lang w:val="es-CO"/>
        </w:rPr>
        <w:t xml:space="preserve">Pereira, R., </w:t>
      </w:r>
      <w:r w:rsidR="004E795D">
        <w:rPr>
          <w:rFonts w:ascii="Arial" w:hAnsi="Arial" w:cs="Arial"/>
          <w:iCs/>
          <w:smallCaps/>
          <w:sz w:val="28"/>
          <w:lang w:val="es-CO"/>
        </w:rPr>
        <w:t xml:space="preserve">veintidós </w:t>
      </w:r>
      <w:r>
        <w:rPr>
          <w:rFonts w:ascii="Arial" w:hAnsi="Arial" w:cs="Arial"/>
          <w:iCs/>
          <w:smallCaps/>
          <w:sz w:val="28"/>
          <w:lang w:val="es-CO"/>
        </w:rPr>
        <w:t>(</w:t>
      </w:r>
      <w:r w:rsidR="004E795D">
        <w:rPr>
          <w:rFonts w:ascii="Arial" w:hAnsi="Arial" w:cs="Arial"/>
          <w:iCs/>
          <w:smallCaps/>
          <w:sz w:val="28"/>
          <w:lang w:val="es-CO"/>
        </w:rPr>
        <w:t>22</w:t>
      </w:r>
      <w:r>
        <w:rPr>
          <w:rFonts w:ascii="Arial" w:hAnsi="Arial" w:cs="Arial"/>
          <w:iCs/>
          <w:smallCaps/>
          <w:sz w:val="28"/>
          <w:lang w:val="es-CO"/>
        </w:rPr>
        <w:t>) de marzo de dos mil diecisiete (2017)</w:t>
      </w:r>
      <w:r>
        <w:rPr>
          <w:rFonts w:ascii="Arial" w:hAnsi="Arial" w:cs="Arial"/>
          <w:iCs/>
          <w:sz w:val="28"/>
          <w:lang w:val="es-CO"/>
        </w:rPr>
        <w:t>.</w:t>
      </w:r>
    </w:p>
    <w:p w:rsidR="003913E3" w:rsidRPr="00E049C7" w:rsidRDefault="003913E3" w:rsidP="00F839CE">
      <w:pPr>
        <w:pStyle w:val="Corpsdetexte"/>
        <w:spacing w:line="360" w:lineRule="auto"/>
        <w:rPr>
          <w:rFonts w:ascii="Arial" w:hAnsi="Arial" w:cs="Arial"/>
          <w:szCs w:val="24"/>
          <w:lang w:val="es-CO"/>
        </w:rPr>
      </w:pPr>
    </w:p>
    <w:p w:rsidR="003913E3" w:rsidRPr="00E049C7" w:rsidRDefault="00E049C7" w:rsidP="00F839CE">
      <w:pPr>
        <w:pStyle w:val="Corpsdetexte"/>
        <w:numPr>
          <w:ilvl w:val="0"/>
          <w:numId w:val="1"/>
        </w:numPr>
        <w:spacing w:line="360" w:lineRule="auto"/>
        <w:rPr>
          <w:rFonts w:ascii="Arial" w:hAnsi="Arial" w:cs="Arial"/>
          <w:smallCaps/>
          <w:sz w:val="28"/>
          <w:szCs w:val="24"/>
        </w:rPr>
      </w:pPr>
      <w:r w:rsidRPr="00E049C7">
        <w:rPr>
          <w:rFonts w:ascii="Arial" w:hAnsi="Arial" w:cs="Arial"/>
          <w:smallCaps/>
          <w:sz w:val="28"/>
          <w:szCs w:val="24"/>
        </w:rPr>
        <w:t>El asunto a decidir</w:t>
      </w:r>
    </w:p>
    <w:p w:rsidR="003913E3" w:rsidRPr="00E049C7" w:rsidRDefault="003913E3" w:rsidP="0069459D">
      <w:pPr>
        <w:pStyle w:val="Corpsdetexte"/>
        <w:spacing w:line="24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E049C7" w:rsidRDefault="003913E3" w:rsidP="00F839CE">
      <w:pPr>
        <w:pStyle w:val="Corpsdetexte"/>
        <w:spacing w:line="360" w:lineRule="auto"/>
        <w:rPr>
          <w:rFonts w:ascii="Arial" w:hAnsi="Arial" w:cs="Arial"/>
          <w:szCs w:val="24"/>
        </w:rPr>
      </w:pPr>
    </w:p>
    <w:p w:rsidR="003913E3" w:rsidRPr="00E049C7" w:rsidRDefault="00E049C7" w:rsidP="00F839CE">
      <w:pPr>
        <w:pStyle w:val="Corpsdetexte"/>
        <w:numPr>
          <w:ilvl w:val="0"/>
          <w:numId w:val="1"/>
        </w:numPr>
        <w:spacing w:line="360" w:lineRule="auto"/>
        <w:rPr>
          <w:rFonts w:ascii="Arial" w:hAnsi="Arial" w:cs="Arial"/>
          <w:smallCaps/>
          <w:sz w:val="28"/>
          <w:szCs w:val="24"/>
        </w:rPr>
      </w:pPr>
      <w:r w:rsidRPr="00E049C7">
        <w:rPr>
          <w:rFonts w:ascii="Arial" w:hAnsi="Arial" w:cs="Arial"/>
          <w:smallCaps/>
          <w:sz w:val="28"/>
          <w:szCs w:val="24"/>
        </w:rPr>
        <w:t>La síntesis de los supuestos fácticos relevantes</w:t>
      </w:r>
    </w:p>
    <w:p w:rsidR="003913E3" w:rsidRPr="00E049C7" w:rsidRDefault="003913E3" w:rsidP="0069459D">
      <w:pPr>
        <w:pStyle w:val="Corpsdetexte"/>
        <w:spacing w:line="240" w:lineRule="auto"/>
        <w:rPr>
          <w:rFonts w:ascii="Arial" w:hAnsi="Arial" w:cs="Arial"/>
          <w:szCs w:val="24"/>
        </w:rPr>
      </w:pPr>
    </w:p>
    <w:p w:rsidR="003913E3" w:rsidRDefault="00E06AE8" w:rsidP="00386A2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que </w:t>
      </w:r>
      <w:r w:rsidR="00321B05">
        <w:rPr>
          <w:rFonts w:ascii="Arial" w:hAnsi="Arial" w:cs="Arial"/>
          <w:sz w:val="24"/>
          <w:szCs w:val="24"/>
        </w:rPr>
        <w:t>la accionante radicó</w:t>
      </w:r>
      <w:r w:rsidR="00927125">
        <w:rPr>
          <w:rFonts w:ascii="Arial" w:hAnsi="Arial" w:cs="Arial"/>
          <w:sz w:val="24"/>
          <w:szCs w:val="24"/>
        </w:rPr>
        <w:t xml:space="preserve"> solicitud de devolución de aportes ante la AFP Porvenir, pero como </w:t>
      </w:r>
      <w:r w:rsidR="00C03208">
        <w:rPr>
          <w:rFonts w:ascii="Arial" w:hAnsi="Arial" w:cs="Arial"/>
          <w:sz w:val="24"/>
          <w:szCs w:val="24"/>
        </w:rPr>
        <w:t xml:space="preserve">faltan algunos pagos realizados a </w:t>
      </w:r>
      <w:r w:rsidR="00C03208" w:rsidRPr="00C03208">
        <w:rPr>
          <w:rFonts w:ascii="Arial" w:hAnsi="Arial" w:cs="Arial"/>
          <w:sz w:val="22"/>
          <w:szCs w:val="24"/>
        </w:rPr>
        <w:t>CAJANAL</w:t>
      </w:r>
      <w:r w:rsidR="00321B05">
        <w:rPr>
          <w:rFonts w:ascii="Arial" w:hAnsi="Arial" w:cs="Arial"/>
          <w:sz w:val="22"/>
          <w:szCs w:val="24"/>
        </w:rPr>
        <w:t>,</w:t>
      </w:r>
      <w:r w:rsidR="00C03208">
        <w:rPr>
          <w:rFonts w:ascii="Arial" w:hAnsi="Arial" w:cs="Arial"/>
          <w:sz w:val="24"/>
          <w:szCs w:val="24"/>
        </w:rPr>
        <w:t xml:space="preserve"> aún no se le ha dado una respuesta de fondo </w:t>
      </w:r>
      <w:r w:rsidR="00927125">
        <w:rPr>
          <w:rFonts w:ascii="Arial" w:hAnsi="Arial" w:cs="Arial"/>
          <w:sz w:val="24"/>
          <w:szCs w:val="24"/>
        </w:rPr>
        <w:t xml:space="preserve">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C03208">
        <w:rPr>
          <w:rFonts w:ascii="Arial" w:hAnsi="Arial" w:cs="Arial"/>
          <w:color w:val="000000"/>
          <w:sz w:val="24"/>
          <w:szCs w:val="24"/>
          <w:lang w:val="es-CO"/>
        </w:rPr>
        <w:t>1 a 6</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386A25" w:rsidRPr="00E049C7" w:rsidRDefault="00E049C7" w:rsidP="00386A25">
      <w:pPr>
        <w:pStyle w:val="Corpsdetexte"/>
        <w:numPr>
          <w:ilvl w:val="0"/>
          <w:numId w:val="1"/>
        </w:numPr>
        <w:spacing w:line="360" w:lineRule="auto"/>
        <w:rPr>
          <w:rFonts w:ascii="Arial" w:hAnsi="Arial"/>
          <w:smallCaps/>
          <w:sz w:val="28"/>
          <w:szCs w:val="24"/>
        </w:rPr>
      </w:pPr>
      <w:r w:rsidRPr="00E049C7">
        <w:rPr>
          <w:rFonts w:ascii="Arial" w:hAnsi="Arial"/>
          <w:smallCaps/>
          <w:sz w:val="28"/>
          <w:szCs w:val="24"/>
        </w:rPr>
        <w:lastRenderedPageBreak/>
        <w:t>Los derechos presuntamente vulnerados</w:t>
      </w:r>
    </w:p>
    <w:p w:rsidR="00D13C1E" w:rsidRPr="00E049C7" w:rsidRDefault="00D13C1E" w:rsidP="00D13C1E">
      <w:pPr>
        <w:pStyle w:val="Corpsdetexte"/>
        <w:spacing w:line="360" w:lineRule="auto"/>
        <w:ind w:left="360"/>
        <w:rPr>
          <w:rFonts w:ascii="Arial" w:hAnsi="Arial"/>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en el escrito petitorio </w:t>
      </w:r>
      <w:r w:rsidR="00EE707E">
        <w:rPr>
          <w:rFonts w:ascii="Arial" w:hAnsi="Arial"/>
          <w:sz w:val="24"/>
          <w:szCs w:val="24"/>
        </w:rPr>
        <w:t xml:space="preserve">los </w:t>
      </w:r>
      <w:r>
        <w:rPr>
          <w:rFonts w:ascii="Arial" w:hAnsi="Arial"/>
          <w:sz w:val="24"/>
          <w:szCs w:val="24"/>
        </w:rPr>
        <w:t>derecho</w:t>
      </w:r>
      <w:r w:rsidR="00EE707E">
        <w:rPr>
          <w:rFonts w:ascii="Arial" w:hAnsi="Arial"/>
          <w:sz w:val="24"/>
          <w:szCs w:val="24"/>
        </w:rPr>
        <w:t>s</w:t>
      </w:r>
      <w:r w:rsidR="00F13AC7">
        <w:rPr>
          <w:rFonts w:ascii="Arial" w:hAnsi="Arial"/>
          <w:sz w:val="24"/>
          <w:szCs w:val="24"/>
        </w:rPr>
        <w:t xml:space="preserve"> fundamental</w:t>
      </w:r>
      <w:r w:rsidR="00EE707E">
        <w:rPr>
          <w:rFonts w:ascii="Arial" w:hAnsi="Arial"/>
          <w:sz w:val="24"/>
          <w:szCs w:val="24"/>
        </w:rPr>
        <w:t>es</w:t>
      </w:r>
      <w:r w:rsidR="004008EF">
        <w:rPr>
          <w:rFonts w:ascii="Arial" w:hAnsi="Arial"/>
          <w:sz w:val="24"/>
          <w:szCs w:val="24"/>
        </w:rPr>
        <w:t xml:space="preserve"> </w:t>
      </w:r>
      <w:r w:rsidR="00C03208">
        <w:rPr>
          <w:rFonts w:ascii="Arial" w:hAnsi="Arial"/>
          <w:sz w:val="24"/>
          <w:szCs w:val="24"/>
        </w:rPr>
        <w:t xml:space="preserve">de petición, seguridad social, dignidad humana y mínimo vital </w:t>
      </w:r>
      <w:r w:rsidRPr="00386A25">
        <w:rPr>
          <w:rFonts w:ascii="Arial" w:hAnsi="Arial"/>
          <w:sz w:val="24"/>
          <w:szCs w:val="24"/>
        </w:rPr>
        <w:t>(Folio</w:t>
      </w:r>
      <w:r w:rsidR="00F13AC7">
        <w:rPr>
          <w:rFonts w:ascii="Arial" w:hAnsi="Arial"/>
          <w:sz w:val="24"/>
          <w:szCs w:val="24"/>
        </w:rPr>
        <w:t xml:space="preserve"> </w:t>
      </w:r>
      <w:r w:rsidR="00C03208">
        <w:rPr>
          <w:rFonts w:ascii="Arial" w:hAnsi="Arial"/>
          <w:sz w:val="24"/>
          <w:szCs w:val="24"/>
        </w:rPr>
        <w:t>1</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C03208" w:rsidRDefault="00C03208" w:rsidP="00C03208">
      <w:pPr>
        <w:pStyle w:val="Corpsdetexte"/>
        <w:spacing w:line="360" w:lineRule="auto"/>
        <w:ind w:left="360"/>
        <w:rPr>
          <w:rFonts w:ascii="Arial" w:hAnsi="Arial"/>
          <w:smallCaps/>
          <w:sz w:val="28"/>
          <w:szCs w:val="28"/>
        </w:rPr>
      </w:pPr>
    </w:p>
    <w:p w:rsidR="002950F1" w:rsidRDefault="002950F1" w:rsidP="002950F1">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2950F1" w:rsidRPr="00E049C7" w:rsidRDefault="002950F1" w:rsidP="002950F1">
      <w:pPr>
        <w:pStyle w:val="Sansinterligne"/>
        <w:spacing w:line="360" w:lineRule="auto"/>
        <w:jc w:val="both"/>
        <w:rPr>
          <w:rFonts w:ascii="Arial" w:hAnsi="Arial" w:cs="Arial"/>
          <w:sz w:val="20"/>
        </w:rPr>
      </w:pPr>
    </w:p>
    <w:p w:rsidR="002950F1" w:rsidRDefault="00C03208" w:rsidP="00E049C7">
      <w:pPr>
        <w:pStyle w:val="Sansinterligne"/>
        <w:spacing w:line="360" w:lineRule="auto"/>
        <w:jc w:val="both"/>
        <w:rPr>
          <w:rFonts w:ascii="Arial" w:hAnsi="Arial" w:cs="Arial"/>
          <w:sz w:val="24"/>
          <w:szCs w:val="24"/>
        </w:rPr>
      </w:pPr>
      <w:r>
        <w:rPr>
          <w:rFonts w:ascii="Arial" w:hAnsi="Arial" w:cs="Arial"/>
          <w:sz w:val="24"/>
        </w:rPr>
        <w:t xml:space="preserve">La actora </w:t>
      </w:r>
      <w:r w:rsidR="002950F1">
        <w:rPr>
          <w:rFonts w:ascii="Arial" w:hAnsi="Arial" w:cs="Arial"/>
          <w:sz w:val="24"/>
        </w:rPr>
        <w:t>p</w:t>
      </w:r>
      <w:r w:rsidR="002950F1" w:rsidRPr="004D623C">
        <w:rPr>
          <w:rFonts w:ascii="Arial" w:hAnsi="Arial" w:cs="Arial"/>
          <w:sz w:val="24"/>
        </w:rPr>
        <w:t>retende que</w:t>
      </w:r>
      <w:r w:rsidR="002950F1">
        <w:rPr>
          <w:rFonts w:ascii="Arial" w:hAnsi="Arial" w:cs="Arial"/>
          <w:sz w:val="24"/>
        </w:rPr>
        <w:t xml:space="preserve">: (i) Se </w:t>
      </w:r>
      <w:r w:rsidR="002950F1">
        <w:rPr>
          <w:rFonts w:ascii="Arial" w:hAnsi="Arial" w:cs="Arial"/>
          <w:sz w:val="24"/>
          <w:szCs w:val="24"/>
        </w:rPr>
        <w:t xml:space="preserve">tutelen sus derechos fundamentales; (ii) </w:t>
      </w:r>
      <w:r>
        <w:rPr>
          <w:rFonts w:ascii="Arial" w:hAnsi="Arial" w:cs="Arial"/>
          <w:sz w:val="24"/>
          <w:szCs w:val="24"/>
        </w:rPr>
        <w:t xml:space="preserve">Se ordene a la </w:t>
      </w:r>
      <w:r w:rsidR="00321B05">
        <w:rPr>
          <w:rFonts w:ascii="Arial" w:hAnsi="Arial" w:cs="Arial"/>
          <w:sz w:val="24"/>
          <w:szCs w:val="24"/>
        </w:rPr>
        <w:t>Secretaría</w:t>
      </w:r>
      <w:r>
        <w:rPr>
          <w:rFonts w:ascii="Arial" w:hAnsi="Arial" w:cs="Arial"/>
          <w:sz w:val="24"/>
          <w:szCs w:val="24"/>
        </w:rPr>
        <w:t xml:space="preserve"> de </w:t>
      </w:r>
      <w:r w:rsidR="00321B05">
        <w:rPr>
          <w:rFonts w:ascii="Arial" w:hAnsi="Arial" w:cs="Arial"/>
          <w:sz w:val="24"/>
          <w:szCs w:val="24"/>
        </w:rPr>
        <w:t>Educación</w:t>
      </w:r>
      <w:r>
        <w:rPr>
          <w:rFonts w:ascii="Arial" w:hAnsi="Arial" w:cs="Arial"/>
          <w:sz w:val="24"/>
          <w:szCs w:val="24"/>
        </w:rPr>
        <w:t xml:space="preserve"> Departamental de </w:t>
      </w:r>
      <w:r w:rsidR="00321B05">
        <w:rPr>
          <w:rFonts w:ascii="Arial" w:hAnsi="Arial" w:cs="Arial"/>
          <w:sz w:val="24"/>
          <w:szCs w:val="24"/>
        </w:rPr>
        <w:t>Mitú</w:t>
      </w:r>
      <w:r>
        <w:rPr>
          <w:rFonts w:ascii="Arial" w:hAnsi="Arial" w:cs="Arial"/>
          <w:sz w:val="24"/>
          <w:szCs w:val="24"/>
        </w:rPr>
        <w:t xml:space="preserve"> realizar las gestiones necesarias para demostrar los pagos hechos a CAJANAL, o, en su defecto, realizar dichos pagos; (iii) Se ordene a CAJANAL hoy UGPP</w:t>
      </w:r>
      <w:r w:rsidR="00321B05">
        <w:rPr>
          <w:rFonts w:ascii="Arial" w:hAnsi="Arial" w:cs="Arial"/>
          <w:sz w:val="24"/>
          <w:szCs w:val="24"/>
        </w:rPr>
        <w:t>,</w:t>
      </w:r>
      <w:r>
        <w:rPr>
          <w:rFonts w:ascii="Arial" w:hAnsi="Arial" w:cs="Arial"/>
          <w:sz w:val="24"/>
          <w:szCs w:val="24"/>
        </w:rPr>
        <w:t xml:space="preserve"> revisar en sus archivos el pago de los aportes; y, (iv) Se ordene a la AFP Porvenir</w:t>
      </w:r>
      <w:r w:rsidR="00321B05">
        <w:rPr>
          <w:rFonts w:ascii="Arial" w:hAnsi="Arial" w:cs="Arial"/>
          <w:sz w:val="24"/>
          <w:szCs w:val="24"/>
        </w:rPr>
        <w:t>,</w:t>
      </w:r>
      <w:r>
        <w:rPr>
          <w:rFonts w:ascii="Arial" w:hAnsi="Arial" w:cs="Arial"/>
          <w:sz w:val="24"/>
          <w:szCs w:val="24"/>
        </w:rPr>
        <w:t xml:space="preserve"> responder el derecho de petición, y efectuar la devolución de aportes, pese a que no reciba respuesta favorable de las aludidas entidades</w:t>
      </w:r>
      <w:r w:rsidR="0053052C">
        <w:rPr>
          <w:rFonts w:ascii="Arial" w:hAnsi="Arial" w:cs="Arial"/>
          <w:sz w:val="24"/>
          <w:szCs w:val="24"/>
        </w:rPr>
        <w:t xml:space="preserve"> </w:t>
      </w:r>
      <w:r w:rsidR="002950F1" w:rsidRPr="004D623C">
        <w:rPr>
          <w:rFonts w:ascii="Arial" w:hAnsi="Arial" w:cs="Arial"/>
          <w:sz w:val="24"/>
          <w:szCs w:val="24"/>
        </w:rPr>
        <w:t>(Folio</w:t>
      </w:r>
      <w:r>
        <w:rPr>
          <w:rFonts w:ascii="Arial" w:hAnsi="Arial" w:cs="Arial"/>
          <w:sz w:val="24"/>
          <w:szCs w:val="24"/>
        </w:rPr>
        <w:t>s</w:t>
      </w:r>
      <w:r w:rsidR="002950F1">
        <w:rPr>
          <w:rFonts w:ascii="Arial" w:hAnsi="Arial" w:cs="Arial"/>
          <w:sz w:val="24"/>
          <w:szCs w:val="24"/>
        </w:rPr>
        <w:t xml:space="preserve"> </w:t>
      </w:r>
      <w:r>
        <w:rPr>
          <w:rFonts w:ascii="Arial" w:hAnsi="Arial" w:cs="Arial"/>
          <w:sz w:val="24"/>
          <w:szCs w:val="24"/>
        </w:rPr>
        <w:t>1 y 2</w:t>
      </w:r>
      <w:r w:rsidR="002950F1" w:rsidRPr="004D623C">
        <w:rPr>
          <w:rFonts w:ascii="Arial" w:hAnsi="Arial" w:cs="Arial"/>
          <w:sz w:val="24"/>
          <w:szCs w:val="24"/>
        </w:rPr>
        <w:t xml:space="preserve">, </w:t>
      </w:r>
      <w:r w:rsidR="002950F1" w:rsidRPr="004D623C">
        <w:rPr>
          <w:rFonts w:ascii="Arial" w:hAnsi="Arial" w:cs="Arial"/>
          <w:sz w:val="24"/>
        </w:rPr>
        <w:t>del cuaderno No.1</w:t>
      </w:r>
      <w:r w:rsidR="002950F1" w:rsidRPr="004D623C">
        <w:rPr>
          <w:rFonts w:ascii="Arial" w:hAnsi="Arial" w:cs="Arial"/>
          <w:sz w:val="24"/>
          <w:szCs w:val="24"/>
        </w:rPr>
        <w:t xml:space="preserve">). </w:t>
      </w:r>
    </w:p>
    <w:p w:rsidR="00E049C7" w:rsidRPr="00E049C7" w:rsidRDefault="00E049C7" w:rsidP="00E049C7">
      <w:pPr>
        <w:pStyle w:val="Sansinterligne"/>
        <w:spacing w:line="360" w:lineRule="auto"/>
        <w:jc w:val="both"/>
        <w:rPr>
          <w:rFonts w:ascii="Arial" w:hAnsi="Arial"/>
          <w:szCs w:val="24"/>
        </w:rPr>
      </w:pPr>
    </w:p>
    <w:p w:rsidR="003913E3" w:rsidRPr="00E049C7" w:rsidRDefault="00E049C7" w:rsidP="00F839CE">
      <w:pPr>
        <w:pStyle w:val="Corpsdetexte"/>
        <w:widowControl w:val="0"/>
        <w:numPr>
          <w:ilvl w:val="0"/>
          <w:numId w:val="1"/>
        </w:numPr>
        <w:spacing w:line="360" w:lineRule="auto"/>
        <w:rPr>
          <w:rFonts w:ascii="Arial" w:hAnsi="Arial" w:cs="Arial"/>
          <w:smallCaps/>
          <w:sz w:val="28"/>
          <w:szCs w:val="24"/>
        </w:rPr>
      </w:pPr>
      <w:r w:rsidRPr="00E049C7">
        <w:rPr>
          <w:rFonts w:ascii="Arial" w:hAnsi="Arial" w:cs="Arial"/>
          <w:smallCaps/>
          <w:sz w:val="28"/>
          <w:szCs w:val="24"/>
        </w:rPr>
        <w:t>La sinopsis de la crónica procesal</w:t>
      </w:r>
    </w:p>
    <w:p w:rsidR="003913E3" w:rsidRPr="00E049C7" w:rsidRDefault="003913E3" w:rsidP="00B942B6">
      <w:pPr>
        <w:pStyle w:val="Corpsdetexte"/>
        <w:spacing w:line="360" w:lineRule="auto"/>
        <w:rPr>
          <w:rFonts w:ascii="Arial" w:hAnsi="Arial" w:cs="Arial"/>
          <w:szCs w:val="24"/>
        </w:rPr>
      </w:pPr>
    </w:p>
    <w:p w:rsidR="00E23D2E" w:rsidRDefault="0053052C" w:rsidP="00E23D2E">
      <w:pPr>
        <w:pStyle w:val="Corpsdetexte"/>
        <w:widowControl w:val="0"/>
        <w:spacing w:line="360" w:lineRule="auto"/>
        <w:rPr>
          <w:rFonts w:ascii="Arial" w:hAnsi="Arial"/>
          <w:sz w:val="24"/>
        </w:rPr>
      </w:pPr>
      <w:r>
        <w:rPr>
          <w:rFonts w:ascii="Arial" w:hAnsi="Arial"/>
          <w:sz w:val="24"/>
        </w:rPr>
        <w:t>C</w:t>
      </w:r>
      <w:r w:rsidR="00E23D2E" w:rsidRPr="00E23D2E">
        <w:rPr>
          <w:rFonts w:ascii="Arial" w:hAnsi="Arial"/>
          <w:sz w:val="24"/>
        </w:rPr>
        <w:t xml:space="preserve">on providencia del </w:t>
      </w:r>
      <w:r w:rsidR="00C03208">
        <w:rPr>
          <w:rFonts w:ascii="Arial" w:hAnsi="Arial"/>
          <w:sz w:val="24"/>
        </w:rPr>
        <w:t xml:space="preserve">09-11-2016 </w:t>
      </w:r>
      <w:r>
        <w:rPr>
          <w:rFonts w:ascii="Arial" w:hAnsi="Arial"/>
          <w:sz w:val="24"/>
        </w:rPr>
        <w:t xml:space="preserve">se </w:t>
      </w:r>
      <w:r w:rsidR="00E23D2E" w:rsidRPr="00E23D2E">
        <w:rPr>
          <w:rFonts w:ascii="Arial" w:hAnsi="Arial"/>
          <w:sz w:val="24"/>
        </w:rPr>
        <w:t>admitió</w:t>
      </w:r>
      <w:r>
        <w:rPr>
          <w:rFonts w:ascii="Arial" w:hAnsi="Arial"/>
          <w:sz w:val="24"/>
        </w:rPr>
        <w:t xml:space="preserve">, se vinculó a quienes se estimó conveniente </w:t>
      </w:r>
      <w:r w:rsidR="00E23D2E" w:rsidRPr="00E23D2E">
        <w:rPr>
          <w:rFonts w:ascii="Arial" w:hAnsi="Arial"/>
          <w:sz w:val="24"/>
        </w:rPr>
        <w:t xml:space="preserve">y </w:t>
      </w:r>
      <w:r>
        <w:rPr>
          <w:rFonts w:ascii="Arial" w:hAnsi="Arial"/>
          <w:sz w:val="24"/>
        </w:rPr>
        <w:t xml:space="preserve">se </w:t>
      </w:r>
      <w:r w:rsidR="00E23D2E" w:rsidRPr="00E23D2E">
        <w:rPr>
          <w:rFonts w:ascii="Arial" w:hAnsi="Arial"/>
          <w:sz w:val="24"/>
        </w:rPr>
        <w:t>ordenó notificar a las partes (Folio</w:t>
      </w:r>
      <w:r w:rsidR="00FB469C">
        <w:rPr>
          <w:rFonts w:ascii="Arial" w:hAnsi="Arial"/>
          <w:sz w:val="24"/>
        </w:rPr>
        <w:t xml:space="preserve"> </w:t>
      </w:r>
      <w:r w:rsidR="00C03208">
        <w:rPr>
          <w:rFonts w:ascii="Arial" w:hAnsi="Arial"/>
          <w:sz w:val="24"/>
        </w:rPr>
        <w:t>57</w:t>
      </w:r>
      <w:r w:rsidR="00E23D2E" w:rsidRPr="00E23D2E">
        <w:rPr>
          <w:rFonts w:ascii="Arial" w:hAnsi="Arial"/>
          <w:sz w:val="24"/>
        </w:rPr>
        <w:t xml:space="preserve">, </w:t>
      </w:r>
      <w:r w:rsidR="002950F1">
        <w:rPr>
          <w:rFonts w:ascii="Arial" w:hAnsi="Arial" w:cs="Arial"/>
          <w:color w:val="000000"/>
          <w:sz w:val="24"/>
          <w:lang w:val="es-CO"/>
        </w:rPr>
        <w:t>ibídem</w:t>
      </w:r>
      <w:r w:rsidR="00E23D2E" w:rsidRPr="00E23D2E">
        <w:rPr>
          <w:rFonts w:ascii="Arial" w:hAnsi="Arial"/>
          <w:sz w:val="24"/>
        </w:rPr>
        <w:t>)</w:t>
      </w:r>
      <w:r w:rsidR="00706990">
        <w:rPr>
          <w:rFonts w:ascii="Arial" w:hAnsi="Arial"/>
          <w:sz w:val="24"/>
        </w:rPr>
        <w:t xml:space="preserve">; </w:t>
      </w:r>
      <w:r w:rsidR="00C03208">
        <w:rPr>
          <w:rFonts w:ascii="Arial" w:hAnsi="Arial"/>
          <w:sz w:val="24"/>
        </w:rPr>
        <w:t xml:space="preserve">el 21-11-2016 </w:t>
      </w:r>
      <w:r w:rsidR="00E23D2E" w:rsidRPr="00E23D2E">
        <w:rPr>
          <w:rFonts w:ascii="Arial" w:hAnsi="Arial"/>
          <w:sz w:val="24"/>
        </w:rPr>
        <w:t xml:space="preserve">se profirió sentencia (Folios </w:t>
      </w:r>
      <w:r w:rsidR="00C03208">
        <w:rPr>
          <w:rFonts w:ascii="Arial" w:hAnsi="Arial"/>
          <w:sz w:val="24"/>
        </w:rPr>
        <w:t>74 a 80</w:t>
      </w:r>
      <w:r w:rsidR="00E23D2E" w:rsidRPr="00E23D2E">
        <w:rPr>
          <w:rFonts w:ascii="Arial" w:hAnsi="Arial"/>
          <w:sz w:val="24"/>
        </w:rPr>
        <w:t xml:space="preserve">, </w:t>
      </w:r>
      <w:r w:rsidR="002950F1">
        <w:rPr>
          <w:rFonts w:ascii="Arial" w:hAnsi="Arial"/>
          <w:sz w:val="24"/>
        </w:rPr>
        <w:t>ib.</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C03208">
        <w:rPr>
          <w:rFonts w:ascii="Arial" w:hAnsi="Arial"/>
          <w:sz w:val="24"/>
        </w:rPr>
        <w:t xml:space="preserve">12-12-2016 se concedieron </w:t>
      </w:r>
      <w:r w:rsidR="00E23D2E" w:rsidRPr="00E23D2E">
        <w:rPr>
          <w:rFonts w:ascii="Arial" w:hAnsi="Arial"/>
          <w:sz w:val="24"/>
        </w:rPr>
        <w:t>la</w:t>
      </w:r>
      <w:r>
        <w:rPr>
          <w:rFonts w:ascii="Arial" w:hAnsi="Arial"/>
          <w:sz w:val="24"/>
        </w:rPr>
        <w:t>s</w:t>
      </w:r>
      <w:r w:rsidR="00E23D2E" w:rsidRPr="00E23D2E">
        <w:rPr>
          <w:rFonts w:ascii="Arial" w:hAnsi="Arial"/>
          <w:sz w:val="24"/>
        </w:rPr>
        <w:t xml:space="preserve"> </w:t>
      </w:r>
      <w:r>
        <w:rPr>
          <w:rFonts w:ascii="Arial" w:hAnsi="Arial"/>
          <w:sz w:val="24"/>
        </w:rPr>
        <w:t xml:space="preserve">impugnaciones </w:t>
      </w:r>
      <w:r w:rsidR="00E23D2E">
        <w:rPr>
          <w:rFonts w:ascii="Arial" w:hAnsi="Arial"/>
          <w:sz w:val="24"/>
        </w:rPr>
        <w:t>formulada</w:t>
      </w:r>
      <w:r>
        <w:rPr>
          <w:rFonts w:ascii="Arial" w:hAnsi="Arial"/>
          <w:sz w:val="24"/>
        </w:rPr>
        <w:t>s</w:t>
      </w:r>
      <w:r w:rsidR="00E23D2E" w:rsidRPr="00E23D2E">
        <w:rPr>
          <w:rFonts w:ascii="Arial" w:hAnsi="Arial"/>
          <w:sz w:val="24"/>
        </w:rPr>
        <w:t xml:space="preserve">, ante este Tribunal (Folio </w:t>
      </w:r>
      <w:r w:rsidR="00C9787A">
        <w:rPr>
          <w:rFonts w:ascii="Arial" w:hAnsi="Arial"/>
          <w:sz w:val="24"/>
        </w:rPr>
        <w:t>98</w:t>
      </w:r>
      <w:r w:rsidR="00866FC7">
        <w:rPr>
          <w:rFonts w:ascii="Arial" w:hAnsi="Arial"/>
          <w:sz w:val="24"/>
        </w:rPr>
        <w:t>, ib</w:t>
      </w:r>
      <w:r w:rsidR="002950F1">
        <w:rPr>
          <w:rFonts w:ascii="Arial" w:hAnsi="Arial"/>
          <w:sz w:val="24"/>
        </w:rPr>
        <w:t>.</w:t>
      </w:r>
      <w:r w:rsidR="00E23D2E" w:rsidRPr="00E23D2E">
        <w:rPr>
          <w:rFonts w:ascii="Arial" w:hAnsi="Arial"/>
          <w:sz w:val="24"/>
        </w:rPr>
        <w:t xml:space="preserve">). </w:t>
      </w:r>
    </w:p>
    <w:p w:rsidR="00C9787A" w:rsidRDefault="00C9787A" w:rsidP="00E23D2E">
      <w:pPr>
        <w:pStyle w:val="Corpsdetexte"/>
        <w:widowControl w:val="0"/>
        <w:spacing w:line="360" w:lineRule="auto"/>
        <w:rPr>
          <w:rFonts w:ascii="Arial" w:hAnsi="Arial"/>
          <w:sz w:val="24"/>
        </w:rPr>
      </w:pPr>
    </w:p>
    <w:p w:rsidR="00C9787A" w:rsidRDefault="00C9787A" w:rsidP="00C9787A">
      <w:pPr>
        <w:pStyle w:val="Corpsdetexte"/>
        <w:widowControl w:val="0"/>
        <w:spacing w:line="360" w:lineRule="auto"/>
        <w:rPr>
          <w:rFonts w:ascii="Arial" w:hAnsi="Arial"/>
          <w:sz w:val="24"/>
        </w:rPr>
      </w:pPr>
      <w:r>
        <w:rPr>
          <w:rFonts w:ascii="Arial" w:hAnsi="Arial"/>
          <w:sz w:val="24"/>
        </w:rPr>
        <w:t>Ya en esta instancia el 24-01-2017 se declaró la nulidad de lo actuado (Folios 4 y 5, cuaderno No.2); seguidamente, el juez de conocimiento con auto del 30-01-2017 dispuso cumplir la orden de esta Corporación (Folio 2, cuaderno No.3); el 13-02-2017 dictó sentencia (Folios 10 a 14, ibídem) y, finalmente con proveído del 20-02-2017 concedió las impugnaciones presentadas (Folio 53, ib.).</w:t>
      </w:r>
    </w:p>
    <w:p w:rsidR="003913E3" w:rsidRPr="00E049C7" w:rsidRDefault="003913E3" w:rsidP="00B942B6">
      <w:pPr>
        <w:pStyle w:val="Corpsdetexte"/>
        <w:spacing w:line="360" w:lineRule="auto"/>
        <w:rPr>
          <w:rFonts w:ascii="Arial" w:hAnsi="Arial" w:cs="Arial"/>
          <w:szCs w:val="24"/>
        </w:rPr>
      </w:pPr>
    </w:p>
    <w:p w:rsidR="003913E3" w:rsidRPr="00B3071D" w:rsidRDefault="002950F1" w:rsidP="00F839CE">
      <w:pPr>
        <w:pStyle w:val="Corpsdetexte"/>
        <w:widowControl w:val="0"/>
        <w:spacing w:line="360" w:lineRule="auto"/>
        <w:rPr>
          <w:rFonts w:ascii="Arial" w:hAnsi="Arial" w:cs="Arial"/>
          <w:sz w:val="24"/>
          <w:szCs w:val="24"/>
        </w:rPr>
      </w:pPr>
      <w:r>
        <w:rPr>
          <w:rFonts w:ascii="Arial" w:hAnsi="Arial" w:cs="Arial"/>
          <w:sz w:val="24"/>
          <w:szCs w:val="24"/>
        </w:rPr>
        <w:t xml:space="preserve">El </w:t>
      </w:r>
      <w:r w:rsidR="00C9787A" w:rsidRPr="00C9787A">
        <w:rPr>
          <w:rFonts w:ascii="Arial" w:hAnsi="Arial" w:cs="Arial"/>
          <w:i/>
          <w:sz w:val="24"/>
          <w:szCs w:val="24"/>
        </w:rPr>
        <w:t>a quo</w:t>
      </w:r>
      <w:r>
        <w:rPr>
          <w:rFonts w:ascii="Arial" w:hAnsi="Arial" w:cs="Arial"/>
          <w:sz w:val="24"/>
          <w:szCs w:val="24"/>
        </w:rPr>
        <w:t xml:space="preserve"> </w:t>
      </w:r>
      <w:r w:rsidR="0053052C">
        <w:rPr>
          <w:rFonts w:ascii="Arial" w:hAnsi="Arial" w:cs="Arial"/>
          <w:sz w:val="24"/>
          <w:szCs w:val="24"/>
        </w:rPr>
        <w:t xml:space="preserve">concedió el amparo constitucional </w:t>
      </w:r>
      <w:r w:rsidR="00C9787A">
        <w:rPr>
          <w:rFonts w:ascii="Arial" w:hAnsi="Arial" w:cs="Arial"/>
          <w:sz w:val="24"/>
          <w:szCs w:val="24"/>
        </w:rPr>
        <w:t>y ordenó a las accionadas dar respuesta a las solicitudes de la AFP Porvenir, con el fin de que esta última realice el pago del bono pensional</w:t>
      </w:r>
      <w:r w:rsidR="00083CC1">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C9787A">
        <w:rPr>
          <w:rFonts w:ascii="Arial" w:hAnsi="Arial" w:cs="Arial"/>
          <w:sz w:val="24"/>
          <w:szCs w:val="24"/>
        </w:rPr>
        <w:t>10 a 14, ib.)</w:t>
      </w:r>
      <w:r w:rsidR="003913E3" w:rsidRPr="00B3071D">
        <w:rPr>
          <w:rFonts w:ascii="Arial" w:hAnsi="Arial" w:cs="Arial"/>
          <w:sz w:val="24"/>
          <w:szCs w:val="24"/>
        </w:rPr>
        <w:t>.</w:t>
      </w:r>
      <w:r w:rsidR="00D90AB6">
        <w:rPr>
          <w:rFonts w:ascii="Arial" w:hAnsi="Arial" w:cs="Arial"/>
          <w:sz w:val="24"/>
          <w:szCs w:val="24"/>
        </w:rPr>
        <w:t xml:space="preserve"> </w:t>
      </w:r>
    </w:p>
    <w:p w:rsidR="003913E3" w:rsidRPr="00E049C7" w:rsidRDefault="003913E3" w:rsidP="00F839CE">
      <w:pPr>
        <w:pStyle w:val="Corpsdetexte"/>
        <w:widowControl w:val="0"/>
        <w:spacing w:line="360" w:lineRule="auto"/>
        <w:rPr>
          <w:rFonts w:ascii="Arial" w:hAnsi="Arial" w:cs="Arial"/>
          <w:szCs w:val="24"/>
        </w:rPr>
      </w:pPr>
    </w:p>
    <w:p w:rsidR="00ED5205" w:rsidRPr="00311FCA" w:rsidRDefault="00C9787A" w:rsidP="00ED5205">
      <w:pPr>
        <w:pStyle w:val="Corpsdetexte"/>
        <w:widowControl w:val="0"/>
        <w:spacing w:line="360" w:lineRule="auto"/>
        <w:rPr>
          <w:rFonts w:ascii="Arial" w:hAnsi="Arial" w:cs="Arial"/>
          <w:sz w:val="24"/>
          <w:szCs w:val="24"/>
        </w:rPr>
      </w:pPr>
      <w:r>
        <w:rPr>
          <w:rFonts w:ascii="Arial" w:hAnsi="Arial" w:cs="Arial"/>
          <w:sz w:val="24"/>
          <w:szCs w:val="24"/>
        </w:rPr>
        <w:t xml:space="preserve">El Vicariato Apostólico de Mitú </w:t>
      </w:r>
      <w:r w:rsidR="00E47A3C">
        <w:rPr>
          <w:rFonts w:ascii="Arial" w:hAnsi="Arial" w:cs="Arial"/>
          <w:sz w:val="24"/>
          <w:szCs w:val="24"/>
        </w:rPr>
        <w:t xml:space="preserve">recurrió el fallo de </w:t>
      </w:r>
      <w:r>
        <w:rPr>
          <w:rFonts w:ascii="Arial" w:hAnsi="Arial" w:cs="Arial"/>
          <w:sz w:val="24"/>
          <w:szCs w:val="24"/>
        </w:rPr>
        <w:t xml:space="preserve">tutela porque </w:t>
      </w:r>
      <w:r w:rsidR="00E47A3C">
        <w:rPr>
          <w:rFonts w:ascii="Arial" w:hAnsi="Arial" w:cs="Arial"/>
          <w:sz w:val="24"/>
          <w:szCs w:val="24"/>
        </w:rPr>
        <w:t xml:space="preserve">le es imposible brindar información que solo reposa en los </w:t>
      </w:r>
      <w:r>
        <w:rPr>
          <w:rFonts w:ascii="Arial" w:hAnsi="Arial" w:cs="Arial"/>
          <w:sz w:val="24"/>
          <w:szCs w:val="24"/>
        </w:rPr>
        <w:t xml:space="preserve">archivos </w:t>
      </w:r>
      <w:r w:rsidR="00E47A3C">
        <w:rPr>
          <w:rFonts w:ascii="Arial" w:hAnsi="Arial" w:cs="Arial"/>
          <w:sz w:val="24"/>
          <w:szCs w:val="24"/>
        </w:rPr>
        <w:t xml:space="preserve">de la </w:t>
      </w:r>
      <w:r>
        <w:rPr>
          <w:rFonts w:ascii="Arial" w:hAnsi="Arial" w:cs="Arial"/>
          <w:sz w:val="24"/>
          <w:szCs w:val="24"/>
        </w:rPr>
        <w:t xml:space="preserve">Gobernación de Vaupés </w:t>
      </w:r>
      <w:r w:rsidR="00E47A3C">
        <w:rPr>
          <w:rFonts w:ascii="Arial" w:hAnsi="Arial" w:cs="Arial"/>
          <w:sz w:val="24"/>
          <w:szCs w:val="24"/>
        </w:rPr>
        <w:t>(Folio 41, ib.). Por su parte la UGPP refirió que no cuenta con los archivos históricos que le permitan certificar pagos anteriores al 01-04-1994 y que el único que puede hacerlo es el antiguo empleador. Pidió exonerarla de responsabilidad y arrimó respuestas dirigidas a la accionante y a la AFP Porvenir (Folios 43 a 51, ib.)</w:t>
      </w:r>
      <w:r w:rsidR="00DC0810">
        <w:rPr>
          <w:rFonts w:ascii="Arial" w:hAnsi="Arial" w:cs="Arial"/>
          <w:sz w:val="24"/>
          <w:szCs w:val="24"/>
        </w:rPr>
        <w:t>.</w:t>
      </w:r>
    </w:p>
    <w:p w:rsidR="003913E3" w:rsidRPr="00E049C7" w:rsidRDefault="00E049C7"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8"/>
        </w:rPr>
      </w:pPr>
      <w:r w:rsidRPr="00E049C7">
        <w:rPr>
          <w:rFonts w:ascii="Arial" w:hAnsi="Arial" w:cs="Arial"/>
          <w:smallCaps/>
          <w:sz w:val="28"/>
          <w:szCs w:val="28"/>
        </w:rPr>
        <w:lastRenderedPageBreak/>
        <w:t>La fundamentación jurídica para resolver</w:t>
      </w:r>
    </w:p>
    <w:p w:rsidR="00912A38" w:rsidRPr="00E049C7"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Cs w:val="24"/>
        </w:rPr>
      </w:pPr>
    </w:p>
    <w:p w:rsidR="002E3E3F" w:rsidRPr="00E049C7" w:rsidRDefault="003913E3" w:rsidP="002E3E3F">
      <w:pPr>
        <w:pStyle w:val="Corpsdetexte"/>
        <w:numPr>
          <w:ilvl w:val="1"/>
          <w:numId w:val="36"/>
        </w:numPr>
        <w:tabs>
          <w:tab w:val="clear" w:pos="708"/>
        </w:tabs>
        <w:spacing w:line="360" w:lineRule="auto"/>
        <w:rPr>
          <w:rFonts w:ascii="Arial" w:hAnsi="Arial" w:cs="Arial"/>
          <w:sz w:val="24"/>
          <w:szCs w:val="24"/>
        </w:rPr>
      </w:pPr>
      <w:r w:rsidRPr="002E3E3F">
        <w:rPr>
          <w:rFonts w:ascii="Arial" w:hAnsi="Arial" w:cs="Arial"/>
          <w:smallCaps/>
          <w:sz w:val="24"/>
          <w:szCs w:val="24"/>
        </w:rPr>
        <w:t>La competencia funcional</w:t>
      </w:r>
      <w:r w:rsidR="002E3E3F" w:rsidRPr="002E3E3F">
        <w:rPr>
          <w:rFonts w:ascii="Arial" w:hAnsi="Arial" w:cs="Arial"/>
          <w:smallCaps/>
          <w:sz w:val="24"/>
          <w:szCs w:val="24"/>
        </w:rPr>
        <w:t xml:space="preserve">. </w:t>
      </w:r>
      <w:r w:rsidR="0017096D" w:rsidRPr="002E3E3F">
        <w:rPr>
          <w:rFonts w:ascii="Arial" w:hAnsi="Arial" w:cs="Arial"/>
          <w:sz w:val="24"/>
          <w:lang w:val="es-CO"/>
        </w:rPr>
        <w:t>Esta Sala especializada está facultada en forma legal para desatar la controversia puesta a su consideración, por ser la superiora jerárquica del Despacho que conoció en primera instancia.</w:t>
      </w:r>
    </w:p>
    <w:p w:rsidR="00E049C7" w:rsidRPr="00E049C7" w:rsidRDefault="00E049C7" w:rsidP="00E049C7">
      <w:pPr>
        <w:pStyle w:val="Corpsdetexte"/>
        <w:tabs>
          <w:tab w:val="clear" w:pos="708"/>
        </w:tabs>
        <w:spacing w:line="360" w:lineRule="auto"/>
        <w:ind w:left="720"/>
        <w:rPr>
          <w:rFonts w:ascii="Arial" w:hAnsi="Arial" w:cs="Arial"/>
          <w:szCs w:val="24"/>
        </w:rPr>
      </w:pPr>
    </w:p>
    <w:p w:rsidR="00874CC8" w:rsidRPr="00874CC8" w:rsidRDefault="003913E3" w:rsidP="002E3E3F">
      <w:pPr>
        <w:pStyle w:val="Corpsdetexte"/>
        <w:numPr>
          <w:ilvl w:val="1"/>
          <w:numId w:val="36"/>
        </w:numPr>
        <w:tabs>
          <w:tab w:val="clear" w:pos="708"/>
        </w:tabs>
        <w:spacing w:line="360" w:lineRule="auto"/>
        <w:ind w:left="709" w:hanging="709"/>
        <w:rPr>
          <w:rFonts w:ascii="Arial" w:hAnsi="Arial" w:cs="Arial"/>
          <w:sz w:val="24"/>
          <w:szCs w:val="24"/>
          <w:lang w:val="es-CO"/>
        </w:rPr>
      </w:pPr>
      <w:r w:rsidRPr="002E3E3F">
        <w:rPr>
          <w:rFonts w:ascii="Arial" w:hAnsi="Arial" w:cs="Arial"/>
          <w:smallCaps/>
          <w:sz w:val="24"/>
          <w:szCs w:val="24"/>
        </w:rPr>
        <w:t>La legitimación en la causa</w:t>
      </w:r>
      <w:r w:rsidR="002E3E3F" w:rsidRPr="002E3E3F">
        <w:rPr>
          <w:rFonts w:ascii="Arial" w:hAnsi="Arial" w:cs="Arial"/>
          <w:smallCaps/>
          <w:sz w:val="24"/>
          <w:szCs w:val="24"/>
        </w:rPr>
        <w:t>.</w:t>
      </w:r>
      <w:r w:rsidR="002E3E3F">
        <w:rPr>
          <w:rFonts w:ascii="Arial" w:hAnsi="Arial" w:cs="Arial"/>
          <w:smallCaps/>
          <w:sz w:val="24"/>
          <w:szCs w:val="24"/>
        </w:rPr>
        <w:t xml:space="preserve"> </w:t>
      </w:r>
      <w:r w:rsidRPr="002E3E3F">
        <w:rPr>
          <w:rFonts w:ascii="Arial" w:hAnsi="Arial" w:cs="Arial"/>
          <w:sz w:val="24"/>
          <w:szCs w:val="24"/>
        </w:rPr>
        <w:t xml:space="preserve">Se cumple </w:t>
      </w:r>
      <w:r w:rsidR="00275F09" w:rsidRPr="002E3E3F">
        <w:rPr>
          <w:rFonts w:ascii="Arial" w:hAnsi="Arial" w:cs="Arial"/>
          <w:sz w:val="24"/>
          <w:szCs w:val="24"/>
        </w:rPr>
        <w:t xml:space="preserve">por activa </w:t>
      </w:r>
      <w:r w:rsidRPr="002E3E3F">
        <w:rPr>
          <w:rFonts w:ascii="Arial" w:hAnsi="Arial" w:cs="Arial"/>
          <w:sz w:val="24"/>
          <w:szCs w:val="24"/>
        </w:rPr>
        <w:t xml:space="preserve">porque </w:t>
      </w:r>
      <w:r w:rsidR="00351DC4">
        <w:rPr>
          <w:rFonts w:ascii="Arial" w:hAnsi="Arial" w:cs="Arial"/>
          <w:sz w:val="24"/>
          <w:szCs w:val="24"/>
        </w:rPr>
        <w:t xml:space="preserve">la </w:t>
      </w:r>
      <w:r w:rsidR="00E47A3C">
        <w:rPr>
          <w:rFonts w:ascii="Arial" w:hAnsi="Arial" w:cs="Arial"/>
          <w:sz w:val="24"/>
          <w:szCs w:val="24"/>
        </w:rPr>
        <w:t>señora Luz Mabel Pérez Restrepo solicitó la devolución de aportes a la AFP Porvenir (Folios 15 y 21, cuaderno No.1)</w:t>
      </w:r>
      <w:r w:rsidRPr="002E3E3F">
        <w:rPr>
          <w:rFonts w:ascii="Arial" w:hAnsi="Arial" w:cs="Arial"/>
          <w:sz w:val="24"/>
          <w:szCs w:val="24"/>
        </w:rPr>
        <w:t xml:space="preserve">. </w:t>
      </w:r>
      <w:r w:rsidR="008D4074" w:rsidRPr="002E3E3F">
        <w:rPr>
          <w:rFonts w:ascii="Arial" w:hAnsi="Arial" w:cs="Arial"/>
          <w:sz w:val="24"/>
          <w:szCs w:val="24"/>
        </w:rPr>
        <w:t>En el extremo pasivo,</w:t>
      </w:r>
      <w:r w:rsidR="00D60BD1" w:rsidRPr="002E3E3F">
        <w:rPr>
          <w:rFonts w:ascii="Arial" w:hAnsi="Arial" w:cs="Arial"/>
          <w:sz w:val="24"/>
          <w:szCs w:val="24"/>
        </w:rPr>
        <w:t xml:space="preserve"> </w:t>
      </w:r>
      <w:r w:rsidR="00E47A3C">
        <w:rPr>
          <w:rFonts w:ascii="Arial" w:hAnsi="Arial" w:cs="Arial"/>
          <w:sz w:val="24"/>
          <w:szCs w:val="24"/>
        </w:rPr>
        <w:t>la AFP Porvenir por ser la destinataria del derecho de petición</w:t>
      </w:r>
      <w:r w:rsidR="00874CC8">
        <w:rPr>
          <w:rFonts w:ascii="Arial" w:hAnsi="Arial" w:cs="Arial"/>
          <w:sz w:val="24"/>
          <w:szCs w:val="24"/>
        </w:rPr>
        <w:t>.</w:t>
      </w:r>
    </w:p>
    <w:p w:rsidR="00351DC4" w:rsidRPr="002C738E" w:rsidRDefault="00351DC4" w:rsidP="00874CC8">
      <w:pPr>
        <w:pStyle w:val="Corpsdetexte"/>
        <w:tabs>
          <w:tab w:val="clear" w:pos="708"/>
        </w:tabs>
        <w:spacing w:line="360" w:lineRule="auto"/>
        <w:ind w:left="709"/>
        <w:rPr>
          <w:rFonts w:ascii="Arial" w:hAnsi="Arial" w:cs="Arial"/>
          <w:szCs w:val="24"/>
        </w:rPr>
      </w:pPr>
    </w:p>
    <w:p w:rsidR="002E15B5" w:rsidRPr="00896B95" w:rsidRDefault="002E15B5" w:rsidP="002E15B5">
      <w:pPr>
        <w:pStyle w:val="Corpsdetexte"/>
        <w:numPr>
          <w:ilvl w:val="1"/>
          <w:numId w:val="36"/>
        </w:numPr>
        <w:tabs>
          <w:tab w:val="clear" w:pos="0"/>
          <w:tab w:val="clear" w:pos="708"/>
          <w:tab w:val="clear" w:pos="1416"/>
          <w:tab w:val="left" w:pos="567"/>
        </w:tabs>
        <w:spacing w:line="360" w:lineRule="auto"/>
        <w:rPr>
          <w:rFonts w:ascii="Arial" w:hAnsi="Arial"/>
          <w:smallCaps/>
          <w:sz w:val="24"/>
          <w:szCs w:val="24"/>
        </w:rPr>
      </w:pPr>
      <w:r>
        <w:rPr>
          <w:rFonts w:ascii="Arial" w:hAnsi="Arial"/>
          <w:smallCaps/>
          <w:sz w:val="24"/>
          <w:szCs w:val="24"/>
        </w:rPr>
        <w:t xml:space="preserve">La legitimación para representar </w:t>
      </w:r>
    </w:p>
    <w:p w:rsidR="002C738E" w:rsidRPr="00E049C7" w:rsidRDefault="002C738E" w:rsidP="0069459D">
      <w:pPr>
        <w:jc w:val="both"/>
        <w:rPr>
          <w:rFonts w:ascii="Arial" w:hAnsi="Arial" w:cs="Arial"/>
          <w:sz w:val="20"/>
          <w:lang w:val="es-CO"/>
        </w:rPr>
      </w:pPr>
    </w:p>
    <w:p w:rsidR="002E15B5" w:rsidRPr="008F29A7" w:rsidRDefault="002E15B5" w:rsidP="002E15B5">
      <w:pPr>
        <w:spacing w:line="360" w:lineRule="auto"/>
        <w:jc w:val="both"/>
        <w:rPr>
          <w:rFonts w:ascii="Arial" w:hAnsi="Arial" w:cs="Arial"/>
        </w:rPr>
      </w:pPr>
      <w:r>
        <w:rPr>
          <w:rFonts w:ascii="Arial" w:hAnsi="Arial" w:cs="Arial"/>
          <w:lang w:val="es-CO"/>
        </w:rPr>
        <w:t xml:space="preserve">La Corte </w:t>
      </w:r>
      <w:r w:rsidRPr="008F29A7">
        <w:rPr>
          <w:rFonts w:ascii="Arial" w:hAnsi="Arial" w:cs="Arial"/>
          <w:lang w:val="es-CO"/>
        </w:rPr>
        <w:t xml:space="preserve">instituyó la siguientes </w:t>
      </w:r>
      <w:proofErr w:type="spellStart"/>
      <w:r w:rsidRPr="008F29A7">
        <w:rPr>
          <w:rFonts w:ascii="Arial" w:hAnsi="Arial" w:cs="Arial"/>
          <w:lang w:val="es-CO"/>
        </w:rPr>
        <w:t>subreglas</w:t>
      </w:r>
      <w:proofErr w:type="spellEnd"/>
      <w:r w:rsidRPr="008F29A7">
        <w:rPr>
          <w:rFonts w:ascii="Arial" w:hAnsi="Arial" w:cs="Arial"/>
          <w:lang w:val="es-CO"/>
        </w:rPr>
        <w:t xml:space="preserve"> jurisprudenciales</w:t>
      </w:r>
      <w:r w:rsidRPr="008F29A7">
        <w:rPr>
          <w:rStyle w:val="Appelnotedebasdep"/>
          <w:rFonts w:ascii="Arial" w:hAnsi="Arial" w:cs="Arial"/>
          <w:lang w:val="es-CO"/>
        </w:rPr>
        <w:footnoteReference w:id="1"/>
      </w:r>
      <w:r w:rsidRPr="008F29A7">
        <w:rPr>
          <w:rFonts w:ascii="Arial" w:hAnsi="Arial" w:cs="Arial"/>
          <w:lang w:val="es-CO"/>
        </w:rPr>
        <w:t>:</w:t>
      </w:r>
      <w:r>
        <w:rPr>
          <w:rFonts w:ascii="Arial" w:hAnsi="Arial" w:cs="Arial"/>
          <w:lang w:val="es-CO"/>
        </w:rPr>
        <w:t xml:space="preserve"> </w:t>
      </w:r>
      <w:r w:rsidRPr="00321B05">
        <w:rPr>
          <w:rFonts w:ascii="Arial" w:hAnsi="Arial" w:cs="Arial"/>
          <w:i/>
          <w:sz w:val="22"/>
          <w:szCs w:val="22"/>
          <w:u w:val="single"/>
          <w:lang w:val="es-CO"/>
        </w:rPr>
        <w:t xml:space="preserve">“(…) </w:t>
      </w:r>
      <w:r w:rsidRPr="00321B05">
        <w:rPr>
          <w:rFonts w:ascii="Arial" w:hAnsi="Arial" w:cs="Arial"/>
          <w:i/>
          <w:sz w:val="22"/>
          <w:szCs w:val="22"/>
          <w:u w:val="single"/>
        </w:rPr>
        <w:t>(i) l</w:t>
      </w:r>
      <w:r w:rsidRPr="00321B05">
        <w:rPr>
          <w:rFonts w:ascii="Arial" w:hAnsi="Arial" w:cs="Arial"/>
          <w:i/>
          <w:sz w:val="22"/>
          <w:szCs w:val="22"/>
          <w:u w:val="single"/>
          <w:lang w:val="es-CO"/>
        </w:rPr>
        <w:t>a tutela es un medio de defensa de derechos fundamentales, que toda persona puede instaurar </w:t>
      </w:r>
      <w:r w:rsidRPr="00321B05">
        <w:rPr>
          <w:rFonts w:ascii="Arial" w:hAnsi="Arial" w:cs="Arial"/>
          <w:i/>
          <w:iCs/>
          <w:sz w:val="22"/>
          <w:szCs w:val="22"/>
          <w:u w:val="single"/>
          <w:lang w:val="es-CO"/>
        </w:rPr>
        <w:t>“</w:t>
      </w:r>
      <w:r w:rsidRPr="00321B05">
        <w:rPr>
          <w:rFonts w:ascii="Arial" w:hAnsi="Arial" w:cs="Arial"/>
          <w:i/>
          <w:iCs/>
          <w:sz w:val="22"/>
          <w:szCs w:val="22"/>
          <w:u w:val="single"/>
        </w:rPr>
        <w:t>por sí misma o por quien actúe a su nombre”</w:t>
      </w:r>
      <w:r w:rsidRPr="00321B05">
        <w:rPr>
          <w:rFonts w:ascii="Arial" w:hAnsi="Arial" w:cs="Arial"/>
          <w:i/>
          <w:sz w:val="22"/>
          <w:szCs w:val="22"/>
          <w:u w:val="single"/>
        </w:rPr>
        <w:t>;</w:t>
      </w:r>
      <w:r w:rsidRPr="008F29A7">
        <w:rPr>
          <w:rFonts w:ascii="Arial" w:hAnsi="Arial" w:cs="Arial"/>
          <w:i/>
          <w:sz w:val="22"/>
          <w:szCs w:val="22"/>
        </w:rPr>
        <w:t xml:space="preserve"> (ii) no es necesario, que el titular de los derechos interponga directamente el amparo, pues un tercero puede hacerlo a su nombre; y </w:t>
      </w:r>
      <w:r w:rsidRPr="008F29A7">
        <w:rPr>
          <w:rFonts w:ascii="Arial" w:hAnsi="Arial" w:cs="Arial"/>
          <w:i/>
          <w:sz w:val="22"/>
          <w:szCs w:val="22"/>
          <w:u w:val="single"/>
        </w:rPr>
        <w:t>(iii) ese tercero debe, sin embargo, tener una de las siguientes calidades: a) representante del titular de los derechos, b) agente oficioso, o c) Defensor del Pueblo o Personero Municipal</w:t>
      </w:r>
      <w:r w:rsidRPr="008F29A7">
        <w:rPr>
          <w:rFonts w:ascii="Arial" w:hAnsi="Arial" w:cs="Arial"/>
          <w:i/>
          <w:sz w:val="22"/>
          <w:szCs w:val="22"/>
        </w:rPr>
        <w:t xml:space="preserve"> (…)”</w:t>
      </w:r>
      <w:r w:rsidRPr="008F29A7">
        <w:rPr>
          <w:rFonts w:ascii="Arial" w:hAnsi="Arial" w:cs="Arial"/>
          <w:sz w:val="22"/>
          <w:szCs w:val="22"/>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w:t>
      </w:r>
    </w:p>
    <w:p w:rsidR="002E15B5" w:rsidRPr="00E049C7" w:rsidRDefault="002E15B5" w:rsidP="002E15B5">
      <w:pPr>
        <w:spacing w:line="360" w:lineRule="auto"/>
        <w:ind w:left="567"/>
        <w:jc w:val="both"/>
        <w:rPr>
          <w:rFonts w:ascii="Arial" w:hAnsi="Arial" w:cs="Arial"/>
          <w:sz w:val="20"/>
          <w:lang w:val="es-CO"/>
        </w:rPr>
      </w:pPr>
    </w:p>
    <w:p w:rsidR="00E049C7" w:rsidRDefault="002E15B5" w:rsidP="00E049C7">
      <w:pPr>
        <w:spacing w:line="360" w:lineRule="auto"/>
        <w:jc w:val="both"/>
        <w:rPr>
          <w:rFonts w:ascii="Arial" w:hAnsi="Arial" w:cs="Arial"/>
          <w:lang w:val="es-CO"/>
        </w:rPr>
      </w:pPr>
      <w:r>
        <w:rPr>
          <w:rFonts w:ascii="Arial" w:hAnsi="Arial" w:cs="Arial"/>
          <w:lang w:val="es-CO"/>
        </w:rPr>
        <w:t>C</w:t>
      </w:r>
      <w:r w:rsidRPr="008F29A7">
        <w:rPr>
          <w:rFonts w:ascii="Arial" w:hAnsi="Arial" w:cs="Arial"/>
          <w:lang w:val="es-CO"/>
        </w:rPr>
        <w:t xml:space="preserve">on relación a la última </w:t>
      </w:r>
      <w:proofErr w:type="spellStart"/>
      <w:r>
        <w:rPr>
          <w:rFonts w:ascii="Arial" w:hAnsi="Arial" w:cs="Arial"/>
          <w:lang w:val="es-CO"/>
        </w:rPr>
        <w:t>sub</w:t>
      </w:r>
      <w:r w:rsidRPr="008F29A7">
        <w:rPr>
          <w:rFonts w:ascii="Arial" w:hAnsi="Arial" w:cs="Arial"/>
          <w:lang w:val="es-CO"/>
        </w:rPr>
        <w:t>regla</w:t>
      </w:r>
      <w:proofErr w:type="spellEnd"/>
      <w:r w:rsidRPr="008F29A7">
        <w:rPr>
          <w:rFonts w:ascii="Arial" w:hAnsi="Arial" w:cs="Arial"/>
          <w:lang w:val="es-CO"/>
        </w:rPr>
        <w:t>, explicó</w:t>
      </w:r>
      <w:r w:rsidRPr="008F29A7">
        <w:rPr>
          <w:rStyle w:val="Appelnotedebasdep"/>
          <w:rFonts w:ascii="Arial" w:hAnsi="Arial" w:cs="Arial"/>
          <w:lang w:val="es-CO"/>
        </w:rPr>
        <w:footnoteReference w:id="2"/>
      </w:r>
      <w:r w:rsidRPr="008F29A7">
        <w:rPr>
          <w:rFonts w:ascii="Arial" w:hAnsi="Arial" w:cs="Arial"/>
          <w:lang w:val="es-CO"/>
        </w:rPr>
        <w:t xml:space="preserve">: </w:t>
      </w:r>
      <w:r>
        <w:rPr>
          <w:rFonts w:ascii="Arial" w:hAnsi="Arial" w:cs="Arial"/>
          <w:lang w:val="es-CO"/>
        </w:rPr>
        <w:t>“</w:t>
      </w:r>
      <w:r w:rsidRPr="002E15B5">
        <w:rPr>
          <w:rFonts w:ascii="Arial" w:hAnsi="Arial" w:cs="Arial"/>
          <w:i/>
          <w:sz w:val="22"/>
          <w:lang w:val="es-CO"/>
        </w:rPr>
        <w:t>(</w:t>
      </w:r>
      <w:r w:rsidRPr="002E15B5">
        <w:rPr>
          <w:rFonts w:ascii="Arial" w:hAnsi="Arial" w:cs="Arial"/>
          <w:i/>
          <w:sz w:val="22"/>
        </w:rPr>
        <w:t xml:space="preserve">…) a) representante puede ser, por una parte, el representante legal (cuando el titular de los derechos sea menor de edad, incapaz absoluto, interdicto o persona jurídica), </w:t>
      </w:r>
      <w:r w:rsidRPr="002E15B5">
        <w:rPr>
          <w:rFonts w:ascii="Arial" w:hAnsi="Arial" w:cs="Arial"/>
          <w:i/>
          <w:sz w:val="22"/>
          <w:u w:val="single"/>
        </w:rPr>
        <w:t>y por otra, el apoderado judicial (en los demás casos). Para ser apoderado judicial, la persona debe ser abogado titulado y a la acción debe anexar poder especial para el caso o en su defecto el poder general respectivo</w:t>
      </w:r>
      <w:r w:rsidRPr="002E15B5">
        <w:rPr>
          <w:rStyle w:val="Appelnotedebasdep"/>
          <w:rFonts w:ascii="Arial" w:hAnsi="Arial" w:cs="Arial"/>
          <w:i/>
          <w:sz w:val="22"/>
        </w:rPr>
        <w:footnoteReference w:id="3"/>
      </w:r>
      <w:r w:rsidRPr="002E15B5">
        <w:rPr>
          <w:rFonts w:ascii="Arial" w:hAnsi="Arial" w:cs="Arial"/>
          <w:i/>
          <w:sz w:val="22"/>
        </w:rPr>
        <w:t xml:space="preserve"> (…)</w:t>
      </w:r>
      <w:r>
        <w:rPr>
          <w:rFonts w:ascii="Arial" w:hAnsi="Arial" w:cs="Arial"/>
          <w:i/>
          <w:sz w:val="22"/>
        </w:rPr>
        <w:t>”</w:t>
      </w:r>
      <w:r>
        <w:rPr>
          <w:rFonts w:ascii="Arial" w:hAnsi="Arial" w:cs="Arial"/>
        </w:rPr>
        <w:t xml:space="preserve"> (Subrayas de la Sala).</w:t>
      </w:r>
    </w:p>
    <w:p w:rsidR="00E049C7" w:rsidRPr="00E049C7" w:rsidRDefault="00E049C7" w:rsidP="0069459D">
      <w:pPr>
        <w:jc w:val="both"/>
        <w:rPr>
          <w:rFonts w:ascii="Arial" w:hAnsi="Arial" w:cs="Arial"/>
          <w:sz w:val="22"/>
          <w:lang w:val="es-CO"/>
        </w:rPr>
      </w:pPr>
    </w:p>
    <w:p w:rsidR="002E15B5" w:rsidRDefault="002E15B5" w:rsidP="00E049C7">
      <w:pPr>
        <w:spacing w:line="360" w:lineRule="auto"/>
        <w:jc w:val="both"/>
        <w:rPr>
          <w:rFonts w:ascii="Arial" w:hAnsi="Arial" w:cs="Arial"/>
        </w:rPr>
      </w:pPr>
      <w:r>
        <w:rPr>
          <w:rFonts w:ascii="Arial" w:hAnsi="Arial" w:cs="Arial"/>
          <w:lang w:val="es-ES_tradnl"/>
        </w:rPr>
        <w:t xml:space="preserve">Y </w:t>
      </w:r>
      <w:r>
        <w:rPr>
          <w:rFonts w:ascii="Arial" w:hAnsi="Arial" w:cs="Arial"/>
          <w:lang w:val="es-CO"/>
        </w:rPr>
        <w:t>para que se perfeccione la mentada legitimación, cuando la tutela se promueve por intermedio de apoderado judicial, deben reunirse los siguientes requisitos especiales de apoderamiento</w:t>
      </w:r>
      <w:r>
        <w:rPr>
          <w:rStyle w:val="Appelnotedebasdep"/>
          <w:rFonts w:ascii="Arial" w:hAnsi="Arial"/>
          <w:lang w:val="es-ES_tradnl"/>
        </w:rPr>
        <w:footnoteReference w:id="4"/>
      </w:r>
      <w:r>
        <w:rPr>
          <w:rFonts w:ascii="Arial" w:hAnsi="Arial" w:cs="Arial"/>
          <w:lang w:val="es-CO"/>
        </w:rPr>
        <w:t xml:space="preserve">: </w:t>
      </w:r>
      <w:r w:rsidRPr="002E15B5">
        <w:rPr>
          <w:rFonts w:ascii="Arial" w:hAnsi="Arial" w:cs="Arial"/>
          <w:i/>
          <w:sz w:val="22"/>
          <w:lang w:val="es-CO"/>
        </w:rPr>
        <w:t>“</w:t>
      </w:r>
      <w:r w:rsidRPr="002E15B5">
        <w:rPr>
          <w:rFonts w:ascii="Arial" w:hAnsi="Arial" w:cs="Arial"/>
          <w:i/>
          <w:sz w:val="22"/>
        </w:rPr>
        <w:t>(…) la Sala señala que el mismo es (i) un acto jurídico formal por lo cual debe realizarse por escrito. (ii) se concreta en un escrito, llamado poder que se presume auténtico</w:t>
      </w:r>
      <w:bookmarkStart w:id="0" w:name="_ftnref23"/>
      <w:r w:rsidRPr="002E15B5">
        <w:rPr>
          <w:rStyle w:val="Appelnotedebasdep"/>
          <w:rFonts w:ascii="Arial" w:hAnsi="Arial"/>
          <w:i/>
          <w:sz w:val="22"/>
        </w:rPr>
        <w:footnoteReference w:id="5"/>
      </w:r>
      <w:bookmarkEnd w:id="0"/>
      <w:r w:rsidRPr="002E15B5">
        <w:rPr>
          <w:rFonts w:ascii="Arial" w:hAnsi="Arial" w:cs="Arial"/>
          <w:i/>
          <w:sz w:val="22"/>
        </w:rPr>
        <w:t>. (iii) El referido poder para promover acciones de tutela debe ser especial</w:t>
      </w:r>
      <w:r w:rsidRPr="002E15B5">
        <w:rPr>
          <w:rStyle w:val="Appelnotedebasdep"/>
          <w:rFonts w:ascii="Arial" w:hAnsi="Arial"/>
          <w:i/>
          <w:sz w:val="22"/>
        </w:rPr>
        <w:footnoteReference w:id="6"/>
      </w:r>
      <w:r w:rsidRPr="002E15B5">
        <w:rPr>
          <w:rFonts w:ascii="Arial" w:hAnsi="Arial" w:cs="Arial"/>
          <w:i/>
          <w:sz w:val="22"/>
        </w:rPr>
        <w:t>. En este sentido (iv) El poder conferido para la promoción o para la defensa de los intereses en un determinado proceso no se entiende conferido</w:t>
      </w:r>
      <w:bookmarkStart w:id="1" w:name="_ftnref25"/>
      <w:r w:rsidRPr="002E15B5">
        <w:rPr>
          <w:rStyle w:val="Appelnotedebasdep"/>
          <w:rFonts w:ascii="Arial" w:hAnsi="Arial"/>
          <w:i/>
          <w:sz w:val="22"/>
        </w:rPr>
        <w:footnoteReference w:id="7"/>
      </w:r>
      <w:bookmarkEnd w:id="1"/>
      <w:r w:rsidRPr="002E15B5">
        <w:rPr>
          <w:rFonts w:ascii="Arial" w:hAnsi="Arial" w:cs="Arial"/>
          <w:i/>
          <w:sz w:val="22"/>
        </w:rPr>
        <w:t> para la promoción</w:t>
      </w:r>
      <w:r w:rsidRPr="002E15B5">
        <w:rPr>
          <w:rStyle w:val="Appelnotedebasdep"/>
          <w:rFonts w:ascii="Arial" w:hAnsi="Arial"/>
          <w:i/>
          <w:sz w:val="22"/>
        </w:rPr>
        <w:footnoteReference w:id="8"/>
      </w:r>
      <w:r w:rsidRPr="002E15B5">
        <w:rPr>
          <w:rFonts w:ascii="Arial" w:hAnsi="Arial" w:cs="Arial"/>
          <w:i/>
          <w:sz w:val="22"/>
        </w:rPr>
        <w:t> de procesos diferentes, así los hechos que le den fundamento a estos tengan origen</w:t>
      </w:r>
      <w:bookmarkStart w:id="2" w:name="_ftnref27"/>
      <w:r w:rsidRPr="002E15B5">
        <w:rPr>
          <w:rStyle w:val="Appelnotedebasdep"/>
          <w:rFonts w:ascii="Arial" w:hAnsi="Arial"/>
          <w:i/>
          <w:sz w:val="22"/>
        </w:rPr>
        <w:footnoteReference w:id="9"/>
      </w:r>
      <w:bookmarkEnd w:id="2"/>
      <w:r w:rsidRPr="002E15B5">
        <w:rPr>
          <w:rFonts w:ascii="Arial" w:hAnsi="Arial" w:cs="Arial"/>
          <w:i/>
          <w:sz w:val="22"/>
        </w:rPr>
        <w:t xml:space="preserve"> en el proceso inicial. (iv) El </w:t>
      </w:r>
      <w:r w:rsidRPr="002E15B5">
        <w:rPr>
          <w:rFonts w:ascii="Arial" w:hAnsi="Arial" w:cs="Arial"/>
          <w:i/>
          <w:sz w:val="22"/>
        </w:rPr>
        <w:lastRenderedPageBreak/>
        <w:t>destinatario del acto de apoderamiento sólo puede ser un profesional del derecho</w:t>
      </w:r>
      <w:bookmarkStart w:id="3" w:name="_ftnref28"/>
      <w:r w:rsidRPr="002E15B5">
        <w:rPr>
          <w:rStyle w:val="Appelnotedebasdep"/>
          <w:rFonts w:ascii="Arial" w:hAnsi="Arial"/>
          <w:i/>
          <w:sz w:val="22"/>
        </w:rPr>
        <w:footnoteReference w:id="10"/>
      </w:r>
      <w:bookmarkEnd w:id="3"/>
      <w:r w:rsidRPr="002E15B5">
        <w:rPr>
          <w:rFonts w:ascii="Arial" w:hAnsi="Arial" w:cs="Arial"/>
          <w:i/>
          <w:sz w:val="22"/>
        </w:rPr>
        <w:t> habilitado con tarjeta profesional</w:t>
      </w:r>
      <w:r w:rsidRPr="002E15B5">
        <w:rPr>
          <w:rStyle w:val="Appelnotedebasdep"/>
          <w:rFonts w:ascii="Arial" w:hAnsi="Arial"/>
          <w:i/>
          <w:sz w:val="22"/>
        </w:rPr>
        <w:footnoteReference w:id="11"/>
      </w:r>
      <w:r w:rsidR="000420B2">
        <w:rPr>
          <w:rFonts w:ascii="Arial" w:hAnsi="Arial" w:cs="Arial"/>
          <w:i/>
          <w:sz w:val="22"/>
        </w:rPr>
        <w:t xml:space="preserve"> (…)</w:t>
      </w:r>
      <w:r>
        <w:rPr>
          <w:rFonts w:ascii="Arial" w:hAnsi="Arial" w:cs="Arial"/>
        </w:rPr>
        <w:t xml:space="preserve">. </w:t>
      </w:r>
    </w:p>
    <w:p w:rsidR="00321B05" w:rsidRDefault="00321B05" w:rsidP="0069459D">
      <w:pPr>
        <w:jc w:val="both"/>
        <w:rPr>
          <w:rFonts w:ascii="Arial" w:hAnsi="Arial" w:cs="Arial"/>
        </w:rPr>
      </w:pPr>
    </w:p>
    <w:p w:rsidR="00321B05" w:rsidRPr="003179F9" w:rsidRDefault="004E795D" w:rsidP="00321B05">
      <w:pPr>
        <w:pStyle w:val="Corpsdetexte"/>
        <w:spacing w:line="360" w:lineRule="auto"/>
        <w:rPr>
          <w:rFonts w:ascii="Arial" w:hAnsi="Arial" w:cs="Arial"/>
          <w:sz w:val="22"/>
        </w:rPr>
      </w:pPr>
      <w:r>
        <w:rPr>
          <w:rFonts w:ascii="Arial" w:hAnsi="Arial" w:cs="Arial"/>
          <w:sz w:val="24"/>
          <w:szCs w:val="24"/>
        </w:rPr>
        <w:t>Asimismo,</w:t>
      </w:r>
      <w:r w:rsidR="00321B05" w:rsidRPr="008F29A7">
        <w:rPr>
          <w:rFonts w:ascii="Arial" w:hAnsi="Arial" w:cs="Arial"/>
          <w:sz w:val="24"/>
          <w:szCs w:val="24"/>
        </w:rPr>
        <w:t xml:space="preserve"> la autorizada doctrina de la </w:t>
      </w:r>
      <w:r w:rsidR="00321B05">
        <w:rPr>
          <w:rFonts w:ascii="Arial" w:hAnsi="Arial" w:cs="Arial"/>
          <w:sz w:val="24"/>
          <w:szCs w:val="24"/>
        </w:rPr>
        <w:t>CC</w:t>
      </w:r>
      <w:r w:rsidR="00321B05" w:rsidRPr="008F29A7">
        <w:rPr>
          <w:rFonts w:ascii="Arial" w:hAnsi="Arial" w:cs="Arial"/>
          <w:sz w:val="24"/>
          <w:szCs w:val="24"/>
        </w:rPr>
        <w:t>, constitutiva de precedente vertical, expresa</w:t>
      </w:r>
      <w:r w:rsidR="00321B05" w:rsidRPr="008F29A7">
        <w:rPr>
          <w:rStyle w:val="Appelnotedebasdep"/>
          <w:rFonts w:ascii="Arial" w:hAnsi="Arial" w:cs="Arial"/>
          <w:sz w:val="24"/>
          <w:szCs w:val="24"/>
        </w:rPr>
        <w:footnoteReference w:id="12"/>
      </w:r>
      <w:r w:rsidR="00321B05" w:rsidRPr="008F29A7">
        <w:rPr>
          <w:rFonts w:ascii="Arial" w:hAnsi="Arial" w:cs="Arial"/>
          <w:sz w:val="24"/>
          <w:szCs w:val="24"/>
        </w:rPr>
        <w:t>:</w:t>
      </w:r>
      <w:r w:rsidR="00321B05">
        <w:rPr>
          <w:rFonts w:ascii="Arial" w:hAnsi="Arial" w:cs="Arial"/>
          <w:sz w:val="24"/>
          <w:szCs w:val="24"/>
        </w:rPr>
        <w:t xml:space="preserve"> “</w:t>
      </w:r>
      <w:r w:rsidR="00321B05" w:rsidRPr="008F29A7">
        <w:rPr>
          <w:rFonts w:ascii="Arial" w:hAnsi="Arial" w:cs="Arial"/>
          <w:i/>
          <w:sz w:val="22"/>
          <w:szCs w:val="24"/>
        </w:rPr>
        <w:t xml:space="preserve">(…) </w:t>
      </w:r>
      <w:r w:rsidR="00321B05" w:rsidRPr="008F29A7">
        <w:rPr>
          <w:rFonts w:ascii="Arial" w:hAnsi="Arial" w:cs="Arial"/>
          <w:i/>
          <w:sz w:val="22"/>
          <w:szCs w:val="24"/>
          <w:lang w:val="es-ES"/>
        </w:rPr>
        <w:t>el artículo 10 del Decreto 2591 de 1991 dispone que la persona que vea vulnerados o amenazados sus derechos fundamentales puede ejercer la acción de tutela, para que ella o su repre</w:t>
      </w:r>
      <w:r w:rsidR="00321B05">
        <w:rPr>
          <w:rFonts w:ascii="Arial" w:hAnsi="Arial" w:cs="Arial"/>
          <w:i/>
          <w:sz w:val="22"/>
          <w:szCs w:val="24"/>
          <w:lang w:val="es-ES"/>
        </w:rPr>
        <w:t xml:space="preserve">sentante conjure esa situación </w:t>
      </w:r>
      <w:r w:rsidR="00321B05" w:rsidRPr="008F29A7">
        <w:rPr>
          <w:rFonts w:ascii="Arial" w:hAnsi="Arial" w:cs="Arial"/>
          <w:i/>
          <w:sz w:val="22"/>
          <w:szCs w:val="24"/>
          <w:lang w:val="es-ES"/>
        </w:rPr>
        <w:t>(…)”</w:t>
      </w:r>
      <w:r w:rsidR="00321B05" w:rsidRPr="008F29A7">
        <w:rPr>
          <w:rFonts w:ascii="Arial" w:hAnsi="Arial" w:cs="Arial"/>
          <w:sz w:val="24"/>
          <w:szCs w:val="24"/>
          <w:lang w:val="es-ES"/>
        </w:rPr>
        <w:t>.</w:t>
      </w:r>
      <w:r w:rsidR="00321B05">
        <w:rPr>
          <w:rFonts w:ascii="Arial" w:hAnsi="Arial" w:cs="Arial"/>
          <w:sz w:val="24"/>
          <w:szCs w:val="24"/>
          <w:lang w:val="es-ES"/>
        </w:rPr>
        <w:t xml:space="preserve"> </w:t>
      </w:r>
      <w:r w:rsidR="00321B05" w:rsidRPr="00321B05">
        <w:rPr>
          <w:rFonts w:ascii="Arial" w:hAnsi="Arial" w:cs="Arial"/>
          <w:sz w:val="24"/>
        </w:rPr>
        <w:t>Esta doctrina constitucional la comparte la CSJ y la ha reiterado en su jurisprudencia</w:t>
      </w:r>
      <w:r w:rsidR="00321B05" w:rsidRPr="003179F9">
        <w:rPr>
          <w:rStyle w:val="Appelnotedebasdep"/>
          <w:rFonts w:ascii="Arial" w:hAnsi="Arial"/>
        </w:rPr>
        <w:footnoteReference w:id="13"/>
      </w:r>
      <w:r w:rsidR="00321B05" w:rsidRPr="003179F9">
        <w:rPr>
          <w:rFonts w:ascii="Arial" w:hAnsi="Arial" w:cs="Arial"/>
        </w:rPr>
        <w:t xml:space="preserve">: </w:t>
      </w:r>
      <w:r w:rsidR="00321B05" w:rsidRPr="003179F9">
        <w:rPr>
          <w:rFonts w:ascii="Arial" w:hAnsi="Arial" w:cs="Arial"/>
          <w:sz w:val="22"/>
        </w:rPr>
        <w:t>“</w:t>
      </w:r>
      <w:r w:rsidR="00321B05" w:rsidRPr="003179F9">
        <w:rPr>
          <w:rFonts w:ascii="Arial" w:hAnsi="Arial" w:cs="Arial"/>
          <w:i/>
          <w:sz w:val="22"/>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00321B05" w:rsidRPr="003179F9">
        <w:rPr>
          <w:rFonts w:ascii="Arial" w:hAnsi="Arial" w:cs="Arial"/>
          <w:sz w:val="22"/>
        </w:rPr>
        <w:t>(…)”.</w:t>
      </w:r>
    </w:p>
    <w:p w:rsidR="00321B05" w:rsidRDefault="00321B05" w:rsidP="0069459D">
      <w:pPr>
        <w:pStyle w:val="Corpsdetexte"/>
        <w:spacing w:line="240" w:lineRule="auto"/>
        <w:rPr>
          <w:rFonts w:ascii="Arial" w:hAnsi="Arial" w:cs="Arial"/>
          <w:sz w:val="24"/>
          <w:szCs w:val="24"/>
        </w:rPr>
      </w:pPr>
    </w:p>
    <w:p w:rsidR="00FB46B7" w:rsidRDefault="00AB40D4" w:rsidP="00AB40D4">
      <w:pPr>
        <w:spacing w:line="360" w:lineRule="auto"/>
        <w:ind w:right="51"/>
        <w:jc w:val="both"/>
        <w:rPr>
          <w:rFonts w:ascii="Arial" w:hAnsi="Arial"/>
        </w:rPr>
      </w:pPr>
      <w:r>
        <w:rPr>
          <w:rFonts w:ascii="Arial" w:hAnsi="Arial" w:cs="Arial"/>
          <w:lang w:val="es-CO"/>
        </w:rPr>
        <w:t>Conforme</w:t>
      </w:r>
      <w:r w:rsidR="00321B05">
        <w:rPr>
          <w:rFonts w:ascii="Arial" w:hAnsi="Arial" w:cs="Arial"/>
          <w:lang w:val="es-CO"/>
        </w:rPr>
        <w:t xml:space="preserve"> a</w:t>
      </w:r>
      <w:r>
        <w:rPr>
          <w:rFonts w:ascii="Arial" w:hAnsi="Arial" w:cs="Arial"/>
          <w:lang w:val="es-CO"/>
        </w:rPr>
        <w:t xml:space="preserve"> lo expuesto y teniendo en cuenta que en el presente asunto la accionante se duele</w:t>
      </w:r>
      <w:r w:rsidR="0030235D">
        <w:rPr>
          <w:rFonts w:ascii="Arial" w:hAnsi="Arial" w:cs="Arial"/>
          <w:lang w:val="es-CO"/>
        </w:rPr>
        <w:t>,</w:t>
      </w:r>
      <w:r>
        <w:rPr>
          <w:rFonts w:ascii="Arial" w:hAnsi="Arial" w:cs="Arial"/>
          <w:lang w:val="es-CO"/>
        </w:rPr>
        <w:t xml:space="preserve"> </w:t>
      </w:r>
      <w:r w:rsidR="0030235D">
        <w:rPr>
          <w:rFonts w:ascii="Arial" w:hAnsi="Arial" w:cs="Arial"/>
          <w:lang w:val="es-CO"/>
        </w:rPr>
        <w:t>también, de la falta de respuesta por parte de la Secretaría de Educación Departamental de “Mitú”</w:t>
      </w:r>
      <w:r w:rsidR="00FE0ADD">
        <w:rPr>
          <w:rFonts w:ascii="Arial" w:hAnsi="Arial" w:cs="Arial"/>
          <w:lang w:val="es-CO"/>
        </w:rPr>
        <w:t xml:space="preserve"> (Vaupés)</w:t>
      </w:r>
      <w:r w:rsidR="0030235D">
        <w:rPr>
          <w:rFonts w:ascii="Arial" w:hAnsi="Arial" w:cs="Arial"/>
          <w:lang w:val="es-CO"/>
        </w:rPr>
        <w:t xml:space="preserve"> y de la UGPP a los derechos de petición que la AFP Porvenir</w:t>
      </w:r>
      <w:r w:rsidR="00321B05">
        <w:rPr>
          <w:rFonts w:ascii="Arial" w:hAnsi="Arial" w:cs="Arial"/>
          <w:lang w:val="es-CO"/>
        </w:rPr>
        <w:t>,</w:t>
      </w:r>
      <w:r w:rsidR="0030235D">
        <w:rPr>
          <w:rFonts w:ascii="Arial" w:hAnsi="Arial" w:cs="Arial"/>
          <w:lang w:val="es-CO"/>
        </w:rPr>
        <w:t xml:space="preserve"> presentó con el fin de que brindaran información sobre los pagos a pensión relacionados con los periodos en que laboró para el Vicariato Apostólico de Mitú </w:t>
      </w:r>
      <w:r>
        <w:rPr>
          <w:rFonts w:ascii="Arial" w:hAnsi="Arial" w:cs="Arial"/>
          <w:lang w:val="es-CO"/>
        </w:rPr>
        <w:t xml:space="preserve">(Hechos </w:t>
      </w:r>
      <w:r w:rsidR="0030235D">
        <w:rPr>
          <w:rFonts w:ascii="Arial" w:hAnsi="Arial" w:cs="Arial"/>
          <w:lang w:val="es-CO"/>
        </w:rPr>
        <w:t>4º y 7º, y pretensiones 2ª y 3ª del petitorio visible a folios 1 a 6</w:t>
      </w:r>
      <w:r>
        <w:rPr>
          <w:rFonts w:ascii="Arial" w:hAnsi="Arial" w:cs="Arial"/>
          <w:lang w:val="es-CO"/>
        </w:rPr>
        <w:t>, cuaderno No.1)</w:t>
      </w:r>
      <w:r w:rsidR="0030235D">
        <w:rPr>
          <w:rFonts w:ascii="Arial" w:hAnsi="Arial" w:cs="Arial"/>
          <w:lang w:val="es-CO"/>
        </w:rPr>
        <w:t xml:space="preserve"> (Folios 11 a 14, 16 a 18, y 23 a 24, ibídem)</w:t>
      </w:r>
      <w:r>
        <w:rPr>
          <w:rFonts w:ascii="Arial" w:hAnsi="Arial" w:cs="Arial"/>
          <w:lang w:val="es-CO"/>
        </w:rPr>
        <w:t>,</w:t>
      </w:r>
      <w:r>
        <w:rPr>
          <w:rFonts w:ascii="Arial" w:hAnsi="Arial"/>
        </w:rPr>
        <w:t xml:space="preserve"> </w:t>
      </w:r>
      <w:r w:rsidR="00FB46B7">
        <w:rPr>
          <w:rFonts w:ascii="Arial" w:hAnsi="Arial"/>
        </w:rPr>
        <w:t xml:space="preserve">se advierte, sin lugar a dudas, </w:t>
      </w:r>
      <w:r>
        <w:rPr>
          <w:rFonts w:ascii="Arial" w:hAnsi="Arial"/>
        </w:rPr>
        <w:t xml:space="preserve">que carece de legitimación </w:t>
      </w:r>
      <w:r w:rsidR="00FB46B7">
        <w:rPr>
          <w:rFonts w:ascii="Arial" w:hAnsi="Arial"/>
        </w:rPr>
        <w:t>para promover el amparo</w:t>
      </w:r>
      <w:r>
        <w:rPr>
          <w:rFonts w:ascii="Arial" w:hAnsi="Arial"/>
        </w:rPr>
        <w:t xml:space="preserve">, toda vez que </w:t>
      </w:r>
      <w:r w:rsidR="00FE0ADD">
        <w:rPr>
          <w:rFonts w:ascii="Arial" w:hAnsi="Arial"/>
        </w:rPr>
        <w:t xml:space="preserve">no fue la promotora de </w:t>
      </w:r>
      <w:r w:rsidR="0030235D">
        <w:rPr>
          <w:rFonts w:ascii="Arial" w:hAnsi="Arial"/>
        </w:rPr>
        <w:t>los aludidos derechos de petición</w:t>
      </w:r>
      <w:r>
        <w:rPr>
          <w:rFonts w:ascii="Arial" w:hAnsi="Arial"/>
        </w:rPr>
        <w:t xml:space="preserve">; </w:t>
      </w:r>
      <w:r w:rsidR="0030235D">
        <w:rPr>
          <w:rFonts w:ascii="Arial" w:hAnsi="Arial"/>
        </w:rPr>
        <w:t xml:space="preserve">si bien se expidieron con ocasión de la </w:t>
      </w:r>
      <w:r w:rsidR="00FE0ADD">
        <w:rPr>
          <w:rFonts w:ascii="Arial" w:hAnsi="Arial"/>
        </w:rPr>
        <w:t xml:space="preserve">solicitud </w:t>
      </w:r>
      <w:r w:rsidR="0030235D">
        <w:rPr>
          <w:rFonts w:ascii="Arial" w:hAnsi="Arial"/>
        </w:rPr>
        <w:t xml:space="preserve">que radicó ante la AFP Porvenir, </w:t>
      </w:r>
      <w:r w:rsidR="00FE0ADD">
        <w:rPr>
          <w:rFonts w:ascii="Arial" w:hAnsi="Arial"/>
        </w:rPr>
        <w:t xml:space="preserve">lo cierto es que, solo esa </w:t>
      </w:r>
      <w:r w:rsidR="0030235D">
        <w:rPr>
          <w:rFonts w:ascii="Arial" w:hAnsi="Arial"/>
        </w:rPr>
        <w:t>entidad</w:t>
      </w:r>
      <w:r w:rsidR="00FE0ADD">
        <w:rPr>
          <w:rFonts w:ascii="Arial" w:hAnsi="Arial"/>
        </w:rPr>
        <w:t>,</w:t>
      </w:r>
      <w:r w:rsidR="0030235D">
        <w:rPr>
          <w:rFonts w:ascii="Arial" w:hAnsi="Arial"/>
        </w:rPr>
        <w:t xml:space="preserve"> </w:t>
      </w:r>
      <w:r w:rsidR="00FE0ADD">
        <w:rPr>
          <w:rFonts w:ascii="Arial" w:hAnsi="Arial"/>
        </w:rPr>
        <w:t xml:space="preserve">es </w:t>
      </w:r>
      <w:r w:rsidR="0030235D">
        <w:rPr>
          <w:rFonts w:ascii="Arial" w:hAnsi="Arial"/>
        </w:rPr>
        <w:t>la única legitimada para exigir la respuesta por intermedio de este mecanismo constitucional</w:t>
      </w:r>
      <w:r w:rsidR="00FB46B7">
        <w:rPr>
          <w:rFonts w:ascii="Arial" w:hAnsi="Arial"/>
        </w:rPr>
        <w:t>.</w:t>
      </w:r>
      <w:r w:rsidR="00321B05">
        <w:rPr>
          <w:rFonts w:ascii="Arial" w:hAnsi="Arial"/>
        </w:rPr>
        <w:t xml:space="preserve"> Diferente es decir que tiene interés, pero es insuficiente para hacerla titular de ese derecho</w:t>
      </w:r>
    </w:p>
    <w:p w:rsidR="00FB46B7" w:rsidRPr="00E049C7" w:rsidRDefault="00FB46B7" w:rsidP="00AB40D4">
      <w:pPr>
        <w:spacing w:line="360" w:lineRule="auto"/>
        <w:ind w:right="51"/>
        <w:jc w:val="both"/>
        <w:rPr>
          <w:rFonts w:ascii="Arial" w:hAnsi="Arial"/>
          <w:sz w:val="20"/>
        </w:rPr>
      </w:pPr>
    </w:p>
    <w:p w:rsidR="00FE0ADD" w:rsidRDefault="00FE0ADD" w:rsidP="00FB46B7">
      <w:pPr>
        <w:pStyle w:val="Corpsdetexte"/>
        <w:spacing w:line="360" w:lineRule="auto"/>
        <w:rPr>
          <w:rFonts w:ascii="Arial" w:hAnsi="Arial"/>
          <w:sz w:val="24"/>
          <w:szCs w:val="24"/>
        </w:rPr>
      </w:pPr>
      <w:r>
        <w:rPr>
          <w:rFonts w:ascii="Arial" w:hAnsi="Arial"/>
          <w:sz w:val="24"/>
          <w:szCs w:val="24"/>
        </w:rPr>
        <w:t>El plenario carece de requerimiento alguno dirigido por la actora a las accionadas para que pagaran o certificaran los aportes en pensión durante el periodo que laboró para el Vicariato Apostólico de Mitú</w:t>
      </w:r>
      <w:r w:rsidR="00AA5CBF">
        <w:rPr>
          <w:rFonts w:ascii="Arial" w:hAnsi="Arial"/>
          <w:sz w:val="24"/>
          <w:szCs w:val="24"/>
        </w:rPr>
        <w:t xml:space="preserve">; claramente </w:t>
      </w:r>
      <w:r w:rsidR="009A7781">
        <w:rPr>
          <w:rFonts w:ascii="Arial" w:hAnsi="Arial"/>
          <w:sz w:val="24"/>
          <w:szCs w:val="24"/>
        </w:rPr>
        <w:t xml:space="preserve">echa de menos </w:t>
      </w:r>
      <w:r w:rsidR="00AA5CBF">
        <w:rPr>
          <w:rFonts w:ascii="Arial" w:hAnsi="Arial"/>
          <w:sz w:val="24"/>
          <w:szCs w:val="24"/>
        </w:rPr>
        <w:t>la falta de respuesta a l</w:t>
      </w:r>
      <w:r w:rsidR="009A7781">
        <w:rPr>
          <w:rFonts w:ascii="Arial" w:hAnsi="Arial"/>
          <w:sz w:val="24"/>
          <w:szCs w:val="24"/>
        </w:rPr>
        <w:t xml:space="preserve">as solicitudes de la AFP y no a las </w:t>
      </w:r>
      <w:r w:rsidR="00AA5CBF">
        <w:rPr>
          <w:rFonts w:ascii="Arial" w:hAnsi="Arial"/>
          <w:sz w:val="24"/>
          <w:szCs w:val="24"/>
        </w:rPr>
        <w:t>propias</w:t>
      </w:r>
      <w:r>
        <w:rPr>
          <w:rFonts w:ascii="Arial" w:hAnsi="Arial"/>
          <w:sz w:val="24"/>
          <w:szCs w:val="24"/>
        </w:rPr>
        <w:t xml:space="preserve">. </w:t>
      </w:r>
    </w:p>
    <w:p w:rsidR="0069459D" w:rsidRDefault="0069459D" w:rsidP="0069459D">
      <w:pPr>
        <w:pStyle w:val="Corpsdetexte"/>
        <w:spacing w:line="240" w:lineRule="auto"/>
        <w:rPr>
          <w:rFonts w:ascii="Arial" w:hAnsi="Arial"/>
          <w:sz w:val="24"/>
          <w:szCs w:val="24"/>
        </w:rPr>
      </w:pPr>
    </w:p>
    <w:p w:rsidR="00FB46B7" w:rsidRPr="00AA5CBF" w:rsidRDefault="00FB46B7" w:rsidP="00FB46B7">
      <w:pPr>
        <w:pStyle w:val="Corpsdetexte"/>
        <w:spacing w:line="360" w:lineRule="auto"/>
        <w:rPr>
          <w:rFonts w:ascii="Arial" w:hAnsi="Arial"/>
          <w:szCs w:val="24"/>
        </w:rPr>
      </w:pPr>
      <w:r w:rsidRPr="00FB46B7">
        <w:rPr>
          <w:rFonts w:ascii="Arial" w:hAnsi="Arial"/>
          <w:sz w:val="24"/>
          <w:szCs w:val="24"/>
        </w:rPr>
        <w:t xml:space="preserve">Tampoco podría predicarse que actúa en condición de apoderada judicial </w:t>
      </w:r>
      <w:r w:rsidR="0030235D">
        <w:rPr>
          <w:rFonts w:ascii="Arial" w:hAnsi="Arial"/>
          <w:sz w:val="24"/>
          <w:szCs w:val="24"/>
        </w:rPr>
        <w:t>de la AFP</w:t>
      </w:r>
      <w:r w:rsidRPr="00FB46B7">
        <w:rPr>
          <w:rFonts w:ascii="Arial" w:hAnsi="Arial"/>
          <w:sz w:val="24"/>
          <w:szCs w:val="24"/>
        </w:rPr>
        <w:t>, porque no aportó con el petitorio el poder especial expreso</w:t>
      </w:r>
      <w:r w:rsidRPr="00FB46B7">
        <w:rPr>
          <w:rStyle w:val="Appelnotedebasdep"/>
          <w:rFonts w:ascii="Arial" w:hAnsi="Arial"/>
          <w:sz w:val="24"/>
          <w:szCs w:val="24"/>
        </w:rPr>
        <w:footnoteReference w:id="14"/>
      </w:r>
      <w:r>
        <w:rPr>
          <w:rFonts w:ascii="Arial" w:hAnsi="Arial"/>
          <w:sz w:val="24"/>
          <w:szCs w:val="24"/>
        </w:rPr>
        <w:t xml:space="preserve">, </w:t>
      </w:r>
      <w:r w:rsidRPr="00AA5CBF">
        <w:rPr>
          <w:rFonts w:ascii="Arial" w:hAnsi="Arial"/>
          <w:sz w:val="24"/>
          <w:szCs w:val="24"/>
        </w:rPr>
        <w:t>y</w:t>
      </w:r>
      <w:r w:rsidRPr="00AA5CBF">
        <w:rPr>
          <w:rFonts w:ascii="Arial" w:hAnsi="Arial" w:cs="Arial"/>
          <w:sz w:val="24"/>
          <w:szCs w:val="24"/>
          <w:shd w:val="clear" w:color="auto" w:fill="FFFFFF"/>
        </w:rPr>
        <w:t xml:space="preserve"> </w:t>
      </w:r>
      <w:r w:rsidR="0030235D" w:rsidRPr="00AA5CBF">
        <w:rPr>
          <w:rFonts w:ascii="Arial" w:hAnsi="Arial" w:cs="Arial"/>
          <w:sz w:val="24"/>
          <w:szCs w:val="24"/>
          <w:shd w:val="clear" w:color="auto" w:fill="FFFFFF"/>
        </w:rPr>
        <w:t xml:space="preserve">menos podría considerarse </w:t>
      </w:r>
      <w:r w:rsidRPr="00AA5CBF">
        <w:rPr>
          <w:rFonts w:ascii="Arial" w:hAnsi="Arial"/>
          <w:sz w:val="24"/>
          <w:szCs w:val="24"/>
        </w:rPr>
        <w:t>que actúa como agente oficiosa</w:t>
      </w:r>
      <w:r w:rsidR="0030235D" w:rsidRPr="00AA5CBF">
        <w:rPr>
          <w:rFonts w:ascii="Arial" w:hAnsi="Arial"/>
          <w:sz w:val="24"/>
          <w:szCs w:val="24"/>
        </w:rPr>
        <w:t xml:space="preserve"> de una persona jurídica</w:t>
      </w:r>
      <w:r w:rsidRPr="00AA5CBF">
        <w:rPr>
          <w:rFonts w:ascii="Arial" w:hAnsi="Arial"/>
          <w:sz w:val="24"/>
          <w:szCs w:val="24"/>
        </w:rPr>
        <w:t>.</w:t>
      </w:r>
      <w:r w:rsidRPr="00AA5CBF">
        <w:rPr>
          <w:rFonts w:ascii="Arial" w:hAnsi="Arial"/>
          <w:szCs w:val="24"/>
        </w:rPr>
        <w:t xml:space="preserve"> </w:t>
      </w:r>
    </w:p>
    <w:p w:rsidR="00FB46B7" w:rsidRPr="00B83337" w:rsidRDefault="00FB46B7" w:rsidP="00FB46B7">
      <w:pPr>
        <w:spacing w:line="360" w:lineRule="auto"/>
        <w:ind w:right="51"/>
        <w:jc w:val="both"/>
        <w:rPr>
          <w:rFonts w:ascii="Arial" w:hAnsi="Arial"/>
          <w:sz w:val="20"/>
        </w:rPr>
      </w:pPr>
    </w:p>
    <w:p w:rsidR="00FB46B7" w:rsidRDefault="00FB46B7" w:rsidP="00FB46B7">
      <w:pPr>
        <w:spacing w:line="360" w:lineRule="auto"/>
        <w:ind w:right="51"/>
        <w:jc w:val="both"/>
        <w:rPr>
          <w:rFonts w:ascii="Arial" w:hAnsi="Arial"/>
        </w:rPr>
      </w:pPr>
      <w:r>
        <w:rPr>
          <w:rFonts w:ascii="Arial" w:hAnsi="Arial"/>
        </w:rPr>
        <w:lastRenderedPageBreak/>
        <w:t xml:space="preserve">En ese orden de ideas, </w:t>
      </w:r>
      <w:r w:rsidR="00D61BBB">
        <w:rPr>
          <w:rFonts w:ascii="Arial" w:hAnsi="Arial"/>
        </w:rPr>
        <w:t>respecto de la</w:t>
      </w:r>
      <w:r w:rsidR="00FE0ADD">
        <w:rPr>
          <w:rFonts w:ascii="Arial" w:hAnsi="Arial"/>
        </w:rPr>
        <w:t>s</w:t>
      </w:r>
      <w:r w:rsidR="00D61BBB">
        <w:rPr>
          <w:rFonts w:ascii="Arial" w:hAnsi="Arial"/>
        </w:rPr>
        <w:t xml:space="preserve"> </w:t>
      </w:r>
      <w:r w:rsidR="00FE0ADD">
        <w:rPr>
          <w:rFonts w:ascii="Arial" w:hAnsi="Arial"/>
        </w:rPr>
        <w:t>pretensiones</w:t>
      </w:r>
      <w:r w:rsidR="00D61BBB">
        <w:rPr>
          <w:rFonts w:ascii="Arial" w:hAnsi="Arial"/>
        </w:rPr>
        <w:t xml:space="preserve"> de tutela encaminada</w:t>
      </w:r>
      <w:r w:rsidR="00FE0ADD">
        <w:rPr>
          <w:rFonts w:ascii="Arial" w:hAnsi="Arial"/>
        </w:rPr>
        <w:t>s</w:t>
      </w:r>
      <w:r w:rsidR="00D61BBB">
        <w:rPr>
          <w:rFonts w:ascii="Arial" w:hAnsi="Arial"/>
        </w:rPr>
        <w:t xml:space="preserve"> a que </w:t>
      </w:r>
      <w:r w:rsidR="00FE0ADD">
        <w:rPr>
          <w:rFonts w:ascii="Arial" w:hAnsi="Arial"/>
        </w:rPr>
        <w:t xml:space="preserve">la Secretaría de Educación Departamental de Vaupés y la UGPP </w:t>
      </w:r>
      <w:r w:rsidR="00AA5CBF">
        <w:rPr>
          <w:rFonts w:ascii="Arial" w:hAnsi="Arial"/>
        </w:rPr>
        <w:t xml:space="preserve">paguen o certifiquen los aportes hechos a CAJANAL durante el periodo que laboró para el Vicariato Apostólico de Mitú  </w:t>
      </w:r>
      <w:r w:rsidR="00D61BBB">
        <w:rPr>
          <w:rFonts w:ascii="Arial" w:hAnsi="Arial"/>
        </w:rPr>
        <w:t>(</w:t>
      </w:r>
      <w:r w:rsidR="00AA5CBF">
        <w:rPr>
          <w:rFonts w:ascii="Arial" w:hAnsi="Arial"/>
          <w:lang w:val="es-CO"/>
        </w:rPr>
        <w:t>Folio 1</w:t>
      </w:r>
      <w:r w:rsidR="00D61BBB">
        <w:rPr>
          <w:rFonts w:ascii="Arial" w:hAnsi="Arial"/>
        </w:rPr>
        <w:t>, cuaderno No.1) la</w:t>
      </w:r>
      <w:r>
        <w:rPr>
          <w:rFonts w:ascii="Arial" w:hAnsi="Arial"/>
        </w:rPr>
        <w:t xml:space="preserve"> libelista carece de legitimación </w:t>
      </w:r>
      <w:r w:rsidR="00D61BBB">
        <w:rPr>
          <w:rFonts w:ascii="Arial" w:hAnsi="Arial"/>
        </w:rPr>
        <w:t>para representar a la parte actora</w:t>
      </w:r>
      <w:r w:rsidR="009A7781">
        <w:rPr>
          <w:rFonts w:ascii="Arial" w:hAnsi="Arial"/>
        </w:rPr>
        <w:t xml:space="preserve">, y tampoco </w:t>
      </w:r>
      <w:r w:rsidR="0089770C">
        <w:rPr>
          <w:rFonts w:ascii="Arial" w:hAnsi="Arial"/>
        </w:rPr>
        <w:t xml:space="preserve">tiene la titularidad </w:t>
      </w:r>
      <w:r w:rsidR="009A7781">
        <w:rPr>
          <w:rFonts w:ascii="Arial" w:hAnsi="Arial"/>
        </w:rPr>
        <w:t xml:space="preserve">del </w:t>
      </w:r>
      <w:r w:rsidR="00AA5CBF">
        <w:rPr>
          <w:rFonts w:ascii="Arial" w:hAnsi="Arial"/>
        </w:rPr>
        <w:t>derecho de petición</w:t>
      </w:r>
      <w:r w:rsidR="009A7781">
        <w:rPr>
          <w:rFonts w:ascii="Arial" w:hAnsi="Arial"/>
        </w:rPr>
        <w:t xml:space="preserve"> porque no suscribió</w:t>
      </w:r>
      <w:r w:rsidR="00AA5CBF">
        <w:rPr>
          <w:rFonts w:ascii="Arial" w:hAnsi="Arial"/>
        </w:rPr>
        <w:t xml:space="preserve"> </w:t>
      </w:r>
      <w:r w:rsidR="009A7781">
        <w:rPr>
          <w:rFonts w:ascii="Arial" w:hAnsi="Arial"/>
        </w:rPr>
        <w:t>los pedimentos</w:t>
      </w:r>
      <w:r>
        <w:rPr>
          <w:rFonts w:ascii="Arial" w:hAnsi="Arial"/>
        </w:rPr>
        <w:t>. Por lo tanto, se torna improcedente el presente amparo y así se declarará.</w:t>
      </w:r>
    </w:p>
    <w:p w:rsidR="00AA5CBF" w:rsidRPr="00AA5CBF" w:rsidRDefault="00AA5CBF" w:rsidP="00AA5CBF">
      <w:pPr>
        <w:pStyle w:val="Corpsdetexte"/>
        <w:tabs>
          <w:tab w:val="clear" w:pos="708"/>
        </w:tabs>
        <w:spacing w:line="360" w:lineRule="auto"/>
        <w:ind w:left="720"/>
        <w:rPr>
          <w:rFonts w:ascii="Arial" w:hAnsi="Arial" w:cs="Arial"/>
          <w:sz w:val="24"/>
          <w:szCs w:val="24"/>
        </w:rPr>
      </w:pPr>
    </w:p>
    <w:p w:rsidR="003913E3" w:rsidRDefault="003913E3" w:rsidP="001E4BE1">
      <w:pPr>
        <w:pStyle w:val="Corpsdetexte"/>
        <w:numPr>
          <w:ilvl w:val="1"/>
          <w:numId w:val="37"/>
        </w:numPr>
        <w:tabs>
          <w:tab w:val="clear" w:pos="708"/>
        </w:tabs>
        <w:spacing w:line="360" w:lineRule="auto"/>
        <w:rPr>
          <w:rFonts w:ascii="Arial" w:hAnsi="Arial" w:cs="Arial"/>
          <w:sz w:val="24"/>
          <w:szCs w:val="24"/>
        </w:rPr>
      </w:pPr>
      <w:r w:rsidRPr="00AA5CBF">
        <w:rPr>
          <w:rFonts w:ascii="Arial" w:hAnsi="Arial" w:cs="Arial"/>
          <w:smallCaps/>
          <w:sz w:val="24"/>
          <w:szCs w:val="24"/>
        </w:rPr>
        <w:t>El problema jurídico a resolver</w:t>
      </w:r>
      <w:r w:rsidR="00874CC8" w:rsidRPr="00AA5CBF">
        <w:rPr>
          <w:rFonts w:ascii="Arial" w:hAnsi="Arial" w:cs="Arial"/>
          <w:smallCaps/>
          <w:sz w:val="24"/>
          <w:szCs w:val="24"/>
        </w:rPr>
        <w:t xml:space="preserve">. </w:t>
      </w:r>
      <w:r w:rsidRPr="00AA5CBF">
        <w:rPr>
          <w:rFonts w:ascii="Arial" w:hAnsi="Arial" w:cs="Arial"/>
          <w:sz w:val="24"/>
          <w:szCs w:val="24"/>
        </w:rPr>
        <w:t xml:space="preserve">¿Es procedente confirmar, modificar o revocar la sentencia del </w:t>
      </w:r>
      <w:r w:rsidR="00D60BD1" w:rsidRPr="00AA5CBF">
        <w:rPr>
          <w:rFonts w:ascii="Arial" w:hAnsi="Arial"/>
          <w:sz w:val="24"/>
        </w:rPr>
        <w:t xml:space="preserve">Juzgado </w:t>
      </w:r>
      <w:r w:rsidR="00AA5CBF" w:rsidRPr="00AA5CBF">
        <w:rPr>
          <w:rFonts w:ascii="Arial" w:hAnsi="Arial"/>
          <w:sz w:val="24"/>
        </w:rPr>
        <w:t xml:space="preserve">Segundo </w:t>
      </w:r>
      <w:r w:rsidR="00874CC8" w:rsidRPr="00AA5CBF">
        <w:rPr>
          <w:rFonts w:ascii="Arial" w:hAnsi="Arial"/>
          <w:sz w:val="24"/>
        </w:rPr>
        <w:t xml:space="preserve">Civil del Circuito </w:t>
      </w:r>
      <w:r w:rsidR="00AA5CBF" w:rsidRPr="00AA5CBF">
        <w:rPr>
          <w:rFonts w:ascii="Arial" w:hAnsi="Arial"/>
          <w:sz w:val="24"/>
        </w:rPr>
        <w:t>de Pereira</w:t>
      </w:r>
      <w:r w:rsidRPr="00AA5CBF">
        <w:rPr>
          <w:rFonts w:ascii="Arial" w:hAnsi="Arial" w:cs="Arial"/>
          <w:sz w:val="24"/>
          <w:szCs w:val="24"/>
        </w:rPr>
        <w:t>, según la impugnación</w:t>
      </w:r>
      <w:r w:rsidR="005069CE" w:rsidRPr="00AA5CBF">
        <w:rPr>
          <w:rFonts w:ascii="Arial" w:hAnsi="Arial" w:cs="Arial"/>
          <w:sz w:val="24"/>
          <w:szCs w:val="24"/>
        </w:rPr>
        <w:t xml:space="preserve"> d</w:t>
      </w:r>
      <w:r w:rsidR="00311747" w:rsidRPr="00AA5CBF">
        <w:rPr>
          <w:rFonts w:ascii="Arial" w:hAnsi="Arial" w:cs="Arial"/>
          <w:sz w:val="24"/>
          <w:szCs w:val="24"/>
        </w:rPr>
        <w:t>e</w:t>
      </w:r>
      <w:r w:rsidR="002F2011" w:rsidRPr="00AA5CBF">
        <w:rPr>
          <w:rFonts w:ascii="Arial" w:hAnsi="Arial" w:cs="Arial"/>
          <w:sz w:val="24"/>
          <w:szCs w:val="24"/>
        </w:rPr>
        <w:t xml:space="preserve"> </w:t>
      </w:r>
      <w:r w:rsidR="00EF4E29" w:rsidRPr="00AA5CBF">
        <w:rPr>
          <w:rFonts w:ascii="Arial" w:hAnsi="Arial" w:cs="Arial"/>
          <w:sz w:val="24"/>
          <w:szCs w:val="24"/>
        </w:rPr>
        <w:t>l</w:t>
      </w:r>
      <w:r w:rsidR="002F2011" w:rsidRPr="00AA5CBF">
        <w:rPr>
          <w:rFonts w:ascii="Arial" w:hAnsi="Arial" w:cs="Arial"/>
          <w:sz w:val="24"/>
          <w:szCs w:val="24"/>
        </w:rPr>
        <w:t>a</w:t>
      </w:r>
      <w:r w:rsidR="00EF4E29" w:rsidRPr="00AA5CBF">
        <w:rPr>
          <w:rFonts w:ascii="Arial" w:hAnsi="Arial" w:cs="Arial"/>
          <w:sz w:val="24"/>
          <w:szCs w:val="24"/>
        </w:rPr>
        <w:t xml:space="preserve"> </w:t>
      </w:r>
      <w:r w:rsidR="002F2011" w:rsidRPr="00AA5CBF">
        <w:rPr>
          <w:rFonts w:ascii="Arial" w:hAnsi="Arial" w:cs="Arial"/>
          <w:sz w:val="24"/>
          <w:szCs w:val="24"/>
        </w:rPr>
        <w:t xml:space="preserve">parte </w:t>
      </w:r>
      <w:r w:rsidR="001878F8" w:rsidRPr="00AA5CBF">
        <w:rPr>
          <w:rFonts w:ascii="Arial" w:hAnsi="Arial" w:cs="Arial"/>
          <w:sz w:val="24"/>
          <w:szCs w:val="24"/>
        </w:rPr>
        <w:t>accionada</w:t>
      </w:r>
      <w:r w:rsidRPr="00AA5CBF">
        <w:rPr>
          <w:rFonts w:ascii="Arial" w:hAnsi="Arial" w:cs="Arial"/>
          <w:sz w:val="24"/>
          <w:szCs w:val="24"/>
        </w:rPr>
        <w:t xml:space="preserve">? </w:t>
      </w:r>
    </w:p>
    <w:p w:rsidR="00AA5CBF" w:rsidRPr="00AA5CBF" w:rsidRDefault="00AA5CBF" w:rsidP="00AA5CBF">
      <w:pPr>
        <w:pStyle w:val="Corpsdetexte"/>
        <w:tabs>
          <w:tab w:val="clear" w:pos="708"/>
        </w:tabs>
        <w:spacing w:line="360" w:lineRule="auto"/>
        <w:ind w:left="720"/>
        <w:rPr>
          <w:rFonts w:ascii="Arial" w:hAnsi="Arial" w:cs="Arial"/>
          <w:sz w:val="24"/>
          <w:szCs w:val="24"/>
        </w:rPr>
      </w:pPr>
    </w:p>
    <w:p w:rsidR="003913E3" w:rsidRPr="00E049C7" w:rsidRDefault="00E049C7" w:rsidP="00874CC8">
      <w:pPr>
        <w:pStyle w:val="Corpsdetexte"/>
        <w:numPr>
          <w:ilvl w:val="0"/>
          <w:numId w:val="37"/>
        </w:numPr>
        <w:tabs>
          <w:tab w:val="clear" w:pos="0"/>
        </w:tabs>
        <w:spacing w:line="360" w:lineRule="auto"/>
        <w:rPr>
          <w:rFonts w:ascii="Arial" w:hAnsi="Arial" w:cs="Arial"/>
          <w:smallCaps/>
          <w:sz w:val="28"/>
          <w:szCs w:val="24"/>
        </w:rPr>
      </w:pPr>
      <w:r w:rsidRPr="00E049C7">
        <w:rPr>
          <w:rFonts w:ascii="Arial" w:hAnsi="Arial" w:cs="Arial"/>
          <w:smallCaps/>
          <w:sz w:val="28"/>
          <w:szCs w:val="24"/>
        </w:rPr>
        <w:t>La resolución del problema jurídico planteado</w:t>
      </w:r>
    </w:p>
    <w:p w:rsidR="00F90AB3" w:rsidRPr="00E049C7" w:rsidRDefault="00F90AB3" w:rsidP="0069459D">
      <w:pPr>
        <w:pStyle w:val="Corpsdetexte"/>
        <w:spacing w:line="240" w:lineRule="auto"/>
        <w:rPr>
          <w:rFonts w:ascii="Arial" w:hAnsi="Arial" w:cs="Arial"/>
          <w:szCs w:val="24"/>
          <w:lang w:val="es-CO"/>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61BBB" w:rsidRPr="00D96CA5" w:rsidRDefault="00D96CA5" w:rsidP="00B624E8">
      <w:pPr>
        <w:pStyle w:val="Corpsdetexte"/>
        <w:numPr>
          <w:ilvl w:val="1"/>
          <w:numId w:val="40"/>
        </w:numPr>
        <w:spacing w:line="360" w:lineRule="auto"/>
        <w:rPr>
          <w:rFonts w:ascii="Arial" w:hAnsi="Arial" w:cs="Arial"/>
          <w:smallCaps/>
          <w:sz w:val="24"/>
          <w:szCs w:val="24"/>
        </w:rPr>
      </w:pPr>
      <w:r w:rsidRPr="00D96CA5">
        <w:rPr>
          <w:rFonts w:ascii="Arial" w:hAnsi="Arial" w:cs="Arial"/>
          <w:smallCaps/>
          <w:sz w:val="24"/>
          <w:szCs w:val="24"/>
        </w:rPr>
        <w:t>La procedibilidad del amparo constitucional</w:t>
      </w:r>
    </w:p>
    <w:p w:rsidR="00D61BBB" w:rsidRPr="00E049C7" w:rsidRDefault="00D61BBB" w:rsidP="0069459D">
      <w:pPr>
        <w:pStyle w:val="Corpsdetexte"/>
        <w:spacing w:line="240" w:lineRule="auto"/>
        <w:rPr>
          <w:rFonts w:ascii="Arial" w:hAnsi="Arial" w:cs="Arial"/>
          <w:szCs w:val="24"/>
        </w:rPr>
      </w:pPr>
    </w:p>
    <w:p w:rsidR="00AA5CBF" w:rsidRDefault="00AA5CBF" w:rsidP="00AA5CBF">
      <w:pPr>
        <w:tabs>
          <w:tab w:val="left" w:pos="1979"/>
        </w:tabs>
        <w:spacing w:line="360" w:lineRule="auto"/>
        <w:jc w:val="both"/>
        <w:rPr>
          <w:rFonts w:ascii="Arial" w:hAnsi="Arial" w:cs="Arial"/>
          <w:noProof/>
        </w:rPr>
      </w:pPr>
      <w:r w:rsidRPr="00F33A95">
        <w:rPr>
          <w:rFonts w:ascii="Arial" w:hAnsi="Arial" w:cs="Arial"/>
          <w:noProof/>
        </w:rPr>
        <w:t xml:space="preserve">La </w:t>
      </w:r>
      <w:r>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w:t>
      </w:r>
    </w:p>
    <w:p w:rsidR="00AA5CBF" w:rsidRPr="00E37FED" w:rsidRDefault="00AA5CBF" w:rsidP="0069459D">
      <w:pPr>
        <w:tabs>
          <w:tab w:val="left" w:pos="1979"/>
        </w:tabs>
        <w:jc w:val="both"/>
        <w:rPr>
          <w:rFonts w:ascii="Arial" w:hAnsi="Arial" w:cs="Arial"/>
          <w:lang w:val="es-ES_tradnl"/>
        </w:rPr>
      </w:pPr>
    </w:p>
    <w:p w:rsidR="00AA5CBF" w:rsidRPr="00E37FED" w:rsidRDefault="00AA5CBF" w:rsidP="00AA5CBF">
      <w:pPr>
        <w:widowControl/>
        <w:autoSpaceDE/>
        <w:autoSpaceDN/>
        <w:adjustRightInd/>
        <w:spacing w:line="360" w:lineRule="auto"/>
        <w:jc w:val="both"/>
        <w:rPr>
          <w:rFonts w:ascii="Arial" w:hAnsi="Arial" w:cs="Arial"/>
        </w:rPr>
      </w:pPr>
      <w:r w:rsidRPr="00E37FED">
        <w:rPr>
          <w:rFonts w:ascii="Arial" w:hAnsi="Arial" w:cs="Arial"/>
        </w:rPr>
        <w:t xml:space="preserve">En el </w:t>
      </w:r>
      <w:r w:rsidRPr="00E37FED">
        <w:rPr>
          <w:rFonts w:ascii="Arial" w:hAnsi="Arial" w:cs="Arial"/>
          <w:i/>
        </w:rPr>
        <w:t>sub lite</w:t>
      </w:r>
      <w:r w:rsidRPr="00E37FED">
        <w:rPr>
          <w:rFonts w:ascii="Arial" w:hAnsi="Arial" w:cs="Arial"/>
        </w:rPr>
        <w:t xml:space="preserve"> se cumple con </w:t>
      </w:r>
      <w:r>
        <w:rPr>
          <w:rFonts w:ascii="Arial" w:hAnsi="Arial" w:cs="Arial"/>
        </w:rPr>
        <w:t xml:space="preserve">la subsidiariedad </w:t>
      </w:r>
      <w:r w:rsidRPr="00E37FED">
        <w:rPr>
          <w:rFonts w:ascii="Arial" w:hAnsi="Arial" w:cs="Arial"/>
        </w:rPr>
        <w:t>porque la accionante no tiene otro mecanismo</w:t>
      </w:r>
      <w:r>
        <w:rPr>
          <w:rFonts w:ascii="Arial" w:hAnsi="Arial" w:cs="Arial"/>
        </w:rPr>
        <w:t xml:space="preserve"> judicial</w:t>
      </w:r>
      <w:r w:rsidRPr="00E37FED">
        <w:rPr>
          <w:rFonts w:ascii="Arial" w:hAnsi="Arial" w:cs="Arial"/>
        </w:rPr>
        <w:t xml:space="preserve"> diferente a esta acción para procurar la defensa del derecho de petición</w:t>
      </w:r>
      <w:r w:rsidRPr="00947418">
        <w:rPr>
          <w:rFonts w:ascii="Arial" w:hAnsi="Arial" w:cs="Arial"/>
          <w:vertAlign w:val="superscript"/>
        </w:rPr>
        <w:footnoteReference w:id="15"/>
      </w:r>
      <w:r w:rsidRPr="00E37FED">
        <w:rPr>
          <w:rFonts w:ascii="Arial" w:hAnsi="Arial" w:cs="Arial"/>
        </w:rPr>
        <w:t>.</w:t>
      </w:r>
    </w:p>
    <w:p w:rsidR="00AA5CBF" w:rsidRPr="00C2004B" w:rsidRDefault="00AA5CBF" w:rsidP="00AA5CBF">
      <w:pPr>
        <w:spacing w:line="360" w:lineRule="auto"/>
        <w:jc w:val="both"/>
        <w:rPr>
          <w:rFonts w:ascii="Arial" w:hAnsi="Arial" w:cs="Arial"/>
          <w:sz w:val="20"/>
        </w:rPr>
      </w:pPr>
    </w:p>
    <w:p w:rsidR="00D96CA5" w:rsidRPr="00D96CA5" w:rsidRDefault="00D96CA5" w:rsidP="00D96CA5">
      <w:pPr>
        <w:pStyle w:val="Corpsdetexte"/>
        <w:numPr>
          <w:ilvl w:val="1"/>
          <w:numId w:val="40"/>
        </w:numPr>
        <w:tabs>
          <w:tab w:val="clear" w:pos="0"/>
          <w:tab w:val="clear" w:pos="708"/>
          <w:tab w:val="left" w:pos="993"/>
        </w:tabs>
        <w:suppressAutoHyphens w:val="0"/>
        <w:overflowPunct/>
        <w:autoSpaceDE/>
        <w:adjustRightInd/>
        <w:spacing w:line="360" w:lineRule="auto"/>
        <w:textAlignment w:val="auto"/>
        <w:rPr>
          <w:rFonts w:ascii="Arial" w:hAnsi="Arial" w:cs="Arial"/>
          <w:smallCaps/>
          <w:sz w:val="24"/>
        </w:rPr>
      </w:pPr>
      <w:r w:rsidRPr="00D96CA5">
        <w:rPr>
          <w:rFonts w:ascii="Arial" w:hAnsi="Arial" w:cs="Arial"/>
          <w:smallCaps/>
          <w:sz w:val="24"/>
        </w:rPr>
        <w:t>La inmediatez de la acción de tutela</w:t>
      </w:r>
      <w:r w:rsidRPr="00D96CA5">
        <w:rPr>
          <w:rFonts w:ascii="Arial" w:hAnsi="Arial" w:cs="Arial"/>
          <w:smallCaps/>
          <w:sz w:val="24"/>
        </w:rPr>
        <w:tab/>
      </w:r>
    </w:p>
    <w:p w:rsidR="00D96CA5" w:rsidRPr="00002C46" w:rsidRDefault="00D96CA5" w:rsidP="00D96CA5">
      <w:pPr>
        <w:pStyle w:val="Corpsdetexte"/>
        <w:tabs>
          <w:tab w:val="clear" w:pos="0"/>
          <w:tab w:val="clear" w:pos="708"/>
          <w:tab w:val="left" w:pos="993"/>
        </w:tabs>
        <w:suppressAutoHyphens w:val="0"/>
        <w:overflowPunct/>
        <w:autoSpaceDE/>
        <w:adjustRightInd/>
        <w:spacing w:line="360" w:lineRule="auto"/>
        <w:ind w:left="720"/>
        <w:textAlignment w:val="auto"/>
        <w:rPr>
          <w:rFonts w:ascii="Arial" w:hAnsi="Arial" w:cs="Arial"/>
          <w:smallCaps/>
          <w:szCs w:val="24"/>
        </w:rPr>
      </w:pPr>
    </w:p>
    <w:p w:rsidR="00D96CA5" w:rsidRDefault="00D96CA5" w:rsidP="00D96CA5">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16"/>
      </w:r>
      <w:r>
        <w:rPr>
          <w:rFonts w:ascii="Arial" w:hAnsi="Arial" w:cs="Arial"/>
        </w:rPr>
        <w:t>, y también de la CSJ</w:t>
      </w:r>
      <w:r>
        <w:rPr>
          <w:rStyle w:val="Appelnotedebasdep"/>
          <w:rFonts w:ascii="Calibri" w:hAnsi="Calibri" w:cs="Calibri"/>
        </w:rPr>
        <w:footnoteReference w:id="17"/>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D96CA5" w:rsidRDefault="00D96CA5" w:rsidP="0069459D">
      <w:pPr>
        <w:jc w:val="both"/>
        <w:rPr>
          <w:rFonts w:ascii="Arial" w:hAnsi="Arial" w:cs="Arial"/>
          <w:u w:val="single"/>
        </w:rPr>
      </w:pPr>
    </w:p>
    <w:p w:rsidR="00D96CA5" w:rsidRDefault="00D96CA5" w:rsidP="00D96CA5">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w:t>
      </w:r>
      <w:r>
        <w:rPr>
          <w:rFonts w:ascii="Arial" w:hAnsi="Arial" w:cs="Arial"/>
          <w:kern w:val="44"/>
        </w:rPr>
        <w:lastRenderedPageBreak/>
        <w:t xml:space="preserve">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18"/>
      </w:r>
      <w:r>
        <w:rPr>
          <w:rFonts w:ascii="Arial" w:hAnsi="Arial" w:cs="Arial"/>
        </w:rPr>
        <w:t>. Así mismo lo ha señalado la CSJ</w:t>
      </w:r>
      <w:r>
        <w:rPr>
          <w:rStyle w:val="Appelnotedebasdep"/>
          <w:rFonts w:ascii="Arial" w:hAnsi="Arial" w:cs="Arial"/>
        </w:rPr>
        <w:footnoteReference w:id="19"/>
      </w:r>
      <w:r>
        <w:rPr>
          <w:rFonts w:ascii="Arial" w:hAnsi="Arial" w:cs="Arial"/>
        </w:rPr>
        <w:t xml:space="preserve">, que en recientes providencias reiteró: </w:t>
      </w:r>
    </w:p>
    <w:p w:rsidR="00D96CA5" w:rsidRPr="0069459D" w:rsidRDefault="00D96CA5" w:rsidP="00D96CA5">
      <w:pPr>
        <w:ind w:left="720" w:right="618"/>
        <w:jc w:val="both"/>
        <w:rPr>
          <w:rFonts w:ascii="Arial" w:hAnsi="Arial" w:cs="Arial"/>
          <w:iCs/>
          <w:sz w:val="6"/>
          <w:szCs w:val="6"/>
        </w:rPr>
      </w:pPr>
    </w:p>
    <w:p w:rsidR="00D96CA5" w:rsidRPr="0069459D" w:rsidRDefault="00D96CA5" w:rsidP="00D96CA5">
      <w:pPr>
        <w:ind w:left="720" w:right="618"/>
        <w:jc w:val="both"/>
        <w:rPr>
          <w:rFonts w:ascii="Bookman Old Style" w:hAnsi="Bookman Old Style" w:cs="Arial"/>
          <w:iCs/>
        </w:rPr>
      </w:pPr>
      <w:r w:rsidRPr="0069459D">
        <w:rPr>
          <w:rFonts w:ascii="Arial" w:hAnsi="Arial" w:cs="Arial"/>
          <w:iCs/>
        </w:rPr>
        <w:t xml:space="preserve">… </w:t>
      </w:r>
      <w:r w:rsidRPr="0069459D">
        <w:rPr>
          <w:rFonts w:ascii="Arial" w:hAnsi="Arial" w:cs="Arial"/>
          <w:szCs w:val="28"/>
        </w:rPr>
        <w:t>[D]</w:t>
      </w:r>
      <w:proofErr w:type="spellStart"/>
      <w:r w:rsidRPr="0069459D">
        <w:rPr>
          <w:rFonts w:ascii="Arial" w:hAnsi="Arial" w:cs="Arial"/>
          <w:szCs w:val="28"/>
        </w:rPr>
        <w:t>escendiendo</w:t>
      </w:r>
      <w:proofErr w:type="spellEnd"/>
      <w:r w:rsidRPr="0069459D">
        <w:rPr>
          <w:rFonts w:ascii="Arial" w:hAnsi="Arial" w:cs="Arial"/>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69459D">
        <w:rPr>
          <w:rFonts w:ascii="Arial" w:hAnsi="Arial" w:cs="Arial"/>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69459D">
        <w:rPr>
          <w:rFonts w:ascii="Arial" w:hAnsi="Arial" w:cs="Arial"/>
          <w:szCs w:val="28"/>
        </w:rPr>
        <w:t>; sin que la parte accionante hubiera alegado ni menos demostrado motivo alguno que justifique tan notoria tardanza</w:t>
      </w:r>
      <w:r w:rsidRPr="0069459D">
        <w:rPr>
          <w:rFonts w:ascii="Arial" w:hAnsi="Arial" w:cs="Arial"/>
          <w:iCs/>
        </w:rPr>
        <w:t>.</w:t>
      </w:r>
      <w:r w:rsidRPr="0069459D">
        <w:rPr>
          <w:rFonts w:ascii="Arial" w:hAnsi="Arial" w:cs="Arial"/>
        </w:rPr>
        <w:t xml:space="preserve"> (</w:t>
      </w:r>
      <w:proofErr w:type="spellStart"/>
      <w:r w:rsidRPr="0069459D">
        <w:rPr>
          <w:rFonts w:ascii="Arial" w:hAnsi="Arial" w:cs="Arial"/>
        </w:rPr>
        <w:t>Sublínea</w:t>
      </w:r>
      <w:proofErr w:type="spellEnd"/>
      <w:r w:rsidRPr="0069459D">
        <w:rPr>
          <w:rFonts w:ascii="Arial" w:hAnsi="Arial" w:cs="Arial"/>
        </w:rPr>
        <w:t xml:space="preserve"> de esta Sala).</w:t>
      </w:r>
    </w:p>
    <w:p w:rsidR="00D96CA5" w:rsidRPr="0069459D" w:rsidRDefault="00D96CA5" w:rsidP="00D96CA5">
      <w:pPr>
        <w:spacing w:line="360" w:lineRule="auto"/>
        <w:ind w:right="22"/>
        <w:jc w:val="both"/>
        <w:rPr>
          <w:rFonts w:ascii="Arial" w:hAnsi="Arial" w:cs="Arial"/>
        </w:rPr>
      </w:pPr>
    </w:p>
    <w:p w:rsidR="00D96CA5" w:rsidRPr="0098589D" w:rsidRDefault="00D96CA5" w:rsidP="00D96CA5">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D96CA5" w:rsidRPr="0098589D" w:rsidRDefault="00D96CA5" w:rsidP="00D96CA5">
      <w:pPr>
        <w:spacing w:line="360" w:lineRule="auto"/>
        <w:ind w:right="22"/>
        <w:jc w:val="both"/>
        <w:rPr>
          <w:rFonts w:ascii="Arial" w:hAnsi="Arial" w:cs="Arial"/>
        </w:rPr>
      </w:pPr>
    </w:p>
    <w:p w:rsidR="00D96CA5" w:rsidRDefault="00D96CA5" w:rsidP="00D96CA5">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20"/>
      </w:r>
      <w:r w:rsidRPr="0098589D">
        <w:rPr>
          <w:rFonts w:ascii="Arial" w:hAnsi="Arial" w:cs="Arial"/>
        </w:rPr>
        <w:t>, con apoyo en un precedente anterior de 2003</w:t>
      </w:r>
      <w:r w:rsidRPr="0098589D">
        <w:rPr>
          <w:rStyle w:val="Appelnotedebasdep"/>
          <w:rFonts w:ascii="Arial" w:hAnsi="Arial" w:cs="Arial"/>
        </w:rPr>
        <w:footnoteReference w:id="21"/>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Appelnotedebasdep"/>
          <w:rFonts w:ascii="Arial" w:hAnsi="Arial" w:cs="Arial"/>
        </w:rPr>
        <w:footnoteReference w:id="22"/>
      </w:r>
      <w:r w:rsidRPr="0098589D">
        <w:rPr>
          <w:rFonts w:ascii="Arial" w:hAnsi="Arial" w:cs="Arial"/>
        </w:rPr>
        <w:t>.</w:t>
      </w:r>
    </w:p>
    <w:p w:rsidR="00D96CA5" w:rsidRPr="00EC12E0" w:rsidRDefault="00D96CA5" w:rsidP="00D96CA5">
      <w:pPr>
        <w:spacing w:line="360" w:lineRule="auto"/>
        <w:ind w:right="22"/>
        <w:jc w:val="both"/>
        <w:rPr>
          <w:rFonts w:ascii="Arial" w:hAnsi="Arial" w:cs="Arial"/>
          <w:lang w:val="es-CO"/>
        </w:rPr>
      </w:pPr>
    </w:p>
    <w:p w:rsidR="00D96CA5" w:rsidRPr="00825F31" w:rsidRDefault="00D96CA5" w:rsidP="00D96CA5">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Appelnotedebasdep"/>
          <w:rFonts w:ascii="Arial" w:hAnsi="Arial" w:cs="Arial"/>
        </w:rPr>
        <w:footnoteReference w:id="23"/>
      </w:r>
      <w:r>
        <w:rPr>
          <w:rFonts w:ascii="Arial" w:hAnsi="Arial" w:cs="Arial"/>
          <w:vertAlign w:val="superscript"/>
          <w:lang w:val="es-ES_tradnl"/>
        </w:rPr>
        <w:t>-</w:t>
      </w:r>
      <w:r>
        <w:rPr>
          <w:rStyle w:val="Appelnotedebasdep"/>
          <w:rFonts w:ascii="Arial" w:hAnsi="Arial"/>
          <w:lang w:val="es-ES_tradnl"/>
        </w:rPr>
        <w:footnoteReference w:id="24"/>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procedibilidad, así </w:t>
      </w:r>
      <w:r w:rsidR="009A7781">
        <w:rPr>
          <w:rFonts w:ascii="Arial" w:hAnsi="Arial" w:cs="Arial"/>
          <w:lang w:val="es-ES_tradnl"/>
        </w:rPr>
        <w:t>explicó</w:t>
      </w:r>
      <w:r w:rsidRPr="00825F31">
        <w:rPr>
          <w:rFonts w:ascii="Arial" w:hAnsi="Arial" w:cs="Arial"/>
          <w:lang w:val="es-ES_tradnl"/>
        </w:rPr>
        <w:t>:</w:t>
      </w:r>
    </w:p>
    <w:p w:rsidR="00D96CA5" w:rsidRPr="00825F31" w:rsidRDefault="00D96CA5" w:rsidP="00D96CA5">
      <w:pPr>
        <w:ind w:left="567" w:right="567"/>
        <w:jc w:val="both"/>
        <w:rPr>
          <w:rFonts w:ascii="Arial" w:hAnsi="Arial" w:cs="Arial"/>
          <w:i/>
          <w:lang w:val="es-CO"/>
        </w:rPr>
      </w:pPr>
      <w:r w:rsidRPr="00825F31">
        <w:rPr>
          <w:rFonts w:ascii="Arial" w:hAnsi="Arial" w:cs="Arial"/>
          <w:shd w:val="clear" w:color="auto" w:fill="FFFFFF"/>
        </w:rPr>
        <w:lastRenderedPageBreak/>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009A7781">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sidR="009A7781">
        <w:rPr>
          <w:rFonts w:ascii="Arial" w:hAnsi="Arial" w:cs="Arial"/>
          <w:lang w:val="es-CO"/>
        </w:rPr>
        <w:t xml:space="preserve">es </w:t>
      </w:r>
      <w:r w:rsidRPr="00825F31">
        <w:rPr>
          <w:rFonts w:ascii="Arial" w:hAnsi="Arial" w:cs="Arial"/>
          <w:lang w:val="es-CO"/>
        </w:rPr>
        <w:t>de este Tribunal</w:t>
      </w:r>
      <w:r w:rsidR="009A7781">
        <w:rPr>
          <w:rFonts w:ascii="Arial" w:hAnsi="Arial" w:cs="Arial"/>
          <w:lang w:val="es-CO"/>
        </w:rPr>
        <w:t>)</w:t>
      </w:r>
      <w:r w:rsidRPr="00825F31">
        <w:rPr>
          <w:rFonts w:ascii="Arial" w:hAnsi="Arial" w:cs="Arial"/>
          <w:lang w:val="es-CO"/>
        </w:rPr>
        <w:t>.</w:t>
      </w:r>
    </w:p>
    <w:p w:rsidR="00D61BBB" w:rsidRPr="004E795D" w:rsidRDefault="00D61BBB" w:rsidP="00D61BBB">
      <w:pPr>
        <w:pStyle w:val="Corpsdetexte"/>
        <w:tabs>
          <w:tab w:val="clear" w:pos="0"/>
        </w:tabs>
        <w:spacing w:line="360" w:lineRule="auto"/>
        <w:rPr>
          <w:rFonts w:ascii="Arial" w:hAnsi="Arial" w:cs="Arial"/>
          <w:sz w:val="24"/>
          <w:szCs w:val="24"/>
        </w:rPr>
      </w:pPr>
    </w:p>
    <w:p w:rsidR="00D61BBB" w:rsidRPr="00E049C7" w:rsidRDefault="00E049C7" w:rsidP="00B624E8">
      <w:pPr>
        <w:pStyle w:val="Corpsdetexte"/>
        <w:numPr>
          <w:ilvl w:val="0"/>
          <w:numId w:val="40"/>
        </w:numPr>
        <w:spacing w:line="360" w:lineRule="auto"/>
        <w:rPr>
          <w:rFonts w:ascii="Arial" w:hAnsi="Arial"/>
          <w:smallCaps/>
          <w:sz w:val="28"/>
          <w:szCs w:val="24"/>
        </w:rPr>
      </w:pPr>
      <w:r w:rsidRPr="00E049C7">
        <w:rPr>
          <w:rFonts w:ascii="Arial" w:hAnsi="Arial"/>
          <w:smallCaps/>
          <w:sz w:val="28"/>
          <w:szCs w:val="24"/>
        </w:rPr>
        <w:t>El caso concreto que se analiza</w:t>
      </w:r>
    </w:p>
    <w:p w:rsidR="00D61BBB" w:rsidRPr="00424EC5" w:rsidRDefault="00D61BBB" w:rsidP="00D61BBB">
      <w:pPr>
        <w:pStyle w:val="Corpsdetexte"/>
        <w:spacing w:line="360" w:lineRule="auto"/>
        <w:ind w:left="585"/>
        <w:rPr>
          <w:rFonts w:ascii="Arial" w:hAnsi="Arial"/>
          <w:szCs w:val="24"/>
        </w:rPr>
      </w:pPr>
    </w:p>
    <w:p w:rsidR="00D96CA5" w:rsidRPr="00D96CA5" w:rsidRDefault="00D96CA5" w:rsidP="00D96CA5">
      <w:pPr>
        <w:pStyle w:val="Corpsdetexte"/>
        <w:spacing w:line="360" w:lineRule="auto"/>
        <w:rPr>
          <w:rFonts w:ascii="Arial" w:hAnsi="Arial" w:cs="Arial"/>
          <w:sz w:val="24"/>
          <w:szCs w:val="24"/>
        </w:rPr>
      </w:pPr>
      <w:r w:rsidRPr="00D96CA5">
        <w:rPr>
          <w:rFonts w:ascii="Arial" w:hAnsi="Arial" w:cs="Arial"/>
          <w:sz w:val="24"/>
          <w:szCs w:val="24"/>
        </w:rPr>
        <w:t xml:space="preserve">Busca </w:t>
      </w:r>
      <w:r>
        <w:rPr>
          <w:rFonts w:ascii="Arial" w:hAnsi="Arial" w:cs="Arial"/>
          <w:sz w:val="24"/>
          <w:szCs w:val="24"/>
        </w:rPr>
        <w:t>la</w:t>
      </w:r>
      <w:r w:rsidRPr="00D96CA5">
        <w:rPr>
          <w:rFonts w:ascii="Arial" w:hAnsi="Arial" w:cs="Arial"/>
          <w:sz w:val="24"/>
          <w:szCs w:val="24"/>
        </w:rPr>
        <w:t xml:space="preserve"> actor</w:t>
      </w:r>
      <w:r>
        <w:rPr>
          <w:rFonts w:ascii="Arial" w:hAnsi="Arial" w:cs="Arial"/>
          <w:sz w:val="24"/>
          <w:szCs w:val="24"/>
        </w:rPr>
        <w:t>a</w:t>
      </w:r>
      <w:r w:rsidRPr="00D96CA5">
        <w:rPr>
          <w:rFonts w:ascii="Arial" w:hAnsi="Arial" w:cs="Arial"/>
          <w:sz w:val="24"/>
          <w:szCs w:val="24"/>
        </w:rPr>
        <w:t xml:space="preserve"> que se ordene a </w:t>
      </w:r>
      <w:r>
        <w:rPr>
          <w:rFonts w:ascii="Arial" w:hAnsi="Arial" w:cs="Arial"/>
          <w:sz w:val="24"/>
          <w:szCs w:val="24"/>
        </w:rPr>
        <w:t xml:space="preserve">la AFP Porvenir </w:t>
      </w:r>
      <w:r w:rsidRPr="00D96CA5">
        <w:rPr>
          <w:rFonts w:ascii="Arial" w:hAnsi="Arial" w:cs="Arial"/>
          <w:sz w:val="24"/>
          <w:szCs w:val="24"/>
        </w:rPr>
        <w:t xml:space="preserve">resolver </w:t>
      </w:r>
      <w:r>
        <w:rPr>
          <w:rFonts w:ascii="Arial" w:hAnsi="Arial" w:cs="Arial"/>
          <w:sz w:val="24"/>
          <w:szCs w:val="24"/>
        </w:rPr>
        <w:t>una reclamación para devolución de aportes carente de fecha de radicación, pese a ello existen en el plenario dos respuestas  datadas los días 27-02-2015 y 24-07-2015 (Folios 15 y 21, cuaderno No.1), que permiten a la Sala inferir que la solicitud fue presentada, cuando menos, en el mes de febrero de 2015</w:t>
      </w:r>
      <w:r w:rsidRPr="00D96CA5">
        <w:rPr>
          <w:rFonts w:ascii="Arial" w:hAnsi="Arial" w:cs="Arial"/>
          <w:sz w:val="24"/>
          <w:szCs w:val="24"/>
        </w:rPr>
        <w:t xml:space="preserve">. </w:t>
      </w:r>
    </w:p>
    <w:p w:rsidR="00D96CA5" w:rsidRPr="00D96CA5" w:rsidRDefault="00D96CA5" w:rsidP="00D96CA5">
      <w:pPr>
        <w:pStyle w:val="Corpsdetexte"/>
        <w:spacing w:line="360" w:lineRule="auto"/>
        <w:rPr>
          <w:rFonts w:ascii="Arial" w:hAnsi="Arial" w:cs="Arial"/>
          <w:sz w:val="24"/>
          <w:szCs w:val="24"/>
        </w:rPr>
      </w:pPr>
    </w:p>
    <w:p w:rsidR="00D96CA5" w:rsidRPr="00D96CA5" w:rsidRDefault="00D96CA5" w:rsidP="00D96CA5">
      <w:pPr>
        <w:pStyle w:val="Corpsdetexte"/>
        <w:spacing w:line="360" w:lineRule="auto"/>
        <w:rPr>
          <w:rFonts w:ascii="Arial" w:hAnsi="Arial" w:cs="Arial"/>
          <w:sz w:val="24"/>
          <w:szCs w:val="24"/>
        </w:rPr>
      </w:pPr>
      <w:r w:rsidRPr="00D96CA5">
        <w:rPr>
          <w:rFonts w:ascii="Arial" w:hAnsi="Arial" w:cs="Arial"/>
          <w:sz w:val="24"/>
          <w:szCs w:val="24"/>
        </w:rPr>
        <w:t>A partir de esa fecha se debe afirmar que la presente acción carece de inmediatez, pues su interposición desborda el plazo de los seis (6) meses fijado por la jurisprudencia tanto constitucional como ordinaria, según acaba de explicarse</w:t>
      </w:r>
      <w:r>
        <w:rPr>
          <w:rFonts w:ascii="Arial" w:hAnsi="Arial" w:cs="Arial"/>
          <w:sz w:val="24"/>
          <w:szCs w:val="24"/>
        </w:rPr>
        <w:t>,</w:t>
      </w:r>
      <w:r w:rsidRPr="00D96CA5">
        <w:rPr>
          <w:rFonts w:ascii="Arial" w:hAnsi="Arial" w:cs="Arial"/>
          <w:sz w:val="24"/>
          <w:szCs w:val="24"/>
        </w:rPr>
        <w:t xml:space="preserve"> como tiempo razonable para interponerla, ya que transcurrió</w:t>
      </w:r>
      <w:r w:rsidR="00017B8C">
        <w:rPr>
          <w:rFonts w:ascii="Arial" w:hAnsi="Arial" w:cs="Arial"/>
          <w:sz w:val="24"/>
          <w:szCs w:val="24"/>
        </w:rPr>
        <w:t>,</w:t>
      </w:r>
      <w:r w:rsidRPr="00D96CA5">
        <w:rPr>
          <w:rFonts w:ascii="Arial" w:hAnsi="Arial" w:cs="Arial"/>
          <w:sz w:val="24"/>
          <w:szCs w:val="24"/>
        </w:rPr>
        <w:t xml:space="preserve"> </w:t>
      </w:r>
      <w:r w:rsidR="00017B8C">
        <w:rPr>
          <w:rFonts w:ascii="Arial" w:hAnsi="Arial" w:cs="Arial"/>
          <w:sz w:val="24"/>
          <w:szCs w:val="24"/>
        </w:rPr>
        <w:t xml:space="preserve">aproximadamente, un </w:t>
      </w:r>
      <w:r w:rsidR="00017B8C" w:rsidRPr="00D96CA5">
        <w:rPr>
          <w:rFonts w:ascii="Arial" w:hAnsi="Arial" w:cs="Arial"/>
          <w:sz w:val="24"/>
          <w:szCs w:val="24"/>
        </w:rPr>
        <w:t>(1)</w:t>
      </w:r>
      <w:r w:rsidR="00017B8C">
        <w:rPr>
          <w:rFonts w:ascii="Arial" w:hAnsi="Arial" w:cs="Arial"/>
          <w:sz w:val="24"/>
          <w:szCs w:val="24"/>
        </w:rPr>
        <w:t xml:space="preserve"> año y nueve (9) meses, </w:t>
      </w:r>
      <w:r w:rsidRPr="00D96CA5">
        <w:rPr>
          <w:rFonts w:ascii="Arial" w:hAnsi="Arial" w:cs="Arial"/>
          <w:sz w:val="24"/>
          <w:szCs w:val="24"/>
        </w:rPr>
        <w:t xml:space="preserve">desde la formulación de </w:t>
      </w:r>
      <w:r w:rsidR="00017B8C">
        <w:rPr>
          <w:rFonts w:ascii="Arial" w:hAnsi="Arial" w:cs="Arial"/>
          <w:sz w:val="24"/>
          <w:szCs w:val="24"/>
        </w:rPr>
        <w:t>la reclamación</w:t>
      </w:r>
      <w:r w:rsidRPr="00D96CA5">
        <w:rPr>
          <w:rFonts w:ascii="Arial" w:hAnsi="Arial" w:cs="Arial"/>
          <w:sz w:val="24"/>
          <w:szCs w:val="24"/>
        </w:rPr>
        <w:t>.</w:t>
      </w:r>
    </w:p>
    <w:p w:rsidR="00D96CA5" w:rsidRPr="00D96CA5" w:rsidRDefault="00D96CA5" w:rsidP="00D96CA5">
      <w:pPr>
        <w:spacing w:line="360" w:lineRule="auto"/>
        <w:ind w:right="45"/>
        <w:jc w:val="both"/>
        <w:rPr>
          <w:rFonts w:ascii="Arial" w:hAnsi="Arial" w:cs="Arial"/>
        </w:rPr>
      </w:pPr>
    </w:p>
    <w:p w:rsidR="00D96CA5" w:rsidRDefault="00D96CA5" w:rsidP="00D96CA5">
      <w:pPr>
        <w:spacing w:line="360" w:lineRule="auto"/>
        <w:jc w:val="both"/>
        <w:rPr>
          <w:rFonts w:ascii="Arial" w:hAnsi="Arial" w:cs="Arial"/>
        </w:rPr>
      </w:pPr>
      <w:r w:rsidRPr="00D96CA5">
        <w:rPr>
          <w:rFonts w:ascii="Arial" w:hAnsi="Arial" w:cs="Arial"/>
        </w:rPr>
        <w:t>Ahora bien, es cierto</w:t>
      </w:r>
      <w:r w:rsidRPr="00B62030">
        <w:rPr>
          <w:rFonts w:ascii="Arial" w:hAnsi="Arial" w:cs="Arial"/>
        </w:rPr>
        <w:t xml:space="preserve"> que conforme a la doctrina, el juez de la causa debe tener flexibilidad en la aplicación de este principio, pero a ese </w:t>
      </w:r>
      <w:r w:rsidRPr="00B62030">
        <w:rPr>
          <w:rFonts w:ascii="Arial" w:hAnsi="Arial" w:cs="Arial"/>
          <w:lang w:val="es-ES_tradnl"/>
        </w:rPr>
        <w:t xml:space="preserve">tenor, se debe </w:t>
      </w:r>
      <w:r w:rsidRPr="00B62030">
        <w:rPr>
          <w:rFonts w:ascii="Arial" w:hAnsi="Arial" w:cs="Arial"/>
        </w:rPr>
        <w:t xml:space="preserve">probar o alegar, que medió causa alguna de fuerza mayor o caso fortuito que impidiera </w:t>
      </w:r>
      <w:r w:rsidR="00017B8C">
        <w:rPr>
          <w:rFonts w:ascii="Arial" w:hAnsi="Arial" w:cs="Arial"/>
        </w:rPr>
        <w:t xml:space="preserve">a la </w:t>
      </w:r>
      <w:r w:rsidRPr="00B62030">
        <w:rPr>
          <w:rFonts w:ascii="Arial" w:hAnsi="Arial" w:cs="Arial"/>
        </w:rPr>
        <w:t>actor</w:t>
      </w:r>
      <w:r w:rsidR="00017B8C">
        <w:rPr>
          <w:rFonts w:ascii="Arial" w:hAnsi="Arial" w:cs="Arial"/>
        </w:rPr>
        <w:t>a</w:t>
      </w:r>
      <w:r w:rsidRPr="00B62030">
        <w:rPr>
          <w:rFonts w:ascii="Arial" w:hAnsi="Arial" w:cs="Arial"/>
        </w:rPr>
        <w:t xml:space="preserve"> gestionar, su defensa a través de esta acción con mayor celeridad sin desconocer la inmediatez</w:t>
      </w:r>
      <w:r w:rsidRPr="00B62030">
        <w:rPr>
          <w:rStyle w:val="Appelnotedebasdep"/>
          <w:rFonts w:ascii="Arial" w:hAnsi="Arial" w:cs="Arial"/>
        </w:rPr>
        <w:footnoteReference w:id="25"/>
      </w:r>
      <w:r w:rsidRPr="00B62030">
        <w:rPr>
          <w:rFonts w:ascii="Arial" w:hAnsi="Arial" w:cs="Arial"/>
        </w:rPr>
        <w:t>; circunstancias que no fueron expuestas ni probadas en el trámite. De igual forma, no se encuentra ni alegado ni probado, que sea persona de especial protección constitucional</w:t>
      </w:r>
      <w:r w:rsidRPr="00B62030">
        <w:rPr>
          <w:rStyle w:val="Appelnotedebasdep"/>
          <w:rFonts w:ascii="Arial" w:hAnsi="Arial" w:cs="Arial"/>
        </w:rPr>
        <w:footnoteReference w:id="26"/>
      </w:r>
      <w:r w:rsidRPr="00B62030">
        <w:rPr>
          <w:rFonts w:ascii="Arial" w:hAnsi="Arial" w:cs="Arial"/>
        </w:rPr>
        <w:t>.</w:t>
      </w:r>
    </w:p>
    <w:p w:rsidR="00E6785D" w:rsidRPr="00E049C7" w:rsidRDefault="00E6785D" w:rsidP="00DD1EC0">
      <w:pPr>
        <w:pStyle w:val="Corpsdetexte"/>
        <w:spacing w:line="360" w:lineRule="auto"/>
        <w:rPr>
          <w:rFonts w:ascii="Arial" w:hAnsi="Arial" w:cs="Arial"/>
          <w:szCs w:val="24"/>
        </w:rPr>
      </w:pPr>
    </w:p>
    <w:p w:rsidR="00CE32AE" w:rsidRPr="005110DF" w:rsidRDefault="005110DF" w:rsidP="00CE32AE">
      <w:pPr>
        <w:pStyle w:val="Corpsdetexte"/>
        <w:numPr>
          <w:ilvl w:val="0"/>
          <w:numId w:val="20"/>
        </w:numPr>
        <w:spacing w:line="360" w:lineRule="auto"/>
        <w:ind w:left="851" w:right="567" w:hanging="851"/>
        <w:rPr>
          <w:rFonts w:ascii="Arial" w:hAnsi="Arial" w:cs="Arial"/>
          <w:smallCaps/>
          <w:sz w:val="28"/>
          <w:szCs w:val="24"/>
          <w:lang w:val="es-CO"/>
        </w:rPr>
      </w:pPr>
      <w:r w:rsidRPr="005110DF">
        <w:rPr>
          <w:rFonts w:ascii="Arial" w:hAnsi="Arial" w:cs="Arial"/>
          <w:smallCaps/>
          <w:sz w:val="28"/>
          <w:szCs w:val="24"/>
          <w:lang w:val="es-CO"/>
        </w:rPr>
        <w:t xml:space="preserve">Las conclusiones </w:t>
      </w:r>
    </w:p>
    <w:p w:rsidR="00CE32AE" w:rsidRPr="00E049C7" w:rsidRDefault="00CE32AE" w:rsidP="00CE32AE">
      <w:pPr>
        <w:spacing w:line="360" w:lineRule="auto"/>
        <w:jc w:val="both"/>
        <w:rPr>
          <w:rFonts w:ascii="Arial" w:hAnsi="Arial" w:cs="Arial"/>
          <w:sz w:val="20"/>
          <w:lang w:val="es-CO"/>
        </w:rPr>
      </w:pPr>
    </w:p>
    <w:p w:rsidR="00DD1EC0" w:rsidRDefault="00DD1EC0" w:rsidP="00DD1EC0">
      <w:pPr>
        <w:spacing w:line="360" w:lineRule="auto"/>
        <w:ind w:right="51"/>
        <w:jc w:val="both"/>
        <w:rPr>
          <w:rFonts w:ascii="Arial" w:hAnsi="Arial"/>
        </w:rPr>
      </w:pPr>
      <w:r w:rsidRPr="000145F0">
        <w:rPr>
          <w:rFonts w:ascii="Arial" w:hAnsi="Arial"/>
        </w:rPr>
        <w:t>En armonía con las premisas expuestas en los acápites anteriores</w:t>
      </w:r>
      <w:r w:rsidR="00E31266">
        <w:rPr>
          <w:rFonts w:ascii="Arial" w:hAnsi="Arial"/>
        </w:rPr>
        <w:t xml:space="preserve"> s</w:t>
      </w:r>
      <w:r w:rsidR="00F81BD6" w:rsidRPr="000145F0">
        <w:rPr>
          <w:rFonts w:ascii="Arial" w:hAnsi="Arial"/>
        </w:rPr>
        <w:t xml:space="preserve">e </w:t>
      </w:r>
      <w:r w:rsidR="00E31266">
        <w:rPr>
          <w:rFonts w:ascii="Arial" w:hAnsi="Arial"/>
        </w:rPr>
        <w:t xml:space="preserve">revocará </w:t>
      </w:r>
      <w:r w:rsidR="00F81BD6" w:rsidRPr="000145F0">
        <w:rPr>
          <w:rFonts w:ascii="Arial" w:hAnsi="Arial"/>
        </w:rPr>
        <w:t>la</w:t>
      </w:r>
      <w:r w:rsidR="001A3195">
        <w:rPr>
          <w:rFonts w:ascii="Arial" w:hAnsi="Arial"/>
        </w:rPr>
        <w:t xml:space="preserve"> sentencia de primera instancia</w:t>
      </w:r>
      <w:r w:rsidR="00E31266">
        <w:rPr>
          <w:rFonts w:ascii="Arial" w:hAnsi="Arial"/>
        </w:rPr>
        <w:t xml:space="preserve"> y se declarará improcedente la tutela presentada.</w:t>
      </w:r>
    </w:p>
    <w:p w:rsidR="00F14049" w:rsidRDefault="00F14049" w:rsidP="00DD1EC0">
      <w:pPr>
        <w:spacing w:line="360" w:lineRule="auto"/>
        <w:ind w:right="51"/>
        <w:jc w:val="both"/>
        <w:rPr>
          <w:rFonts w:ascii="Arial" w:hAnsi="Arial"/>
          <w:sz w:val="20"/>
        </w:rPr>
      </w:pPr>
    </w:p>
    <w:p w:rsidR="0069459D" w:rsidRPr="00E049C7" w:rsidRDefault="0069459D" w:rsidP="00DD1EC0">
      <w:pPr>
        <w:spacing w:line="360" w:lineRule="auto"/>
        <w:ind w:right="51"/>
        <w:jc w:val="both"/>
        <w:rPr>
          <w:rFonts w:ascii="Arial" w:hAnsi="Arial"/>
          <w:sz w:val="20"/>
        </w:rPr>
      </w:pPr>
    </w:p>
    <w:p w:rsidR="00DD1EC0" w:rsidRPr="000145F0" w:rsidRDefault="00DD1EC0" w:rsidP="00DD1EC0">
      <w:pPr>
        <w:tabs>
          <w:tab w:val="left" w:pos="-720"/>
        </w:tabs>
        <w:suppressAutoHyphens/>
        <w:spacing w:line="360" w:lineRule="auto"/>
        <w:jc w:val="both"/>
        <w:rPr>
          <w:rFonts w:ascii="Arial" w:hAnsi="Arial" w:cs="Arial"/>
        </w:rPr>
      </w:pPr>
      <w:r w:rsidRPr="000145F0">
        <w:rPr>
          <w:rFonts w:ascii="Arial" w:hAnsi="Arial" w:cs="Arial"/>
        </w:rPr>
        <w:lastRenderedPageBreak/>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E049C7" w:rsidRPr="0069459D" w:rsidRDefault="00E049C7" w:rsidP="00DD1EC0">
      <w:pPr>
        <w:pStyle w:val="Corpsdetexte"/>
        <w:spacing w:line="360" w:lineRule="auto"/>
        <w:jc w:val="center"/>
        <w:rPr>
          <w:rFonts w:ascii="Arial" w:hAnsi="Arial" w:cs="Arial"/>
          <w:bCs/>
          <w:smallCaps/>
          <w:sz w:val="28"/>
          <w:szCs w:val="28"/>
        </w:rPr>
      </w:pPr>
    </w:p>
    <w:p w:rsidR="00DD1EC0" w:rsidRDefault="00DD1EC0" w:rsidP="00DD1EC0">
      <w:pPr>
        <w:pStyle w:val="Corpsdetexte"/>
        <w:spacing w:line="360" w:lineRule="auto"/>
        <w:jc w:val="center"/>
        <w:rPr>
          <w:rFonts w:ascii="Arial" w:hAnsi="Arial" w:cs="Arial"/>
          <w:bCs/>
          <w:smallCaps/>
          <w:sz w:val="28"/>
          <w:szCs w:val="24"/>
        </w:rPr>
      </w:pPr>
      <w:r w:rsidRPr="0074559A">
        <w:rPr>
          <w:rFonts w:ascii="Arial" w:hAnsi="Arial" w:cs="Arial"/>
          <w:bCs/>
          <w:smallCaps/>
          <w:sz w:val="28"/>
          <w:szCs w:val="24"/>
        </w:rPr>
        <w:t xml:space="preserve">F a l </w:t>
      </w:r>
      <w:proofErr w:type="spellStart"/>
      <w:r w:rsidRPr="0074559A">
        <w:rPr>
          <w:rFonts w:ascii="Arial" w:hAnsi="Arial" w:cs="Arial"/>
          <w:bCs/>
          <w:smallCaps/>
          <w:sz w:val="28"/>
          <w:szCs w:val="24"/>
        </w:rPr>
        <w:t>l</w:t>
      </w:r>
      <w:proofErr w:type="spellEnd"/>
      <w:r w:rsidRPr="0074559A">
        <w:rPr>
          <w:rFonts w:ascii="Arial" w:hAnsi="Arial" w:cs="Arial"/>
          <w:bCs/>
          <w:smallCaps/>
          <w:sz w:val="28"/>
          <w:szCs w:val="24"/>
        </w:rPr>
        <w:t xml:space="preserve"> a:</w:t>
      </w:r>
    </w:p>
    <w:p w:rsidR="004E795D" w:rsidRDefault="004E795D" w:rsidP="004E795D">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5450FF" w:rsidRPr="0069459D" w:rsidRDefault="00E31266" w:rsidP="004E795D">
      <w:pPr>
        <w:pStyle w:val="Paragraphedeliste"/>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69459D">
        <w:rPr>
          <w:rFonts w:ascii="Arial" w:hAnsi="Arial"/>
          <w:spacing w:val="-3"/>
          <w:sz w:val="24"/>
          <w:szCs w:val="24"/>
          <w:lang w:val="es-ES_tradnl"/>
        </w:rPr>
        <w:t xml:space="preserve">REVOCAR </w:t>
      </w:r>
      <w:r w:rsidR="001A3195" w:rsidRPr="0069459D">
        <w:rPr>
          <w:rFonts w:ascii="Arial" w:hAnsi="Arial"/>
          <w:sz w:val="24"/>
          <w:szCs w:val="24"/>
        </w:rPr>
        <w:t xml:space="preserve">la sentencia del </w:t>
      </w:r>
      <w:r w:rsidR="00017B8C" w:rsidRPr="0069459D">
        <w:rPr>
          <w:rFonts w:ascii="Arial" w:hAnsi="Arial"/>
          <w:sz w:val="24"/>
          <w:szCs w:val="24"/>
        </w:rPr>
        <w:t>13-02-2017</w:t>
      </w:r>
      <w:r w:rsidR="005450FF" w:rsidRPr="0069459D">
        <w:rPr>
          <w:rFonts w:ascii="Arial" w:hAnsi="Arial"/>
          <w:sz w:val="24"/>
          <w:szCs w:val="24"/>
        </w:rPr>
        <w:t xml:space="preserve"> </w:t>
      </w:r>
      <w:r w:rsidR="001A3195" w:rsidRPr="0069459D">
        <w:rPr>
          <w:rFonts w:ascii="Arial" w:hAnsi="Arial"/>
          <w:sz w:val="24"/>
          <w:szCs w:val="24"/>
        </w:rPr>
        <w:t xml:space="preserve">proferida por el Juzgado </w:t>
      </w:r>
      <w:r w:rsidR="00017B8C" w:rsidRPr="0069459D">
        <w:rPr>
          <w:rFonts w:ascii="Arial" w:hAnsi="Arial"/>
          <w:sz w:val="24"/>
          <w:szCs w:val="24"/>
        </w:rPr>
        <w:t xml:space="preserve">Segundo Civil del </w:t>
      </w:r>
      <w:r w:rsidRPr="0069459D">
        <w:rPr>
          <w:rFonts w:ascii="Arial" w:hAnsi="Arial"/>
          <w:sz w:val="24"/>
          <w:szCs w:val="24"/>
        </w:rPr>
        <w:t xml:space="preserve">Circuito </w:t>
      </w:r>
      <w:r w:rsidR="004E795D" w:rsidRPr="0069459D">
        <w:rPr>
          <w:rFonts w:ascii="Arial" w:hAnsi="Arial"/>
          <w:sz w:val="24"/>
          <w:szCs w:val="24"/>
        </w:rPr>
        <w:t xml:space="preserve">  </w:t>
      </w:r>
      <w:r w:rsidR="00017B8C" w:rsidRPr="0069459D">
        <w:rPr>
          <w:rFonts w:ascii="Arial" w:hAnsi="Arial"/>
          <w:sz w:val="24"/>
          <w:szCs w:val="24"/>
        </w:rPr>
        <w:t xml:space="preserve">de </w:t>
      </w:r>
      <w:r w:rsidR="004E795D" w:rsidRPr="0069459D">
        <w:rPr>
          <w:rFonts w:ascii="Arial" w:hAnsi="Arial"/>
          <w:sz w:val="24"/>
          <w:szCs w:val="24"/>
        </w:rPr>
        <w:t xml:space="preserve">  </w:t>
      </w:r>
      <w:r w:rsidR="00017B8C" w:rsidRPr="0069459D">
        <w:rPr>
          <w:rFonts w:ascii="Arial" w:hAnsi="Arial"/>
          <w:sz w:val="24"/>
          <w:szCs w:val="24"/>
        </w:rPr>
        <w:t>Pereira</w:t>
      </w:r>
      <w:r w:rsidRPr="0069459D">
        <w:rPr>
          <w:rFonts w:ascii="Arial" w:hAnsi="Arial"/>
          <w:sz w:val="24"/>
          <w:szCs w:val="24"/>
        </w:rPr>
        <w:t xml:space="preserve">, </w:t>
      </w:r>
      <w:r w:rsidR="004E795D" w:rsidRPr="0069459D">
        <w:rPr>
          <w:rFonts w:ascii="Arial" w:hAnsi="Arial"/>
          <w:sz w:val="24"/>
          <w:szCs w:val="24"/>
        </w:rPr>
        <w:t xml:space="preserve">  </w:t>
      </w:r>
      <w:r w:rsidRPr="0069459D">
        <w:rPr>
          <w:rFonts w:ascii="Arial" w:hAnsi="Arial"/>
          <w:sz w:val="24"/>
          <w:szCs w:val="24"/>
        </w:rPr>
        <w:t xml:space="preserve">y </w:t>
      </w:r>
      <w:r w:rsidR="004E795D" w:rsidRPr="0069459D">
        <w:rPr>
          <w:rFonts w:ascii="Arial" w:hAnsi="Arial"/>
          <w:sz w:val="24"/>
          <w:szCs w:val="24"/>
        </w:rPr>
        <w:t xml:space="preserve">  </w:t>
      </w:r>
      <w:r w:rsidRPr="0069459D">
        <w:rPr>
          <w:rFonts w:ascii="Arial" w:hAnsi="Arial"/>
          <w:sz w:val="24"/>
          <w:szCs w:val="24"/>
        </w:rPr>
        <w:t xml:space="preserve">en </w:t>
      </w:r>
      <w:r w:rsidR="004E795D" w:rsidRPr="0069459D">
        <w:rPr>
          <w:rFonts w:ascii="Arial" w:hAnsi="Arial"/>
          <w:sz w:val="24"/>
          <w:szCs w:val="24"/>
        </w:rPr>
        <w:t xml:space="preserve">  </w:t>
      </w:r>
      <w:r w:rsidRPr="0069459D">
        <w:rPr>
          <w:rFonts w:ascii="Arial" w:hAnsi="Arial"/>
          <w:sz w:val="24"/>
          <w:szCs w:val="24"/>
        </w:rPr>
        <w:t xml:space="preserve">su </w:t>
      </w:r>
      <w:r w:rsidR="004E795D" w:rsidRPr="0069459D">
        <w:rPr>
          <w:rFonts w:ascii="Arial" w:hAnsi="Arial"/>
          <w:sz w:val="24"/>
          <w:szCs w:val="24"/>
        </w:rPr>
        <w:t xml:space="preserve">  </w:t>
      </w:r>
      <w:r w:rsidRPr="0069459D">
        <w:rPr>
          <w:rFonts w:ascii="Arial" w:hAnsi="Arial"/>
          <w:sz w:val="24"/>
          <w:szCs w:val="24"/>
        </w:rPr>
        <w:t xml:space="preserve">lugar, </w:t>
      </w:r>
      <w:r w:rsidR="004E795D" w:rsidRPr="0069459D">
        <w:rPr>
          <w:rFonts w:ascii="Arial" w:hAnsi="Arial"/>
          <w:sz w:val="24"/>
          <w:szCs w:val="24"/>
        </w:rPr>
        <w:t xml:space="preserve">  </w:t>
      </w:r>
      <w:r w:rsidRPr="0069459D">
        <w:rPr>
          <w:rFonts w:ascii="Arial" w:hAnsi="Arial"/>
          <w:sz w:val="24"/>
          <w:szCs w:val="24"/>
        </w:rPr>
        <w:t xml:space="preserve">DECLARAR </w:t>
      </w:r>
      <w:r w:rsidR="004E795D" w:rsidRPr="0069459D">
        <w:rPr>
          <w:rFonts w:ascii="Arial" w:hAnsi="Arial"/>
          <w:sz w:val="24"/>
          <w:szCs w:val="24"/>
        </w:rPr>
        <w:t xml:space="preserve">  </w:t>
      </w:r>
      <w:r w:rsidRPr="0069459D">
        <w:rPr>
          <w:rFonts w:ascii="Arial" w:hAnsi="Arial"/>
          <w:sz w:val="24"/>
          <w:szCs w:val="24"/>
        </w:rPr>
        <w:t xml:space="preserve">IMPROCEDENTE </w:t>
      </w:r>
      <w:r w:rsidR="004E795D" w:rsidRPr="0069459D">
        <w:rPr>
          <w:rFonts w:ascii="Arial" w:hAnsi="Arial"/>
          <w:sz w:val="24"/>
          <w:szCs w:val="24"/>
        </w:rPr>
        <w:t xml:space="preserve"> </w:t>
      </w:r>
      <w:r w:rsidRPr="0069459D">
        <w:rPr>
          <w:rFonts w:ascii="Arial" w:hAnsi="Arial"/>
          <w:sz w:val="24"/>
          <w:szCs w:val="24"/>
        </w:rPr>
        <w:t xml:space="preserve">el </w:t>
      </w:r>
      <w:r w:rsidR="004E795D" w:rsidRPr="0069459D">
        <w:rPr>
          <w:rFonts w:ascii="Arial" w:hAnsi="Arial"/>
          <w:sz w:val="24"/>
          <w:szCs w:val="24"/>
        </w:rPr>
        <w:t xml:space="preserve"> </w:t>
      </w:r>
      <w:r w:rsidRPr="0069459D">
        <w:rPr>
          <w:rFonts w:ascii="Arial" w:hAnsi="Arial"/>
          <w:sz w:val="24"/>
          <w:szCs w:val="24"/>
        </w:rPr>
        <w:t xml:space="preserve">amparo constitucional, según lo expuesto. </w:t>
      </w:r>
    </w:p>
    <w:p w:rsidR="004E795D" w:rsidRPr="004E795D" w:rsidRDefault="004E795D" w:rsidP="004E795D">
      <w:pPr>
        <w:pStyle w:val="Paragraphedeliste"/>
        <w:spacing w:after="0" w:line="360" w:lineRule="auto"/>
        <w:ind w:left="360" w:right="51"/>
        <w:jc w:val="both"/>
        <w:rPr>
          <w:rFonts w:ascii="Arial" w:hAnsi="Arial"/>
          <w:sz w:val="24"/>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4E795D" w:rsidRPr="004E795D" w:rsidRDefault="004E795D" w:rsidP="004E795D">
      <w:pPr>
        <w:pStyle w:val="Paragraphedeliste"/>
        <w:spacing w:after="0" w:line="360" w:lineRule="auto"/>
        <w:ind w:left="360" w:right="51"/>
        <w:jc w:val="both"/>
        <w:rPr>
          <w:rFonts w:ascii="Arial" w:hAnsi="Arial"/>
          <w:sz w:val="24"/>
          <w:szCs w:val="24"/>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E75498" w:rsidRDefault="003F672F" w:rsidP="003F672F">
      <w:pPr>
        <w:pStyle w:val="Corpsdetexte"/>
        <w:tabs>
          <w:tab w:val="clear" w:pos="708"/>
        </w:tabs>
        <w:spacing w:line="360" w:lineRule="auto"/>
        <w:rPr>
          <w:rFonts w:ascii="Arial" w:hAnsi="Arial" w:cs="Arial"/>
          <w:sz w:val="4"/>
          <w:szCs w:val="24"/>
        </w:rPr>
      </w:pPr>
    </w:p>
    <w:p w:rsidR="00AB50BF" w:rsidRPr="00E75498" w:rsidRDefault="00AB50BF" w:rsidP="003F672F">
      <w:pPr>
        <w:pStyle w:val="Corpsdetexte"/>
        <w:tabs>
          <w:tab w:val="clear" w:pos="708"/>
        </w:tabs>
        <w:spacing w:line="360" w:lineRule="auto"/>
        <w:jc w:val="center"/>
        <w:rPr>
          <w:rFonts w:ascii="Arial" w:hAnsi="Arial"/>
          <w:smallCaps/>
          <w:sz w:val="2"/>
          <w:szCs w:val="24"/>
        </w:rPr>
      </w:pPr>
    </w:p>
    <w:p w:rsidR="004E795D" w:rsidRPr="004E795D" w:rsidRDefault="004E795D" w:rsidP="003F672F">
      <w:pPr>
        <w:pStyle w:val="Corpsdetexte"/>
        <w:tabs>
          <w:tab w:val="clear" w:pos="708"/>
        </w:tabs>
        <w:spacing w:line="360" w:lineRule="auto"/>
        <w:jc w:val="center"/>
        <w:rPr>
          <w:rFonts w:ascii="Arial" w:hAnsi="Arial"/>
          <w:smallCaps/>
          <w:sz w:val="10"/>
          <w:szCs w:val="24"/>
        </w:rPr>
      </w:pPr>
    </w:p>
    <w:p w:rsidR="003F672F" w:rsidRPr="00E771E8"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E771E8">
        <w:rPr>
          <w:rFonts w:ascii="Arial" w:hAnsi="Arial"/>
          <w:smallCaps/>
          <w:sz w:val="28"/>
          <w:szCs w:val="24"/>
          <w:lang w:val="en-GB"/>
        </w:rPr>
        <w:t>Notifíquese</w:t>
      </w:r>
      <w:proofErr w:type="spellEnd"/>
      <w:r w:rsidRPr="00E771E8">
        <w:rPr>
          <w:rFonts w:ascii="Arial" w:hAnsi="Arial"/>
          <w:smallCaps/>
          <w:sz w:val="28"/>
          <w:szCs w:val="24"/>
          <w:lang w:val="en-GB"/>
        </w:rPr>
        <w:t>,</w:t>
      </w:r>
    </w:p>
    <w:p w:rsidR="004E795D" w:rsidRPr="00E771E8" w:rsidRDefault="004E795D"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4E795D" w:rsidRPr="00E771E8" w:rsidRDefault="004E795D"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4E795D" w:rsidRPr="00E771E8" w:rsidRDefault="004E795D"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
    <w:p w:rsidR="0017096D" w:rsidRPr="00E771E8" w:rsidRDefault="00041A55"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roofErr w:type="spellStart"/>
      <w:r w:rsidRPr="00E771E8">
        <w:rPr>
          <w:rFonts w:ascii="Arial" w:hAnsi="Arial" w:cs="Arial"/>
          <w:smallCaps/>
          <w:spacing w:val="-3"/>
          <w:w w:val="150"/>
          <w:lang w:val="en-GB"/>
        </w:rPr>
        <w:t>Duberney</w:t>
      </w:r>
      <w:proofErr w:type="spellEnd"/>
      <w:r w:rsidRPr="00E771E8">
        <w:rPr>
          <w:rFonts w:ascii="Arial" w:hAnsi="Arial" w:cs="Arial"/>
          <w:smallCaps/>
          <w:spacing w:val="-3"/>
          <w:w w:val="150"/>
          <w:lang w:val="en-GB"/>
        </w:rPr>
        <w:t xml:space="preserve"> </w:t>
      </w:r>
      <w:proofErr w:type="spellStart"/>
      <w:r w:rsidRPr="00E771E8">
        <w:rPr>
          <w:rFonts w:ascii="Arial" w:hAnsi="Arial" w:cs="Arial"/>
          <w:smallCaps/>
          <w:spacing w:val="-3"/>
          <w:w w:val="150"/>
          <w:lang w:val="en-GB"/>
        </w:rPr>
        <w:t>Grisales</w:t>
      </w:r>
      <w:proofErr w:type="spellEnd"/>
      <w:r w:rsidRPr="00E771E8">
        <w:rPr>
          <w:rFonts w:ascii="Arial" w:hAnsi="Arial" w:cs="Arial"/>
          <w:smallCaps/>
          <w:spacing w:val="-3"/>
          <w:w w:val="150"/>
          <w:lang w:val="en-GB"/>
        </w:rPr>
        <w:t xml:space="preserve"> Herrera</w:t>
      </w:r>
    </w:p>
    <w:p w:rsidR="00E75498" w:rsidRPr="00E771E8" w:rsidRDefault="0017096D" w:rsidP="004E795D">
      <w:pPr>
        <w:pStyle w:val="Corpsdetexte"/>
        <w:tabs>
          <w:tab w:val="clear" w:pos="708"/>
        </w:tabs>
        <w:spacing w:line="360" w:lineRule="auto"/>
        <w:jc w:val="center"/>
        <w:rPr>
          <w:rFonts w:ascii="Arial" w:hAnsi="Arial" w:cs="Arial"/>
          <w:sz w:val="22"/>
          <w:szCs w:val="24"/>
          <w:lang w:val="en-GB"/>
        </w:rPr>
      </w:pPr>
      <w:r w:rsidRPr="00E771E8">
        <w:rPr>
          <w:rFonts w:ascii="Arial" w:hAnsi="Arial" w:cs="Arial"/>
          <w:smallCaps/>
          <w:w w:val="150"/>
          <w:sz w:val="24"/>
          <w:szCs w:val="24"/>
          <w:lang w:val="en-GB"/>
        </w:rPr>
        <w:t xml:space="preserve">M </w:t>
      </w:r>
      <w:r w:rsidR="00763A88" w:rsidRPr="00E771E8">
        <w:rPr>
          <w:rFonts w:ascii="Arial" w:hAnsi="Arial" w:cs="Arial"/>
          <w:smallCaps/>
          <w:w w:val="150"/>
          <w:sz w:val="24"/>
          <w:szCs w:val="24"/>
          <w:lang w:val="en-GB"/>
        </w:rPr>
        <w:t>a g i s t r a d o</w:t>
      </w:r>
    </w:p>
    <w:p w:rsidR="004E795D" w:rsidRPr="00E771E8" w:rsidRDefault="004E795D"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lang w:val="en-GB"/>
        </w:rPr>
      </w:pPr>
    </w:p>
    <w:p w:rsidR="004E795D" w:rsidRPr="00E771E8" w:rsidRDefault="004E795D"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lang w:val="en-GB"/>
        </w:rPr>
      </w:pPr>
    </w:p>
    <w:p w:rsidR="004E795D" w:rsidRPr="00E771E8" w:rsidRDefault="004E795D"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smallCaps/>
          <w:w w:val="150"/>
          <w:lang w:val="en-GB"/>
        </w:rPr>
      </w:pPr>
    </w:p>
    <w:p w:rsidR="00E31266" w:rsidRPr="00E771E8" w:rsidRDefault="00041A55"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GB"/>
        </w:rPr>
      </w:pPr>
      <w:proofErr w:type="spellStart"/>
      <w:proofErr w:type="gramStart"/>
      <w:r w:rsidRPr="00E771E8">
        <w:rPr>
          <w:rFonts w:ascii="Arial" w:hAnsi="Arial"/>
          <w:smallCaps/>
          <w:w w:val="150"/>
          <w:lang w:val="en-GB"/>
        </w:rPr>
        <w:t>Edder</w:t>
      </w:r>
      <w:proofErr w:type="spellEnd"/>
      <w:r w:rsidRPr="00E771E8">
        <w:rPr>
          <w:rFonts w:ascii="Arial" w:hAnsi="Arial"/>
          <w:smallCaps/>
          <w:w w:val="150"/>
          <w:lang w:val="en-GB"/>
        </w:rPr>
        <w:t xml:space="preserve"> Jimmy Sánchez C.</w:t>
      </w:r>
      <w:proofErr w:type="gramEnd"/>
      <w:r w:rsidRPr="00E771E8">
        <w:rPr>
          <w:rFonts w:ascii="Arial" w:hAnsi="Arial"/>
          <w:smallCaps/>
          <w:w w:val="150"/>
          <w:lang w:val="en-GB"/>
        </w:rPr>
        <w:t xml:space="preserve">       </w:t>
      </w:r>
      <w:r w:rsidR="002A20B0" w:rsidRPr="00E771E8">
        <w:rPr>
          <w:rFonts w:ascii="Arial" w:hAnsi="Arial"/>
          <w:smallCaps/>
          <w:w w:val="150"/>
          <w:lang w:val="en-GB"/>
        </w:rPr>
        <w:t xml:space="preserve">       </w:t>
      </w:r>
      <w:r w:rsidR="00E31266" w:rsidRPr="00E771E8">
        <w:rPr>
          <w:rFonts w:ascii="Arial" w:hAnsi="Arial" w:cs="Arial"/>
          <w:smallCaps/>
          <w:spacing w:val="-3"/>
          <w:w w:val="150"/>
          <w:lang w:val="en-GB"/>
        </w:rPr>
        <w:t>Jaime A</w:t>
      </w:r>
      <w:r w:rsidR="00E31266" w:rsidRPr="00E771E8">
        <w:rPr>
          <w:rFonts w:ascii="Arial" w:hAnsi="Arial"/>
          <w:smallCaps/>
          <w:w w:val="150"/>
          <w:lang w:val="en-GB"/>
        </w:rPr>
        <w:t xml:space="preserve">lberto </w:t>
      </w:r>
      <w:proofErr w:type="spellStart"/>
      <w:r w:rsidR="00E31266" w:rsidRPr="00E771E8">
        <w:rPr>
          <w:rFonts w:ascii="Arial" w:hAnsi="Arial" w:cs="Arial"/>
          <w:smallCaps/>
          <w:spacing w:val="-3"/>
          <w:w w:val="150"/>
          <w:lang w:val="en-GB"/>
        </w:rPr>
        <w:t>Saraza</w:t>
      </w:r>
      <w:proofErr w:type="spellEnd"/>
      <w:r w:rsidR="00E31266" w:rsidRPr="00E771E8">
        <w:rPr>
          <w:rFonts w:ascii="Arial" w:hAnsi="Arial" w:cs="Arial"/>
          <w:smallCaps/>
          <w:spacing w:val="-3"/>
          <w:w w:val="150"/>
          <w:lang w:val="en-GB"/>
        </w:rPr>
        <w:t xml:space="preserve"> N.</w:t>
      </w:r>
    </w:p>
    <w:p w:rsidR="00350057" w:rsidRDefault="00041A55" w:rsidP="004E79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mallCaps/>
          <w:w w:val="150"/>
          <w:lang w:val="en-GB"/>
        </w:rPr>
      </w:pPr>
      <w:r w:rsidRPr="002A20B0">
        <w:rPr>
          <w:rFonts w:ascii="Arial" w:hAnsi="Arial" w:cs="Arial"/>
          <w:smallCaps/>
          <w:w w:val="150"/>
          <w:lang w:val="en-GB"/>
        </w:rPr>
        <w:t xml:space="preserve">   </w:t>
      </w:r>
      <w:r w:rsidR="00763A88" w:rsidRPr="002A20B0">
        <w:rPr>
          <w:rFonts w:ascii="Arial" w:hAnsi="Arial" w:cs="Arial"/>
          <w:smallCaps/>
          <w:w w:val="150"/>
          <w:lang w:val="en-GB"/>
        </w:rPr>
        <w:t xml:space="preserve">     </w:t>
      </w:r>
      <w:r w:rsidRPr="002A20B0">
        <w:rPr>
          <w:rFonts w:ascii="Arial" w:hAnsi="Arial" w:cs="Arial"/>
          <w:smallCaps/>
          <w:w w:val="150"/>
          <w:lang w:val="en-GB"/>
        </w:rPr>
        <w:t xml:space="preserve"> </w:t>
      </w:r>
      <w:r w:rsidR="0017096D" w:rsidRPr="002A20B0">
        <w:rPr>
          <w:rFonts w:ascii="Arial" w:hAnsi="Arial" w:cs="Arial"/>
          <w:smallCaps/>
          <w:w w:val="150"/>
          <w:lang w:val="en-GB"/>
        </w:rPr>
        <w:t xml:space="preserve">M </w:t>
      </w:r>
      <w:r w:rsidR="00763A88" w:rsidRPr="002A20B0">
        <w:rPr>
          <w:rFonts w:ascii="Arial" w:hAnsi="Arial" w:cs="Arial"/>
          <w:smallCaps/>
          <w:w w:val="150"/>
          <w:lang w:val="en-GB"/>
        </w:rPr>
        <w:t xml:space="preserve">a g i s t r a d o </w:t>
      </w:r>
      <w:r w:rsidR="00763A88" w:rsidRPr="002A20B0">
        <w:rPr>
          <w:rFonts w:ascii="Arial" w:hAnsi="Arial" w:cs="Arial"/>
          <w:smallCaps/>
          <w:w w:val="150"/>
          <w:lang w:val="en-GB"/>
        </w:rPr>
        <w:tab/>
      </w:r>
      <w:r w:rsidR="002A20B0">
        <w:rPr>
          <w:rFonts w:ascii="Arial" w:hAnsi="Arial" w:cs="Arial"/>
          <w:smallCaps/>
          <w:w w:val="150"/>
          <w:lang w:val="en-GB"/>
        </w:rPr>
        <w:tab/>
      </w:r>
      <w:r w:rsidR="002A20B0">
        <w:rPr>
          <w:rFonts w:ascii="Arial" w:hAnsi="Arial" w:cs="Arial"/>
          <w:smallCaps/>
          <w:w w:val="150"/>
          <w:lang w:val="en-GB"/>
        </w:rPr>
        <w:tab/>
        <w:t xml:space="preserve">           </w:t>
      </w:r>
      <w:r w:rsidR="0017096D" w:rsidRPr="002A20B0">
        <w:rPr>
          <w:rFonts w:ascii="Arial" w:hAnsi="Arial" w:cs="Arial"/>
          <w:smallCaps/>
          <w:w w:val="150"/>
          <w:lang w:val="en-GB"/>
        </w:rPr>
        <w:t xml:space="preserve">M </w:t>
      </w:r>
      <w:r w:rsidR="00E31266">
        <w:rPr>
          <w:rFonts w:ascii="Arial" w:hAnsi="Arial" w:cs="Arial"/>
          <w:smallCaps/>
          <w:w w:val="150"/>
          <w:lang w:val="en-GB"/>
        </w:rPr>
        <w:t>a g i s t r a d o</w:t>
      </w:r>
    </w:p>
    <w:p w:rsidR="00E75498" w:rsidRPr="00E049C7" w:rsidRDefault="00E049C7" w:rsidP="00E049C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w w:val="150"/>
          <w:sz w:val="8"/>
          <w:lang w:val="es-CO"/>
        </w:rPr>
      </w:pPr>
      <w:bookmarkStart w:id="4" w:name="_GoBack"/>
      <w:bookmarkEnd w:id="4"/>
      <w:r w:rsidRPr="00E049C7">
        <w:rPr>
          <w:rFonts w:ascii="Arial" w:hAnsi="Arial" w:cs="Arial"/>
          <w:smallCaps/>
          <w:w w:val="150"/>
          <w:sz w:val="8"/>
          <w:lang w:val="es-CO"/>
        </w:rPr>
        <w:t>DGH/ODCD/2017</w:t>
      </w:r>
    </w:p>
    <w:sectPr w:rsidR="00E75498" w:rsidRPr="00E049C7" w:rsidSect="004E795D">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7F" w:rsidRDefault="004F3E7F" w:rsidP="002F20AB">
      <w:r>
        <w:separator/>
      </w:r>
    </w:p>
  </w:endnote>
  <w:endnote w:type="continuationSeparator" w:id="0">
    <w:p w:rsidR="004F3E7F" w:rsidRDefault="004F3E7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Default="005E665B">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5E665B" w:rsidRDefault="005E665B">
    <w:pPr>
      <w:pStyle w:val="Pieddepage"/>
      <w:ind w:right="360"/>
    </w:pPr>
  </w:p>
  <w:p w:rsidR="00F5568F" w:rsidRDefault="00F556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F839CE" w:rsidRDefault="005E665B" w:rsidP="00A67268">
    <w:pPr>
      <w:pStyle w:val="Pieddepage"/>
      <w:pBdr>
        <w:bottom w:val="double" w:sz="6" w:space="1" w:color="auto"/>
      </w:pBdr>
      <w:spacing w:line="360" w:lineRule="auto"/>
      <w:rPr>
        <w:rFonts w:ascii="Arial" w:hAnsi="Arial" w:cs="Arial"/>
        <w:spacing w:val="20"/>
        <w:w w:val="200"/>
        <w:sz w:val="14"/>
        <w:szCs w:val="10"/>
        <w:lang w:val="es-ES"/>
      </w:rPr>
    </w:pPr>
  </w:p>
  <w:p w:rsidR="005E665B" w:rsidRDefault="005E665B" w:rsidP="00751EE2">
    <w:pPr>
      <w:pStyle w:val="Pieddepage"/>
      <w:spacing w:line="360" w:lineRule="auto"/>
      <w:jc w:val="right"/>
      <w:rPr>
        <w:rFonts w:ascii="Arial" w:hAnsi="Arial" w:cs="Arial"/>
        <w:spacing w:val="20"/>
        <w:w w:val="200"/>
        <w:sz w:val="14"/>
        <w:szCs w:val="10"/>
      </w:rPr>
    </w:pPr>
  </w:p>
  <w:p w:rsidR="005E665B" w:rsidRPr="00C53999" w:rsidRDefault="005E665B"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5E665B" w:rsidRPr="00C53999" w:rsidRDefault="005E665B"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C53999" w:rsidRDefault="005E665B"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5E665B" w:rsidRPr="00213147" w:rsidRDefault="005E665B"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7F" w:rsidRDefault="004F3E7F" w:rsidP="002F20AB">
      <w:r>
        <w:separator/>
      </w:r>
    </w:p>
  </w:footnote>
  <w:footnote w:type="continuationSeparator" w:id="0">
    <w:p w:rsidR="004F3E7F" w:rsidRDefault="004F3E7F" w:rsidP="002F20AB">
      <w:r>
        <w:continuationSeparator/>
      </w:r>
    </w:p>
  </w:footnote>
  <w:footnote w:id="1">
    <w:p w:rsidR="005E665B" w:rsidRPr="00927FC3" w:rsidRDefault="005E665B" w:rsidP="002E15B5">
      <w:pPr>
        <w:pStyle w:val="Notedebasdepage"/>
        <w:rPr>
          <w:rFonts w:asciiTheme="minorHAnsi" w:hAnsiTheme="minorHAnsi"/>
          <w:lang w:val="es-CO"/>
        </w:rPr>
      </w:pPr>
      <w:r w:rsidRPr="00927FC3">
        <w:rPr>
          <w:rStyle w:val="Appelnotedebasdep"/>
          <w:rFonts w:asciiTheme="minorHAnsi" w:hAnsiTheme="minorHAnsi"/>
          <w:lang w:val="es-CO"/>
        </w:rPr>
        <w:footnoteRef/>
      </w:r>
      <w:r w:rsidRPr="00927FC3">
        <w:rPr>
          <w:rFonts w:asciiTheme="minorHAnsi" w:hAnsiTheme="minorHAnsi"/>
          <w:lang w:val="es-CO"/>
        </w:rPr>
        <w:t xml:space="preserve"> CC. SU-377 de 2014, reiterada en la T-083 de 2016.</w:t>
      </w:r>
    </w:p>
  </w:footnote>
  <w:footnote w:id="2">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Ob. Cit.</w:t>
      </w:r>
    </w:p>
  </w:footnote>
  <w:footnote w:id="3">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w:t>
      </w:r>
      <w:r w:rsidRPr="00E771E8">
        <w:rPr>
          <w:rFonts w:asciiTheme="minorHAnsi" w:hAnsiTheme="minorHAnsi"/>
          <w:shd w:val="clear" w:color="auto" w:fill="FFFFFF"/>
          <w:lang w:val="fr-FR"/>
        </w:rPr>
        <w:t>T-531 de 2002.</w:t>
      </w:r>
    </w:p>
  </w:footnote>
  <w:footnote w:id="4">
    <w:p w:rsidR="005E665B" w:rsidRPr="00E771E8" w:rsidRDefault="005E665B" w:rsidP="002E15B5">
      <w:pPr>
        <w:pStyle w:val="Notedebasdepage"/>
        <w:rPr>
          <w:lang w:val="fr-FR"/>
        </w:rPr>
      </w:pPr>
      <w:r>
        <w:rPr>
          <w:rStyle w:val="Appelnotedebasdep"/>
        </w:rPr>
        <w:footnoteRef/>
      </w:r>
      <w:r w:rsidRPr="00E771E8">
        <w:rPr>
          <w:lang w:val="fr-FR"/>
        </w:rPr>
        <w:t xml:space="preserve"> </w:t>
      </w:r>
      <w:r w:rsidRPr="00E771E8">
        <w:rPr>
          <w:rFonts w:asciiTheme="minorHAnsi" w:hAnsiTheme="minorHAnsi"/>
          <w:lang w:val="fr-FR"/>
        </w:rPr>
        <w:t xml:space="preserve">CC. </w:t>
      </w:r>
      <w:r w:rsidRPr="00E771E8">
        <w:rPr>
          <w:rFonts w:asciiTheme="minorHAnsi" w:hAnsiTheme="minorHAnsi"/>
          <w:shd w:val="clear" w:color="auto" w:fill="FFFFFF"/>
          <w:lang w:val="fr-FR"/>
        </w:rPr>
        <w:t xml:space="preserve">T-531 de 2002, </w:t>
      </w:r>
      <w:r w:rsidRPr="00E771E8">
        <w:rPr>
          <w:rFonts w:asciiTheme="minorHAnsi" w:hAnsiTheme="minorHAnsi"/>
          <w:lang w:val="fr-FR"/>
        </w:rPr>
        <w:t>reiterada en la T-083 de 2016</w:t>
      </w:r>
    </w:p>
  </w:footnote>
  <w:footnote w:id="5">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w:t>
      </w:r>
      <w:r w:rsidRPr="00E771E8">
        <w:rPr>
          <w:rFonts w:asciiTheme="minorHAnsi" w:hAnsiTheme="minorHAnsi"/>
          <w:shd w:val="clear" w:color="auto" w:fill="FFFFFF"/>
          <w:lang w:val="fr-FR"/>
        </w:rPr>
        <w:t>T-001 de 1997.</w:t>
      </w:r>
    </w:p>
  </w:footnote>
  <w:footnote w:id="6">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Ob. Cit.</w:t>
      </w:r>
    </w:p>
  </w:footnote>
  <w:footnote w:id="7">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w:t>
      </w:r>
      <w:r w:rsidRPr="00E771E8">
        <w:rPr>
          <w:rFonts w:asciiTheme="minorHAnsi" w:hAnsiTheme="minorHAnsi"/>
          <w:shd w:val="clear" w:color="auto" w:fill="FFFFFF"/>
          <w:lang w:val="fr-FR"/>
        </w:rPr>
        <w:t>T-530 de 1998.</w:t>
      </w:r>
    </w:p>
  </w:footnote>
  <w:footnote w:id="8">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w:t>
      </w:r>
      <w:r w:rsidRPr="00E771E8">
        <w:rPr>
          <w:rFonts w:asciiTheme="minorHAnsi" w:hAnsiTheme="minorHAnsi"/>
          <w:shd w:val="clear" w:color="auto" w:fill="FFFFFF"/>
          <w:lang w:val="fr-FR"/>
        </w:rPr>
        <w:t>T-695 de1998.</w:t>
      </w:r>
    </w:p>
  </w:footnote>
  <w:footnote w:id="9">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w:t>
      </w:r>
      <w:r w:rsidRPr="00E771E8">
        <w:rPr>
          <w:rFonts w:asciiTheme="minorHAnsi" w:hAnsiTheme="minorHAnsi"/>
          <w:shd w:val="clear" w:color="auto" w:fill="FFFFFF"/>
          <w:lang w:val="fr-FR"/>
        </w:rPr>
        <w:t>T-530 de 1998.</w:t>
      </w:r>
    </w:p>
  </w:footnote>
  <w:footnote w:id="10">
    <w:p w:rsidR="005E665B" w:rsidRPr="00E771E8" w:rsidRDefault="005E665B" w:rsidP="002E15B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T-207 de 1997.</w:t>
      </w:r>
    </w:p>
  </w:footnote>
  <w:footnote w:id="11">
    <w:p w:rsidR="005E665B" w:rsidRPr="00E771E8" w:rsidRDefault="005E665B" w:rsidP="002E15B5">
      <w:pPr>
        <w:pStyle w:val="Notedebasdepage"/>
        <w:rPr>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T-550 de 1993.</w:t>
      </w:r>
    </w:p>
  </w:footnote>
  <w:footnote w:id="12">
    <w:p w:rsidR="00321B05" w:rsidRPr="00E771E8" w:rsidRDefault="00321B05" w:rsidP="00321B05">
      <w:pPr>
        <w:pStyle w:val="Notedebasdepage"/>
        <w:rPr>
          <w:rFonts w:asciiTheme="minorHAnsi" w:hAnsiTheme="minorHAnsi"/>
          <w:lang w:val="fr-FR"/>
        </w:rPr>
      </w:pPr>
      <w:r w:rsidRPr="00927FC3">
        <w:rPr>
          <w:rStyle w:val="Appelnotedebasdep"/>
          <w:rFonts w:asciiTheme="minorHAnsi" w:hAnsiTheme="minorHAnsi"/>
          <w:lang w:val="es-CO"/>
        </w:rPr>
        <w:footnoteRef/>
      </w:r>
      <w:r w:rsidRPr="00E771E8">
        <w:rPr>
          <w:rFonts w:asciiTheme="minorHAnsi" w:hAnsiTheme="minorHAnsi"/>
          <w:lang w:val="fr-FR"/>
        </w:rPr>
        <w:t xml:space="preserve"> CC. T-083 de 2016.</w:t>
      </w:r>
    </w:p>
  </w:footnote>
  <w:footnote w:id="13">
    <w:p w:rsidR="00321B05" w:rsidRPr="00E771E8" w:rsidRDefault="00321B05" w:rsidP="00321B05">
      <w:pPr>
        <w:pStyle w:val="Notedebasdepage"/>
        <w:jc w:val="both"/>
        <w:rPr>
          <w:lang w:val="es-CO"/>
        </w:rPr>
      </w:pPr>
      <w:r w:rsidRPr="00A229F6">
        <w:rPr>
          <w:rStyle w:val="Appelnotedebasdep"/>
        </w:rPr>
        <w:footnoteRef/>
      </w:r>
      <w:r w:rsidRPr="00E771E8">
        <w:rPr>
          <w:lang w:val="fr-FR"/>
        </w:rPr>
        <w:t xml:space="preserve"> </w:t>
      </w:r>
      <w:r w:rsidRPr="00E771E8">
        <w:rPr>
          <w:rFonts w:asciiTheme="minorHAnsi" w:hAnsiTheme="minorHAnsi"/>
          <w:lang w:val="fr-FR"/>
        </w:rPr>
        <w:t xml:space="preserve">CSJ, Civil. </w:t>
      </w:r>
      <w:r w:rsidRPr="00E771E8">
        <w:rPr>
          <w:rFonts w:asciiTheme="minorHAnsi" w:hAnsiTheme="minorHAnsi"/>
          <w:lang w:val="es-CO"/>
        </w:rPr>
        <w:t>STC5313-2015, STC5520-2015 y STC2344-2016, entre otras.</w:t>
      </w:r>
    </w:p>
  </w:footnote>
  <w:footnote w:id="14">
    <w:p w:rsidR="00FB46B7" w:rsidRPr="00E771E8" w:rsidRDefault="00FB46B7" w:rsidP="00FB46B7">
      <w:pPr>
        <w:pStyle w:val="Notedebasdepage"/>
        <w:jc w:val="both"/>
        <w:rPr>
          <w:rFonts w:asciiTheme="minorHAnsi" w:hAnsiTheme="minorHAnsi"/>
          <w:lang w:val="fr-FR"/>
        </w:rPr>
      </w:pPr>
      <w:r w:rsidRPr="00A229F6">
        <w:rPr>
          <w:rStyle w:val="Appelnotedebasdep"/>
          <w:lang w:val="es-CO"/>
        </w:rPr>
        <w:footnoteRef/>
      </w:r>
      <w:r w:rsidRPr="00E771E8">
        <w:rPr>
          <w:lang w:val="fr-FR"/>
        </w:rPr>
        <w:t xml:space="preserve"> </w:t>
      </w:r>
      <w:r w:rsidRPr="00E771E8">
        <w:rPr>
          <w:rFonts w:ascii="Calibri" w:hAnsi="Calibri"/>
          <w:lang w:val="fr-FR"/>
        </w:rPr>
        <w:t>CC. T-382 de 2016</w:t>
      </w:r>
      <w:r w:rsidR="00B624E8" w:rsidRPr="00E771E8">
        <w:rPr>
          <w:rFonts w:ascii="Calibri" w:hAnsi="Calibri"/>
          <w:lang w:val="fr-FR"/>
        </w:rPr>
        <w:t>.</w:t>
      </w:r>
    </w:p>
  </w:footnote>
  <w:footnote w:id="15">
    <w:p w:rsidR="00AA5CBF" w:rsidRPr="00E771E8" w:rsidRDefault="00AA5CBF" w:rsidP="00AA5CBF">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E771E8">
        <w:rPr>
          <w:rFonts w:asciiTheme="minorHAnsi" w:hAnsiTheme="minorHAnsi"/>
          <w:lang w:val="fr-FR"/>
        </w:rPr>
        <w:t xml:space="preserve"> </w:t>
      </w:r>
      <w:r w:rsidRPr="00E771E8">
        <w:rPr>
          <w:rFonts w:asciiTheme="minorHAnsi" w:hAnsiTheme="minorHAnsi" w:cs="Courier New"/>
          <w:lang w:val="fr-FR"/>
        </w:rPr>
        <w:t>CC.</w:t>
      </w:r>
      <w:r w:rsidR="0016040F" w:rsidRPr="00E771E8">
        <w:rPr>
          <w:rFonts w:asciiTheme="minorHAnsi" w:hAnsiTheme="minorHAnsi" w:cs="Courier New"/>
          <w:lang w:val="fr-FR"/>
        </w:rPr>
        <w:t xml:space="preserve">T-665 de 2015, T-639 de 2015, </w:t>
      </w:r>
      <w:r w:rsidRPr="00E771E8">
        <w:rPr>
          <w:rFonts w:asciiTheme="minorHAnsi" w:hAnsiTheme="minorHAnsi"/>
          <w:lang w:val="fr-FR"/>
        </w:rPr>
        <w:t xml:space="preserve">T-162 de 2010, T-034 de 2010 y T-099 de 2008. </w:t>
      </w:r>
    </w:p>
  </w:footnote>
  <w:footnote w:id="16">
    <w:p w:rsidR="00D96CA5" w:rsidRPr="00E771E8" w:rsidRDefault="00D96CA5" w:rsidP="00D96CA5">
      <w:pPr>
        <w:pStyle w:val="Notedebasdepage"/>
        <w:jc w:val="both"/>
        <w:rPr>
          <w:rFonts w:asciiTheme="minorHAnsi" w:hAnsiTheme="minorHAnsi"/>
          <w:lang w:val="fr-FR"/>
        </w:rPr>
      </w:pPr>
      <w:r>
        <w:rPr>
          <w:rStyle w:val="Appelnotedebasdep"/>
          <w:rFonts w:asciiTheme="minorHAnsi" w:hAnsiTheme="minorHAnsi" w:cs="Calibri"/>
        </w:rPr>
        <w:footnoteRef/>
      </w:r>
      <w:r w:rsidRPr="00E771E8">
        <w:rPr>
          <w:rFonts w:asciiTheme="minorHAnsi" w:hAnsiTheme="minorHAnsi" w:cs="Calibri"/>
          <w:lang w:val="fr-FR"/>
        </w:rPr>
        <w:t xml:space="preserve"> CC.  Sentencias SU-961 de 1999, T-890 de 2006, T-548 de 2011, T-172 de 2013.</w:t>
      </w:r>
    </w:p>
  </w:footnote>
  <w:footnote w:id="17">
    <w:p w:rsidR="00D96CA5" w:rsidRPr="00E771E8" w:rsidRDefault="00D96CA5" w:rsidP="00D96CA5">
      <w:pPr>
        <w:pStyle w:val="Notedebasdepage"/>
        <w:jc w:val="both"/>
        <w:rPr>
          <w:rFonts w:ascii="Calibri" w:hAnsi="Calibri"/>
          <w:lang w:val="es-CO"/>
        </w:rPr>
      </w:pPr>
      <w:r w:rsidRPr="00825F31">
        <w:rPr>
          <w:rStyle w:val="Appelnotedebasdep"/>
          <w:rFonts w:ascii="Calibri" w:hAnsi="Calibri" w:cs="Calibri"/>
        </w:rPr>
        <w:footnoteRef/>
      </w:r>
      <w:r w:rsidRPr="00825F31">
        <w:rPr>
          <w:rFonts w:ascii="Calibri" w:hAnsi="Calibri" w:cs="Calibri"/>
          <w:lang w:val="es-CO"/>
        </w:rPr>
        <w:t xml:space="preserve"> CSJ, Sala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E771E8">
        <w:rPr>
          <w:rFonts w:ascii="Calibri" w:hAnsi="Calibri"/>
          <w:w w:val="110"/>
          <w:lang w:val="es-CO"/>
        </w:rPr>
        <w:t>11001-02-03-000-2011-00373-00</w:t>
      </w:r>
      <w:r w:rsidRPr="00825F31">
        <w:rPr>
          <w:rFonts w:ascii="Calibri" w:hAnsi="Calibri" w:cs="Calibri"/>
          <w:lang w:val="es-CO"/>
        </w:rPr>
        <w:t>.</w:t>
      </w:r>
    </w:p>
  </w:footnote>
  <w:footnote w:id="18">
    <w:p w:rsidR="00D96CA5" w:rsidRPr="00E771E8" w:rsidRDefault="00D96CA5" w:rsidP="00D96CA5">
      <w:pPr>
        <w:pStyle w:val="Notedebasdepage"/>
        <w:jc w:val="both"/>
        <w:rPr>
          <w:rFonts w:ascii="Calibri" w:hAnsi="Calibri"/>
          <w:lang w:val="fr-FR"/>
        </w:rPr>
      </w:pPr>
      <w:r w:rsidRPr="00422741">
        <w:rPr>
          <w:rStyle w:val="Appelnotedebasdep"/>
          <w:rFonts w:ascii="Calibri" w:hAnsi="Calibri" w:cs="Calibri"/>
          <w:lang w:val="es-CO"/>
        </w:rPr>
        <w:footnoteRef/>
      </w:r>
      <w:r w:rsidRPr="00E771E8">
        <w:rPr>
          <w:rFonts w:ascii="Calibri" w:hAnsi="Calibri" w:cs="Calibri"/>
          <w:lang w:val="fr-FR"/>
        </w:rPr>
        <w:t xml:space="preserve"> </w:t>
      </w:r>
      <w:r w:rsidRPr="00E771E8">
        <w:rPr>
          <w:rFonts w:asciiTheme="minorHAnsi" w:hAnsiTheme="minorHAnsi" w:cs="Calibri"/>
          <w:lang w:val="fr-FR"/>
        </w:rPr>
        <w:t>CC</w:t>
      </w:r>
      <w:r w:rsidRPr="00E771E8">
        <w:rPr>
          <w:rFonts w:ascii="Calibri" w:hAnsi="Calibri" w:cs="Calibri"/>
          <w:lang w:val="fr-FR"/>
        </w:rPr>
        <w:t>.  T-1079 de 2008.</w:t>
      </w:r>
    </w:p>
  </w:footnote>
  <w:footnote w:id="19">
    <w:p w:rsidR="00D96CA5" w:rsidRPr="00E771E8" w:rsidRDefault="00D96CA5" w:rsidP="00D96CA5">
      <w:pPr>
        <w:pStyle w:val="Notedebasdepage"/>
        <w:jc w:val="both"/>
        <w:rPr>
          <w:rFonts w:ascii="Calibri" w:hAnsi="Calibri"/>
          <w:b/>
          <w:iCs/>
          <w:lang w:val="fr-FR"/>
        </w:rPr>
      </w:pPr>
      <w:r w:rsidRPr="00422741">
        <w:rPr>
          <w:rStyle w:val="Appelnotedebasdep"/>
          <w:rFonts w:ascii="Calibri" w:hAnsi="Calibri"/>
          <w:lang w:val="es-CO"/>
        </w:rPr>
        <w:footnoteRef/>
      </w:r>
      <w:r w:rsidRPr="00E771E8">
        <w:rPr>
          <w:rFonts w:ascii="Calibri" w:hAnsi="Calibri"/>
          <w:lang w:val="fr-FR"/>
        </w:rPr>
        <w:t xml:space="preserve"> CSJ, Sala Civil, </w:t>
      </w:r>
      <w:r w:rsidRPr="00E771E8">
        <w:rPr>
          <w:rFonts w:ascii="Calibri" w:hAnsi="Calibri"/>
          <w:iCs/>
          <w:lang w:val="fr-FR"/>
        </w:rPr>
        <w:t>STC2154-2016 y STC10383-2016.</w:t>
      </w:r>
    </w:p>
  </w:footnote>
  <w:footnote w:id="20">
    <w:p w:rsidR="00D96CA5" w:rsidRPr="00E771E8" w:rsidRDefault="00D96CA5" w:rsidP="00D96CA5">
      <w:pPr>
        <w:pStyle w:val="Notedebasdepage"/>
        <w:jc w:val="both"/>
        <w:rPr>
          <w:rFonts w:asciiTheme="minorHAnsi" w:hAnsiTheme="minorHAnsi"/>
          <w:lang w:val="fr-FR"/>
        </w:rPr>
      </w:pPr>
      <w:r w:rsidRPr="009565CF">
        <w:rPr>
          <w:rStyle w:val="Appelnotedebasdep"/>
          <w:rFonts w:asciiTheme="minorHAnsi" w:hAnsiTheme="minorHAnsi" w:cs="Calibri"/>
          <w:lang w:val="es-CO"/>
        </w:rPr>
        <w:footnoteRef/>
      </w:r>
      <w:r w:rsidRPr="00E771E8">
        <w:rPr>
          <w:rFonts w:asciiTheme="minorHAnsi" w:hAnsiTheme="minorHAnsi" w:cs="Calibri"/>
          <w:lang w:val="fr-FR"/>
        </w:rPr>
        <w:t xml:space="preserve"> CC. T-016 de 2006.</w:t>
      </w:r>
    </w:p>
  </w:footnote>
  <w:footnote w:id="21">
    <w:p w:rsidR="00D96CA5" w:rsidRPr="009565CF" w:rsidRDefault="00D96CA5" w:rsidP="00D96CA5">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w:t>
      </w:r>
      <w:r w:rsidRPr="00E771E8">
        <w:rPr>
          <w:rFonts w:asciiTheme="minorHAnsi" w:hAnsiTheme="minorHAnsi" w:cs="Calibri"/>
          <w:lang w:val="es-CO"/>
        </w:rPr>
        <w:t>CC</w:t>
      </w:r>
      <w:r w:rsidRPr="009565CF">
        <w:rPr>
          <w:rFonts w:asciiTheme="minorHAnsi" w:hAnsiTheme="minorHAnsi" w:cs="Calibri"/>
          <w:lang w:val="es-CO"/>
        </w:rPr>
        <w:t xml:space="preserve">. T-684 </w:t>
      </w:r>
      <w:r>
        <w:rPr>
          <w:rFonts w:asciiTheme="minorHAnsi" w:hAnsiTheme="minorHAnsi" w:cs="Calibri"/>
          <w:lang w:val="es-CO"/>
        </w:rPr>
        <w:t xml:space="preserve">de </w:t>
      </w:r>
      <w:r w:rsidRPr="009565CF">
        <w:rPr>
          <w:rFonts w:asciiTheme="minorHAnsi" w:hAnsiTheme="minorHAnsi" w:cs="Calibri"/>
          <w:lang w:val="es-CO"/>
        </w:rPr>
        <w:t>2003.</w:t>
      </w:r>
    </w:p>
  </w:footnote>
  <w:footnote w:id="22">
    <w:p w:rsidR="00D96CA5" w:rsidRPr="009565CF" w:rsidRDefault="00D96CA5" w:rsidP="00D96CA5">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QUINCHE R</w:t>
      </w:r>
      <w:r>
        <w:rPr>
          <w:rFonts w:asciiTheme="minorHAnsi" w:hAnsiTheme="minorHAnsi" w:cs="Calibri"/>
          <w:lang w:val="es-CO"/>
        </w:rPr>
        <w:t>.</w:t>
      </w:r>
      <w:r w:rsidRPr="009565CF">
        <w:rPr>
          <w:rFonts w:asciiTheme="minorHAnsi" w:hAnsiTheme="minorHAnsi" w:cs="Calibri"/>
          <w:lang w:val="es-CO"/>
        </w:rPr>
        <w:t>, Manuel F. La acción de tutela, el amparo en Colombia, Temis, Bogotá DC, 2011, p.105-106.</w:t>
      </w:r>
    </w:p>
  </w:footnote>
  <w:footnote w:id="23">
    <w:p w:rsidR="00D96CA5" w:rsidRPr="00E771E8" w:rsidRDefault="00D96CA5" w:rsidP="00D96CA5">
      <w:pPr>
        <w:pStyle w:val="Notedebasdepage"/>
        <w:rPr>
          <w:rFonts w:asciiTheme="minorHAnsi" w:hAnsiTheme="minorHAnsi"/>
          <w:lang w:val="fr-FR"/>
        </w:rPr>
      </w:pPr>
      <w:r w:rsidRPr="00E501C4">
        <w:rPr>
          <w:rStyle w:val="Appelnotedebasdep"/>
          <w:rFonts w:asciiTheme="minorHAnsi" w:hAnsiTheme="minorHAnsi" w:cs="Calibri"/>
        </w:rPr>
        <w:footnoteRef/>
      </w:r>
      <w:r w:rsidRPr="00E771E8">
        <w:rPr>
          <w:rFonts w:asciiTheme="minorHAnsi" w:hAnsiTheme="minorHAnsi" w:cs="Calibri"/>
          <w:lang w:val="fr-FR"/>
        </w:rPr>
        <w:t xml:space="preserve"> CC. T-323 de 2016.</w:t>
      </w:r>
    </w:p>
  </w:footnote>
  <w:footnote w:id="24">
    <w:p w:rsidR="00D96CA5" w:rsidRPr="00E771E8" w:rsidRDefault="00D96CA5" w:rsidP="00D96CA5">
      <w:pPr>
        <w:pStyle w:val="Notedebasdepage"/>
        <w:rPr>
          <w:lang w:val="fr-FR"/>
        </w:rPr>
      </w:pPr>
      <w:r>
        <w:rPr>
          <w:rStyle w:val="Appelnotedebasdep"/>
        </w:rPr>
        <w:footnoteRef/>
      </w:r>
      <w:r w:rsidRPr="00E771E8">
        <w:rPr>
          <w:lang w:val="fr-FR"/>
        </w:rPr>
        <w:t xml:space="preserve"> </w:t>
      </w:r>
      <w:r w:rsidRPr="00E771E8">
        <w:rPr>
          <w:rFonts w:ascii="Calibri" w:hAnsi="Calibri" w:cs="Courier New"/>
          <w:lang w:val="fr-FR"/>
        </w:rPr>
        <w:t xml:space="preserve">CC. </w:t>
      </w:r>
      <w:hyperlink r:id="rId1" w:history="1">
        <w:proofErr w:type="spellStart"/>
        <w:r w:rsidRPr="00E771E8">
          <w:rPr>
            <w:rStyle w:val="Lienhypertexte"/>
            <w:rFonts w:ascii="Calibri" w:hAnsi="Calibri" w:cs="Courier New"/>
            <w:color w:val="auto"/>
            <w:u w:val="none"/>
            <w:lang w:val="fr-FR"/>
          </w:rPr>
          <w:t>SU-499</w:t>
        </w:r>
        <w:proofErr w:type="spellEnd"/>
        <w:r w:rsidRPr="00E771E8">
          <w:rPr>
            <w:rStyle w:val="Lienhypertexte"/>
            <w:rFonts w:ascii="Calibri" w:hAnsi="Calibri" w:cs="Courier New"/>
            <w:color w:val="auto"/>
            <w:u w:val="none"/>
            <w:lang w:val="fr-FR"/>
          </w:rPr>
          <w:t xml:space="preserve"> de 2016</w:t>
        </w:r>
      </w:hyperlink>
      <w:r w:rsidRPr="00E771E8">
        <w:rPr>
          <w:rStyle w:val="Lienhypertexte"/>
          <w:rFonts w:ascii="Calibri" w:hAnsi="Calibri" w:cs="Courier New"/>
          <w:color w:val="auto"/>
          <w:u w:val="none"/>
          <w:lang w:val="fr-FR"/>
        </w:rPr>
        <w:t>.</w:t>
      </w:r>
    </w:p>
  </w:footnote>
  <w:footnote w:id="25">
    <w:p w:rsidR="00D96CA5" w:rsidRPr="00E771E8" w:rsidRDefault="00D96CA5" w:rsidP="00D96CA5">
      <w:pPr>
        <w:pStyle w:val="Notedebasdepage"/>
        <w:rPr>
          <w:rFonts w:asciiTheme="minorHAnsi" w:hAnsiTheme="minorHAnsi"/>
          <w:lang w:val="fr-FR"/>
        </w:rPr>
      </w:pPr>
      <w:r w:rsidRPr="004905B4">
        <w:rPr>
          <w:rStyle w:val="Appelnotedebasdep"/>
          <w:rFonts w:asciiTheme="minorHAnsi" w:hAnsiTheme="minorHAnsi"/>
        </w:rPr>
        <w:footnoteRef/>
      </w:r>
      <w:r w:rsidRPr="00E771E8">
        <w:rPr>
          <w:rFonts w:asciiTheme="minorHAnsi" w:hAnsiTheme="minorHAnsi"/>
          <w:lang w:val="fr-FR"/>
        </w:rPr>
        <w:t xml:space="preserve"> </w:t>
      </w:r>
      <w:r w:rsidRPr="00E771E8">
        <w:rPr>
          <w:rFonts w:asciiTheme="minorHAnsi" w:hAnsiTheme="minorHAnsi" w:cs="Calibri"/>
          <w:lang w:val="fr-FR"/>
        </w:rPr>
        <w:t>CC. T-299 de 2009</w:t>
      </w:r>
      <w:r w:rsidR="00017B8C" w:rsidRPr="00E771E8">
        <w:rPr>
          <w:rFonts w:asciiTheme="minorHAnsi" w:hAnsiTheme="minorHAnsi" w:cs="Calibri"/>
          <w:lang w:val="fr-FR"/>
        </w:rPr>
        <w:t>, T-001 de 2016 y T-051 de 2016</w:t>
      </w:r>
      <w:r w:rsidRPr="00E771E8">
        <w:rPr>
          <w:rFonts w:asciiTheme="minorHAnsi" w:hAnsiTheme="minorHAnsi" w:cs="Calibri"/>
          <w:lang w:val="fr-FR"/>
        </w:rPr>
        <w:t>.</w:t>
      </w:r>
    </w:p>
  </w:footnote>
  <w:footnote w:id="26">
    <w:p w:rsidR="00D96CA5" w:rsidRPr="00E771E8" w:rsidRDefault="00D96CA5" w:rsidP="00D96CA5">
      <w:pPr>
        <w:pStyle w:val="Notedebasdepage"/>
        <w:rPr>
          <w:lang w:val="fr-FR"/>
        </w:rPr>
      </w:pPr>
      <w:r>
        <w:rPr>
          <w:rStyle w:val="Appelnotedebasdep"/>
        </w:rPr>
        <w:footnoteRef/>
      </w:r>
      <w:r w:rsidRPr="00E771E8">
        <w:rPr>
          <w:lang w:val="fr-FR"/>
        </w:rPr>
        <w:t xml:space="preserve"> </w:t>
      </w:r>
      <w:r w:rsidRPr="00E771E8">
        <w:rPr>
          <w:rFonts w:asciiTheme="minorHAnsi" w:hAnsiTheme="minorHAnsi" w:cs="Calibri"/>
          <w:lang w:val="fr-FR"/>
        </w:rPr>
        <w:t>CC. T-526 de 200</w:t>
      </w:r>
      <w:r w:rsidR="00017B8C" w:rsidRPr="00E771E8">
        <w:rPr>
          <w:rFonts w:asciiTheme="minorHAnsi" w:hAnsiTheme="minorHAnsi" w:cs="Calibri"/>
          <w:lang w:val="fr-FR"/>
        </w:rPr>
        <w:t xml:space="preserve">5, </w:t>
      </w:r>
      <w:r w:rsidRPr="00E771E8">
        <w:rPr>
          <w:rFonts w:asciiTheme="minorHAnsi" w:hAnsiTheme="minorHAnsi" w:cs="Calibri"/>
          <w:lang w:val="fr-FR"/>
        </w:rPr>
        <w:t>T-410 de 2013</w:t>
      </w:r>
      <w:r w:rsidR="00017B8C" w:rsidRPr="00E771E8">
        <w:rPr>
          <w:rFonts w:asciiTheme="minorHAnsi" w:hAnsiTheme="minorHAnsi" w:cs="Calibri"/>
          <w:lang w:val="fr-FR"/>
        </w:rPr>
        <w:t xml:space="preserve">, T-534 de 2015 y </w:t>
      </w:r>
      <w:hyperlink r:id="rId2" w:history="1">
        <w:proofErr w:type="spellStart"/>
        <w:r w:rsidR="00017B8C" w:rsidRPr="00E771E8">
          <w:rPr>
            <w:rStyle w:val="Lienhypertexte"/>
            <w:rFonts w:ascii="Calibri" w:hAnsi="Calibri" w:cs="Courier New"/>
            <w:color w:val="auto"/>
            <w:u w:val="none"/>
            <w:lang w:val="fr-FR"/>
          </w:rPr>
          <w:t>SU-499</w:t>
        </w:r>
        <w:proofErr w:type="spellEnd"/>
        <w:r w:rsidR="00017B8C" w:rsidRPr="00E771E8">
          <w:rPr>
            <w:rStyle w:val="Lienhypertexte"/>
            <w:rFonts w:ascii="Calibri" w:hAnsi="Calibri" w:cs="Courier New"/>
            <w:color w:val="auto"/>
            <w:u w:val="none"/>
            <w:lang w:val="fr-FR"/>
          </w:rPr>
          <w:t xml:space="preserve"> de 2016</w:t>
        </w:r>
      </w:hyperlink>
      <w:r w:rsidR="00017B8C" w:rsidRPr="00E771E8">
        <w:rPr>
          <w:rStyle w:val="Lienhypertexte"/>
          <w:rFonts w:ascii="Calibri" w:hAnsi="Calibri" w:cs="Courier New"/>
          <w:color w:val="auto"/>
          <w:u w:val="none"/>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Default="005E665B"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5E665B" w:rsidRDefault="005E665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AA6B28" w:rsidRDefault="005E665B">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69459D">
      <w:rPr>
        <w:rFonts w:ascii="Calibri" w:hAnsi="Calibri"/>
        <w:noProof/>
        <w:sz w:val="22"/>
        <w:lang w:val="es-CO"/>
      </w:rPr>
      <w:t>8</w:t>
    </w:r>
    <w:r w:rsidRPr="00AA6B28">
      <w:rPr>
        <w:rFonts w:ascii="Calibri" w:hAnsi="Calibri"/>
        <w:sz w:val="22"/>
        <w:lang w:val="es-CO"/>
      </w:rPr>
      <w:fldChar w:fldCharType="end"/>
    </w:r>
  </w:p>
  <w:p w:rsidR="005E665B" w:rsidRPr="00AA6B28" w:rsidRDefault="005E665B"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F420C">
      <w:rPr>
        <w:rFonts w:ascii="Calibri" w:hAnsi="Calibri" w:cs="Calibri"/>
        <w:i/>
        <w:sz w:val="20"/>
        <w:szCs w:val="20"/>
        <w:lang w:val="es-CO"/>
      </w:rPr>
      <w:t>2016</w:t>
    </w:r>
    <w:r>
      <w:rPr>
        <w:rFonts w:ascii="Calibri" w:hAnsi="Calibri" w:cs="Calibri"/>
        <w:i/>
        <w:sz w:val="20"/>
        <w:szCs w:val="20"/>
        <w:lang w:val="es-CO"/>
      </w:rPr>
      <w:t>-</w:t>
    </w:r>
    <w:r w:rsidR="00927125">
      <w:rPr>
        <w:rFonts w:ascii="Calibri" w:hAnsi="Calibri" w:cs="Calibri"/>
        <w:i/>
        <w:sz w:val="20"/>
        <w:szCs w:val="20"/>
        <w:lang w:val="es-CO"/>
      </w:rPr>
      <w:t>00432-02</w:t>
    </w:r>
    <w:r w:rsidRPr="00AA6B28">
      <w:rPr>
        <w:rFonts w:ascii="Calibri" w:hAnsi="Calibri" w:cs="Calibri"/>
        <w:i/>
        <w:sz w:val="20"/>
        <w:szCs w:val="20"/>
        <w:lang w:val="es-CO"/>
      </w:rPr>
      <w:t xml:space="preserve"> </w:t>
    </w:r>
  </w:p>
  <w:p w:rsidR="005E665B" w:rsidRPr="00F839CE" w:rsidRDefault="005E665B"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5B" w:rsidRPr="0092089F" w:rsidRDefault="005E665B">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E665B" w:rsidRDefault="005E665B"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5F3256"/>
    <w:multiLevelType w:val="multilevel"/>
    <w:tmpl w:val="716A848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4326E5"/>
    <w:multiLevelType w:val="hybridMultilevel"/>
    <w:tmpl w:val="CD20C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AB7084A"/>
    <w:multiLevelType w:val="multilevel"/>
    <w:tmpl w:val="7E9C9B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1EF047B"/>
    <w:multiLevelType w:val="multilevel"/>
    <w:tmpl w:val="322C0916"/>
    <w:lvl w:ilvl="0">
      <w:start w:val="6"/>
      <w:numFmt w:val="decimal"/>
      <w:lvlText w:val="%1."/>
      <w:lvlJc w:val="left"/>
      <w:pPr>
        <w:ind w:left="390" w:hanging="390"/>
      </w:pPr>
      <w:rPr>
        <w:rFonts w:hint="default"/>
        <w:sz w:val="24"/>
      </w:rPr>
    </w:lvl>
    <w:lvl w:ilvl="1">
      <w:start w:val="1"/>
      <w:numFmt w:val="decimal"/>
      <w:lvlText w:val="%1.%2."/>
      <w:lvlJc w:val="left"/>
      <w:pPr>
        <w:ind w:left="750" w:hanging="39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9EC7578"/>
    <w:multiLevelType w:val="multilevel"/>
    <w:tmpl w:val="AE3479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6B3A60B6"/>
    <w:multiLevelType w:val="multilevel"/>
    <w:tmpl w:val="07E63CC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FE27F03"/>
    <w:multiLevelType w:val="multilevel"/>
    <w:tmpl w:val="C9D8125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07451F3"/>
    <w:multiLevelType w:val="multilevel"/>
    <w:tmpl w:val="33324C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6"/>
  </w:num>
  <w:num w:numId="3">
    <w:abstractNumId w:val="19"/>
  </w:num>
  <w:num w:numId="4">
    <w:abstractNumId w:val="16"/>
  </w:num>
  <w:num w:numId="5">
    <w:abstractNumId w:val="28"/>
  </w:num>
  <w:num w:numId="6">
    <w:abstractNumId w:val="17"/>
  </w:num>
  <w:num w:numId="7">
    <w:abstractNumId w:val="3"/>
  </w:num>
  <w:num w:numId="8">
    <w:abstractNumId w:val="12"/>
  </w:num>
  <w:num w:numId="9">
    <w:abstractNumId w:val="13"/>
  </w:num>
  <w:num w:numId="10">
    <w:abstractNumId w:val="2"/>
  </w:num>
  <w:num w:numId="11">
    <w:abstractNumId w:val="25"/>
  </w:num>
  <w:num w:numId="12">
    <w:abstractNumId w:val="9"/>
  </w:num>
  <w:num w:numId="13">
    <w:abstractNumId w:val="15"/>
  </w:num>
  <w:num w:numId="14">
    <w:abstractNumId w:val="34"/>
  </w:num>
  <w:num w:numId="15">
    <w:abstractNumId w:val="21"/>
  </w:num>
  <w:num w:numId="16">
    <w:abstractNumId w:val="1"/>
  </w:num>
  <w:num w:numId="17">
    <w:abstractNumId w:val="36"/>
  </w:num>
  <w:num w:numId="18">
    <w:abstractNumId w:val="23"/>
  </w:num>
  <w:num w:numId="19">
    <w:abstractNumId w:val="33"/>
  </w:num>
  <w:num w:numId="20">
    <w:abstractNumId w:val="30"/>
  </w:num>
  <w:num w:numId="21">
    <w:abstractNumId w:val="5"/>
  </w:num>
  <w:num w:numId="22">
    <w:abstractNumId w:val="0"/>
  </w:num>
  <w:num w:numId="23">
    <w:abstractNumId w:val="37"/>
  </w:num>
  <w:num w:numId="24">
    <w:abstractNumId w:val="20"/>
  </w:num>
  <w:num w:numId="25">
    <w:abstractNumId w:val="11"/>
  </w:num>
  <w:num w:numId="26">
    <w:abstractNumId w:val="14"/>
  </w:num>
  <w:num w:numId="27">
    <w:abstractNumId w:val="4"/>
  </w:num>
  <w:num w:numId="28">
    <w:abstractNumId w:val="27"/>
  </w:num>
  <w:num w:numId="29">
    <w:abstractNumId w:val="10"/>
  </w:num>
  <w:num w:numId="30">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8"/>
  </w:num>
  <w:num w:numId="35">
    <w:abstractNumId w:val="22"/>
  </w:num>
  <w:num w:numId="36">
    <w:abstractNumId w:val="31"/>
  </w:num>
  <w:num w:numId="37">
    <w:abstractNumId w:val="32"/>
  </w:num>
  <w:num w:numId="38">
    <w:abstractNumId w:val="29"/>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8C"/>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A55"/>
    <w:rsid w:val="00041B57"/>
    <w:rsid w:val="000420B2"/>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1BD"/>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3CC1"/>
    <w:rsid w:val="0008424D"/>
    <w:rsid w:val="0008427C"/>
    <w:rsid w:val="0008432D"/>
    <w:rsid w:val="00085FB4"/>
    <w:rsid w:val="00086D8F"/>
    <w:rsid w:val="00086DEB"/>
    <w:rsid w:val="0008767C"/>
    <w:rsid w:val="00087DB9"/>
    <w:rsid w:val="00091A3B"/>
    <w:rsid w:val="00092CB6"/>
    <w:rsid w:val="0009345E"/>
    <w:rsid w:val="000937F8"/>
    <w:rsid w:val="0009397A"/>
    <w:rsid w:val="000939B4"/>
    <w:rsid w:val="00093AD0"/>
    <w:rsid w:val="000956EB"/>
    <w:rsid w:val="00096950"/>
    <w:rsid w:val="00096F42"/>
    <w:rsid w:val="000975AD"/>
    <w:rsid w:val="00097BAB"/>
    <w:rsid w:val="000A0940"/>
    <w:rsid w:val="000A0EB7"/>
    <w:rsid w:val="000A0F80"/>
    <w:rsid w:val="000A1739"/>
    <w:rsid w:val="000A2533"/>
    <w:rsid w:val="000A4450"/>
    <w:rsid w:val="000A51FF"/>
    <w:rsid w:val="000A5412"/>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40F"/>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06A"/>
    <w:rsid w:val="001E7EDB"/>
    <w:rsid w:val="001F08CF"/>
    <w:rsid w:val="001F08D7"/>
    <w:rsid w:val="001F0AC0"/>
    <w:rsid w:val="001F1DC2"/>
    <w:rsid w:val="001F2983"/>
    <w:rsid w:val="001F2A3E"/>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63E"/>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0CC7"/>
    <w:rsid w:val="0027273C"/>
    <w:rsid w:val="00275F09"/>
    <w:rsid w:val="00275F4A"/>
    <w:rsid w:val="0028166B"/>
    <w:rsid w:val="00283209"/>
    <w:rsid w:val="0028498A"/>
    <w:rsid w:val="002865F6"/>
    <w:rsid w:val="00286A56"/>
    <w:rsid w:val="00287CF2"/>
    <w:rsid w:val="002901E0"/>
    <w:rsid w:val="002905EB"/>
    <w:rsid w:val="00290D6E"/>
    <w:rsid w:val="00291B96"/>
    <w:rsid w:val="002923B3"/>
    <w:rsid w:val="0029313D"/>
    <w:rsid w:val="002946FF"/>
    <w:rsid w:val="002950F1"/>
    <w:rsid w:val="0029571A"/>
    <w:rsid w:val="0029574A"/>
    <w:rsid w:val="00296EA8"/>
    <w:rsid w:val="002978A1"/>
    <w:rsid w:val="002A0F18"/>
    <w:rsid w:val="002A20B0"/>
    <w:rsid w:val="002A259F"/>
    <w:rsid w:val="002A2B8A"/>
    <w:rsid w:val="002A5547"/>
    <w:rsid w:val="002B0529"/>
    <w:rsid w:val="002B2E94"/>
    <w:rsid w:val="002B4459"/>
    <w:rsid w:val="002B44A9"/>
    <w:rsid w:val="002B4504"/>
    <w:rsid w:val="002B503F"/>
    <w:rsid w:val="002B6043"/>
    <w:rsid w:val="002B7A49"/>
    <w:rsid w:val="002C0DE9"/>
    <w:rsid w:val="002C4CF9"/>
    <w:rsid w:val="002C738E"/>
    <w:rsid w:val="002C763E"/>
    <w:rsid w:val="002D1038"/>
    <w:rsid w:val="002D5131"/>
    <w:rsid w:val="002D6785"/>
    <w:rsid w:val="002D688F"/>
    <w:rsid w:val="002D6B23"/>
    <w:rsid w:val="002E15B5"/>
    <w:rsid w:val="002E1A27"/>
    <w:rsid w:val="002E1BBA"/>
    <w:rsid w:val="002E33DD"/>
    <w:rsid w:val="002E393C"/>
    <w:rsid w:val="002E3E3F"/>
    <w:rsid w:val="002E485A"/>
    <w:rsid w:val="002E64BE"/>
    <w:rsid w:val="002E71F1"/>
    <w:rsid w:val="002E7DC6"/>
    <w:rsid w:val="002F1F4A"/>
    <w:rsid w:val="002F2011"/>
    <w:rsid w:val="002F20AB"/>
    <w:rsid w:val="002F2345"/>
    <w:rsid w:val="002F330A"/>
    <w:rsid w:val="002F7BE7"/>
    <w:rsid w:val="0030058B"/>
    <w:rsid w:val="00300CF9"/>
    <w:rsid w:val="00300E36"/>
    <w:rsid w:val="00301D9F"/>
    <w:rsid w:val="0030235D"/>
    <w:rsid w:val="00303127"/>
    <w:rsid w:val="00304138"/>
    <w:rsid w:val="0030690A"/>
    <w:rsid w:val="00306DE6"/>
    <w:rsid w:val="003071A1"/>
    <w:rsid w:val="003106C4"/>
    <w:rsid w:val="0031077B"/>
    <w:rsid w:val="00310803"/>
    <w:rsid w:val="00311747"/>
    <w:rsid w:val="00311FCA"/>
    <w:rsid w:val="00312032"/>
    <w:rsid w:val="00312D1F"/>
    <w:rsid w:val="0031461D"/>
    <w:rsid w:val="003169D9"/>
    <w:rsid w:val="00317A3A"/>
    <w:rsid w:val="00320A40"/>
    <w:rsid w:val="00321B05"/>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1DC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29E"/>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78"/>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2736"/>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3A38"/>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E795D"/>
    <w:rsid w:val="004F1BDB"/>
    <w:rsid w:val="004F31F1"/>
    <w:rsid w:val="004F3E7F"/>
    <w:rsid w:val="004F448C"/>
    <w:rsid w:val="004F5D30"/>
    <w:rsid w:val="004F6583"/>
    <w:rsid w:val="004F6D6A"/>
    <w:rsid w:val="004F7A80"/>
    <w:rsid w:val="004F7AA5"/>
    <w:rsid w:val="00502776"/>
    <w:rsid w:val="00503BF5"/>
    <w:rsid w:val="00505776"/>
    <w:rsid w:val="005069CE"/>
    <w:rsid w:val="00506B03"/>
    <w:rsid w:val="0050752F"/>
    <w:rsid w:val="0051036C"/>
    <w:rsid w:val="005110DF"/>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52C"/>
    <w:rsid w:val="00530623"/>
    <w:rsid w:val="00531544"/>
    <w:rsid w:val="00534323"/>
    <w:rsid w:val="00534EE4"/>
    <w:rsid w:val="00535F02"/>
    <w:rsid w:val="0053721C"/>
    <w:rsid w:val="0053742E"/>
    <w:rsid w:val="005378BD"/>
    <w:rsid w:val="00541088"/>
    <w:rsid w:val="00541D99"/>
    <w:rsid w:val="0054435F"/>
    <w:rsid w:val="00545096"/>
    <w:rsid w:val="005450FF"/>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4216"/>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77E"/>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665B"/>
    <w:rsid w:val="005E799C"/>
    <w:rsid w:val="005F1D7B"/>
    <w:rsid w:val="005F288E"/>
    <w:rsid w:val="005F2B51"/>
    <w:rsid w:val="005F4CEA"/>
    <w:rsid w:val="005F583A"/>
    <w:rsid w:val="005F6B42"/>
    <w:rsid w:val="005F7975"/>
    <w:rsid w:val="00600602"/>
    <w:rsid w:val="00600825"/>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2187"/>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1AA6"/>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5C8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459D"/>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6D8"/>
    <w:rsid w:val="006F695B"/>
    <w:rsid w:val="00701835"/>
    <w:rsid w:val="00701A66"/>
    <w:rsid w:val="007032A7"/>
    <w:rsid w:val="00703414"/>
    <w:rsid w:val="00705353"/>
    <w:rsid w:val="00706990"/>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0D6"/>
    <w:rsid w:val="0073555B"/>
    <w:rsid w:val="007358F3"/>
    <w:rsid w:val="00735CD2"/>
    <w:rsid w:val="00740778"/>
    <w:rsid w:val="00743286"/>
    <w:rsid w:val="0074559A"/>
    <w:rsid w:val="007469AE"/>
    <w:rsid w:val="007470B5"/>
    <w:rsid w:val="00747531"/>
    <w:rsid w:val="00747ED4"/>
    <w:rsid w:val="00751EE2"/>
    <w:rsid w:val="007535D5"/>
    <w:rsid w:val="00753EFD"/>
    <w:rsid w:val="007552B7"/>
    <w:rsid w:val="00755DA9"/>
    <w:rsid w:val="00757533"/>
    <w:rsid w:val="00757715"/>
    <w:rsid w:val="00763A88"/>
    <w:rsid w:val="007640D2"/>
    <w:rsid w:val="00764347"/>
    <w:rsid w:val="007671B0"/>
    <w:rsid w:val="00767940"/>
    <w:rsid w:val="00771090"/>
    <w:rsid w:val="00771F3B"/>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8774C"/>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2C70"/>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4CC8"/>
    <w:rsid w:val="00875D4E"/>
    <w:rsid w:val="00877A45"/>
    <w:rsid w:val="0088212C"/>
    <w:rsid w:val="00882F38"/>
    <w:rsid w:val="008847CB"/>
    <w:rsid w:val="0088683E"/>
    <w:rsid w:val="00893FCA"/>
    <w:rsid w:val="008961CD"/>
    <w:rsid w:val="00896588"/>
    <w:rsid w:val="00896FA9"/>
    <w:rsid w:val="0089770C"/>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7E4"/>
    <w:rsid w:val="008C3D59"/>
    <w:rsid w:val="008C42CD"/>
    <w:rsid w:val="008C4916"/>
    <w:rsid w:val="008C4B4E"/>
    <w:rsid w:val="008C4B67"/>
    <w:rsid w:val="008C7AF3"/>
    <w:rsid w:val="008D112B"/>
    <w:rsid w:val="008D1688"/>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4E88"/>
    <w:rsid w:val="008F533C"/>
    <w:rsid w:val="008F60D0"/>
    <w:rsid w:val="008F6566"/>
    <w:rsid w:val="008F6FC2"/>
    <w:rsid w:val="008F71EF"/>
    <w:rsid w:val="00900508"/>
    <w:rsid w:val="00901E1E"/>
    <w:rsid w:val="009026FC"/>
    <w:rsid w:val="00902D4C"/>
    <w:rsid w:val="00904E56"/>
    <w:rsid w:val="00905425"/>
    <w:rsid w:val="00905E36"/>
    <w:rsid w:val="00907B47"/>
    <w:rsid w:val="009129E2"/>
    <w:rsid w:val="00912A38"/>
    <w:rsid w:val="00913716"/>
    <w:rsid w:val="00913B35"/>
    <w:rsid w:val="009147B3"/>
    <w:rsid w:val="00915071"/>
    <w:rsid w:val="00916708"/>
    <w:rsid w:val="00916BD5"/>
    <w:rsid w:val="0091769E"/>
    <w:rsid w:val="00917999"/>
    <w:rsid w:val="00917BF8"/>
    <w:rsid w:val="0092089F"/>
    <w:rsid w:val="00922E55"/>
    <w:rsid w:val="0092352E"/>
    <w:rsid w:val="00924FB5"/>
    <w:rsid w:val="009262D5"/>
    <w:rsid w:val="00927125"/>
    <w:rsid w:val="00927162"/>
    <w:rsid w:val="0092748E"/>
    <w:rsid w:val="00931691"/>
    <w:rsid w:val="0093403F"/>
    <w:rsid w:val="009346AB"/>
    <w:rsid w:val="009346FF"/>
    <w:rsid w:val="00937955"/>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740"/>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781"/>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F4A"/>
    <w:rsid w:val="00A80F0C"/>
    <w:rsid w:val="00A8100F"/>
    <w:rsid w:val="00A8129C"/>
    <w:rsid w:val="00A819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5CBF"/>
    <w:rsid w:val="00AA6B28"/>
    <w:rsid w:val="00AB0D7B"/>
    <w:rsid w:val="00AB190E"/>
    <w:rsid w:val="00AB2B91"/>
    <w:rsid w:val="00AB3059"/>
    <w:rsid w:val="00AB40D4"/>
    <w:rsid w:val="00AB45FB"/>
    <w:rsid w:val="00AB498B"/>
    <w:rsid w:val="00AB50BF"/>
    <w:rsid w:val="00AB538D"/>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B6E"/>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3C93"/>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4E8"/>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200"/>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D9F"/>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3208"/>
    <w:rsid w:val="00C045A0"/>
    <w:rsid w:val="00C054CD"/>
    <w:rsid w:val="00C07092"/>
    <w:rsid w:val="00C0768E"/>
    <w:rsid w:val="00C07979"/>
    <w:rsid w:val="00C107B6"/>
    <w:rsid w:val="00C1156E"/>
    <w:rsid w:val="00C12A96"/>
    <w:rsid w:val="00C1385E"/>
    <w:rsid w:val="00C144F5"/>
    <w:rsid w:val="00C15706"/>
    <w:rsid w:val="00C15D6B"/>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467B1"/>
    <w:rsid w:val="00C50767"/>
    <w:rsid w:val="00C51054"/>
    <w:rsid w:val="00C51AB9"/>
    <w:rsid w:val="00C52889"/>
    <w:rsid w:val="00C52D6B"/>
    <w:rsid w:val="00C53999"/>
    <w:rsid w:val="00C53DAB"/>
    <w:rsid w:val="00C54507"/>
    <w:rsid w:val="00C54653"/>
    <w:rsid w:val="00C5630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87A"/>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6835"/>
    <w:rsid w:val="00D0039D"/>
    <w:rsid w:val="00D01DE0"/>
    <w:rsid w:val="00D04643"/>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3F8A"/>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1BBB"/>
    <w:rsid w:val="00D648BB"/>
    <w:rsid w:val="00D66C88"/>
    <w:rsid w:val="00D73163"/>
    <w:rsid w:val="00D74733"/>
    <w:rsid w:val="00D7492E"/>
    <w:rsid w:val="00D76C92"/>
    <w:rsid w:val="00D76EA3"/>
    <w:rsid w:val="00D7703E"/>
    <w:rsid w:val="00D80C4E"/>
    <w:rsid w:val="00D82363"/>
    <w:rsid w:val="00D82429"/>
    <w:rsid w:val="00D842A2"/>
    <w:rsid w:val="00D8463B"/>
    <w:rsid w:val="00D864EE"/>
    <w:rsid w:val="00D87B7C"/>
    <w:rsid w:val="00D90022"/>
    <w:rsid w:val="00D90292"/>
    <w:rsid w:val="00D906C9"/>
    <w:rsid w:val="00D90AB6"/>
    <w:rsid w:val="00D92150"/>
    <w:rsid w:val="00D92BE6"/>
    <w:rsid w:val="00D92E73"/>
    <w:rsid w:val="00D93FEB"/>
    <w:rsid w:val="00D95583"/>
    <w:rsid w:val="00D96884"/>
    <w:rsid w:val="00D96CA5"/>
    <w:rsid w:val="00D97226"/>
    <w:rsid w:val="00D97B22"/>
    <w:rsid w:val="00D97D1F"/>
    <w:rsid w:val="00DA09FE"/>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2B34"/>
    <w:rsid w:val="00DE43BE"/>
    <w:rsid w:val="00DE7901"/>
    <w:rsid w:val="00DE7DCD"/>
    <w:rsid w:val="00DF180B"/>
    <w:rsid w:val="00DF2230"/>
    <w:rsid w:val="00DF4164"/>
    <w:rsid w:val="00DF6B4C"/>
    <w:rsid w:val="00DF6FAD"/>
    <w:rsid w:val="00E02766"/>
    <w:rsid w:val="00E049C7"/>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1266"/>
    <w:rsid w:val="00E32841"/>
    <w:rsid w:val="00E34A00"/>
    <w:rsid w:val="00E36DB7"/>
    <w:rsid w:val="00E4314D"/>
    <w:rsid w:val="00E4399D"/>
    <w:rsid w:val="00E46BAA"/>
    <w:rsid w:val="00E47A3C"/>
    <w:rsid w:val="00E5080E"/>
    <w:rsid w:val="00E52304"/>
    <w:rsid w:val="00E524AE"/>
    <w:rsid w:val="00E54491"/>
    <w:rsid w:val="00E55393"/>
    <w:rsid w:val="00E55F7F"/>
    <w:rsid w:val="00E56AE7"/>
    <w:rsid w:val="00E56BC0"/>
    <w:rsid w:val="00E5717C"/>
    <w:rsid w:val="00E5762C"/>
    <w:rsid w:val="00E57C7E"/>
    <w:rsid w:val="00E6111C"/>
    <w:rsid w:val="00E654A0"/>
    <w:rsid w:val="00E66BFB"/>
    <w:rsid w:val="00E6785D"/>
    <w:rsid w:val="00E67FC4"/>
    <w:rsid w:val="00E70A23"/>
    <w:rsid w:val="00E71BB4"/>
    <w:rsid w:val="00E75008"/>
    <w:rsid w:val="00E75498"/>
    <w:rsid w:val="00E7584C"/>
    <w:rsid w:val="00E7621F"/>
    <w:rsid w:val="00E76D99"/>
    <w:rsid w:val="00E771E8"/>
    <w:rsid w:val="00E77549"/>
    <w:rsid w:val="00E815F5"/>
    <w:rsid w:val="00E819AD"/>
    <w:rsid w:val="00E82C3B"/>
    <w:rsid w:val="00E82CE1"/>
    <w:rsid w:val="00E82F35"/>
    <w:rsid w:val="00E838E0"/>
    <w:rsid w:val="00E85616"/>
    <w:rsid w:val="00E86D69"/>
    <w:rsid w:val="00E91010"/>
    <w:rsid w:val="00E9207C"/>
    <w:rsid w:val="00E9348C"/>
    <w:rsid w:val="00E942CB"/>
    <w:rsid w:val="00E957A3"/>
    <w:rsid w:val="00E96EBF"/>
    <w:rsid w:val="00E975A9"/>
    <w:rsid w:val="00E97BC7"/>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140A"/>
    <w:rsid w:val="00EC3E6B"/>
    <w:rsid w:val="00EC3EC0"/>
    <w:rsid w:val="00EC5C2E"/>
    <w:rsid w:val="00EC6711"/>
    <w:rsid w:val="00EC7665"/>
    <w:rsid w:val="00ED132D"/>
    <w:rsid w:val="00ED1A3B"/>
    <w:rsid w:val="00ED1D80"/>
    <w:rsid w:val="00ED2012"/>
    <w:rsid w:val="00ED435E"/>
    <w:rsid w:val="00ED4CA1"/>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9B5"/>
    <w:rsid w:val="00F02D6F"/>
    <w:rsid w:val="00F02F49"/>
    <w:rsid w:val="00F04D44"/>
    <w:rsid w:val="00F051FB"/>
    <w:rsid w:val="00F05655"/>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5568F"/>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2B1"/>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6B7"/>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0ADD"/>
    <w:rsid w:val="00FE2375"/>
    <w:rsid w:val="00FE2934"/>
    <w:rsid w:val="00FE5669"/>
    <w:rsid w:val="00FE5C14"/>
    <w:rsid w:val="00FF2819"/>
    <w:rsid w:val="00FF3B7F"/>
    <w:rsid w:val="00FF4146"/>
    <w:rsid w:val="00FF420C"/>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03535372">
      <w:bodyDiv w:val="1"/>
      <w:marLeft w:val="0"/>
      <w:marRight w:val="0"/>
      <w:marTop w:val="0"/>
      <w:marBottom w:val="0"/>
      <w:divBdr>
        <w:top w:val="none" w:sz="0" w:space="0" w:color="auto"/>
        <w:left w:val="none" w:sz="0" w:space="0" w:color="auto"/>
        <w:bottom w:val="none" w:sz="0" w:space="0" w:color="auto"/>
        <w:right w:val="none" w:sz="0" w:space="0" w:color="auto"/>
      </w:divBdr>
    </w:div>
    <w:div w:id="1344548453">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509C-4D6C-47DD-8926-24AC7D14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2630</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9</cp:revision>
  <cp:lastPrinted>2017-03-21T15:26:00Z</cp:lastPrinted>
  <dcterms:created xsi:type="dcterms:W3CDTF">2017-03-21T12:36:00Z</dcterms:created>
  <dcterms:modified xsi:type="dcterms:W3CDTF">2017-05-11T12:18:00Z</dcterms:modified>
</cp:coreProperties>
</file>