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7E" w:rsidRDefault="000E547E" w:rsidP="000E547E">
      <w:pPr>
        <w:shd w:val="clear" w:color="auto" w:fill="FFFFFF"/>
        <w:tabs>
          <w:tab w:val="left" w:pos="2024"/>
        </w:tabs>
        <w:rPr>
          <w:rFonts w:ascii="Calibri" w:eastAsia="Calibri" w:hAnsi="Calibri" w:cs="Calibri"/>
          <w:color w:val="222222"/>
          <w:sz w:val="18"/>
          <w:szCs w:val="18"/>
          <w:lang w:val="es-MX" w:eastAsia="fr-FR"/>
        </w:rPr>
      </w:pPr>
    </w:p>
    <w:p w:rsidR="000E547E" w:rsidRPr="006E4540" w:rsidRDefault="000E547E" w:rsidP="000E547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E547E" w:rsidRDefault="000E547E"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14:anchorId="7D1D56CD" wp14:editId="6997EF6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0E547E">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0E547E">
        <w:rPr>
          <w:rFonts w:ascii="Arial" w:hAnsi="Arial" w:cs="Arial"/>
          <w:sz w:val="22"/>
          <w:szCs w:val="22"/>
        </w:rPr>
        <w:t>– 1ª instancia – 18 de abril de 2017</w:t>
      </w:r>
    </w:p>
    <w:p w:rsidR="000E547E" w:rsidRDefault="000E547E"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F366E9">
        <w:rPr>
          <w:rFonts w:ascii="Arial" w:hAnsi="Arial" w:cs="Arial"/>
          <w:sz w:val="22"/>
        </w:rPr>
        <w:t>Segundo</w:t>
      </w:r>
      <w:r w:rsidR="00B60C39">
        <w:rPr>
          <w:rFonts w:ascii="Arial" w:hAnsi="Arial" w:cs="Arial"/>
          <w:sz w:val="22"/>
        </w:rPr>
        <w:t xml:space="preserve"> </w:t>
      </w:r>
      <w:r w:rsidR="0041111B">
        <w:rPr>
          <w:rFonts w:ascii="Arial" w:hAnsi="Arial" w:cs="Arial"/>
          <w:sz w:val="22"/>
        </w:rPr>
        <w:t>Civil del Circuito de Pereira</w:t>
      </w:r>
      <w:r w:rsidR="00F366E9">
        <w:rPr>
          <w:rFonts w:ascii="Arial" w:hAnsi="Arial" w:cs="Arial"/>
          <w:sz w:val="22"/>
        </w:rPr>
        <w:t xml:space="preserve"> y otros</w:t>
      </w:r>
    </w:p>
    <w:p w:rsidR="00A00766" w:rsidRPr="00A00766" w:rsidRDefault="00A00766" w:rsidP="00345B98">
      <w:pPr>
        <w:pStyle w:val="Corpsdetexte"/>
        <w:tabs>
          <w:tab w:val="clear" w:pos="3540"/>
        </w:tabs>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w:t>
      </w:r>
      <w:r w:rsidR="00345B98">
        <w:rPr>
          <w:rFonts w:ascii="Arial" w:hAnsi="Arial" w:cs="Arial"/>
          <w:sz w:val="22"/>
          <w:szCs w:val="22"/>
        </w:rPr>
        <w:t xml:space="preserve"> </w:t>
      </w:r>
      <w:r w:rsidR="00F366E9">
        <w:rPr>
          <w:rFonts w:ascii="Arial" w:hAnsi="Arial" w:cs="Arial"/>
          <w:sz w:val="22"/>
          <w:szCs w:val="22"/>
        </w:rPr>
        <w:t>Defensoría del Pueblo, Regional Risaralda y otros</w:t>
      </w:r>
      <w:r w:rsidR="00283DCB">
        <w:rPr>
          <w:rFonts w:ascii="Arial" w:hAnsi="Arial" w:cs="Arial"/>
          <w:sz w:val="22"/>
          <w:szCs w:val="22"/>
        </w:rPr>
        <w:t xml:space="preserve">  </w:t>
      </w:r>
    </w:p>
    <w:p w:rsidR="00A00766" w:rsidRPr="00A00766" w:rsidRDefault="00345B98" w:rsidP="00A00766">
      <w:pPr>
        <w:pStyle w:val="Corpsdetexte"/>
        <w:spacing w:line="360" w:lineRule="auto"/>
        <w:ind w:left="1416"/>
        <w:rPr>
          <w:rFonts w:ascii="Arial" w:hAnsi="Arial" w:cs="Arial"/>
          <w:sz w:val="22"/>
        </w:rPr>
      </w:pPr>
      <w:r>
        <w:rPr>
          <w:rFonts w:ascii="Arial" w:hAnsi="Arial" w:cs="Arial"/>
          <w:sz w:val="22"/>
        </w:rPr>
        <w:t>R</w:t>
      </w:r>
      <w:r w:rsidR="00A00766" w:rsidRPr="00A00766">
        <w:rPr>
          <w:rFonts w:ascii="Arial" w:hAnsi="Arial" w:cs="Arial"/>
          <w:sz w:val="22"/>
        </w:rPr>
        <w:t>adicación</w:t>
      </w:r>
      <w:r w:rsidR="00A00766" w:rsidRPr="00A00766">
        <w:rPr>
          <w:rFonts w:ascii="Arial" w:hAnsi="Arial" w:cs="Arial"/>
          <w:sz w:val="22"/>
        </w:rPr>
        <w:tab/>
      </w:r>
      <w:r w:rsidR="00A00766" w:rsidRPr="00A00766">
        <w:rPr>
          <w:rFonts w:ascii="Arial" w:hAnsi="Arial" w:cs="Arial"/>
          <w:sz w:val="22"/>
        </w:rPr>
        <w:tab/>
        <w:t xml:space="preserve">: </w:t>
      </w:r>
      <w:r w:rsidR="0041111B">
        <w:rPr>
          <w:rFonts w:ascii="Arial" w:hAnsi="Arial" w:cs="Arial"/>
          <w:sz w:val="22"/>
        </w:rPr>
        <w:t>2017-00</w:t>
      </w:r>
      <w:r>
        <w:rPr>
          <w:rFonts w:ascii="Arial" w:hAnsi="Arial" w:cs="Arial"/>
          <w:sz w:val="22"/>
        </w:rPr>
        <w:t>2</w:t>
      </w:r>
      <w:r w:rsidR="00F366E9">
        <w:rPr>
          <w:rFonts w:ascii="Arial" w:hAnsi="Arial" w:cs="Arial"/>
          <w:sz w:val="22"/>
        </w:rPr>
        <w:t>94</w:t>
      </w:r>
      <w:r w:rsidR="00D27466">
        <w:rPr>
          <w:rFonts w:ascii="Arial" w:hAnsi="Arial" w:cs="Arial"/>
          <w:sz w:val="22"/>
        </w:rPr>
        <w:t>-</w:t>
      </w:r>
      <w:r w:rsidR="0041111B">
        <w:rPr>
          <w:rFonts w:ascii="Arial" w:hAnsi="Arial" w:cs="Arial"/>
          <w:sz w:val="22"/>
        </w:rPr>
        <w:t>00</w:t>
      </w:r>
      <w:r w:rsidR="00B60C39">
        <w:rPr>
          <w:rFonts w:ascii="Arial" w:hAnsi="Arial" w:cs="Arial"/>
          <w:sz w:val="22"/>
        </w:rPr>
        <w:t xml:space="preserve"> </w:t>
      </w:r>
      <w:r w:rsidR="00F366E9">
        <w:rPr>
          <w:rFonts w:ascii="Arial" w:hAnsi="Arial" w:cs="Arial"/>
          <w:sz w:val="22"/>
        </w:rPr>
        <w:t>(Interno No.294)</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86053">
        <w:rPr>
          <w:rFonts w:ascii="Arial" w:hAnsi="Arial"/>
          <w:sz w:val="22"/>
          <w:szCs w:val="22"/>
        </w:rPr>
        <w:t>192</w:t>
      </w:r>
      <w:r w:rsidR="0065134C">
        <w:rPr>
          <w:rFonts w:ascii="Arial" w:hAnsi="Arial"/>
          <w:sz w:val="22"/>
          <w:szCs w:val="22"/>
        </w:rPr>
        <w:t xml:space="preserve"> </w:t>
      </w:r>
      <w:r w:rsidR="00167C8F">
        <w:rPr>
          <w:rFonts w:ascii="Arial" w:hAnsi="Arial"/>
          <w:sz w:val="22"/>
          <w:szCs w:val="22"/>
        </w:rPr>
        <w:t xml:space="preserve">de </w:t>
      </w:r>
      <w:r w:rsidR="00786053">
        <w:rPr>
          <w:rFonts w:ascii="Arial" w:hAnsi="Arial"/>
          <w:sz w:val="22"/>
          <w:szCs w:val="22"/>
        </w:rPr>
        <w:t>18</w:t>
      </w:r>
      <w:r w:rsidR="00167C8F">
        <w:rPr>
          <w:rFonts w:ascii="Arial" w:hAnsi="Arial"/>
          <w:sz w:val="22"/>
          <w:szCs w:val="22"/>
        </w:rPr>
        <w:t>-0</w:t>
      </w:r>
      <w:r w:rsidR="00F366E9">
        <w:rPr>
          <w:rFonts w:ascii="Arial" w:hAnsi="Arial"/>
          <w:sz w:val="22"/>
          <w:szCs w:val="22"/>
        </w:rPr>
        <w:t>4</w:t>
      </w:r>
      <w:r w:rsidR="00167C8F">
        <w:rPr>
          <w:rFonts w:ascii="Arial" w:hAnsi="Arial"/>
          <w:sz w:val="22"/>
          <w:szCs w:val="22"/>
        </w:rPr>
        <w:t>-2017</w:t>
      </w:r>
    </w:p>
    <w:p w:rsidR="000E547E" w:rsidRDefault="000E547E" w:rsidP="00D70A1B">
      <w:pPr>
        <w:spacing w:line="360" w:lineRule="auto"/>
        <w:ind w:left="708" w:firstLine="708"/>
        <w:rPr>
          <w:rFonts w:ascii="Arial" w:hAnsi="Arial"/>
          <w:sz w:val="22"/>
          <w:szCs w:val="22"/>
        </w:rPr>
      </w:pPr>
    </w:p>
    <w:p w:rsidR="000E547E" w:rsidRPr="000E547E" w:rsidRDefault="000E547E" w:rsidP="000E547E">
      <w:pPr>
        <w:pStyle w:val="Corpsdetexte"/>
        <w:ind w:left="1416" w:hanging="1416"/>
        <w:rPr>
          <w:rFonts w:ascii="Arial" w:hAnsi="Arial" w:cs="Arial"/>
          <w:b/>
          <w:sz w:val="22"/>
          <w:szCs w:val="21"/>
          <w:lang w:val="es-ES"/>
        </w:rPr>
      </w:pPr>
      <w:r w:rsidRPr="002060F5">
        <w:rPr>
          <w:rFonts w:ascii="Arial" w:hAnsi="Arial" w:cs="Arial"/>
          <w:sz w:val="22"/>
          <w:szCs w:val="22"/>
        </w:rPr>
        <w:tab/>
      </w:r>
      <w:r w:rsidRPr="002060F5">
        <w:rPr>
          <w:rFonts w:ascii="Arial" w:hAnsi="Arial" w:cs="Arial"/>
          <w:sz w:val="22"/>
          <w:szCs w:val="22"/>
        </w:rPr>
        <w:tab/>
      </w:r>
      <w:r w:rsidRPr="000E547E">
        <w:rPr>
          <w:rFonts w:ascii="Arial" w:hAnsi="Arial" w:cs="Arial"/>
          <w:b/>
          <w:sz w:val="22"/>
          <w:szCs w:val="22"/>
        </w:rPr>
        <w:t>TEMAS</w:t>
      </w:r>
      <w:r>
        <w:rPr>
          <w:rFonts w:ascii="Arial" w:hAnsi="Arial" w:cs="Arial"/>
          <w:b/>
          <w:sz w:val="22"/>
          <w:szCs w:val="22"/>
        </w:rPr>
        <w:tab/>
      </w:r>
      <w:r>
        <w:rPr>
          <w:rFonts w:ascii="Arial" w:hAnsi="Arial" w:cs="Arial"/>
          <w:b/>
          <w:sz w:val="22"/>
          <w:szCs w:val="22"/>
        </w:rPr>
        <w:tab/>
      </w:r>
      <w:r w:rsidRPr="000E547E">
        <w:rPr>
          <w:rFonts w:ascii="Arial" w:hAnsi="Arial" w:cs="Arial"/>
          <w:b/>
          <w:sz w:val="22"/>
          <w:szCs w:val="22"/>
        </w:rPr>
        <w:t xml:space="preserve">: LEGITIMACIÓN - </w:t>
      </w:r>
      <w:r w:rsidRPr="000E547E">
        <w:rPr>
          <w:rFonts w:ascii="Arial" w:hAnsi="Arial" w:cs="Arial"/>
          <w:b/>
          <w:sz w:val="22"/>
          <w:szCs w:val="21"/>
        </w:rPr>
        <w:t>SUBSIDIARIEDAD - INEXISTENCIA DE HECHOS</w:t>
      </w:r>
      <w:r>
        <w:rPr>
          <w:rFonts w:ascii="Arial" w:hAnsi="Arial" w:cs="Arial"/>
          <w:b/>
          <w:sz w:val="22"/>
          <w:szCs w:val="21"/>
        </w:rPr>
        <w:t xml:space="preserve">. </w:t>
      </w:r>
      <w:r w:rsidRPr="000E547E">
        <w:rPr>
          <w:rFonts w:ascii="Arial" w:hAnsi="Arial" w:cs="Arial"/>
          <w:sz w:val="22"/>
          <w:szCs w:val="21"/>
        </w:rPr>
        <w:t xml:space="preserve">“[E]l accionante pretermitió agotar el recurso de </w:t>
      </w:r>
      <w:r w:rsidRPr="000E547E">
        <w:rPr>
          <w:rFonts w:ascii="Arial" w:hAnsi="Arial" w:cs="Arial"/>
          <w:sz w:val="22"/>
          <w:szCs w:val="21"/>
          <w:u w:val="single"/>
        </w:rPr>
        <w:t>reposición (Artículo 36, Ley 472)</w:t>
      </w:r>
      <w:r w:rsidRPr="000E547E">
        <w:rPr>
          <w:rFonts w:ascii="Arial" w:hAnsi="Arial" w:cs="Arial"/>
          <w:sz w:val="22"/>
          <w:szCs w:val="21"/>
        </w:rPr>
        <w:t xml:space="preserve">, frente al proveído que negó la alzada presentada contra el proveído que declaró el desistimiento tácito de la acción popular, cuando ese era el mecanismo ordinario y expedito que tenía para procurar que el estrado judicial reconsiderara aquella determinación. </w:t>
      </w:r>
      <w:r w:rsidRPr="000E547E">
        <w:rPr>
          <w:rFonts w:ascii="Arial" w:hAnsi="Arial" w:cs="Arial"/>
          <w:sz w:val="22"/>
          <w:szCs w:val="21"/>
          <w:lang w:val="es-CO"/>
        </w:rPr>
        <w:t xml:space="preserve">Aun cuando presentó un memorial durante su ejecutoria, lo cierto es que nunca se quejó de la negativa en la concesión de la alzada, pues, en efecto, pidió que </w:t>
      </w:r>
      <w:r w:rsidRPr="000E547E">
        <w:rPr>
          <w:rFonts w:ascii="Arial" w:hAnsi="Arial" w:cs="Arial"/>
          <w:i/>
          <w:sz w:val="22"/>
          <w:szCs w:val="21"/>
          <w:lang w:val="es-CO"/>
        </w:rPr>
        <w:t xml:space="preserve">“(…) se me pruebe que la juez (Sic) notifico (Sic) al </w:t>
      </w:r>
      <w:r w:rsidRPr="000E547E">
        <w:rPr>
          <w:rFonts w:ascii="Arial" w:hAnsi="Arial" w:cs="Arial"/>
          <w:i/>
          <w:sz w:val="22"/>
          <w:szCs w:val="21"/>
          <w:u w:val="single"/>
          <w:lang w:val="es-CO"/>
        </w:rPr>
        <w:t>Procurador</w:t>
      </w:r>
      <w:r w:rsidRPr="000E547E">
        <w:rPr>
          <w:rFonts w:ascii="Arial" w:hAnsi="Arial" w:cs="Arial"/>
          <w:i/>
          <w:sz w:val="22"/>
          <w:szCs w:val="21"/>
          <w:lang w:val="es-CO"/>
        </w:rPr>
        <w:t xml:space="preserve"> </w:t>
      </w:r>
      <w:r w:rsidRPr="000E547E">
        <w:rPr>
          <w:rFonts w:ascii="Arial" w:hAnsi="Arial" w:cs="Arial"/>
          <w:i/>
          <w:sz w:val="22"/>
          <w:szCs w:val="21"/>
          <w:lang w:val="es-ES"/>
        </w:rPr>
        <w:t xml:space="preserve">como se lo ordeno (Sic) el H. tribunal (Sic) (…)” </w:t>
      </w:r>
      <w:r w:rsidRPr="000E547E">
        <w:rPr>
          <w:rFonts w:ascii="Arial" w:hAnsi="Arial" w:cs="Arial"/>
          <w:sz w:val="22"/>
          <w:szCs w:val="21"/>
          <w:lang w:val="es-ES"/>
        </w:rPr>
        <w:t>(Folio 139 del disco compacto visible a folio 21, ib.)</w:t>
      </w:r>
      <w:r w:rsidRPr="000E547E">
        <w:rPr>
          <w:rFonts w:ascii="Arial" w:hAnsi="Arial" w:cs="Arial"/>
          <w:i/>
          <w:sz w:val="22"/>
          <w:szCs w:val="21"/>
          <w:lang w:val="es-ES"/>
        </w:rPr>
        <w:t xml:space="preserve">. </w:t>
      </w:r>
      <w:r w:rsidRPr="000E547E">
        <w:rPr>
          <w:rFonts w:ascii="Arial" w:hAnsi="Arial" w:cs="Arial"/>
          <w:sz w:val="22"/>
          <w:szCs w:val="21"/>
          <w:lang w:val="es-ES"/>
        </w:rPr>
        <w:t xml:space="preserve">No atacó el contenido de la decisión y refirió a un tema diferente. En síntesis, dejó ejecutoriar el auto que negó la alzada. </w:t>
      </w:r>
      <w:r w:rsidRPr="000E547E">
        <w:rPr>
          <w:rFonts w:ascii="Arial" w:hAnsi="Arial" w:cs="Arial"/>
          <w:sz w:val="22"/>
          <w:szCs w:val="21"/>
        </w:rPr>
        <w:t xml:space="preserve">Evidente, entonces, es la falta de agotamiento del supuesto de subsidiariedad, como ha explicado </w:t>
      </w:r>
      <w:r w:rsidRPr="000E547E">
        <w:rPr>
          <w:rFonts w:ascii="Arial" w:hAnsi="Arial" w:cs="Arial"/>
          <w:sz w:val="22"/>
          <w:szCs w:val="21"/>
          <w:lang w:val="es-ES"/>
        </w:rPr>
        <w:t>la CC, que reiteradamente ha referido que la acción de tutela no puede implementarse como mecanismo alternativo o paralelo para resolver problemas jurídicos que deben ser resueltos al interior del trámite ordinario.”.</w:t>
      </w:r>
      <w:r w:rsidRPr="000E547E">
        <w:rPr>
          <w:rFonts w:ascii="Arial" w:hAnsi="Arial" w:cs="Arial"/>
          <w:b/>
          <w:sz w:val="22"/>
          <w:szCs w:val="21"/>
          <w:lang w:val="es-ES"/>
        </w:rPr>
        <w:t xml:space="preserve"> </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786053">
        <w:rPr>
          <w:rFonts w:ascii="Arial" w:hAnsi="Arial" w:cs="Arial"/>
          <w:iCs/>
          <w:smallCaps/>
          <w:sz w:val="28"/>
          <w:szCs w:val="28"/>
          <w:lang w:val="es-CO"/>
        </w:rPr>
        <w:t xml:space="preserve"> dieciocho </w:t>
      </w:r>
      <w:r w:rsidR="00437198" w:rsidRPr="00303E85">
        <w:rPr>
          <w:rFonts w:ascii="Arial" w:hAnsi="Arial" w:cs="Arial"/>
          <w:iCs/>
          <w:smallCaps/>
          <w:sz w:val="28"/>
          <w:szCs w:val="28"/>
          <w:lang w:val="es-CO"/>
        </w:rPr>
        <w:t>(</w:t>
      </w:r>
      <w:r w:rsidR="00786053">
        <w:rPr>
          <w:rFonts w:ascii="Arial" w:hAnsi="Arial" w:cs="Arial"/>
          <w:iCs/>
          <w:smallCaps/>
          <w:sz w:val="28"/>
          <w:szCs w:val="28"/>
          <w:lang w:val="es-CO"/>
        </w:rPr>
        <w:t>18</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F366E9">
        <w:rPr>
          <w:rFonts w:ascii="Arial" w:hAnsi="Arial" w:cs="Arial"/>
          <w:iCs/>
          <w:smallCaps/>
          <w:sz w:val="28"/>
          <w:szCs w:val="28"/>
          <w:lang w:val="es-CO"/>
        </w:rPr>
        <w:t>abril</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176A1F"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176A1F" w:rsidRDefault="00134F0A" w:rsidP="0099045D">
      <w:pPr>
        <w:pStyle w:val="Corpsdetexte"/>
        <w:spacing w:line="36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176A1F"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176A1F" w:rsidRDefault="0099045D" w:rsidP="0099045D">
      <w:pPr>
        <w:pStyle w:val="Corpsdetexte"/>
        <w:spacing w:line="360" w:lineRule="auto"/>
        <w:rPr>
          <w:rFonts w:ascii="Arial" w:hAnsi="Arial"/>
          <w:szCs w:val="24"/>
        </w:rPr>
      </w:pPr>
    </w:p>
    <w:p w:rsidR="00283DCB" w:rsidRDefault="00F366E9" w:rsidP="00271459">
      <w:pPr>
        <w:spacing w:line="360" w:lineRule="auto"/>
        <w:jc w:val="both"/>
        <w:rPr>
          <w:rFonts w:ascii="Times New Roman" w:hAnsi="Times New Roman" w:cs="Times New Roman"/>
        </w:rPr>
      </w:pPr>
      <w:r>
        <w:rPr>
          <w:rFonts w:ascii="Arial" w:hAnsi="Arial" w:cs="Arial"/>
        </w:rPr>
        <w:lastRenderedPageBreak/>
        <w:t xml:space="preserve">Manifestó </w:t>
      </w:r>
      <w:r w:rsidR="00104367">
        <w:rPr>
          <w:rFonts w:ascii="Arial" w:hAnsi="Arial" w:cs="Arial"/>
        </w:rPr>
        <w:t xml:space="preserve">el actor </w:t>
      </w:r>
      <w:r w:rsidR="0041111B">
        <w:rPr>
          <w:rFonts w:ascii="Arial" w:hAnsi="Arial" w:cs="Arial"/>
        </w:rPr>
        <w:t xml:space="preserve">que </w:t>
      </w:r>
      <w:r>
        <w:rPr>
          <w:rFonts w:ascii="Arial" w:hAnsi="Arial" w:cs="Arial"/>
        </w:rPr>
        <w:t>en</w:t>
      </w:r>
      <w:r w:rsidR="0065134C">
        <w:rPr>
          <w:rFonts w:ascii="Arial" w:hAnsi="Arial" w:cs="Arial"/>
        </w:rPr>
        <w:t xml:space="preserve"> la acción popular </w:t>
      </w:r>
      <w:r w:rsidR="00612C75">
        <w:rPr>
          <w:rFonts w:ascii="Arial" w:hAnsi="Arial" w:cs="Arial"/>
        </w:rPr>
        <w:t>No</w:t>
      </w:r>
      <w:r w:rsidR="00A319E9">
        <w:rPr>
          <w:rFonts w:ascii="Arial" w:hAnsi="Arial" w:cs="Arial"/>
        </w:rPr>
        <w:t>.</w:t>
      </w:r>
      <w:r w:rsidR="0041111B">
        <w:rPr>
          <w:rFonts w:ascii="Arial" w:hAnsi="Arial" w:cs="Arial"/>
        </w:rPr>
        <w:t>201</w:t>
      </w:r>
      <w:r>
        <w:rPr>
          <w:rFonts w:ascii="Arial" w:hAnsi="Arial" w:cs="Arial"/>
        </w:rPr>
        <w:t>5</w:t>
      </w:r>
      <w:r w:rsidR="0041111B">
        <w:rPr>
          <w:rFonts w:ascii="Arial" w:hAnsi="Arial" w:cs="Arial"/>
        </w:rPr>
        <w:t>-00</w:t>
      </w:r>
      <w:r>
        <w:rPr>
          <w:rFonts w:ascii="Arial" w:hAnsi="Arial" w:cs="Arial"/>
        </w:rPr>
        <w:t>052</w:t>
      </w:r>
      <w:r w:rsidR="0073791A">
        <w:rPr>
          <w:rFonts w:ascii="Arial" w:hAnsi="Arial" w:cs="Arial"/>
        </w:rPr>
        <w:t>-00</w:t>
      </w:r>
      <w:r w:rsidR="00271459">
        <w:rPr>
          <w:rFonts w:ascii="Arial" w:hAnsi="Arial" w:cs="Arial"/>
        </w:rPr>
        <w:t xml:space="preserve"> el Juzgado accionado</w:t>
      </w:r>
      <w:r w:rsidR="002F65DF">
        <w:rPr>
          <w:rFonts w:ascii="Arial" w:hAnsi="Arial" w:cs="Arial"/>
        </w:rPr>
        <w:t xml:space="preserve"> se</w:t>
      </w:r>
      <w:r w:rsidR="007167F2">
        <w:rPr>
          <w:rFonts w:ascii="Arial" w:hAnsi="Arial" w:cs="Arial"/>
        </w:rPr>
        <w:t xml:space="preserve"> </w:t>
      </w:r>
      <w:r w:rsidR="000E283B">
        <w:rPr>
          <w:rFonts w:ascii="Arial" w:hAnsi="Arial" w:cs="Arial"/>
        </w:rPr>
        <w:t xml:space="preserve">niega a </w:t>
      </w:r>
      <w:r w:rsidR="007167F2">
        <w:rPr>
          <w:rFonts w:ascii="Arial" w:hAnsi="Arial" w:cs="Arial"/>
        </w:rPr>
        <w:t>conceder el recurso de apelación</w:t>
      </w:r>
      <w:r>
        <w:rPr>
          <w:rFonts w:ascii="Arial" w:hAnsi="Arial" w:cs="Arial"/>
        </w:rPr>
        <w:t xml:space="preserve"> </w:t>
      </w:r>
      <w:r w:rsidR="004A16F3">
        <w:rPr>
          <w:rFonts w:ascii="Arial" w:hAnsi="Arial" w:cs="Arial"/>
        </w:rPr>
        <w:t>(Folio</w:t>
      </w:r>
      <w:r w:rsidR="003525B5">
        <w:rPr>
          <w:rFonts w:ascii="Arial" w:hAnsi="Arial" w:cs="Arial"/>
        </w:rPr>
        <w:t xml:space="preserve"> 1, </w:t>
      </w:r>
      <w:r w:rsidR="004A16F3">
        <w:rPr>
          <w:rFonts w:ascii="Arial" w:hAnsi="Arial" w:cs="Arial"/>
        </w:rPr>
        <w:t xml:space="preserve">de </w:t>
      </w:r>
      <w:r w:rsidR="00AB69A6">
        <w:rPr>
          <w:rFonts w:ascii="Arial" w:hAnsi="Arial" w:cs="Arial"/>
        </w:rPr>
        <w:t>este</w:t>
      </w:r>
      <w:r w:rsidR="003525B5">
        <w:rPr>
          <w:rFonts w:ascii="Arial" w:hAnsi="Arial" w:cs="Arial"/>
        </w:rPr>
        <w:t xml:space="preserve"> cuaderno).</w:t>
      </w:r>
    </w:p>
    <w:p w:rsidR="002B0607" w:rsidRPr="00176A1F" w:rsidRDefault="002B0607" w:rsidP="00283DCB">
      <w:pPr>
        <w:pStyle w:val="Corpsdetexte"/>
        <w:spacing w:line="360" w:lineRule="auto"/>
        <w:rPr>
          <w:rFonts w:ascii="Arial" w:hAnsi="Arial"/>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176A1F"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6C5569">
        <w:rPr>
          <w:rFonts w:ascii="Arial" w:hAnsi="Arial" w:cs="Arial"/>
          <w:i/>
          <w:spacing w:val="-3"/>
          <w:sz w:val="22"/>
          <w:lang w:val="es-ES_tradnl"/>
        </w:rPr>
        <w:t>“(…) garantías procesales (…)”</w:t>
      </w:r>
      <w:r w:rsidRPr="006C5569">
        <w:rPr>
          <w:rFonts w:ascii="Arial" w:hAnsi="Arial" w:cs="Arial"/>
          <w:spacing w:val="-3"/>
          <w:lang w:val="es-ES_tradnl"/>
        </w:rPr>
        <w:t xml:space="preserve"> </w:t>
      </w:r>
      <w:r w:rsidR="006C5569">
        <w:rPr>
          <w:rFonts w:ascii="Arial" w:hAnsi="Arial" w:cs="Arial"/>
          <w:spacing w:val="-3"/>
          <w:sz w:val="22"/>
          <w:lang w:val="es-ES_tradnl"/>
        </w:rPr>
        <w:t xml:space="preserve">y debido proceso </w:t>
      </w:r>
      <w:r>
        <w:rPr>
          <w:rFonts w:ascii="Arial" w:hAnsi="Arial" w:cs="Arial"/>
          <w:spacing w:val="-3"/>
          <w:lang w:val="es-ES_tradnl"/>
        </w:rPr>
        <w:t>(Folio</w:t>
      </w:r>
      <w:r w:rsidR="004A16F3">
        <w:rPr>
          <w:rFonts w:ascii="Arial" w:hAnsi="Arial" w:cs="Arial"/>
          <w:spacing w:val="-3"/>
          <w:lang w:val="es-ES_tradnl"/>
        </w:rPr>
        <w:t xml:space="preserve"> 2</w:t>
      </w:r>
      <w:r>
        <w:rPr>
          <w:rFonts w:ascii="Arial" w:hAnsi="Arial" w:cs="Arial"/>
          <w:spacing w:val="-3"/>
          <w:lang w:val="es-ES_tradnl"/>
        </w:rPr>
        <w:t>, este cuaderno).</w:t>
      </w:r>
    </w:p>
    <w:p w:rsidR="003F6C16" w:rsidRPr="00176A1F"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176A1F" w:rsidRDefault="00303E85" w:rsidP="004B1EB8">
      <w:pPr>
        <w:pStyle w:val="Sansinterligne"/>
        <w:spacing w:line="360" w:lineRule="auto"/>
        <w:jc w:val="both"/>
        <w:rPr>
          <w:rFonts w:ascii="Arial" w:hAnsi="Arial" w:cs="Arial"/>
          <w:szCs w:val="24"/>
        </w:rPr>
      </w:pPr>
    </w:p>
    <w:p w:rsidR="00D669DC" w:rsidRPr="000E283B" w:rsidRDefault="004B1EB8" w:rsidP="000E283B">
      <w:pPr>
        <w:spacing w:line="360" w:lineRule="auto"/>
        <w:jc w:val="both"/>
        <w:rPr>
          <w:rFonts w:ascii="Arial" w:hAnsi="Arial" w:cs="Arial"/>
        </w:rPr>
      </w:pPr>
      <w:r>
        <w:rPr>
          <w:rFonts w:ascii="Arial" w:hAnsi="Arial" w:cs="Arial"/>
        </w:rPr>
        <w:t>Se pretende que</w:t>
      </w:r>
      <w:r w:rsidR="000E283B">
        <w:rPr>
          <w:rFonts w:ascii="Arial" w:hAnsi="Arial" w:cs="Arial"/>
        </w:rPr>
        <w:t>: (i) S</w:t>
      </w:r>
      <w:r w:rsidR="00D669DC">
        <w:rPr>
          <w:rFonts w:ascii="Arial" w:hAnsi="Arial" w:cs="Arial"/>
        </w:rPr>
        <w:t xml:space="preserve">e ordene al accionado </w:t>
      </w:r>
      <w:r w:rsidR="006C5569">
        <w:rPr>
          <w:rFonts w:ascii="Arial" w:hAnsi="Arial" w:cs="Arial"/>
        </w:rPr>
        <w:t>conceder</w:t>
      </w:r>
      <w:r w:rsidR="000E283B">
        <w:rPr>
          <w:rFonts w:ascii="Arial" w:hAnsi="Arial" w:cs="Arial"/>
        </w:rPr>
        <w:t xml:space="preserve"> la alzada y </w:t>
      </w:r>
      <w:r w:rsidR="006C5569">
        <w:rPr>
          <w:rFonts w:ascii="Arial" w:hAnsi="Arial" w:cs="Arial"/>
        </w:rPr>
        <w:t xml:space="preserve">aplicar </w:t>
      </w:r>
      <w:r w:rsidR="000E283B">
        <w:rPr>
          <w:rFonts w:ascii="Arial" w:hAnsi="Arial" w:cs="Arial"/>
        </w:rPr>
        <w:t xml:space="preserve">el artículo 84 de la Ley 472; (ii) Se ordene al Procurador </w:t>
      </w:r>
      <w:r w:rsidR="006C5569">
        <w:rPr>
          <w:rFonts w:ascii="Arial" w:hAnsi="Arial" w:cs="Arial"/>
        </w:rPr>
        <w:t xml:space="preserve">demostrar las gestiones realizadas para proteger </w:t>
      </w:r>
      <w:r w:rsidR="000E283B">
        <w:rPr>
          <w:rFonts w:ascii="Arial" w:hAnsi="Arial" w:cs="Arial"/>
        </w:rPr>
        <w:t>las garantías procesales</w:t>
      </w:r>
      <w:r w:rsidR="006C5569">
        <w:rPr>
          <w:rFonts w:ascii="Arial" w:hAnsi="Arial" w:cs="Arial"/>
        </w:rPr>
        <w:t xml:space="preserve"> del actor</w:t>
      </w:r>
      <w:r w:rsidR="000E283B">
        <w:rPr>
          <w:rFonts w:ascii="Arial" w:hAnsi="Arial" w:cs="Arial"/>
        </w:rPr>
        <w:t xml:space="preserve">; </w:t>
      </w:r>
      <w:r w:rsidR="006E718B">
        <w:rPr>
          <w:rFonts w:ascii="Arial" w:hAnsi="Arial" w:cs="Arial"/>
        </w:rPr>
        <w:t>(iii) Se ordene el desarchivo de todas las acciones populares, sin necesidad de aportar dinero alguno</w:t>
      </w:r>
      <w:r w:rsidR="00DC53D1">
        <w:rPr>
          <w:rFonts w:ascii="Arial" w:hAnsi="Arial" w:cs="Arial"/>
        </w:rPr>
        <w:t>;</w:t>
      </w:r>
      <w:r w:rsidR="006E718B">
        <w:rPr>
          <w:rFonts w:ascii="Arial" w:hAnsi="Arial" w:cs="Arial"/>
        </w:rPr>
        <w:t xml:space="preserve"> y, (iv) Se ordene vigilancia judicial administrativa a las acciones que tramita ante este despacho</w:t>
      </w:r>
      <w:r w:rsidR="000E283B">
        <w:rPr>
          <w:rFonts w:ascii="Arial" w:hAnsi="Arial" w:cs="Arial"/>
        </w:rPr>
        <w:t xml:space="preserve"> </w:t>
      </w:r>
      <w:r w:rsidR="00612C75" w:rsidRPr="000E283B">
        <w:rPr>
          <w:rFonts w:ascii="Arial" w:hAnsi="Arial" w:cs="Arial"/>
        </w:rPr>
        <w:t>(Folio</w:t>
      </w:r>
      <w:r w:rsidR="006E718B">
        <w:rPr>
          <w:rFonts w:ascii="Arial" w:hAnsi="Arial" w:cs="Arial"/>
        </w:rPr>
        <w:t>s</w:t>
      </w:r>
      <w:r w:rsidR="00710FF3" w:rsidRPr="000E283B">
        <w:rPr>
          <w:rFonts w:ascii="Arial" w:hAnsi="Arial" w:cs="Arial"/>
        </w:rPr>
        <w:t xml:space="preserve"> 1</w:t>
      </w:r>
      <w:r w:rsidR="006E718B">
        <w:rPr>
          <w:rFonts w:ascii="Arial" w:hAnsi="Arial" w:cs="Arial"/>
        </w:rPr>
        <w:t xml:space="preserve"> a 2</w:t>
      </w:r>
      <w:r w:rsidR="00D669DC" w:rsidRPr="000E283B">
        <w:rPr>
          <w:rFonts w:ascii="Arial" w:hAnsi="Arial" w:cs="Arial"/>
        </w:rPr>
        <w:t>,</w:t>
      </w:r>
      <w:r w:rsidR="00710FF3" w:rsidRPr="000E283B">
        <w:rPr>
          <w:rFonts w:ascii="Arial" w:hAnsi="Arial" w:cs="Arial"/>
        </w:rPr>
        <w:t xml:space="preserve"> de</w:t>
      </w:r>
      <w:r w:rsidR="00D669DC" w:rsidRPr="000E283B">
        <w:rPr>
          <w:rFonts w:ascii="Arial" w:hAnsi="Arial" w:cs="Arial"/>
        </w:rPr>
        <w:t xml:space="preserve"> este cuaderno).</w:t>
      </w:r>
    </w:p>
    <w:p w:rsidR="00CE71D8" w:rsidRPr="00176A1F" w:rsidRDefault="00CE71D8" w:rsidP="000E283B">
      <w:pPr>
        <w:spacing w:line="360" w:lineRule="auto"/>
        <w:jc w:val="both"/>
        <w:rPr>
          <w:rFonts w:ascii="Arial" w:hAnsi="Arial" w:cs="Aria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343D68" w:rsidRDefault="00971166" w:rsidP="004B1EB8">
      <w:pPr>
        <w:spacing w:line="360" w:lineRule="auto"/>
        <w:jc w:val="both"/>
        <w:rPr>
          <w:rFonts w:ascii="Arial" w:hAnsi="Arial" w:cs="Arial"/>
          <w:color w:val="000000"/>
        </w:rPr>
      </w:pPr>
      <w:r w:rsidRPr="00B74361">
        <w:rPr>
          <w:rFonts w:ascii="Arial" w:hAnsi="Arial"/>
        </w:rPr>
        <w:t xml:space="preserve">En reparto ordinario del </w:t>
      </w:r>
      <w:r w:rsidR="003B7696">
        <w:rPr>
          <w:rFonts w:ascii="Arial" w:hAnsi="Arial"/>
        </w:rPr>
        <w:t>28</w:t>
      </w:r>
      <w:r w:rsidR="0069231C">
        <w:rPr>
          <w:rFonts w:ascii="Arial" w:hAnsi="Arial"/>
        </w:rPr>
        <w:t>-</w:t>
      </w:r>
      <w:r w:rsidR="00EA458D">
        <w:rPr>
          <w:rFonts w:ascii="Arial" w:hAnsi="Arial"/>
        </w:rPr>
        <w:t>0</w:t>
      </w:r>
      <w:r w:rsidR="00940E8C">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3B7696">
        <w:rPr>
          <w:rFonts w:ascii="Arial" w:hAnsi="Arial" w:cs="Arial"/>
          <w:color w:val="000000"/>
        </w:rPr>
        <w:t>30</w:t>
      </w:r>
      <w:r w:rsidR="00343D68">
        <w:rPr>
          <w:rFonts w:ascii="Arial" w:hAnsi="Arial" w:cs="Arial"/>
          <w:color w:val="000000"/>
        </w:rPr>
        <w:t>-0</w:t>
      </w:r>
      <w:r w:rsidR="003B7696">
        <w:rPr>
          <w:rFonts w:ascii="Arial" w:hAnsi="Arial" w:cs="Arial"/>
          <w:color w:val="000000"/>
        </w:rPr>
        <w:t>3</w:t>
      </w:r>
      <w:r w:rsidR="00343D68">
        <w:rPr>
          <w:rFonts w:ascii="Arial" w:hAnsi="Arial" w:cs="Arial"/>
          <w:color w:val="000000"/>
        </w:rPr>
        <w:t>-2017</w:t>
      </w:r>
      <w:r w:rsidR="00EA458D">
        <w:rPr>
          <w:rFonts w:ascii="Arial" w:hAnsi="Arial" w:cs="Arial"/>
          <w:color w:val="000000"/>
        </w:rPr>
        <w:t xml:space="preserve"> </w:t>
      </w:r>
      <w:r w:rsidR="0069231C">
        <w:rPr>
          <w:rFonts w:ascii="Arial" w:hAnsi="Arial" w:cs="Arial"/>
          <w:color w:val="000000"/>
        </w:rPr>
        <w:t xml:space="preserve">se </w:t>
      </w:r>
      <w:r w:rsidR="00AB69A6">
        <w:rPr>
          <w:rFonts w:ascii="Arial" w:hAnsi="Arial" w:cs="Arial"/>
          <w:color w:val="000000"/>
        </w:rPr>
        <w:t>admiti</w:t>
      </w:r>
      <w:r w:rsidR="00343D68">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C45338">
        <w:rPr>
          <w:rFonts w:ascii="Arial" w:hAnsi="Arial"/>
        </w:rPr>
        <w:t>s</w:t>
      </w:r>
      <w:r w:rsidR="00343D68">
        <w:rPr>
          <w:rFonts w:ascii="Arial" w:hAnsi="Arial"/>
        </w:rPr>
        <w:t xml:space="preserve"> 5</w:t>
      </w:r>
      <w:r w:rsidR="00C45338">
        <w:rPr>
          <w:rFonts w:ascii="Arial" w:hAnsi="Arial"/>
        </w:rPr>
        <w:t xml:space="preserve"> a 6</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C45338">
        <w:rPr>
          <w:rFonts w:ascii="Arial" w:hAnsi="Arial" w:cs="Arial"/>
          <w:color w:val="000000"/>
        </w:rPr>
        <w:t>7</w:t>
      </w:r>
      <w:r w:rsidR="00BB4CEF">
        <w:rPr>
          <w:rFonts w:ascii="Arial" w:hAnsi="Arial" w:cs="Arial"/>
          <w:color w:val="000000"/>
        </w:rPr>
        <w:t xml:space="preserve"> a </w:t>
      </w:r>
      <w:r w:rsidR="00C45338">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w:t>
      </w:r>
      <w:r w:rsidR="00C45338">
        <w:rPr>
          <w:rFonts w:ascii="Arial" w:hAnsi="Arial" w:cs="Arial"/>
          <w:color w:val="000000"/>
        </w:rPr>
        <w:t>bídem</w:t>
      </w:r>
      <w:r w:rsidR="00343D68">
        <w:rPr>
          <w:rFonts w:ascii="Arial" w:hAnsi="Arial" w:cs="Arial"/>
          <w:color w:val="000000"/>
        </w:rPr>
        <w:t>).</w:t>
      </w:r>
      <w:r w:rsidR="001E3291">
        <w:rPr>
          <w:rFonts w:ascii="Arial" w:hAnsi="Arial" w:cs="Arial"/>
          <w:color w:val="000000"/>
        </w:rPr>
        <w:t xml:space="preserve"> </w:t>
      </w:r>
      <w:r w:rsidR="00EA458D">
        <w:rPr>
          <w:rFonts w:ascii="Arial" w:hAnsi="Arial" w:cs="Arial"/>
          <w:color w:val="000000"/>
        </w:rPr>
        <w:t>Contestaron</w:t>
      </w:r>
      <w:r w:rsidR="00C45338">
        <w:rPr>
          <w:rFonts w:ascii="Arial" w:hAnsi="Arial" w:cs="Arial"/>
          <w:color w:val="000000"/>
        </w:rPr>
        <w:t xml:space="preserve"> el C</w:t>
      </w:r>
      <w:r w:rsidR="00BA7438">
        <w:rPr>
          <w:rFonts w:ascii="Arial" w:hAnsi="Arial" w:cs="Arial"/>
          <w:color w:val="000000"/>
        </w:rPr>
        <w:t>S</w:t>
      </w:r>
      <w:r w:rsidR="00C45338">
        <w:rPr>
          <w:rFonts w:ascii="Arial" w:hAnsi="Arial" w:cs="Arial"/>
          <w:color w:val="000000"/>
        </w:rPr>
        <w:t>J Seccional Risaralda (Folios 9 a 11, ibídem). L</w:t>
      </w:r>
      <w:r w:rsidR="00EA458D">
        <w:rPr>
          <w:rFonts w:ascii="Arial" w:hAnsi="Arial" w:cs="Arial"/>
          <w:color w:val="000000"/>
        </w:rPr>
        <w:t>a Procuraduría General de la Nación, Regional Risaralda (Folio</w:t>
      </w:r>
      <w:r w:rsidR="00612C75">
        <w:rPr>
          <w:rFonts w:ascii="Arial" w:hAnsi="Arial" w:cs="Arial"/>
          <w:color w:val="000000"/>
        </w:rPr>
        <w:t xml:space="preserve"> </w:t>
      </w:r>
      <w:r w:rsidR="00C45338">
        <w:rPr>
          <w:rFonts w:ascii="Arial" w:hAnsi="Arial" w:cs="Arial"/>
          <w:color w:val="000000"/>
        </w:rPr>
        <w:t>22</w:t>
      </w:r>
      <w:r w:rsidR="001E3291">
        <w:rPr>
          <w:rFonts w:ascii="Arial" w:hAnsi="Arial" w:cs="Arial"/>
          <w:color w:val="000000"/>
        </w:rPr>
        <w:t>,</w:t>
      </w:r>
      <w:r w:rsidR="00612C75">
        <w:rPr>
          <w:rFonts w:ascii="Arial" w:hAnsi="Arial" w:cs="Arial"/>
          <w:color w:val="000000"/>
        </w:rPr>
        <w:t xml:space="preserve"> ib</w:t>
      </w:r>
      <w:r w:rsidR="00C45338">
        <w:rPr>
          <w:rFonts w:ascii="Arial" w:hAnsi="Arial" w:cs="Arial"/>
          <w:color w:val="000000"/>
        </w:rPr>
        <w:t>.</w:t>
      </w:r>
      <w:r w:rsidR="00612C75">
        <w:rPr>
          <w:rFonts w:ascii="Arial" w:hAnsi="Arial" w:cs="Arial"/>
          <w:color w:val="000000"/>
        </w:rPr>
        <w:t>)</w:t>
      </w:r>
      <w:r w:rsidR="00343D68">
        <w:rPr>
          <w:rFonts w:ascii="Arial" w:hAnsi="Arial" w:cs="Arial"/>
          <w:color w:val="000000"/>
        </w:rPr>
        <w:t>.</w:t>
      </w:r>
      <w:r w:rsidR="00AB69A6">
        <w:rPr>
          <w:rFonts w:ascii="Arial" w:hAnsi="Arial" w:cs="Arial"/>
          <w:color w:val="000000"/>
        </w:rPr>
        <w:t xml:space="preserve"> </w:t>
      </w:r>
      <w:r w:rsidR="00343D68">
        <w:rPr>
          <w:rFonts w:ascii="Arial" w:hAnsi="Arial" w:cs="Arial"/>
          <w:color w:val="000000"/>
        </w:rPr>
        <w:t xml:space="preserve">La </w:t>
      </w:r>
      <w:r w:rsidR="00C45338">
        <w:rPr>
          <w:rFonts w:ascii="Arial" w:hAnsi="Arial" w:cs="Arial"/>
          <w:color w:val="000000"/>
        </w:rPr>
        <w:t>Personería de Pereira</w:t>
      </w:r>
      <w:r w:rsidR="00343D68">
        <w:rPr>
          <w:rFonts w:ascii="Arial" w:hAnsi="Arial" w:cs="Arial"/>
          <w:color w:val="000000"/>
        </w:rPr>
        <w:t xml:space="preserve"> (Folio</w:t>
      </w:r>
      <w:r w:rsidR="00C45338">
        <w:rPr>
          <w:rFonts w:ascii="Arial" w:hAnsi="Arial" w:cs="Arial"/>
          <w:color w:val="000000"/>
        </w:rPr>
        <w:t>s 25 a 27</w:t>
      </w:r>
      <w:r w:rsidR="00343D68">
        <w:rPr>
          <w:rFonts w:ascii="Arial" w:hAnsi="Arial" w:cs="Arial"/>
          <w:color w:val="000000"/>
        </w:rPr>
        <w:t xml:space="preserve">, </w:t>
      </w:r>
      <w:proofErr w:type="spellStart"/>
      <w:r w:rsidR="00343D68">
        <w:rPr>
          <w:rFonts w:ascii="Arial" w:hAnsi="Arial" w:cs="Arial"/>
          <w:color w:val="000000"/>
        </w:rPr>
        <w:t>ib</w:t>
      </w:r>
      <w:proofErr w:type="spellEnd"/>
      <w:r w:rsidR="00343D68">
        <w:rPr>
          <w:rFonts w:ascii="Arial" w:hAnsi="Arial" w:cs="Arial"/>
          <w:color w:val="000000"/>
        </w:rPr>
        <w:t>)</w:t>
      </w:r>
      <w:r w:rsidR="004E2838">
        <w:rPr>
          <w:rFonts w:ascii="Arial" w:hAnsi="Arial" w:cs="Arial"/>
          <w:color w:val="000000"/>
        </w:rPr>
        <w:t>.</w:t>
      </w:r>
      <w:r w:rsidR="0093106E">
        <w:rPr>
          <w:rFonts w:ascii="Arial" w:hAnsi="Arial" w:cs="Arial"/>
          <w:color w:val="000000"/>
        </w:rPr>
        <w:t xml:space="preserve"> </w:t>
      </w:r>
      <w:r w:rsidR="0084548F">
        <w:rPr>
          <w:rFonts w:ascii="Arial" w:hAnsi="Arial" w:cs="Arial"/>
          <w:color w:val="000000"/>
        </w:rPr>
        <w:t xml:space="preserve">La Alcaldía </w:t>
      </w:r>
      <w:r w:rsidR="006C5569">
        <w:rPr>
          <w:rFonts w:ascii="Arial" w:hAnsi="Arial" w:cs="Arial"/>
          <w:color w:val="000000"/>
        </w:rPr>
        <w:t xml:space="preserve">de Pereira </w:t>
      </w:r>
      <w:r w:rsidR="0093106E">
        <w:rPr>
          <w:rFonts w:ascii="Arial" w:hAnsi="Arial" w:cs="Arial"/>
          <w:color w:val="000000"/>
        </w:rPr>
        <w:t>(Folios 3</w:t>
      </w:r>
      <w:r w:rsidR="006E3D4C">
        <w:rPr>
          <w:rFonts w:ascii="Arial" w:hAnsi="Arial" w:cs="Arial"/>
          <w:color w:val="000000"/>
        </w:rPr>
        <w:t>0</w:t>
      </w:r>
      <w:r w:rsidR="0093106E">
        <w:rPr>
          <w:rFonts w:ascii="Arial" w:hAnsi="Arial" w:cs="Arial"/>
          <w:color w:val="000000"/>
        </w:rPr>
        <w:t xml:space="preserve"> a 3</w:t>
      </w:r>
      <w:r w:rsidR="006E3D4C">
        <w:rPr>
          <w:rFonts w:ascii="Arial" w:hAnsi="Arial" w:cs="Arial"/>
          <w:color w:val="000000"/>
        </w:rPr>
        <w:t>1</w:t>
      </w:r>
      <w:r w:rsidR="0093106E">
        <w:rPr>
          <w:rFonts w:ascii="Arial" w:hAnsi="Arial" w:cs="Arial"/>
          <w:color w:val="000000"/>
        </w:rPr>
        <w:t>, ibídem).</w:t>
      </w:r>
      <w:r w:rsidR="00343D68">
        <w:rPr>
          <w:rFonts w:ascii="Arial" w:hAnsi="Arial" w:cs="Arial"/>
          <w:color w:val="000000"/>
        </w:rPr>
        <w:t xml:space="preserve"> </w:t>
      </w:r>
      <w:r w:rsidR="006E3D4C">
        <w:rPr>
          <w:rFonts w:ascii="Arial" w:hAnsi="Arial" w:cs="Arial"/>
          <w:color w:val="000000"/>
        </w:rPr>
        <w:t xml:space="preserve">El Juzgado accionado arrimó las copias </w:t>
      </w:r>
      <w:r w:rsidR="00940E8C">
        <w:rPr>
          <w:rFonts w:ascii="Arial" w:hAnsi="Arial" w:cs="Arial"/>
          <w:color w:val="000000"/>
        </w:rPr>
        <w:t>requeridas</w:t>
      </w:r>
      <w:r w:rsidR="006E3D4C">
        <w:rPr>
          <w:rFonts w:ascii="Arial" w:hAnsi="Arial" w:cs="Arial"/>
          <w:color w:val="000000"/>
        </w:rPr>
        <w:t xml:space="preserve"> (Folio 21, ib.).</w:t>
      </w:r>
    </w:p>
    <w:p w:rsidR="00343D68" w:rsidRDefault="00343D68" w:rsidP="004B1EB8">
      <w:pPr>
        <w:spacing w:line="360" w:lineRule="auto"/>
        <w:jc w:val="both"/>
        <w:rPr>
          <w:rFonts w:ascii="Arial" w:hAnsi="Arial" w:cs="Arial"/>
          <w:color w:val="00000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176A1F" w:rsidRDefault="006F4450" w:rsidP="00730CA7">
      <w:pPr>
        <w:pStyle w:val="Corpsdetexte"/>
        <w:spacing w:line="360" w:lineRule="auto"/>
        <w:rPr>
          <w:rFonts w:ascii="Arial" w:hAnsi="Arial"/>
          <w:szCs w:val="24"/>
        </w:rPr>
      </w:pPr>
    </w:p>
    <w:p w:rsidR="00C323F1" w:rsidRDefault="00BA7438" w:rsidP="00C323F1">
      <w:pPr>
        <w:widowControl/>
        <w:spacing w:line="360" w:lineRule="auto"/>
        <w:jc w:val="both"/>
        <w:rPr>
          <w:rFonts w:ascii="Arial" w:hAnsi="Arial"/>
        </w:rPr>
      </w:pPr>
      <w:r>
        <w:rPr>
          <w:rFonts w:ascii="Arial" w:hAnsi="Arial"/>
        </w:rPr>
        <w:t xml:space="preserve">El CSJ Seccional Risaralda señaló que el </w:t>
      </w:r>
      <w:r w:rsidRPr="001136A5">
        <w:rPr>
          <w:rFonts w:ascii="Arial" w:hAnsi="Arial"/>
        </w:rPr>
        <w:t xml:space="preserve">accionante no ha solicitado la vigilancia administrativa a la acción popular relacionada y que los hechos relatados son ajenos a esa Corporación; pidió su desvinculación (Folios 9 a 11, ib.). </w:t>
      </w:r>
      <w:r w:rsidR="00A20436" w:rsidRPr="001136A5">
        <w:rPr>
          <w:rFonts w:ascii="Arial" w:hAnsi="Arial"/>
        </w:rPr>
        <w:t>La Procuraduría General de la Nación, Regional Risaralda</w:t>
      </w:r>
      <w:r w:rsidR="006E3D4C" w:rsidRPr="001136A5">
        <w:rPr>
          <w:rFonts w:ascii="Arial" w:hAnsi="Arial"/>
        </w:rPr>
        <w:t xml:space="preserve">, </w:t>
      </w:r>
      <w:r w:rsidR="00134196" w:rsidRPr="001136A5">
        <w:rPr>
          <w:rFonts w:ascii="Arial" w:hAnsi="Arial"/>
        </w:rPr>
        <w:t>la</w:t>
      </w:r>
      <w:r w:rsidR="006E3D4C" w:rsidRPr="001136A5">
        <w:rPr>
          <w:rFonts w:ascii="Arial" w:hAnsi="Arial"/>
        </w:rPr>
        <w:t xml:space="preserve"> Personería y la Alcaldía </w:t>
      </w:r>
      <w:r w:rsidR="006C5569" w:rsidRPr="001136A5">
        <w:rPr>
          <w:rFonts w:ascii="Arial" w:hAnsi="Arial"/>
        </w:rPr>
        <w:t>de Pereira</w:t>
      </w:r>
      <w:r w:rsidR="00134196" w:rsidRPr="001136A5">
        <w:rPr>
          <w:rFonts w:ascii="Arial" w:hAnsi="Arial"/>
        </w:rPr>
        <w:t xml:space="preserve">, </w:t>
      </w:r>
      <w:r w:rsidR="006E3D4C" w:rsidRPr="001136A5">
        <w:rPr>
          <w:rFonts w:ascii="Arial" w:hAnsi="Arial"/>
        </w:rPr>
        <w:t xml:space="preserve">adujeron </w:t>
      </w:r>
      <w:r w:rsidR="00A20436" w:rsidRPr="001136A5">
        <w:rPr>
          <w:rFonts w:ascii="Arial" w:hAnsi="Arial"/>
        </w:rPr>
        <w:t>que la situación alegada es ajena a su</w:t>
      </w:r>
      <w:r w:rsidR="00AB69A6" w:rsidRPr="001136A5">
        <w:rPr>
          <w:rFonts w:ascii="Arial" w:hAnsi="Arial"/>
        </w:rPr>
        <w:t>s</w:t>
      </w:r>
      <w:r w:rsidR="00A20436" w:rsidRPr="001136A5">
        <w:rPr>
          <w:rFonts w:ascii="Arial" w:hAnsi="Arial"/>
        </w:rPr>
        <w:t xml:space="preserve"> </w:t>
      </w:r>
      <w:r w:rsidR="00AB69A6" w:rsidRPr="001136A5">
        <w:rPr>
          <w:rFonts w:ascii="Arial" w:hAnsi="Arial"/>
        </w:rPr>
        <w:t>funciones</w:t>
      </w:r>
      <w:r w:rsidR="00A20436" w:rsidRPr="001136A5">
        <w:rPr>
          <w:rFonts w:ascii="Arial" w:hAnsi="Arial"/>
        </w:rPr>
        <w:t xml:space="preserve">, </w:t>
      </w:r>
      <w:r w:rsidR="00134196" w:rsidRPr="001136A5">
        <w:rPr>
          <w:rFonts w:ascii="Arial" w:hAnsi="Arial"/>
        </w:rPr>
        <w:t>y que es al Juzgado accionado al que le co</w:t>
      </w:r>
      <w:r w:rsidR="00C323F1" w:rsidRPr="001136A5">
        <w:rPr>
          <w:rFonts w:ascii="Arial" w:hAnsi="Arial"/>
        </w:rPr>
        <w:t>rresponde</w:t>
      </w:r>
      <w:r w:rsidR="00134196" w:rsidRPr="001136A5">
        <w:rPr>
          <w:rFonts w:ascii="Arial" w:hAnsi="Arial"/>
        </w:rPr>
        <w:t xml:space="preserve"> tramitar la acci</w:t>
      </w:r>
      <w:r w:rsidR="00182140" w:rsidRPr="001136A5">
        <w:rPr>
          <w:rFonts w:ascii="Arial" w:hAnsi="Arial"/>
        </w:rPr>
        <w:t xml:space="preserve">ón </w:t>
      </w:r>
      <w:r w:rsidR="00134196" w:rsidRPr="001136A5">
        <w:rPr>
          <w:rFonts w:ascii="Arial" w:hAnsi="Arial"/>
        </w:rPr>
        <w:t>popular y tomar las decisiones</w:t>
      </w:r>
      <w:r w:rsidR="00134196">
        <w:rPr>
          <w:rFonts w:ascii="Arial" w:hAnsi="Arial"/>
        </w:rPr>
        <w:t xml:space="preserve"> </w:t>
      </w:r>
      <w:r w:rsidR="00134196" w:rsidRPr="00134196">
        <w:rPr>
          <w:rFonts w:ascii="Arial" w:hAnsi="Arial"/>
        </w:rPr>
        <w:t>respectivas, por lo tanto, no se les puede imputar responsabilidad alguna. Solicitaron su</w:t>
      </w:r>
      <w:r w:rsidR="00134196">
        <w:rPr>
          <w:rFonts w:ascii="Arial" w:hAnsi="Arial"/>
        </w:rPr>
        <w:t xml:space="preserve"> </w:t>
      </w:r>
      <w:r w:rsidR="00134196" w:rsidRPr="00134196">
        <w:rPr>
          <w:rFonts w:ascii="Arial" w:hAnsi="Arial"/>
        </w:rPr>
        <w:t>desvinculación</w:t>
      </w:r>
      <w:r w:rsidR="00134196" w:rsidRPr="00FD594D">
        <w:rPr>
          <w:rFonts w:ascii="Arial" w:hAnsi="Arial"/>
        </w:rPr>
        <w:t xml:space="preserve"> </w:t>
      </w:r>
      <w:r w:rsidR="00A20436" w:rsidRPr="00FD594D">
        <w:rPr>
          <w:rFonts w:ascii="Arial" w:hAnsi="Arial"/>
        </w:rPr>
        <w:t>(Folio</w:t>
      </w:r>
      <w:r w:rsidR="00134196">
        <w:rPr>
          <w:rFonts w:ascii="Arial" w:hAnsi="Arial"/>
        </w:rPr>
        <w:t>s</w:t>
      </w:r>
      <w:r w:rsidR="00A20436" w:rsidRPr="00FD594D">
        <w:rPr>
          <w:rFonts w:ascii="Arial" w:hAnsi="Arial"/>
        </w:rPr>
        <w:t xml:space="preserve"> </w:t>
      </w:r>
      <w:r w:rsidR="006E3D4C">
        <w:rPr>
          <w:rFonts w:ascii="Arial" w:hAnsi="Arial"/>
        </w:rPr>
        <w:t>22, 25 a 27 y 30 a 31</w:t>
      </w:r>
      <w:r w:rsidR="00A20436">
        <w:rPr>
          <w:rFonts w:ascii="Arial" w:hAnsi="Arial"/>
        </w:rPr>
        <w:t xml:space="preserve">, </w:t>
      </w:r>
      <w:r w:rsidR="00A20436" w:rsidRPr="00FD594D">
        <w:rPr>
          <w:rFonts w:ascii="Arial" w:hAnsi="Arial"/>
        </w:rPr>
        <w:t>ib.).</w:t>
      </w:r>
      <w:r w:rsidR="00182140">
        <w:rPr>
          <w:rFonts w:ascii="Arial" w:hAnsi="Arial"/>
        </w:rPr>
        <w:t xml:space="preserve"> </w:t>
      </w: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lastRenderedPageBreak/>
        <w:t>LA FUNDAMENTACIÓN JURÍDICA PARA DECIDIR</w:t>
      </w:r>
    </w:p>
    <w:p w:rsidR="006232EF" w:rsidRPr="00176A1F" w:rsidRDefault="006232EF" w:rsidP="006232EF">
      <w:pPr>
        <w:pStyle w:val="Corpsdetexte"/>
        <w:spacing w:line="360" w:lineRule="auto"/>
        <w:ind w:left="400"/>
        <w:rPr>
          <w:rFonts w:ascii="Arial" w:hAnsi="Arial"/>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A15670" w:rsidRPr="005764A9">
        <w:rPr>
          <w:rFonts w:ascii="Arial" w:hAnsi="Arial" w:cs="Arial"/>
          <w:szCs w:val="24"/>
        </w:rPr>
        <w:t>acci</w:t>
      </w:r>
      <w:r w:rsidR="00182140">
        <w:rPr>
          <w:rFonts w:ascii="Arial" w:hAnsi="Arial" w:cs="Arial"/>
          <w:szCs w:val="24"/>
        </w:rPr>
        <w:t>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5276B5">
        <w:rPr>
          <w:rFonts w:ascii="Arial" w:hAnsi="Arial" w:cs="Arial"/>
          <w:color w:val="000000"/>
          <w:szCs w:val="24"/>
        </w:rPr>
        <w:t>tutelado</w:t>
      </w:r>
      <w:r w:rsidR="00D33789" w:rsidRPr="005764A9">
        <w:rPr>
          <w:rFonts w:ascii="Arial" w:hAnsi="Arial" w:cs="Arial"/>
          <w:color w:val="000000"/>
          <w:szCs w:val="24"/>
        </w:rPr>
        <w:t>.</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DC53D1" w:rsidRPr="00DC53D1"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t xml:space="preserve">La legitimación en la causa. </w:t>
      </w:r>
    </w:p>
    <w:p w:rsidR="00DC53D1" w:rsidRDefault="00DC53D1" w:rsidP="00DC53D1">
      <w:pPr>
        <w:pStyle w:val="Paragraphedeliste"/>
        <w:rPr>
          <w:rFonts w:ascii="Arial" w:hAnsi="Arial" w:cs="Arial"/>
        </w:rPr>
      </w:pPr>
    </w:p>
    <w:p w:rsidR="00885A62" w:rsidRDefault="005764A9" w:rsidP="00DC53D1">
      <w:pPr>
        <w:pStyle w:val="Corpsdetexte"/>
        <w:spacing w:line="360" w:lineRule="auto"/>
        <w:rPr>
          <w:rFonts w:ascii="Arial" w:hAnsi="Arial" w:cs="Arial"/>
          <w:szCs w:val="24"/>
        </w:rPr>
      </w:pP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182140">
        <w:rPr>
          <w:rFonts w:ascii="Arial" w:hAnsi="Arial" w:cs="Arial"/>
          <w:szCs w:val="24"/>
        </w:rPr>
        <w:t>la acción</w:t>
      </w:r>
      <w:r w:rsidR="0021559F" w:rsidRPr="005764A9">
        <w:rPr>
          <w:rFonts w:ascii="Arial" w:hAnsi="Arial" w:cs="Arial"/>
          <w:szCs w:val="24"/>
        </w:rPr>
        <w:t xml:space="preserve"> popular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5276B5">
        <w:rPr>
          <w:rFonts w:ascii="Arial" w:hAnsi="Arial" w:cs="Arial"/>
          <w:szCs w:val="24"/>
        </w:rPr>
        <w:t>Juzgado Segundo Civil del Circuito de Pereira</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182140">
        <w:rPr>
          <w:rFonts w:ascii="Arial" w:hAnsi="Arial" w:cs="Arial"/>
          <w:szCs w:val="24"/>
        </w:rPr>
        <w:t>del</w:t>
      </w:r>
      <w:r w:rsidR="0021559F" w:rsidRPr="005764A9">
        <w:rPr>
          <w:rFonts w:ascii="Arial" w:hAnsi="Arial" w:cs="Arial"/>
          <w:szCs w:val="24"/>
        </w:rPr>
        <w:t xml:space="preserve"> juicio</w:t>
      </w:r>
      <w:r w:rsidR="005276B5">
        <w:rPr>
          <w:rFonts w:ascii="Arial" w:hAnsi="Arial" w:cs="Arial"/>
          <w:szCs w:val="24"/>
        </w:rPr>
        <w:t>; y el CSJ, S</w:t>
      </w:r>
      <w:r w:rsidR="008555AE">
        <w:rPr>
          <w:rFonts w:ascii="Arial" w:hAnsi="Arial" w:cs="Arial"/>
          <w:szCs w:val="24"/>
        </w:rPr>
        <w:t>eccional Pereira porque es la autoridad competente de ejercer la vigilancia judicial administrativa en procesos.</w:t>
      </w:r>
    </w:p>
    <w:p w:rsidR="005764A9" w:rsidRDefault="005764A9" w:rsidP="005764A9">
      <w:pPr>
        <w:pStyle w:val="Paragraphedeliste"/>
        <w:rPr>
          <w:rFonts w:ascii="Arial" w:hAnsi="Arial" w:cs="Arial"/>
        </w:rPr>
      </w:pPr>
    </w:p>
    <w:p w:rsidR="00DC53D1" w:rsidRDefault="00DC53D1" w:rsidP="00DC53D1">
      <w:pPr>
        <w:pStyle w:val="Corpsdetexte"/>
        <w:spacing w:line="360" w:lineRule="auto"/>
        <w:rPr>
          <w:rFonts w:ascii="Arial" w:hAnsi="Arial" w:cs="Arial"/>
          <w:szCs w:val="24"/>
        </w:rPr>
      </w:pPr>
      <w:r>
        <w:rPr>
          <w:rFonts w:ascii="Arial" w:hAnsi="Arial" w:cs="Arial"/>
          <w:szCs w:val="24"/>
        </w:rPr>
        <w:t>Diferente es respecto de la Procuraduría General de la Nación, Regional Risaralda, toda vez que no ha sido vinculada a la acción popular y el petitorio de tutela carece de prueba que acredite que se le haya solicitado por el accionante su intervención en procura de garantizar sus derechos procesales</w:t>
      </w:r>
      <w:r w:rsidR="0014673C">
        <w:rPr>
          <w:rFonts w:ascii="Arial" w:hAnsi="Arial" w:cs="Arial"/>
          <w:szCs w:val="24"/>
        </w:rPr>
        <w:t xml:space="preserve"> en dicho asunto</w:t>
      </w:r>
      <w:r>
        <w:rPr>
          <w:rFonts w:ascii="Arial" w:hAnsi="Arial" w:cs="Arial"/>
          <w:szCs w:val="24"/>
        </w:rPr>
        <w:t xml:space="preserve">. </w:t>
      </w:r>
    </w:p>
    <w:p w:rsidR="00DC53D1" w:rsidRDefault="00DC53D1" w:rsidP="00DC53D1">
      <w:pPr>
        <w:pStyle w:val="Corpsdetexte"/>
        <w:spacing w:line="360" w:lineRule="auto"/>
        <w:rPr>
          <w:rFonts w:ascii="Arial" w:hAnsi="Arial" w:cs="Arial"/>
          <w:szCs w:val="24"/>
        </w:rPr>
      </w:pPr>
    </w:p>
    <w:p w:rsidR="00DC53D1" w:rsidRDefault="00DC53D1" w:rsidP="00DC53D1">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DC53D1" w:rsidRDefault="00DC53D1" w:rsidP="00DC53D1">
      <w:pPr>
        <w:pStyle w:val="Corpsdetexte"/>
        <w:spacing w:line="360" w:lineRule="auto"/>
        <w:rPr>
          <w:rFonts w:ascii="Arial" w:hAnsi="Arial"/>
          <w:sz w:val="16"/>
          <w:szCs w:val="24"/>
        </w:rPr>
      </w:pPr>
    </w:p>
    <w:p w:rsidR="00DC53D1" w:rsidRDefault="00DC53D1" w:rsidP="00DC53D1">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DC53D1" w:rsidRDefault="00DC53D1" w:rsidP="00DC53D1">
      <w:pPr>
        <w:pStyle w:val="Corpsdetexte"/>
        <w:tabs>
          <w:tab w:val="clear" w:pos="0"/>
        </w:tabs>
        <w:spacing w:line="240" w:lineRule="auto"/>
        <w:ind w:left="567" w:right="618"/>
        <w:rPr>
          <w:rFonts w:ascii="Arial" w:hAnsi="Arial"/>
          <w:szCs w:val="24"/>
          <w:lang w:val="es-ES"/>
        </w:rPr>
      </w:pPr>
      <w:r>
        <w:rPr>
          <w:rFonts w:ascii="Arial" w:hAnsi="Arial"/>
          <w:szCs w:val="24"/>
        </w:rPr>
        <w:t> </w:t>
      </w:r>
    </w:p>
    <w:p w:rsidR="00DC53D1" w:rsidRDefault="00DC53D1" w:rsidP="00DC53D1">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DC53D1" w:rsidRDefault="00DC53D1" w:rsidP="00DC53D1">
      <w:pPr>
        <w:pStyle w:val="Corpsdetexte"/>
        <w:spacing w:line="360" w:lineRule="auto"/>
        <w:rPr>
          <w:rFonts w:ascii="Arial" w:hAnsi="Arial" w:cs="Arial"/>
          <w:szCs w:val="24"/>
          <w:lang w:val="es-CO"/>
        </w:rPr>
      </w:pPr>
    </w:p>
    <w:p w:rsidR="00DC53D1" w:rsidRDefault="00DC53D1" w:rsidP="00DC53D1">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DC53D1" w:rsidRDefault="00DC53D1" w:rsidP="00DC53D1">
      <w:pPr>
        <w:spacing w:line="360" w:lineRule="auto"/>
        <w:ind w:left="567" w:right="335"/>
        <w:jc w:val="both"/>
        <w:rPr>
          <w:rFonts w:ascii="Arial" w:hAnsi="Arial" w:cs="Arial"/>
          <w:sz w:val="18"/>
          <w:lang w:val="es-CO"/>
        </w:rPr>
      </w:pPr>
    </w:p>
    <w:p w:rsidR="00DC53D1" w:rsidRDefault="00DC53D1" w:rsidP="00DC53D1">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DC53D1" w:rsidRDefault="00DC53D1" w:rsidP="00DC53D1">
      <w:pPr>
        <w:ind w:left="567" w:right="567"/>
        <w:jc w:val="both"/>
        <w:rPr>
          <w:rFonts w:ascii="Arial" w:hAnsi="Arial" w:cs="Arial"/>
          <w:sz w:val="28"/>
          <w:u w:val="single"/>
          <w:lang w:val="es-CO"/>
        </w:rPr>
      </w:pPr>
    </w:p>
    <w:p w:rsidR="00DC53D1" w:rsidRDefault="00DC53D1" w:rsidP="00DC53D1">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 xml:space="preserve">exige la presencia de un nexo de causalidad entre la vulneración de los derechos del </w:t>
      </w:r>
      <w:r>
        <w:rPr>
          <w:rFonts w:ascii="Arial" w:hAnsi="Arial" w:cs="Arial"/>
          <w:u w:val="single"/>
          <w:lang w:val="es-CO"/>
        </w:rPr>
        <w:lastRenderedPageBreak/>
        <w:t>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DC53D1" w:rsidRDefault="00DC53D1" w:rsidP="00DC53D1">
      <w:pPr>
        <w:spacing w:line="360" w:lineRule="auto"/>
        <w:jc w:val="both"/>
        <w:rPr>
          <w:rFonts w:ascii="Arial" w:hAnsi="Arial" w:cs="Arial"/>
          <w:sz w:val="28"/>
          <w:lang w:val="es-ES_tradnl"/>
        </w:rPr>
      </w:pPr>
    </w:p>
    <w:p w:rsidR="00DC53D1" w:rsidRPr="00DC53D1" w:rsidRDefault="00DC53D1" w:rsidP="00176A1F">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w:t>
      </w:r>
      <w:r w:rsidR="0014673C">
        <w:rPr>
          <w:rFonts w:ascii="Arial" w:hAnsi="Arial" w:cs="Arial"/>
          <w:lang w:val="es-ES_tradnl"/>
        </w:rPr>
        <w:t xml:space="preserve">por el actor </w:t>
      </w:r>
      <w:r w:rsidRPr="00DC53D1">
        <w:rPr>
          <w:rFonts w:ascii="Arial" w:hAnsi="Arial" w:cs="Arial"/>
          <w:lang w:val="es-ES_tradnl"/>
        </w:rPr>
        <w:t xml:space="preserve">y ni siquiera ha sido notificada de la existencia del trámite popular. </w:t>
      </w:r>
    </w:p>
    <w:p w:rsidR="00DC53D1" w:rsidRPr="00DC53D1" w:rsidRDefault="00DC53D1" w:rsidP="00176A1F">
      <w:pPr>
        <w:pStyle w:val="Paragraphedeliste"/>
        <w:spacing w:line="360" w:lineRule="auto"/>
        <w:rPr>
          <w:rFonts w:ascii="Arial" w:hAnsi="Arial" w:cs="Arial"/>
          <w:lang w:val="es-CO"/>
        </w:rPr>
      </w:pPr>
    </w:p>
    <w:p w:rsidR="005764A9" w:rsidRDefault="005764A9" w:rsidP="00176A1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8555AE">
        <w:rPr>
          <w:rFonts w:ascii="Arial" w:hAnsi="Arial" w:cs="Arial"/>
        </w:rPr>
        <w:t xml:space="preserve"> y la Sala Administrativa del CSJ, Seccional Pereira, han </w:t>
      </w:r>
      <w:r w:rsidRPr="005764A9">
        <w:rPr>
          <w:rFonts w:ascii="Arial" w:hAnsi="Arial" w:cs="Arial"/>
        </w:rPr>
        <w:t>vulnerado o amenazado los derechos fundamentales del accionante con ocas</w:t>
      </w:r>
      <w:r w:rsidR="006F2F43">
        <w:rPr>
          <w:rFonts w:ascii="Arial" w:hAnsi="Arial" w:cs="Arial"/>
        </w:rPr>
        <w:t>ión del trámite surtido en la</w:t>
      </w:r>
      <w:r w:rsidRPr="005764A9">
        <w:rPr>
          <w:rFonts w:ascii="Arial" w:hAnsi="Arial" w:cs="Arial"/>
        </w:rPr>
        <w:t xml:space="preserve"> acci</w:t>
      </w:r>
      <w:r w:rsidR="006F2F43">
        <w:rPr>
          <w:rFonts w:ascii="Arial" w:hAnsi="Arial" w:cs="Arial"/>
        </w:rPr>
        <w:t>ón popular</w:t>
      </w:r>
      <w:r w:rsidRPr="005764A9">
        <w:rPr>
          <w:rFonts w:ascii="Arial" w:hAnsi="Arial" w:cs="Arial"/>
        </w:rPr>
        <w:t>, según lo expuesto en</w:t>
      </w:r>
      <w:r w:rsidR="006F2F43">
        <w:rPr>
          <w:rFonts w:ascii="Arial" w:hAnsi="Arial" w:cs="Arial"/>
        </w:rPr>
        <w:t xml:space="preserve"> el escrito </w:t>
      </w:r>
      <w:r w:rsidRPr="005764A9">
        <w:rPr>
          <w:rFonts w:ascii="Arial" w:hAnsi="Arial" w:cs="Arial"/>
        </w:rPr>
        <w:t xml:space="preserve">de tutela?   </w:t>
      </w:r>
    </w:p>
    <w:p w:rsidR="005764A9" w:rsidRPr="00DC53D1" w:rsidRDefault="005764A9" w:rsidP="00176A1F">
      <w:pPr>
        <w:pStyle w:val="Paragraphedeliste"/>
        <w:spacing w:line="360" w:lineRule="auto"/>
        <w:rPr>
          <w:rFonts w:ascii="Arial" w:hAnsi="Arial" w:cs="Arial"/>
          <w:lang w:val="es-CO"/>
        </w:rPr>
      </w:pPr>
    </w:p>
    <w:p w:rsidR="005764A9" w:rsidRDefault="005764A9" w:rsidP="00176A1F">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D10AEC" w:rsidRPr="008555AE" w:rsidRDefault="00D10AEC" w:rsidP="00C323F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smallCaps/>
          <w:szCs w:val="24"/>
        </w:rPr>
      </w:pPr>
      <w:r w:rsidRPr="008555AE">
        <w:rPr>
          <w:rFonts w:ascii="Arial" w:hAnsi="Arial"/>
          <w:smallCaps/>
          <w:szCs w:val="24"/>
        </w:rPr>
        <w:t>Las sub-reglas de análisis en la procedibilidad frente a decisiones judiciales</w:t>
      </w:r>
    </w:p>
    <w:p w:rsidR="00DC6BEA" w:rsidRPr="00DC6BEA" w:rsidRDefault="00DC6BEA" w:rsidP="00C323F1">
      <w:pPr>
        <w:pStyle w:val="Corpsdetexte"/>
        <w:spacing w:line="360" w:lineRule="auto"/>
        <w:rPr>
          <w:rFonts w:ascii="Arial" w:hAnsi="Arial" w:cs="Arial"/>
          <w:szCs w:val="24"/>
        </w:rPr>
      </w:pPr>
    </w:p>
    <w:p w:rsidR="00D33789" w:rsidRPr="00907C22" w:rsidRDefault="00D33789" w:rsidP="00C323F1">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D33789" w:rsidRPr="00176A1F" w:rsidRDefault="00D33789" w:rsidP="00D33789">
      <w:pPr>
        <w:pStyle w:val="Corpsdetexte"/>
        <w:spacing w:line="360" w:lineRule="auto"/>
        <w:rPr>
          <w:rFonts w:ascii="Arial" w:hAnsi="Arial" w:cs="Arial"/>
          <w:szCs w:val="24"/>
        </w:rPr>
      </w:pP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Ahora, en  frente  del  examen que se reclama en sede constitucional, resulta de mayúscula</w:t>
      </w:r>
      <w:r w:rsidR="000E547E">
        <w:rPr>
          <w:rFonts w:ascii="Arial" w:hAnsi="Arial" w:cs="Arial"/>
          <w:szCs w:val="24"/>
        </w:rPr>
        <w:t xml:space="preserve"> </w:t>
      </w: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D33789" w:rsidRPr="00176A1F" w:rsidRDefault="00D33789" w:rsidP="00D33789">
      <w:pPr>
        <w:pStyle w:val="Corpsdetexte"/>
        <w:spacing w:line="360" w:lineRule="auto"/>
        <w:rPr>
          <w:rFonts w:ascii="Arial" w:hAnsi="Arial" w:cs="Arial"/>
          <w:szCs w:val="24"/>
        </w:rPr>
      </w:pPr>
    </w:p>
    <w:p w:rsidR="00D33789" w:rsidRDefault="00D33789" w:rsidP="00D33789">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w:t>
      </w:r>
      <w:r w:rsidRPr="00907C22">
        <w:rPr>
          <w:rFonts w:ascii="Arial" w:hAnsi="Arial" w:cs="Arial"/>
          <w:szCs w:val="24"/>
        </w:rPr>
        <w:lastRenderedPageBreak/>
        <w:t>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1C19B2" w:rsidRPr="00176A1F" w:rsidRDefault="001C19B2" w:rsidP="00D33789">
      <w:pPr>
        <w:pStyle w:val="Corpsdetexte"/>
        <w:spacing w:line="360" w:lineRule="auto"/>
        <w:rPr>
          <w:rFonts w:ascii="Arial" w:hAnsi="Arial" w:cs="Arial"/>
          <w:szCs w:val="24"/>
        </w:rPr>
      </w:pPr>
    </w:p>
    <w:p w:rsidR="001C19B2" w:rsidRDefault="00D33789" w:rsidP="00D33789">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D33789" w:rsidRDefault="00D33789" w:rsidP="00D33789">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0E547E" w:rsidRPr="00907C22" w:rsidRDefault="000E547E" w:rsidP="00D33789">
      <w:pPr>
        <w:pStyle w:val="Corpsdetexte"/>
        <w:spacing w:line="360" w:lineRule="auto"/>
        <w:rPr>
          <w:rFonts w:ascii="Arial" w:hAnsi="Arial" w:cs="Arial"/>
          <w:szCs w:val="24"/>
        </w:rPr>
      </w:pPr>
    </w:p>
    <w:p w:rsidR="00D10AEC" w:rsidRPr="003353DD" w:rsidRDefault="00D10AEC" w:rsidP="000466C3">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D10AEC" w:rsidRPr="00176A1F" w:rsidRDefault="00D10AEC" w:rsidP="00D10AEC">
      <w:pPr>
        <w:pStyle w:val="Corpsdetexte"/>
        <w:tabs>
          <w:tab w:val="clear" w:pos="0"/>
        </w:tabs>
        <w:spacing w:line="360" w:lineRule="auto"/>
        <w:rPr>
          <w:rFonts w:ascii="Arial" w:hAnsi="Arial" w:cs="Arial"/>
          <w:szCs w:val="24"/>
        </w:rPr>
      </w:pPr>
    </w:p>
    <w:p w:rsidR="00D10AEC" w:rsidRDefault="00D10AEC" w:rsidP="00D10AE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r w:rsidR="00AB69A6">
        <w:rPr>
          <w:rFonts w:ascii="Arial" w:hAnsi="Arial" w:cs="Arial"/>
          <w:szCs w:val="24"/>
        </w:rPr>
        <w:t>CP</w:t>
      </w:r>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10AEC" w:rsidRPr="00176A1F" w:rsidRDefault="00D10AEC" w:rsidP="00D10AEC">
      <w:pPr>
        <w:pStyle w:val="Corpsdetexte"/>
        <w:tabs>
          <w:tab w:val="clear" w:pos="0"/>
        </w:tabs>
        <w:spacing w:line="360" w:lineRule="auto"/>
        <w:rPr>
          <w:rFonts w:ascii="Arial" w:hAnsi="Arial" w:cs="Arial"/>
          <w:szCs w:val="24"/>
          <w:u w:val="single"/>
        </w:rPr>
      </w:pPr>
    </w:p>
    <w:p w:rsidR="00D10AEC" w:rsidRDefault="00D10AEC" w:rsidP="00D10AE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D10AEC" w:rsidRPr="00176A1F" w:rsidRDefault="00D10AEC" w:rsidP="00D10AEC">
      <w:pPr>
        <w:widowControl/>
        <w:autoSpaceDE/>
        <w:adjustRightInd/>
        <w:spacing w:line="360" w:lineRule="auto"/>
        <w:jc w:val="both"/>
        <w:rPr>
          <w:rFonts w:ascii="Arial" w:hAnsi="Arial" w:cs="Arial"/>
          <w:szCs w:val="22"/>
          <w:lang w:val="es-ES_tradnl"/>
        </w:rPr>
      </w:pPr>
    </w:p>
    <w:p w:rsidR="0014673C" w:rsidRDefault="0014673C" w:rsidP="0014673C">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de defensa que, por negligencia, descuido o incuria de quien solicita el amparo constitucional, no </w:t>
      </w:r>
      <w:r>
        <w:rPr>
          <w:rFonts w:ascii="Arial" w:hAnsi="Arial" w:cs="Arial"/>
          <w:i/>
          <w:sz w:val="22"/>
          <w:szCs w:val="22"/>
        </w:rPr>
        <w:lastRenderedPageBreak/>
        <w:t>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176A1F" w:rsidRDefault="001C19B2" w:rsidP="00511FE0">
      <w:pPr>
        <w:pStyle w:val="Corpsdetexte"/>
        <w:tabs>
          <w:tab w:val="clear" w:pos="0"/>
        </w:tabs>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176A1F" w:rsidRDefault="00AB5BDE" w:rsidP="00AB5BDE">
      <w:pPr>
        <w:pStyle w:val="Corpsdetexte"/>
        <w:spacing w:line="360" w:lineRule="auto"/>
        <w:ind w:left="585"/>
        <w:rPr>
          <w:rFonts w:ascii="Arial" w:hAnsi="Arial"/>
          <w:szCs w:val="24"/>
        </w:rPr>
      </w:pPr>
    </w:p>
    <w:p w:rsidR="00A32B4D" w:rsidRPr="00A32B4D" w:rsidRDefault="00A32B4D" w:rsidP="00A32B4D">
      <w:pPr>
        <w:pStyle w:val="Paragraphedeliste"/>
        <w:numPr>
          <w:ilvl w:val="1"/>
          <w:numId w:val="18"/>
        </w:numPr>
        <w:spacing w:line="360" w:lineRule="auto"/>
        <w:jc w:val="both"/>
        <w:rPr>
          <w:rFonts w:ascii="Arial" w:hAnsi="Arial" w:cs="Arial"/>
          <w:smallCaps/>
          <w:lang w:val="es-ES_tradnl"/>
        </w:rPr>
      </w:pPr>
      <w:r w:rsidRPr="00A32B4D">
        <w:rPr>
          <w:rFonts w:ascii="Arial" w:hAnsi="Arial" w:cs="Arial"/>
          <w:smallCaps/>
          <w:lang w:val="es-ES_tradnl"/>
        </w:rPr>
        <w:t>La subsidiariedad</w:t>
      </w:r>
    </w:p>
    <w:p w:rsidR="00A32B4D" w:rsidRDefault="00A32B4D" w:rsidP="00A32B4D">
      <w:pPr>
        <w:spacing w:line="360" w:lineRule="auto"/>
        <w:jc w:val="both"/>
        <w:rPr>
          <w:rFonts w:ascii="Arial" w:hAnsi="Arial" w:cs="Arial"/>
          <w:lang w:val="es-ES_tradnl"/>
        </w:rPr>
      </w:pPr>
    </w:p>
    <w:p w:rsidR="00D10AEC" w:rsidRPr="00A32B4D" w:rsidRDefault="00D10AEC" w:rsidP="00A32B4D">
      <w:pPr>
        <w:spacing w:line="360" w:lineRule="auto"/>
        <w:jc w:val="both"/>
        <w:rPr>
          <w:rFonts w:ascii="Arial" w:hAnsi="Arial" w:cs="Arial"/>
          <w:lang w:val="es-ES_tradnl"/>
        </w:rPr>
      </w:pPr>
      <w:r w:rsidRPr="00A32B4D">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w:t>
      </w:r>
    </w:p>
    <w:p w:rsidR="00DC6BEA" w:rsidRDefault="00677AA0" w:rsidP="00AA2028">
      <w:pPr>
        <w:widowControl/>
        <w:spacing w:line="360" w:lineRule="auto"/>
        <w:jc w:val="both"/>
        <w:rPr>
          <w:rFonts w:ascii="Arial" w:hAnsi="Arial" w:cs="Arial"/>
        </w:rPr>
      </w:pPr>
      <w:r>
        <w:rPr>
          <w:rFonts w:ascii="Arial" w:hAnsi="Arial" w:cs="Arial"/>
        </w:rPr>
        <w:t>El actor se duele porque</w:t>
      </w:r>
      <w:r w:rsidR="00B320F4">
        <w:rPr>
          <w:rFonts w:ascii="Arial" w:hAnsi="Arial" w:cs="Arial"/>
        </w:rPr>
        <w:t xml:space="preserve"> el</w:t>
      </w:r>
      <w:r>
        <w:rPr>
          <w:rFonts w:ascii="Arial" w:hAnsi="Arial" w:cs="Arial"/>
        </w:rPr>
        <w:t xml:space="preserve"> </w:t>
      </w:r>
      <w:r w:rsidRPr="003F33A7">
        <w:rPr>
          <w:rFonts w:ascii="Arial" w:hAnsi="Arial" w:cs="Arial"/>
        </w:rPr>
        <w:t xml:space="preserve">accionado </w:t>
      </w:r>
      <w:r w:rsidR="003F33A7" w:rsidRPr="003F33A7">
        <w:rPr>
          <w:rFonts w:ascii="Arial" w:hAnsi="Arial" w:cs="Arial"/>
        </w:rPr>
        <w:t xml:space="preserve">se niega </w:t>
      </w:r>
      <w:r w:rsidR="00481EA1">
        <w:rPr>
          <w:rFonts w:ascii="Arial" w:hAnsi="Arial" w:cs="Arial"/>
        </w:rPr>
        <w:t>c</w:t>
      </w:r>
      <w:r w:rsidR="003F33A7" w:rsidRPr="003F33A7">
        <w:rPr>
          <w:rFonts w:ascii="Arial" w:hAnsi="Arial" w:cs="Arial"/>
        </w:rPr>
        <w:t xml:space="preserve">oncederle </w:t>
      </w:r>
      <w:r w:rsidR="00016DFF" w:rsidRPr="003F33A7">
        <w:rPr>
          <w:rFonts w:ascii="Arial" w:hAnsi="Arial" w:cs="Arial"/>
        </w:rPr>
        <w:t>el recurso de apelación interpuesto en e</w:t>
      </w:r>
      <w:r w:rsidR="006F2F43" w:rsidRPr="003F33A7">
        <w:rPr>
          <w:rFonts w:ascii="Arial" w:hAnsi="Arial" w:cs="Arial"/>
        </w:rPr>
        <w:t>l juicio</w:t>
      </w:r>
      <w:r w:rsidR="00F853E6" w:rsidRPr="003F33A7">
        <w:rPr>
          <w:rFonts w:ascii="Arial" w:hAnsi="Arial" w:cs="Arial"/>
        </w:rPr>
        <w:t xml:space="preserve"> </w:t>
      </w:r>
      <w:r w:rsidR="00333D71" w:rsidRPr="003F33A7">
        <w:rPr>
          <w:rFonts w:ascii="Arial" w:hAnsi="Arial" w:cs="Arial"/>
        </w:rPr>
        <w:t>radicado al No.</w:t>
      </w:r>
      <w:r w:rsidR="006F2F43" w:rsidRPr="003F33A7">
        <w:rPr>
          <w:rFonts w:ascii="Arial" w:hAnsi="Arial" w:cs="Arial"/>
        </w:rPr>
        <w:t>201</w:t>
      </w:r>
      <w:r w:rsidR="003F33A7" w:rsidRPr="003F33A7">
        <w:rPr>
          <w:rFonts w:ascii="Arial" w:hAnsi="Arial" w:cs="Arial"/>
        </w:rPr>
        <w:t>5</w:t>
      </w:r>
      <w:r w:rsidR="006F2F43" w:rsidRPr="003F33A7">
        <w:rPr>
          <w:rFonts w:ascii="Arial" w:hAnsi="Arial" w:cs="Arial"/>
        </w:rPr>
        <w:t>-00</w:t>
      </w:r>
      <w:r w:rsidR="003F33A7" w:rsidRPr="003F33A7">
        <w:rPr>
          <w:rFonts w:ascii="Arial" w:hAnsi="Arial" w:cs="Arial"/>
        </w:rPr>
        <w:t>052-00.</w:t>
      </w:r>
      <w:r w:rsidR="00333D71">
        <w:rPr>
          <w:rFonts w:ascii="Arial" w:hAnsi="Arial" w:cs="Arial"/>
        </w:rPr>
        <w:t xml:space="preserve"> </w:t>
      </w:r>
    </w:p>
    <w:p w:rsidR="00016DFF" w:rsidRDefault="00016DFF" w:rsidP="00AA2028">
      <w:pPr>
        <w:widowControl/>
        <w:spacing w:line="360" w:lineRule="auto"/>
        <w:jc w:val="both"/>
        <w:rPr>
          <w:rFonts w:ascii="Arial" w:hAnsi="Arial" w:cs="Arial"/>
        </w:rPr>
      </w:pPr>
    </w:p>
    <w:p w:rsidR="001178E9" w:rsidRDefault="00677AA0" w:rsidP="00AA2028">
      <w:pPr>
        <w:widowControl/>
        <w:spacing w:line="360" w:lineRule="auto"/>
        <w:jc w:val="both"/>
        <w:rPr>
          <w:rFonts w:ascii="Arial" w:hAnsi="Arial" w:cs="Arial"/>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accionado </w:t>
      </w:r>
      <w:r w:rsidR="00481EA1">
        <w:rPr>
          <w:rFonts w:ascii="Arial" w:hAnsi="Arial" w:cs="Arial"/>
        </w:rPr>
        <w:t>con proveído d</w:t>
      </w:r>
      <w:r w:rsidR="00C94C61">
        <w:rPr>
          <w:rFonts w:ascii="Arial" w:hAnsi="Arial" w:cs="Arial"/>
          <w:lang w:val="es-CO"/>
        </w:rPr>
        <w:t xml:space="preserve">el </w:t>
      </w:r>
      <w:r w:rsidR="00481EA1">
        <w:rPr>
          <w:rFonts w:ascii="Arial" w:hAnsi="Arial" w:cs="Arial"/>
          <w:lang w:val="es-CO"/>
        </w:rPr>
        <w:t>24</w:t>
      </w:r>
      <w:r w:rsidR="001B3C58">
        <w:rPr>
          <w:rFonts w:ascii="Arial" w:hAnsi="Arial" w:cs="Arial"/>
          <w:lang w:val="es-CO"/>
        </w:rPr>
        <w:t>-</w:t>
      </w:r>
      <w:r w:rsidR="00481EA1">
        <w:rPr>
          <w:rFonts w:ascii="Arial" w:hAnsi="Arial" w:cs="Arial"/>
          <w:lang w:val="es-CO"/>
        </w:rPr>
        <w:t>01</w:t>
      </w:r>
      <w:r w:rsidR="001B3C58">
        <w:rPr>
          <w:rFonts w:ascii="Arial" w:hAnsi="Arial" w:cs="Arial"/>
          <w:lang w:val="es-CO"/>
        </w:rPr>
        <w:t>-201</w:t>
      </w:r>
      <w:r w:rsidR="00481EA1">
        <w:rPr>
          <w:rFonts w:ascii="Arial" w:hAnsi="Arial" w:cs="Arial"/>
          <w:lang w:val="es-CO"/>
        </w:rPr>
        <w:t>7</w:t>
      </w:r>
      <w:r w:rsidR="00B64E7A">
        <w:rPr>
          <w:rFonts w:ascii="Arial" w:hAnsi="Arial"/>
          <w:lang w:val="es-CO"/>
        </w:rPr>
        <w:t xml:space="preserve"> </w:t>
      </w:r>
      <w:r w:rsidR="00481EA1">
        <w:rPr>
          <w:rFonts w:ascii="Arial" w:hAnsi="Arial"/>
          <w:lang w:val="es-CO"/>
        </w:rPr>
        <w:t>terminó la acción por desistimiento tácito,</w:t>
      </w:r>
      <w:r w:rsidR="00D124CB">
        <w:rPr>
          <w:rFonts w:ascii="Arial" w:hAnsi="Arial"/>
          <w:lang w:val="es-CO"/>
        </w:rPr>
        <w:t xml:space="preserve"> </w:t>
      </w:r>
      <w:r w:rsidR="00481EA1">
        <w:rPr>
          <w:rFonts w:ascii="Arial" w:hAnsi="Arial"/>
          <w:lang w:val="es-CO"/>
        </w:rPr>
        <w:t>notificado por estado (</w:t>
      </w:r>
      <w:r w:rsidR="00481EA1">
        <w:rPr>
          <w:rFonts w:ascii="Arial" w:hAnsi="Arial" w:cs="Arial"/>
        </w:rPr>
        <w:t>Folio 139 del disco compacto obrante a folio 21</w:t>
      </w:r>
      <w:r w:rsidR="00BF0D9E">
        <w:rPr>
          <w:rFonts w:ascii="Arial" w:hAnsi="Arial" w:cs="Arial"/>
        </w:rPr>
        <w:t>, ib.</w:t>
      </w:r>
      <w:r w:rsidR="00481EA1">
        <w:rPr>
          <w:rFonts w:ascii="Arial" w:hAnsi="Arial" w:cs="Arial"/>
        </w:rPr>
        <w:t>)</w:t>
      </w:r>
      <w:r w:rsidR="00D124CB">
        <w:rPr>
          <w:rFonts w:ascii="Arial" w:hAnsi="Arial" w:cs="Arial"/>
        </w:rPr>
        <w:t>; el 16-02-2017 no repuso y declaró inadmisible la apelación interpuesta (Folios 140 a 142 del disco compacto visible a folio 21</w:t>
      </w:r>
      <w:r w:rsidR="00BF0D9E">
        <w:rPr>
          <w:rFonts w:ascii="Arial" w:hAnsi="Arial" w:cs="Arial"/>
        </w:rPr>
        <w:t>, ib.</w:t>
      </w:r>
      <w:r w:rsidR="00D124CB">
        <w:rPr>
          <w:rFonts w:ascii="Arial" w:hAnsi="Arial" w:cs="Arial"/>
        </w:rPr>
        <w:t>)</w:t>
      </w:r>
      <w:r w:rsidR="00BF0D9E">
        <w:rPr>
          <w:rFonts w:ascii="Arial" w:hAnsi="Arial" w:cs="Arial"/>
        </w:rPr>
        <w:t>; auto notificado por fijación en estado del 17-02-2017 (Folio 142 del disco compacto visible a folio 21 ib.) y el 09-03-2017 rechazó de plano la solicitud</w:t>
      </w:r>
      <w:r w:rsidR="000151E2">
        <w:rPr>
          <w:rFonts w:ascii="Arial" w:hAnsi="Arial" w:cs="Arial"/>
        </w:rPr>
        <w:t xml:space="preserve"> de recursos impetrada por </w:t>
      </w:r>
      <w:r w:rsidR="00BF0D9E">
        <w:rPr>
          <w:rFonts w:ascii="Arial" w:hAnsi="Arial" w:cs="Arial"/>
        </w:rPr>
        <w:t>el actor</w:t>
      </w:r>
      <w:r w:rsidR="000151E2">
        <w:rPr>
          <w:rFonts w:ascii="Arial" w:hAnsi="Arial" w:cs="Arial"/>
        </w:rPr>
        <w:t xml:space="preserve"> (Folio 144 del disco compacto visible a folio 21, ib.)</w:t>
      </w:r>
      <w:r w:rsidR="00FC469B">
        <w:rPr>
          <w:rFonts w:ascii="Arial" w:hAnsi="Arial" w:cs="Arial"/>
        </w:rPr>
        <w:t>; notificada con el estado del 10-03-2017 (Folio 144 del disco compacto visible a folio 21, ib.)</w:t>
      </w:r>
      <w:r w:rsidR="001178E9">
        <w:rPr>
          <w:rFonts w:ascii="Arial" w:hAnsi="Arial" w:cs="Arial"/>
        </w:rPr>
        <w:t>.</w:t>
      </w:r>
    </w:p>
    <w:p w:rsidR="001178E9" w:rsidRDefault="001178E9" w:rsidP="00AA2028">
      <w:pPr>
        <w:widowControl/>
        <w:spacing w:line="360" w:lineRule="auto"/>
        <w:jc w:val="both"/>
        <w:rPr>
          <w:rFonts w:ascii="Arial" w:hAnsi="Arial" w:cs="Arial"/>
        </w:rPr>
      </w:pPr>
    </w:p>
    <w:p w:rsidR="00A32B4D" w:rsidRDefault="006C5569" w:rsidP="006C5569">
      <w:pPr>
        <w:spacing w:line="360" w:lineRule="auto"/>
        <w:jc w:val="both"/>
        <w:rPr>
          <w:rFonts w:ascii="Arial" w:hAnsi="Arial" w:cs="Arial"/>
          <w:lang w:val="es-ES_tradnl"/>
        </w:rPr>
      </w:pPr>
      <w:r>
        <w:rPr>
          <w:rFonts w:ascii="Arial" w:hAnsi="Arial" w:cs="Arial"/>
          <w:lang w:val="es-ES_tradnl"/>
        </w:rPr>
        <w:t xml:space="preserve">En ese orden de ideas, se tiene que el accionante pretermitió agotar el recurso de </w:t>
      </w:r>
      <w:r>
        <w:rPr>
          <w:rFonts w:ascii="Arial" w:hAnsi="Arial" w:cs="Arial"/>
          <w:u w:val="single"/>
          <w:lang w:val="es-ES_tradnl"/>
        </w:rPr>
        <w:t>reposición (Artículo 36, Ley 472)</w:t>
      </w:r>
      <w:r>
        <w:rPr>
          <w:rFonts w:ascii="Arial" w:hAnsi="Arial" w:cs="Arial"/>
          <w:lang w:val="es-ES_tradnl"/>
        </w:rPr>
        <w:t xml:space="preserve">, frente al proveído que negó la alzada presentada contra el proveído que declaró el desistimiento tácito de la acción popular, cuando ese era el mecanismo ordinario y expedito que tenía para procurar que el estrado judicial reconsiderara aquella determinación. </w:t>
      </w:r>
    </w:p>
    <w:p w:rsidR="00A32B4D" w:rsidRDefault="00A32B4D" w:rsidP="006C5569">
      <w:pPr>
        <w:spacing w:line="360" w:lineRule="auto"/>
        <w:jc w:val="both"/>
        <w:rPr>
          <w:rFonts w:ascii="Arial" w:hAnsi="Arial" w:cs="Arial"/>
          <w:lang w:val="es-ES_tradnl"/>
        </w:rPr>
      </w:pPr>
    </w:p>
    <w:p w:rsidR="00A32B4D" w:rsidRDefault="006C5569" w:rsidP="006C5569">
      <w:pPr>
        <w:spacing w:line="360" w:lineRule="auto"/>
        <w:jc w:val="both"/>
        <w:rPr>
          <w:rFonts w:ascii="Arial" w:hAnsi="Arial" w:cs="Arial"/>
        </w:rPr>
      </w:pPr>
      <w:r>
        <w:rPr>
          <w:rFonts w:ascii="Arial" w:hAnsi="Arial" w:cs="Arial"/>
          <w:lang w:val="es-CO"/>
        </w:rPr>
        <w:t xml:space="preserve">Aun cuando presentó un memorial </w:t>
      </w:r>
      <w:r w:rsidR="00A32B4D">
        <w:rPr>
          <w:rFonts w:ascii="Arial" w:hAnsi="Arial" w:cs="Arial"/>
          <w:lang w:val="es-CO"/>
        </w:rPr>
        <w:t>durante s</w:t>
      </w:r>
      <w:r>
        <w:rPr>
          <w:rFonts w:ascii="Arial" w:hAnsi="Arial" w:cs="Arial"/>
          <w:lang w:val="es-CO"/>
        </w:rPr>
        <w:t xml:space="preserve">u ejecutoria, lo cierto es que </w:t>
      </w:r>
      <w:r w:rsidR="00A32B4D">
        <w:rPr>
          <w:rFonts w:ascii="Arial" w:hAnsi="Arial" w:cs="Arial"/>
          <w:lang w:val="es-CO"/>
        </w:rPr>
        <w:t xml:space="preserve">nunca se quejó de la negativa en la concesión de la alzada, pues, en efecto, pidió que </w:t>
      </w:r>
      <w:r w:rsidR="00A32B4D" w:rsidRPr="00A32B4D">
        <w:rPr>
          <w:rFonts w:ascii="Arial" w:hAnsi="Arial" w:cs="Arial"/>
          <w:i/>
          <w:sz w:val="22"/>
          <w:lang w:val="es-CO"/>
        </w:rPr>
        <w:t>“</w:t>
      </w:r>
      <w:r w:rsidR="00A32B4D">
        <w:rPr>
          <w:rFonts w:ascii="Arial" w:hAnsi="Arial" w:cs="Arial"/>
          <w:i/>
          <w:sz w:val="22"/>
          <w:lang w:val="es-CO"/>
        </w:rPr>
        <w:t xml:space="preserve">(…) </w:t>
      </w:r>
      <w:r w:rsidR="00A32B4D" w:rsidRPr="00A32B4D">
        <w:rPr>
          <w:rFonts w:ascii="Arial" w:hAnsi="Arial" w:cs="Arial"/>
          <w:i/>
          <w:sz w:val="22"/>
          <w:lang w:val="es-CO"/>
        </w:rPr>
        <w:t xml:space="preserve">se me pruebe que la juez (Sic) </w:t>
      </w:r>
      <w:r w:rsidR="00A32B4D">
        <w:rPr>
          <w:rFonts w:ascii="Arial" w:hAnsi="Arial" w:cs="Arial"/>
          <w:i/>
          <w:sz w:val="22"/>
          <w:lang w:val="es-CO"/>
        </w:rPr>
        <w:t>notifico (Sic)</w:t>
      </w:r>
      <w:r w:rsidR="00A32B4D" w:rsidRPr="00A32B4D">
        <w:rPr>
          <w:rFonts w:ascii="Arial" w:hAnsi="Arial" w:cs="Arial"/>
          <w:i/>
          <w:sz w:val="22"/>
          <w:lang w:val="es-CO"/>
        </w:rPr>
        <w:t xml:space="preserve"> al </w:t>
      </w:r>
      <w:r w:rsidR="00A32B4D" w:rsidRPr="00A32B4D">
        <w:rPr>
          <w:rFonts w:ascii="Arial" w:hAnsi="Arial" w:cs="Arial"/>
          <w:i/>
          <w:sz w:val="22"/>
          <w:u w:val="single"/>
          <w:lang w:val="es-CO"/>
        </w:rPr>
        <w:t>Procurador</w:t>
      </w:r>
      <w:r w:rsidR="00A32B4D" w:rsidRPr="00A32B4D">
        <w:rPr>
          <w:rFonts w:ascii="Arial" w:hAnsi="Arial" w:cs="Arial"/>
          <w:i/>
          <w:sz w:val="22"/>
          <w:lang w:val="es-CO"/>
        </w:rPr>
        <w:t xml:space="preserve"> </w:t>
      </w:r>
      <w:r w:rsidR="00A32B4D" w:rsidRPr="00A32B4D">
        <w:rPr>
          <w:rFonts w:ascii="Arial" w:hAnsi="Arial" w:cs="Arial"/>
          <w:i/>
          <w:sz w:val="22"/>
        </w:rPr>
        <w:t xml:space="preserve">como se lo </w:t>
      </w:r>
      <w:r w:rsidR="00A32B4D">
        <w:rPr>
          <w:rFonts w:ascii="Arial" w:hAnsi="Arial" w:cs="Arial"/>
          <w:i/>
          <w:sz w:val="22"/>
        </w:rPr>
        <w:t>ordeno (Sic)</w:t>
      </w:r>
      <w:r w:rsidR="00A32B4D" w:rsidRPr="00A32B4D">
        <w:rPr>
          <w:rFonts w:ascii="Arial" w:hAnsi="Arial" w:cs="Arial"/>
          <w:i/>
          <w:sz w:val="22"/>
        </w:rPr>
        <w:t xml:space="preserve"> el H. tribunal (Sic)</w:t>
      </w:r>
      <w:r w:rsidR="00A32B4D">
        <w:rPr>
          <w:rFonts w:ascii="Arial" w:hAnsi="Arial" w:cs="Arial"/>
          <w:i/>
          <w:sz w:val="22"/>
        </w:rPr>
        <w:t xml:space="preserve"> (…)</w:t>
      </w:r>
      <w:r w:rsidR="00A32B4D" w:rsidRPr="00A32B4D">
        <w:rPr>
          <w:rFonts w:ascii="Arial" w:hAnsi="Arial" w:cs="Arial"/>
          <w:i/>
          <w:sz w:val="22"/>
        </w:rPr>
        <w:t>”</w:t>
      </w:r>
      <w:r w:rsidR="00A32B4D">
        <w:rPr>
          <w:rFonts w:ascii="Arial" w:hAnsi="Arial" w:cs="Arial"/>
          <w:i/>
          <w:sz w:val="22"/>
        </w:rPr>
        <w:t xml:space="preserve"> </w:t>
      </w:r>
      <w:r w:rsidR="00A32B4D" w:rsidRPr="00A32B4D">
        <w:rPr>
          <w:rFonts w:ascii="Arial" w:hAnsi="Arial" w:cs="Arial"/>
        </w:rPr>
        <w:t>(Folio 139 del disco compacto visible a folio 21, ib.)</w:t>
      </w:r>
      <w:r w:rsidR="00A32B4D">
        <w:rPr>
          <w:rFonts w:ascii="Arial" w:hAnsi="Arial" w:cs="Arial"/>
          <w:i/>
          <w:sz w:val="22"/>
        </w:rPr>
        <w:t xml:space="preserve">. </w:t>
      </w:r>
      <w:r w:rsidR="00A32B4D" w:rsidRPr="00A32B4D">
        <w:rPr>
          <w:rFonts w:ascii="Arial" w:hAnsi="Arial" w:cs="Arial"/>
        </w:rPr>
        <w:t xml:space="preserve">No </w:t>
      </w:r>
      <w:r w:rsidR="00A32B4D">
        <w:rPr>
          <w:rFonts w:ascii="Arial" w:hAnsi="Arial" w:cs="Arial"/>
        </w:rPr>
        <w:t xml:space="preserve">atacó </w:t>
      </w:r>
      <w:r w:rsidR="00A32B4D" w:rsidRPr="00A32B4D">
        <w:rPr>
          <w:rFonts w:ascii="Arial" w:hAnsi="Arial" w:cs="Arial"/>
        </w:rPr>
        <w:t xml:space="preserve">el contenido de la decisión </w:t>
      </w:r>
      <w:r w:rsidR="00A32B4D">
        <w:rPr>
          <w:rFonts w:ascii="Arial" w:hAnsi="Arial" w:cs="Arial"/>
        </w:rPr>
        <w:t xml:space="preserve">y refirió </w:t>
      </w:r>
      <w:r w:rsidR="00A32B4D" w:rsidRPr="00A32B4D">
        <w:rPr>
          <w:rFonts w:ascii="Arial" w:hAnsi="Arial" w:cs="Arial"/>
        </w:rPr>
        <w:t>a un tema diferente</w:t>
      </w:r>
      <w:r w:rsidR="00A32B4D">
        <w:rPr>
          <w:rFonts w:ascii="Arial" w:hAnsi="Arial" w:cs="Arial"/>
        </w:rPr>
        <w:t xml:space="preserve">. En síntesis, dejó ejecutoriar el auto que negó la </w:t>
      </w:r>
      <w:r w:rsidR="00A32B4D">
        <w:rPr>
          <w:rFonts w:ascii="Arial" w:hAnsi="Arial" w:cs="Arial"/>
        </w:rPr>
        <w:lastRenderedPageBreak/>
        <w:t>alzada.</w:t>
      </w:r>
    </w:p>
    <w:p w:rsidR="00CC31E0" w:rsidRDefault="00CC31E0" w:rsidP="00A26486">
      <w:pPr>
        <w:spacing w:line="360" w:lineRule="auto"/>
        <w:ind w:right="51"/>
        <w:jc w:val="both"/>
        <w:rPr>
          <w:rFonts w:ascii="Arial" w:hAnsi="Arial" w:cs="Arial"/>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17"/>
      </w:r>
      <w:r w:rsidRPr="00A80FCC">
        <w:rPr>
          <w:rFonts w:ascii="Arial" w:hAnsi="Arial" w:cs="Arial"/>
        </w:rPr>
        <w:t xml:space="preserve">. </w:t>
      </w:r>
    </w:p>
    <w:p w:rsidR="00D10AEC" w:rsidRPr="00176A1F" w:rsidRDefault="00D10AEC" w:rsidP="00AB69A6">
      <w:pPr>
        <w:spacing w:line="360" w:lineRule="auto"/>
        <w:jc w:val="both"/>
        <w:rPr>
          <w:rFonts w:ascii="Arial" w:hAnsi="Arial" w:cs="Arial"/>
          <w:bCs/>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8"/>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9"/>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813269" w:rsidRDefault="00D10AEC" w:rsidP="00D10AEC">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w:t>
      </w:r>
      <w:r w:rsidRPr="00813269">
        <w:rPr>
          <w:rFonts w:ascii="Arial" w:hAnsi="Arial" w:cs="Arial"/>
          <w:lang w:val="es-ES_tradnl"/>
        </w:rPr>
        <w:t xml:space="preserve">procedibilidad, como lo es el de la subsidiariedad, </w:t>
      </w:r>
      <w:r w:rsidR="005E276A" w:rsidRPr="00813269">
        <w:rPr>
          <w:rFonts w:ascii="Arial" w:hAnsi="Arial" w:cs="Arial"/>
          <w:lang w:val="es-ES_tradnl"/>
        </w:rPr>
        <w:t>dado que</w:t>
      </w:r>
      <w:r w:rsidR="002C34FF" w:rsidRPr="00813269">
        <w:rPr>
          <w:rFonts w:ascii="Arial" w:hAnsi="Arial" w:cs="Arial"/>
          <w:lang w:val="es-ES_tradnl"/>
        </w:rPr>
        <w:t xml:space="preserve"> no se</w:t>
      </w:r>
      <w:r w:rsidR="00813269">
        <w:rPr>
          <w:rFonts w:ascii="Arial" w:hAnsi="Arial" w:cs="Arial"/>
          <w:lang w:val="es-ES_tradnl"/>
        </w:rPr>
        <w:t xml:space="preserve"> atacó el contenido del proveído que negó el recurso de apelación.</w:t>
      </w:r>
    </w:p>
    <w:p w:rsidR="001D4D7B" w:rsidRDefault="00813269" w:rsidP="00D10AEC">
      <w:pPr>
        <w:spacing w:line="360" w:lineRule="auto"/>
        <w:ind w:right="51"/>
        <w:jc w:val="both"/>
        <w:rPr>
          <w:rFonts w:ascii="Arial" w:hAnsi="Arial"/>
        </w:rPr>
      </w:pPr>
      <w:r>
        <w:rPr>
          <w:rFonts w:ascii="Arial" w:hAnsi="Arial"/>
        </w:rPr>
        <w:t xml:space="preserve"> </w:t>
      </w:r>
    </w:p>
    <w:p w:rsidR="00446B54" w:rsidRPr="00A32B4D" w:rsidRDefault="00A32B4D" w:rsidP="00A32B4D">
      <w:pPr>
        <w:pStyle w:val="Paragraphedeliste"/>
        <w:widowControl/>
        <w:numPr>
          <w:ilvl w:val="1"/>
          <w:numId w:val="32"/>
        </w:numPr>
        <w:spacing w:line="360" w:lineRule="auto"/>
        <w:jc w:val="both"/>
        <w:rPr>
          <w:rFonts w:ascii="Arial" w:hAnsi="Arial"/>
          <w:smallCaps/>
          <w:lang w:val="es-CO"/>
        </w:rPr>
      </w:pPr>
      <w:r>
        <w:rPr>
          <w:rFonts w:ascii="Arial" w:hAnsi="Arial"/>
          <w:smallCaps/>
          <w:lang w:val="es-CO"/>
        </w:rPr>
        <w:t>La i</w:t>
      </w:r>
      <w:r w:rsidR="00446B54" w:rsidRPr="00A32B4D">
        <w:rPr>
          <w:rFonts w:ascii="Arial" w:hAnsi="Arial"/>
          <w:smallCaps/>
          <w:lang w:val="es-CO"/>
        </w:rPr>
        <w:t xml:space="preserve">nexistencia de hechos </w:t>
      </w:r>
    </w:p>
    <w:p w:rsidR="00446B54" w:rsidRPr="00176A1F" w:rsidRDefault="00446B54" w:rsidP="00446B54">
      <w:pPr>
        <w:pStyle w:val="Paragraphedeliste"/>
        <w:widowControl/>
        <w:spacing w:line="360" w:lineRule="auto"/>
        <w:ind w:left="720"/>
        <w:jc w:val="both"/>
        <w:rPr>
          <w:rFonts w:ascii="Arial" w:hAnsi="Arial"/>
          <w:smallCaps/>
          <w:lang w:val="es-CO"/>
        </w:rPr>
      </w:pPr>
    </w:p>
    <w:p w:rsidR="00446B54" w:rsidRDefault="00446B54" w:rsidP="00446B54">
      <w:pPr>
        <w:spacing w:line="360" w:lineRule="auto"/>
        <w:jc w:val="both"/>
        <w:rPr>
          <w:rFonts w:ascii="Arial" w:hAnsi="Arial"/>
          <w:lang w:val="es-CO"/>
        </w:rPr>
      </w:pPr>
      <w:r>
        <w:rPr>
          <w:rFonts w:ascii="Arial" w:hAnsi="Arial"/>
          <w:lang w:val="es-CO"/>
        </w:rPr>
        <w:t xml:space="preserve">Por último, </w:t>
      </w:r>
      <w:r w:rsidRPr="000A23B9">
        <w:rPr>
          <w:rFonts w:ascii="Arial" w:hAnsi="Arial"/>
          <w:lang w:val="es-CO"/>
        </w:rPr>
        <w:t xml:space="preserve">en torno </w:t>
      </w:r>
      <w:r w:rsidRPr="000D646D">
        <w:rPr>
          <w:rFonts w:ascii="Arial" w:hAnsi="Arial"/>
          <w:lang w:val="es-CO"/>
        </w:rPr>
        <w:t>a</w:t>
      </w:r>
      <w:r>
        <w:rPr>
          <w:rFonts w:ascii="Arial" w:hAnsi="Arial"/>
          <w:lang w:val="es-CO"/>
        </w:rPr>
        <w:t>l</w:t>
      </w:r>
      <w:r w:rsidRPr="000D646D">
        <w:rPr>
          <w:rFonts w:ascii="Arial" w:hAnsi="Arial"/>
          <w:lang w:val="es-CO"/>
        </w:rPr>
        <w:t xml:space="preserve"> amparo presentado contra</w:t>
      </w:r>
      <w:r w:rsidRPr="000A23B9">
        <w:rPr>
          <w:rFonts w:ascii="Arial" w:hAnsi="Arial"/>
          <w:lang w:val="es-CO"/>
        </w:rPr>
        <w:t xml:space="preserve"> </w:t>
      </w:r>
      <w:r w:rsidR="008B7FEA">
        <w:rPr>
          <w:rFonts w:ascii="Arial" w:hAnsi="Arial"/>
          <w:lang w:val="es-CO"/>
        </w:rPr>
        <w:t>el</w:t>
      </w:r>
      <w:r w:rsidRPr="000A23B9">
        <w:rPr>
          <w:rFonts w:ascii="Arial" w:hAnsi="Arial"/>
          <w:lang w:val="es-CO"/>
        </w:rPr>
        <w:t xml:space="preserve"> CSJ Seccional Risaralda, </w:t>
      </w:r>
      <w:r>
        <w:rPr>
          <w:rFonts w:ascii="Arial" w:hAnsi="Arial"/>
          <w:lang w:val="es-CO"/>
        </w:rPr>
        <w:t xml:space="preserve">encuentra </w:t>
      </w:r>
      <w:r w:rsidRPr="000A23B9">
        <w:rPr>
          <w:rFonts w:ascii="Arial" w:hAnsi="Arial"/>
          <w:lang w:val="es-CO"/>
        </w:rPr>
        <w:t>la Sala</w:t>
      </w:r>
      <w:r>
        <w:rPr>
          <w:rFonts w:ascii="Arial" w:hAnsi="Arial"/>
          <w:lang w:val="es-CO"/>
        </w:rPr>
        <w:t>,</w:t>
      </w:r>
      <w:r w:rsidRPr="000A23B9">
        <w:rPr>
          <w:rFonts w:ascii="Arial" w:hAnsi="Arial"/>
          <w:lang w:val="es-CO"/>
        </w:rPr>
        <w:t xml:space="preserve"> sin mayor </w:t>
      </w:r>
      <w:r>
        <w:rPr>
          <w:rFonts w:ascii="Arial" w:hAnsi="Arial"/>
          <w:lang w:val="es-CO"/>
        </w:rPr>
        <w:t>análisis,</w:t>
      </w:r>
      <w:r w:rsidRPr="000A23B9">
        <w:rPr>
          <w:rFonts w:ascii="Arial" w:hAnsi="Arial"/>
          <w:lang w:val="es-CO"/>
        </w:rPr>
        <w:t xml:space="preserve"> que debe </w:t>
      </w:r>
      <w:r>
        <w:rPr>
          <w:rFonts w:ascii="Arial" w:hAnsi="Arial"/>
          <w:lang w:val="es-CO"/>
        </w:rPr>
        <w:t>negarse</w:t>
      </w:r>
      <w:r w:rsidRPr="000A23B9">
        <w:rPr>
          <w:rFonts w:ascii="Arial" w:hAnsi="Arial"/>
          <w:lang w:val="es-CO"/>
        </w:rPr>
        <w:t xml:space="preserve">, por cuenta de la inexistencia de hechos vulneradores de los derechos fundamentales invocados; el accionante no </w:t>
      </w:r>
      <w:r>
        <w:rPr>
          <w:rFonts w:ascii="Arial" w:hAnsi="Arial"/>
          <w:lang w:val="es-CO"/>
        </w:rPr>
        <w:t xml:space="preserve">tuvo a bien acercar </w:t>
      </w:r>
      <w:r w:rsidRPr="000A23B9">
        <w:rPr>
          <w:rFonts w:ascii="Arial" w:hAnsi="Arial"/>
          <w:lang w:val="es-CO"/>
        </w:rPr>
        <w:t>con</w:t>
      </w:r>
      <w:r>
        <w:rPr>
          <w:rFonts w:ascii="Arial" w:hAnsi="Arial"/>
          <w:lang w:val="es-CO"/>
        </w:rPr>
        <w:t xml:space="preserve"> el </w:t>
      </w:r>
      <w:r w:rsidRPr="000A23B9">
        <w:rPr>
          <w:rFonts w:ascii="Arial" w:hAnsi="Arial"/>
          <w:lang w:val="es-CO"/>
        </w:rPr>
        <w:t xml:space="preserve">petitorio de tutela </w:t>
      </w:r>
      <w:r>
        <w:rPr>
          <w:rFonts w:ascii="Arial" w:hAnsi="Arial"/>
          <w:lang w:val="es-CO"/>
        </w:rPr>
        <w:t xml:space="preserve">un documento que acreditara la presentación de </w:t>
      </w:r>
      <w:r w:rsidRPr="000A23B9">
        <w:rPr>
          <w:rFonts w:ascii="Arial" w:hAnsi="Arial"/>
          <w:lang w:val="es-CO"/>
        </w:rPr>
        <w:t>la solicitud de vigilancia administrativa</w:t>
      </w:r>
      <w:r w:rsidR="008B7FEA">
        <w:rPr>
          <w:rFonts w:ascii="Arial" w:hAnsi="Arial"/>
          <w:lang w:val="es-CO"/>
        </w:rPr>
        <w:t xml:space="preserve">, </w:t>
      </w:r>
      <w:r>
        <w:rPr>
          <w:rFonts w:ascii="Arial" w:hAnsi="Arial"/>
          <w:lang w:val="es-CO"/>
        </w:rPr>
        <w:t xml:space="preserve">por el contrario </w:t>
      </w:r>
      <w:r w:rsidRPr="000A23B9">
        <w:rPr>
          <w:rFonts w:ascii="Arial" w:hAnsi="Arial"/>
          <w:lang w:val="es-CO"/>
        </w:rPr>
        <w:t>la autoridad</w:t>
      </w:r>
      <w:r w:rsidR="0014673C">
        <w:rPr>
          <w:rFonts w:ascii="Arial" w:hAnsi="Arial"/>
          <w:lang w:val="es-CO"/>
        </w:rPr>
        <w:t xml:space="preserve"> accionada</w:t>
      </w:r>
      <w:r w:rsidRPr="000A23B9">
        <w:rPr>
          <w:rFonts w:ascii="Arial" w:hAnsi="Arial"/>
          <w:lang w:val="es-CO"/>
        </w:rPr>
        <w:t xml:space="preserve"> </w:t>
      </w:r>
      <w:r w:rsidR="0014673C">
        <w:rPr>
          <w:rFonts w:ascii="Arial" w:hAnsi="Arial"/>
          <w:lang w:val="es-CO"/>
        </w:rPr>
        <w:t>fue contundente</w:t>
      </w:r>
      <w:r w:rsidR="00881064">
        <w:rPr>
          <w:rFonts w:ascii="Arial" w:hAnsi="Arial"/>
          <w:lang w:val="es-CO"/>
        </w:rPr>
        <w:t xml:space="preserve"> </w:t>
      </w:r>
      <w:r w:rsidRPr="000A23B9">
        <w:rPr>
          <w:rFonts w:ascii="Arial" w:hAnsi="Arial"/>
          <w:lang w:val="es-CO"/>
        </w:rPr>
        <w:t>en afirmar que no ha</w:t>
      </w:r>
      <w:r w:rsidR="008B7FEA">
        <w:rPr>
          <w:rFonts w:ascii="Arial" w:hAnsi="Arial"/>
          <w:lang w:val="es-CO"/>
        </w:rPr>
        <w:t>n</w:t>
      </w:r>
      <w:r w:rsidRPr="000A23B9">
        <w:rPr>
          <w:rFonts w:ascii="Arial" w:hAnsi="Arial"/>
          <w:lang w:val="es-CO"/>
        </w:rPr>
        <w:t xml:space="preserve"> recibido ninguna petición relacio</w:t>
      </w:r>
      <w:r>
        <w:rPr>
          <w:rFonts w:ascii="Arial" w:hAnsi="Arial"/>
          <w:lang w:val="es-CO"/>
        </w:rPr>
        <w:t>nada con la acción descrita anteriormente</w:t>
      </w:r>
      <w:r w:rsidR="0014673C">
        <w:rPr>
          <w:rFonts w:ascii="Arial" w:hAnsi="Arial"/>
          <w:lang w:val="es-CO"/>
        </w:rPr>
        <w:t>.</w:t>
      </w:r>
    </w:p>
    <w:p w:rsidR="00881064" w:rsidRDefault="00881064" w:rsidP="00446B54">
      <w:pPr>
        <w:spacing w:line="360" w:lineRule="auto"/>
        <w:jc w:val="both"/>
        <w:rPr>
          <w:rFonts w:ascii="Arial" w:hAnsi="Arial"/>
          <w:lang w:val="es-CO"/>
        </w:rPr>
      </w:pPr>
    </w:p>
    <w:p w:rsidR="00881064" w:rsidRDefault="00881064" w:rsidP="00446B54">
      <w:pPr>
        <w:spacing w:line="360" w:lineRule="auto"/>
        <w:jc w:val="both"/>
        <w:rPr>
          <w:rFonts w:ascii="Arial" w:hAnsi="Arial"/>
          <w:lang w:val="es-CO"/>
        </w:rPr>
      </w:pPr>
      <w:r>
        <w:rPr>
          <w:rFonts w:ascii="Arial" w:hAnsi="Arial"/>
          <w:lang w:val="es-CO"/>
        </w:rPr>
        <w:t>Finalmente, respecto al desarchivo de las acciones populares, hay que decir que el actor cuenta con el derecho de petición para así requerirlo al Juzgado, y no es este amparo el mecanismo idóneo para dicho fin.</w:t>
      </w:r>
    </w:p>
    <w:p w:rsidR="00446B54" w:rsidRPr="00881064" w:rsidRDefault="00446B54" w:rsidP="00446B54">
      <w:pPr>
        <w:widowControl/>
        <w:spacing w:line="360" w:lineRule="auto"/>
        <w:jc w:val="both"/>
        <w:rPr>
          <w:rFonts w:ascii="Arial" w:hAnsi="Arial"/>
          <w:lang w:val="es-CO"/>
        </w:rPr>
      </w:pPr>
    </w:p>
    <w:p w:rsidR="00446B54" w:rsidRDefault="00446B54" w:rsidP="00A32B4D">
      <w:pPr>
        <w:pStyle w:val="Corpsdetexte"/>
        <w:numPr>
          <w:ilvl w:val="0"/>
          <w:numId w:val="32"/>
        </w:numPr>
        <w:spacing w:line="360" w:lineRule="auto"/>
        <w:rPr>
          <w:rFonts w:ascii="Arial" w:hAnsi="Arial"/>
          <w:szCs w:val="24"/>
        </w:rPr>
      </w:pPr>
      <w:r w:rsidRPr="00F36F9C">
        <w:rPr>
          <w:rFonts w:ascii="Arial" w:hAnsi="Arial"/>
          <w:szCs w:val="24"/>
        </w:rPr>
        <w:t xml:space="preserve">LAS CONCLUSIONES </w:t>
      </w:r>
    </w:p>
    <w:p w:rsidR="00446B54" w:rsidRPr="00881064" w:rsidRDefault="00446B54" w:rsidP="00446B54">
      <w:pPr>
        <w:pStyle w:val="Corpsdetexte"/>
        <w:spacing w:line="360" w:lineRule="auto"/>
        <w:rPr>
          <w:rFonts w:ascii="Arial" w:hAnsi="Arial" w:cs="Arial"/>
          <w:szCs w:val="24"/>
          <w:lang w:val="es-ES"/>
        </w:rPr>
      </w:pPr>
    </w:p>
    <w:p w:rsidR="00446B54" w:rsidRDefault="00446B54" w:rsidP="00446B54">
      <w:pPr>
        <w:spacing w:line="360" w:lineRule="auto"/>
        <w:jc w:val="both"/>
        <w:rPr>
          <w:rFonts w:ascii="Arial" w:hAnsi="Arial" w:cs="Arial"/>
        </w:rPr>
      </w:pPr>
      <w:r w:rsidRPr="005B66E9">
        <w:rPr>
          <w:rFonts w:ascii="Arial" w:hAnsi="Arial" w:cs="Arial"/>
        </w:rPr>
        <w:t>Con fundamento en las consideraciones expuestas se declarará improcedente la tutela</w:t>
      </w:r>
      <w:r>
        <w:rPr>
          <w:rFonts w:ascii="Arial" w:hAnsi="Arial" w:cs="Arial"/>
        </w:rPr>
        <w:t xml:space="preserve"> frente al Juzgado </w:t>
      </w:r>
      <w:r w:rsidR="00875B84">
        <w:rPr>
          <w:rFonts w:ascii="Arial" w:hAnsi="Arial" w:cs="Arial"/>
        </w:rPr>
        <w:t xml:space="preserve">Segundo </w:t>
      </w:r>
      <w:r>
        <w:rPr>
          <w:rFonts w:ascii="Arial" w:hAnsi="Arial" w:cs="Arial"/>
        </w:rPr>
        <w:t xml:space="preserve">Circuito de </w:t>
      </w:r>
      <w:r w:rsidR="00875B84">
        <w:rPr>
          <w:rFonts w:ascii="Arial" w:hAnsi="Arial" w:cs="Arial"/>
        </w:rPr>
        <w:t>Pereira</w:t>
      </w:r>
      <w:r w:rsidR="0014673C">
        <w:rPr>
          <w:rFonts w:ascii="Arial" w:hAnsi="Arial" w:cs="Arial"/>
        </w:rPr>
        <w:t xml:space="preserve"> y la Procuraduría General de la Nación, </w:t>
      </w:r>
      <w:r w:rsidR="0014673C">
        <w:rPr>
          <w:rFonts w:ascii="Arial" w:hAnsi="Arial" w:cs="Arial"/>
        </w:rPr>
        <w:lastRenderedPageBreak/>
        <w:t>Regional Risaralda</w:t>
      </w:r>
      <w:r>
        <w:rPr>
          <w:rFonts w:ascii="Arial" w:hAnsi="Arial" w:cs="Arial"/>
        </w:rPr>
        <w:t>, y se negará frente a la Sala Administrativa de la CSJ, Seccional Risaralda</w:t>
      </w:r>
      <w:r w:rsidR="00875B84">
        <w:rPr>
          <w:rFonts w:ascii="Arial" w:hAnsi="Arial" w:cs="Arial"/>
        </w:rPr>
        <w:t>.</w:t>
      </w:r>
    </w:p>
    <w:p w:rsidR="00446B54" w:rsidRPr="00176A1F" w:rsidRDefault="00446B54" w:rsidP="00446B54">
      <w:pPr>
        <w:pStyle w:val="Corpsdetexte"/>
        <w:tabs>
          <w:tab w:val="clear" w:pos="708"/>
        </w:tabs>
        <w:spacing w:line="360" w:lineRule="auto"/>
        <w:rPr>
          <w:rFonts w:ascii="Arial" w:hAnsi="Arial" w:cs="Arial"/>
          <w:szCs w:val="24"/>
          <w:lang w:val="es-CO"/>
        </w:rPr>
      </w:pPr>
    </w:p>
    <w:p w:rsidR="00446B54" w:rsidRPr="00A30437" w:rsidRDefault="00446B54" w:rsidP="00446B54">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446B54" w:rsidRPr="003F6C16" w:rsidRDefault="00446B54" w:rsidP="00446B54">
      <w:pPr>
        <w:tabs>
          <w:tab w:val="left" w:pos="-720"/>
        </w:tabs>
        <w:suppressAutoHyphens/>
        <w:spacing w:line="360" w:lineRule="auto"/>
        <w:jc w:val="both"/>
        <w:rPr>
          <w:rFonts w:ascii="Arial" w:hAnsi="Arial" w:cs="Arial"/>
          <w:sz w:val="4"/>
        </w:rPr>
      </w:pPr>
    </w:p>
    <w:p w:rsidR="00446B54" w:rsidRPr="009D5231" w:rsidRDefault="00446B54" w:rsidP="00446B54">
      <w:pPr>
        <w:pStyle w:val="Corpsdetexte"/>
        <w:spacing w:line="360" w:lineRule="auto"/>
        <w:jc w:val="center"/>
        <w:rPr>
          <w:rFonts w:ascii="Arial" w:hAnsi="Arial" w:cs="Arial"/>
          <w:bCs/>
          <w:smallCaps/>
          <w:sz w:val="2"/>
          <w:szCs w:val="24"/>
        </w:rPr>
      </w:pPr>
    </w:p>
    <w:p w:rsidR="00446B54" w:rsidRDefault="00446B54" w:rsidP="00446B54">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446B54" w:rsidRPr="00A30437" w:rsidRDefault="00446B54" w:rsidP="00446B54">
      <w:pPr>
        <w:pStyle w:val="Corpsdetexte"/>
        <w:spacing w:line="360" w:lineRule="auto"/>
        <w:jc w:val="center"/>
        <w:rPr>
          <w:rFonts w:ascii="Arial" w:hAnsi="Arial" w:cs="Arial"/>
          <w:bCs/>
          <w:smallCaps/>
          <w:szCs w:val="24"/>
        </w:rPr>
      </w:pPr>
    </w:p>
    <w:p w:rsidR="00446B54" w:rsidRDefault="00446B54" w:rsidP="00446B5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B317D">
        <w:rPr>
          <w:rFonts w:ascii="Arial" w:hAnsi="Arial"/>
        </w:rPr>
        <w:t>DECLARAR</w:t>
      </w:r>
      <w:r w:rsidRPr="00CB317D">
        <w:rPr>
          <w:rFonts w:ascii="Arial" w:hAnsi="Arial" w:cs="Arial"/>
        </w:rPr>
        <w:t xml:space="preserve"> improcedente la tutela propuesta por el señor Javier Elías Arias </w:t>
      </w:r>
      <w:proofErr w:type="spellStart"/>
      <w:r w:rsidRPr="00CB317D">
        <w:rPr>
          <w:rFonts w:ascii="Arial" w:hAnsi="Arial" w:cs="Arial"/>
        </w:rPr>
        <w:t>Idárraga</w:t>
      </w:r>
      <w:proofErr w:type="spellEnd"/>
      <w:r w:rsidRPr="00CB317D">
        <w:rPr>
          <w:rFonts w:ascii="Arial" w:hAnsi="Arial" w:cs="Arial"/>
        </w:rPr>
        <w:t xml:space="preserve"> contra el Juzgado </w:t>
      </w:r>
      <w:r w:rsidR="00875B84">
        <w:rPr>
          <w:rFonts w:ascii="Arial" w:hAnsi="Arial" w:cs="Arial"/>
        </w:rPr>
        <w:t>Segundo Civil del Circuito de Pereira</w:t>
      </w:r>
      <w:r w:rsidR="0014673C">
        <w:rPr>
          <w:rFonts w:ascii="Arial" w:hAnsi="Arial" w:cs="Arial"/>
        </w:rPr>
        <w:t xml:space="preserve"> y la Procuraduría General de la Nación, Regional Pereira</w:t>
      </w:r>
      <w:r w:rsidR="00875B84">
        <w:rPr>
          <w:rFonts w:ascii="Arial" w:hAnsi="Arial" w:cs="Arial"/>
        </w:rPr>
        <w:t>.</w:t>
      </w:r>
      <w:r w:rsidRPr="00CB317D">
        <w:rPr>
          <w:rFonts w:ascii="Arial" w:hAnsi="Arial" w:cs="Arial"/>
        </w:rPr>
        <w:t xml:space="preserve"> </w:t>
      </w:r>
    </w:p>
    <w:p w:rsidR="008206BC" w:rsidRDefault="008206BC" w:rsidP="008206BC">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446B54" w:rsidRDefault="00446B54" w:rsidP="00446B54">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presentado frente al CSJ Seccional Risaralda por inexistencia de vulneración o amenaza de los derechos fundamentales deprecados.</w:t>
      </w:r>
    </w:p>
    <w:p w:rsidR="008206BC" w:rsidRPr="008206BC" w:rsidRDefault="008206BC" w:rsidP="008206BC">
      <w:pPr>
        <w:pStyle w:val="Paragraphedeliste"/>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8206BC" w:rsidRDefault="008206BC" w:rsidP="008206BC">
      <w:pPr>
        <w:pStyle w:val="Corpsdetexte"/>
        <w:tabs>
          <w:tab w:val="clear" w:pos="708"/>
        </w:tabs>
        <w:spacing w:line="360" w:lineRule="auto"/>
        <w:ind w:left="360"/>
        <w:rPr>
          <w:rFonts w:ascii="Arial" w:hAnsi="Arial" w:cs="Arial"/>
          <w:szCs w:val="24"/>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0E547E" w:rsidRDefault="00167C8F" w:rsidP="00193C99">
      <w:pPr>
        <w:pStyle w:val="Corpsdetexte"/>
        <w:tabs>
          <w:tab w:val="left" w:pos="3944"/>
          <w:tab w:val="center" w:pos="4703"/>
        </w:tabs>
        <w:spacing w:line="360" w:lineRule="auto"/>
        <w:jc w:val="left"/>
        <w:rPr>
          <w:rFonts w:ascii="Arial" w:hAnsi="Arial"/>
          <w:smallCaps/>
          <w:sz w:val="20"/>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0E547E">
        <w:rPr>
          <w:rFonts w:ascii="Arial" w:hAnsi="Arial"/>
          <w:smallCaps/>
          <w:sz w:val="28"/>
          <w:szCs w:val="24"/>
          <w:lang w:val="es-CO"/>
        </w:rPr>
        <w:tab/>
      </w:r>
      <w:r w:rsidRPr="000E547E">
        <w:rPr>
          <w:rFonts w:ascii="Arial" w:hAnsi="Arial"/>
          <w:smallCaps/>
          <w:sz w:val="28"/>
          <w:szCs w:val="24"/>
          <w:lang w:val="es-CO"/>
        </w:rPr>
        <w:tab/>
      </w:r>
      <w:r w:rsidRPr="000E547E">
        <w:rPr>
          <w:rFonts w:ascii="Arial" w:hAnsi="Arial"/>
          <w:smallCaps/>
          <w:sz w:val="28"/>
          <w:szCs w:val="24"/>
          <w:lang w:val="es-CO"/>
        </w:rPr>
        <w:tab/>
      </w:r>
      <w:r w:rsidRPr="000E547E">
        <w:rPr>
          <w:rFonts w:ascii="Arial" w:hAnsi="Arial"/>
          <w:smallCaps/>
          <w:sz w:val="28"/>
          <w:szCs w:val="24"/>
          <w:lang w:val="es-CO"/>
        </w:rPr>
        <w:tab/>
      </w:r>
      <w:r w:rsidRPr="000E547E">
        <w:rPr>
          <w:rFonts w:ascii="Arial" w:hAnsi="Arial"/>
          <w:smallCaps/>
          <w:sz w:val="28"/>
          <w:szCs w:val="24"/>
          <w:lang w:val="es-CO"/>
        </w:rPr>
        <w:tab/>
      </w:r>
      <w:r w:rsidRPr="000E547E">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4B7598" w:rsidRPr="00176A1F" w:rsidRDefault="004B7598" w:rsidP="00167C8F">
      <w:pPr>
        <w:pStyle w:val="Corpsdetexte"/>
        <w:spacing w:line="360" w:lineRule="auto"/>
        <w:jc w:val="center"/>
        <w:rPr>
          <w:rFonts w:ascii="Arial" w:hAnsi="Arial"/>
          <w:smallCaps/>
          <w:szCs w:val="24"/>
          <w:lang w:val="en-US"/>
        </w:rPr>
      </w:pPr>
    </w:p>
    <w:p w:rsidR="00881064" w:rsidRDefault="00881064" w:rsidP="00167C8F">
      <w:pPr>
        <w:pStyle w:val="Corpsdetexte"/>
        <w:spacing w:line="360" w:lineRule="auto"/>
        <w:jc w:val="center"/>
        <w:rPr>
          <w:rFonts w:ascii="Arial" w:hAnsi="Arial"/>
          <w:smallCaps/>
          <w:szCs w:val="24"/>
          <w:lang w:val="en-US"/>
        </w:rPr>
      </w:pPr>
    </w:p>
    <w:p w:rsidR="00176A1F" w:rsidRPr="00176A1F" w:rsidRDefault="00176A1F" w:rsidP="00167C8F">
      <w:pPr>
        <w:pStyle w:val="Corpsdetex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Pr="00176A1F" w:rsidRDefault="006660E4" w:rsidP="00167C8F">
      <w:pPr>
        <w:pStyle w:val="Corpsdetexte"/>
        <w:spacing w:line="360" w:lineRule="auto"/>
        <w:jc w:val="center"/>
        <w:rPr>
          <w:rFonts w:ascii="Arial" w:hAnsi="Arial"/>
          <w:smallCaps/>
          <w:szCs w:val="24"/>
          <w:lang w:val="en-US"/>
        </w:rPr>
      </w:pPr>
    </w:p>
    <w:p w:rsidR="00167C8F" w:rsidRPr="00176A1F" w:rsidRDefault="00167C8F" w:rsidP="00167C8F">
      <w:pPr>
        <w:pStyle w:val="Corpsdetexte"/>
        <w:spacing w:line="360" w:lineRule="auto"/>
        <w:jc w:val="center"/>
        <w:rPr>
          <w:rFonts w:ascii="Arial" w:hAnsi="Arial"/>
          <w:smallCaps/>
          <w:szCs w:val="24"/>
          <w:lang w:val="en-US"/>
        </w:rPr>
      </w:pPr>
    </w:p>
    <w:p w:rsidR="004B7598" w:rsidRPr="00176A1F" w:rsidRDefault="004B7598" w:rsidP="00176A1F">
      <w:pPr>
        <w:pStyle w:val="Corpsdetexte"/>
        <w:spacing w:line="360" w:lineRule="auto"/>
        <w:ind w:left="708" w:hanging="708"/>
        <w:jc w:val="center"/>
        <w:rPr>
          <w:rFonts w:ascii="Arial" w:hAnsi="Arial"/>
          <w:szCs w:val="24"/>
          <w:lang w:val="en-US"/>
        </w:rPr>
      </w:pPr>
      <w:bookmarkStart w:id="0" w:name="_GoBack"/>
      <w:bookmarkEnd w:id="0"/>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8206B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88" w:rsidRDefault="009F6888" w:rsidP="0099045D">
      <w:r>
        <w:separator/>
      </w:r>
    </w:p>
  </w:endnote>
  <w:endnote w:type="continuationSeparator" w:id="0">
    <w:p w:rsidR="009F6888" w:rsidRDefault="009F688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88" w:rsidRDefault="009F6888" w:rsidP="0099045D">
      <w:r>
        <w:separator/>
      </w:r>
    </w:p>
  </w:footnote>
  <w:footnote w:type="continuationSeparator" w:id="0">
    <w:p w:rsidR="009F6888" w:rsidRDefault="009F6888" w:rsidP="0099045D">
      <w:r>
        <w:continuationSeparator/>
      </w:r>
    </w:p>
  </w:footnote>
  <w:footnote w:id="1">
    <w:p w:rsidR="00DC53D1" w:rsidRPr="000E547E" w:rsidRDefault="00DC53D1" w:rsidP="00DC53D1">
      <w:pPr>
        <w:pStyle w:val="Notedebasdepage"/>
        <w:rPr>
          <w:rFonts w:ascii="Calibri" w:hAnsi="Calibri"/>
          <w:lang w:val="fr-FR"/>
        </w:rPr>
      </w:pPr>
      <w:r>
        <w:rPr>
          <w:rStyle w:val="Appelnotedebasdep"/>
          <w:rFonts w:ascii="Calibri" w:hAnsi="Calibri"/>
        </w:rPr>
        <w:footnoteRef/>
      </w:r>
      <w:r w:rsidRPr="000E547E">
        <w:rPr>
          <w:rFonts w:ascii="Calibri" w:hAnsi="Calibri"/>
          <w:lang w:val="fr-FR"/>
        </w:rPr>
        <w:t xml:space="preserve"> CC. T-382 de 2016</w:t>
      </w:r>
    </w:p>
  </w:footnote>
  <w:footnote w:id="2">
    <w:p w:rsidR="00DC53D1" w:rsidRPr="000E547E" w:rsidRDefault="00DC53D1" w:rsidP="00DC53D1">
      <w:pPr>
        <w:pStyle w:val="Notedebasdepage"/>
        <w:rPr>
          <w:rFonts w:ascii="Calibri" w:hAnsi="Calibri"/>
          <w:lang w:val="fr-FR"/>
        </w:rPr>
      </w:pPr>
      <w:r>
        <w:rPr>
          <w:rStyle w:val="Appelnotedebasdep"/>
          <w:rFonts w:ascii="Calibri" w:hAnsi="Calibri"/>
        </w:rPr>
        <w:footnoteRef/>
      </w:r>
      <w:r w:rsidRPr="000E547E">
        <w:rPr>
          <w:rFonts w:ascii="Calibri" w:hAnsi="Calibri"/>
          <w:lang w:val="fr-FR"/>
        </w:rPr>
        <w:t xml:space="preserve"> CC. T–1191 de 2004 </w:t>
      </w:r>
    </w:p>
  </w:footnote>
  <w:footnote w:id="3">
    <w:p w:rsidR="00DC53D1" w:rsidRDefault="00DC53D1" w:rsidP="00DC53D1">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AB69A6">
        <w:rPr>
          <w:rFonts w:asciiTheme="minorHAnsi" w:hAnsiTheme="minorHAnsi" w:cs="Calibri"/>
        </w:rPr>
        <w:t>.</w:t>
      </w:r>
      <w:r w:rsidRPr="00E17BD7">
        <w:rPr>
          <w:rFonts w:asciiTheme="minorHAnsi" w:hAnsiTheme="minorHAnsi" w:cs="Calibri"/>
        </w:rPr>
        <w:t>, Manuel F</w:t>
      </w:r>
      <w:r w:rsidR="00AB69A6">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AB69A6">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D33789" w:rsidRPr="000E547E"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0E547E">
        <w:rPr>
          <w:rFonts w:asciiTheme="minorHAnsi" w:hAnsiTheme="minorHAnsi" w:cs="Calibri"/>
          <w:lang w:val="fr-FR"/>
        </w:rPr>
        <w:t xml:space="preserve"> CC. T-917 de 2011.</w:t>
      </w:r>
    </w:p>
  </w:footnote>
  <w:footnote w:id="7">
    <w:p w:rsidR="00D33789" w:rsidRPr="000E547E"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0E547E">
        <w:rPr>
          <w:rFonts w:asciiTheme="minorHAnsi" w:hAnsiTheme="minorHAnsi" w:cs="Calibri"/>
          <w:lang w:val="fr-FR"/>
        </w:rPr>
        <w:t xml:space="preserve"> CC. C-590 de 2005.</w:t>
      </w:r>
    </w:p>
  </w:footnote>
  <w:footnote w:id="8">
    <w:p w:rsidR="00D33789" w:rsidRPr="000E547E" w:rsidRDefault="00D33789" w:rsidP="00D33789">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0E547E">
        <w:rPr>
          <w:rFonts w:asciiTheme="minorHAnsi" w:hAnsiTheme="minorHAnsi" w:cs="Calibri"/>
          <w:lang w:val="fr-FR"/>
        </w:rPr>
        <w:t xml:space="preserve"> CC. </w:t>
      </w:r>
      <w:proofErr w:type="spellStart"/>
      <w:r w:rsidR="00167C8F" w:rsidRPr="000E547E">
        <w:rPr>
          <w:rFonts w:asciiTheme="minorHAnsi" w:hAnsiTheme="minorHAnsi" w:cs="Calibri"/>
          <w:bCs/>
          <w:lang w:val="fr-FR"/>
        </w:rPr>
        <w:t>SU-222</w:t>
      </w:r>
      <w:proofErr w:type="spellEnd"/>
      <w:r w:rsidR="00167C8F" w:rsidRPr="000E547E">
        <w:rPr>
          <w:rFonts w:asciiTheme="minorHAnsi" w:hAnsiTheme="minorHAnsi" w:cs="Calibri"/>
          <w:bCs/>
          <w:lang w:val="fr-FR"/>
        </w:rPr>
        <w:t xml:space="preserve"> de 2016</w:t>
      </w:r>
      <w:r w:rsidRPr="000E547E">
        <w:rPr>
          <w:rFonts w:asciiTheme="minorHAnsi" w:hAnsiTheme="minorHAnsi" w:cs="Calibri"/>
          <w:lang w:val="fr-FR"/>
        </w:rPr>
        <w:t>.</w:t>
      </w:r>
    </w:p>
  </w:footnote>
  <w:footnote w:id="9">
    <w:p w:rsidR="00D33789" w:rsidRPr="000E547E" w:rsidRDefault="00D33789" w:rsidP="00D33789">
      <w:pPr>
        <w:pStyle w:val="Notedebasdepage"/>
        <w:rPr>
          <w:rFonts w:asciiTheme="minorHAnsi" w:hAnsiTheme="minorHAnsi"/>
          <w:lang w:val="fr-FR"/>
        </w:rPr>
      </w:pPr>
      <w:r w:rsidRPr="00E17BD7">
        <w:rPr>
          <w:rStyle w:val="Appelnotedebasdep"/>
          <w:rFonts w:asciiTheme="minorHAnsi" w:hAnsiTheme="minorHAnsi"/>
        </w:rPr>
        <w:footnoteRef/>
      </w:r>
      <w:r w:rsidRPr="000E547E">
        <w:rPr>
          <w:rFonts w:asciiTheme="minorHAnsi" w:hAnsiTheme="minorHAnsi"/>
          <w:lang w:val="fr-FR"/>
        </w:rPr>
        <w:t xml:space="preserve"> </w:t>
      </w:r>
      <w:r w:rsidRPr="000E547E">
        <w:rPr>
          <w:rFonts w:asciiTheme="minorHAnsi" w:hAnsiTheme="minorHAnsi" w:cs="Calibri"/>
          <w:lang w:val="fr-FR"/>
        </w:rPr>
        <w:t>CC. T-307 de 2015.</w:t>
      </w:r>
    </w:p>
  </w:footnote>
  <w:footnote w:id="10">
    <w:p w:rsidR="00D33789" w:rsidRPr="00E17BD7" w:rsidRDefault="00D33789" w:rsidP="00D33789">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12">
    <w:p w:rsidR="00D10AEC" w:rsidRPr="000E547E" w:rsidRDefault="00D10AEC" w:rsidP="00D10AEC">
      <w:pPr>
        <w:pStyle w:val="Notedebasdepage"/>
        <w:jc w:val="both"/>
        <w:rPr>
          <w:lang w:val="fr-FR"/>
        </w:rPr>
      </w:pPr>
      <w:r>
        <w:rPr>
          <w:rStyle w:val="Appelnotedebasdep"/>
          <w:rFonts w:asciiTheme="minorHAnsi" w:hAnsiTheme="minorHAnsi"/>
        </w:rPr>
        <w:footnoteRef/>
      </w:r>
      <w:r w:rsidRPr="000E547E">
        <w:rPr>
          <w:rFonts w:asciiTheme="minorHAnsi" w:hAnsiTheme="minorHAnsi"/>
          <w:lang w:val="fr-FR"/>
        </w:rPr>
        <w:t xml:space="preserve"> </w:t>
      </w:r>
      <w:r w:rsidR="00623280" w:rsidRPr="000E547E">
        <w:rPr>
          <w:rFonts w:asciiTheme="minorHAnsi" w:hAnsiTheme="minorHAnsi"/>
          <w:lang w:val="fr-FR"/>
        </w:rPr>
        <w:t xml:space="preserve">  </w:t>
      </w:r>
      <w:r w:rsidRPr="000E547E">
        <w:rPr>
          <w:rFonts w:asciiTheme="minorHAnsi" w:hAnsiTheme="minorHAnsi" w:cs="Calibri"/>
          <w:lang w:val="fr-FR"/>
        </w:rPr>
        <w:t xml:space="preserve">CC. T-134 de 1994. </w:t>
      </w:r>
    </w:p>
  </w:footnote>
  <w:footnote w:id="13">
    <w:p w:rsidR="0014673C" w:rsidRPr="000E547E" w:rsidRDefault="0014673C" w:rsidP="0014673C">
      <w:pPr>
        <w:pStyle w:val="Notedebasdepage"/>
        <w:rPr>
          <w:lang w:val="fr-FR"/>
        </w:rPr>
      </w:pPr>
      <w:r>
        <w:rPr>
          <w:rStyle w:val="Appelnotedebasdep"/>
        </w:rPr>
        <w:footnoteRef/>
      </w:r>
      <w:r w:rsidRPr="000E547E">
        <w:rPr>
          <w:lang w:val="fr-FR"/>
        </w:rPr>
        <w:t xml:space="preserve"> </w:t>
      </w:r>
      <w:r w:rsidRPr="000E547E">
        <w:rPr>
          <w:rFonts w:asciiTheme="minorHAnsi" w:hAnsiTheme="minorHAnsi" w:cs="Calibri"/>
          <w:lang w:val="fr-FR"/>
        </w:rPr>
        <w:t>CC. T-103 de 2014.</w:t>
      </w:r>
    </w:p>
  </w:footnote>
  <w:footnote w:id="14">
    <w:p w:rsidR="0014673C" w:rsidRPr="000E547E" w:rsidRDefault="0014673C" w:rsidP="0014673C">
      <w:pPr>
        <w:pStyle w:val="Notedebasdepage"/>
        <w:jc w:val="both"/>
        <w:rPr>
          <w:lang w:val="fr-FR"/>
        </w:rPr>
      </w:pPr>
      <w:r>
        <w:rPr>
          <w:rStyle w:val="Appelnotedebasdep"/>
          <w:rFonts w:asciiTheme="minorHAnsi" w:hAnsiTheme="minorHAnsi" w:cs="Calibri"/>
        </w:rPr>
        <w:footnoteRef/>
      </w:r>
      <w:r w:rsidRPr="000E547E">
        <w:rPr>
          <w:rFonts w:asciiTheme="minorHAnsi" w:hAnsiTheme="minorHAnsi" w:cs="Calibri"/>
          <w:lang w:val="fr-FR"/>
        </w:rPr>
        <w:t xml:space="preserve"> CC. T-567 de 1998.</w:t>
      </w:r>
    </w:p>
  </w:footnote>
  <w:footnote w:id="15">
    <w:p w:rsidR="0014673C" w:rsidRPr="000E547E" w:rsidRDefault="0014673C" w:rsidP="0014673C">
      <w:pPr>
        <w:pStyle w:val="Notedebasdepage"/>
        <w:jc w:val="both"/>
        <w:rPr>
          <w:lang w:val="fr-FR"/>
        </w:rPr>
      </w:pPr>
      <w:r>
        <w:rPr>
          <w:rStyle w:val="Appelnotedebasdep"/>
          <w:rFonts w:asciiTheme="minorHAnsi" w:hAnsiTheme="minorHAnsi"/>
        </w:rPr>
        <w:footnoteRef/>
      </w:r>
      <w:r w:rsidRPr="000E547E">
        <w:rPr>
          <w:rFonts w:asciiTheme="minorHAnsi" w:hAnsiTheme="minorHAnsi"/>
          <w:lang w:val="fr-FR"/>
        </w:rPr>
        <w:t xml:space="preserve"> </w:t>
      </w:r>
      <w:r w:rsidRPr="000E547E">
        <w:rPr>
          <w:rFonts w:asciiTheme="minorHAnsi" w:hAnsiTheme="minorHAnsi" w:cs="Calibri"/>
          <w:lang w:val="fr-FR"/>
        </w:rPr>
        <w:t xml:space="preserve">CC. T-662 de 2013, </w:t>
      </w:r>
      <w:r w:rsidRPr="000E547E">
        <w:rPr>
          <w:rFonts w:ascii="Calibri" w:hAnsi="Calibri"/>
          <w:bCs/>
          <w:bdr w:val="none" w:sz="0" w:space="0" w:color="auto" w:frame="1"/>
          <w:shd w:val="clear" w:color="auto" w:fill="FFFFFF"/>
          <w:lang w:val="fr-FR"/>
        </w:rPr>
        <w:t xml:space="preserve">T-037 de 2016, T-120 de 2016, </w:t>
      </w:r>
      <w:r w:rsidRPr="000E547E">
        <w:rPr>
          <w:rFonts w:ascii="Calibri" w:hAnsi="Calibri"/>
          <w:lang w:val="fr-FR"/>
        </w:rPr>
        <w:t>T-001 de 2017 y T-038 de 2017</w:t>
      </w:r>
      <w:r w:rsidRPr="000E547E">
        <w:rPr>
          <w:rFonts w:asciiTheme="minorHAnsi" w:hAnsiTheme="minorHAnsi" w:cs="Calibri"/>
          <w:lang w:val="fr-FR"/>
        </w:rPr>
        <w:t>.</w:t>
      </w:r>
      <w:r w:rsidRPr="000E547E">
        <w:rPr>
          <w:b/>
          <w:bCs/>
          <w:color w:val="2D2D2D"/>
          <w:sz w:val="28"/>
          <w:szCs w:val="28"/>
          <w:bdr w:val="none" w:sz="0" w:space="0" w:color="auto" w:frame="1"/>
          <w:shd w:val="clear" w:color="auto" w:fill="FFFFFF"/>
          <w:lang w:val="fr-FR"/>
        </w:rPr>
        <w:t xml:space="preserve"> </w:t>
      </w:r>
    </w:p>
  </w:footnote>
  <w:footnote w:id="16">
    <w:p w:rsidR="0014673C" w:rsidRDefault="0014673C" w:rsidP="0014673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Pr>
          <w:rFonts w:ascii="Calibri" w:hAnsi="Calibri"/>
        </w:rPr>
        <w:t>STC2349-2017</w:t>
      </w:r>
      <w:r>
        <w:rPr>
          <w:rFonts w:asciiTheme="minorHAnsi" w:hAnsiTheme="minorHAnsi" w:cs="Calibri"/>
          <w:w w:val="110"/>
          <w:lang w:val="es-CO"/>
        </w:rPr>
        <w:t>.</w:t>
      </w:r>
    </w:p>
  </w:footnote>
  <w:footnote w:id="17">
    <w:p w:rsidR="00AB69A6" w:rsidRPr="000E547E" w:rsidRDefault="00AB69A6" w:rsidP="00AB69A6">
      <w:pPr>
        <w:pStyle w:val="Notedebasdepage"/>
        <w:jc w:val="both"/>
        <w:rPr>
          <w:lang w:val="fr-FR"/>
        </w:rPr>
      </w:pPr>
      <w:r>
        <w:rPr>
          <w:rStyle w:val="Appelnotedebasdep"/>
          <w:rFonts w:asciiTheme="minorHAnsi" w:hAnsiTheme="minorHAnsi" w:cs="Calibri"/>
        </w:rPr>
        <w:footnoteRef/>
      </w:r>
      <w:r w:rsidRPr="000E547E">
        <w:rPr>
          <w:rFonts w:asciiTheme="minorHAnsi" w:hAnsiTheme="minorHAnsi" w:cs="Calibri"/>
          <w:lang w:val="fr-FR"/>
        </w:rPr>
        <w:t xml:space="preserve"> CC. T-103 de 2014</w:t>
      </w:r>
      <w:r w:rsidR="005E276A" w:rsidRPr="000E547E">
        <w:rPr>
          <w:rFonts w:asciiTheme="minorHAnsi" w:hAnsiTheme="minorHAnsi" w:cs="Calibri"/>
          <w:lang w:val="fr-FR"/>
        </w:rPr>
        <w:t xml:space="preserve"> y </w:t>
      </w:r>
      <w:proofErr w:type="spellStart"/>
      <w:r w:rsidRPr="000E547E">
        <w:rPr>
          <w:rFonts w:asciiTheme="minorHAnsi" w:hAnsiTheme="minorHAnsi" w:cs="Calibri"/>
          <w:bCs/>
          <w:lang w:val="fr-FR"/>
        </w:rPr>
        <w:t>SU-297</w:t>
      </w:r>
      <w:proofErr w:type="spellEnd"/>
      <w:r w:rsidRPr="000E547E">
        <w:rPr>
          <w:rFonts w:asciiTheme="minorHAnsi" w:hAnsiTheme="minorHAnsi" w:cs="Calibri"/>
          <w:bCs/>
          <w:lang w:val="fr-FR"/>
        </w:rPr>
        <w:t xml:space="preserve"> de 2015.</w:t>
      </w:r>
    </w:p>
  </w:footnote>
  <w:footnote w:id="18">
    <w:p w:rsidR="00D10AEC" w:rsidRPr="000E547E" w:rsidRDefault="00D10AEC" w:rsidP="00D10AEC">
      <w:pPr>
        <w:pStyle w:val="Notedebasdepage"/>
        <w:rPr>
          <w:lang w:val="fr-FR"/>
        </w:rPr>
      </w:pPr>
      <w:r>
        <w:rPr>
          <w:rStyle w:val="Appelnotedebasdep"/>
        </w:rPr>
        <w:footnoteRef/>
      </w:r>
      <w:r w:rsidRPr="000E547E">
        <w:rPr>
          <w:lang w:val="fr-FR"/>
        </w:rPr>
        <w:t xml:space="preserve"> </w:t>
      </w:r>
      <w:r w:rsidRPr="000E547E">
        <w:rPr>
          <w:rFonts w:asciiTheme="minorHAnsi" w:hAnsiTheme="minorHAnsi" w:cs="Calibri"/>
          <w:lang w:val="fr-FR"/>
        </w:rPr>
        <w:t>CC. T-717 de 2011.</w:t>
      </w:r>
    </w:p>
  </w:footnote>
  <w:footnote w:id="19">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E9" w:rsidRPr="006414F7" w:rsidRDefault="00F366E9" w:rsidP="00F366E9">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2017-00294-00  </w:t>
    </w:r>
  </w:p>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0E547E">
      <w:rPr>
        <w:rFonts w:ascii="Calibri" w:hAnsi="Calibri" w:cs="Calibri"/>
        <w:i/>
        <w:noProof/>
        <w:sz w:val="20"/>
      </w:rPr>
      <w:t>8</w:t>
    </w:r>
    <w:r w:rsidR="00301CAF" w:rsidRPr="006414F7">
      <w:rPr>
        <w:rFonts w:ascii="Calibri" w:hAnsi="Calibri" w:cs="Calibr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BA4650B"/>
    <w:multiLevelType w:val="multilevel"/>
    <w:tmpl w:val="43AC6E30"/>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7"/>
  </w:num>
  <w:num w:numId="3">
    <w:abstractNumId w:val="15"/>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10"/>
  </w:num>
  <w:num w:numId="14">
    <w:abstractNumId w:val="13"/>
  </w:num>
  <w:num w:numId="15">
    <w:abstractNumId w:val="18"/>
  </w:num>
  <w:num w:numId="16">
    <w:abstractNumId w:val="4"/>
  </w:num>
  <w:num w:numId="17">
    <w:abstractNumId w:val="19"/>
  </w:num>
  <w:num w:numId="18">
    <w:abstractNumId w:val="8"/>
  </w:num>
  <w:num w:numId="19">
    <w:abstractNumId w:val="5"/>
  </w:num>
  <w:num w:numId="20">
    <w:abstractNumId w:val="14"/>
  </w:num>
  <w:num w:numId="21">
    <w:abstractNumId w:val="21"/>
  </w:num>
  <w:num w:numId="22">
    <w:abstractNumId w:val="24"/>
  </w:num>
  <w:num w:numId="23">
    <w:abstractNumId w:val="7"/>
  </w:num>
  <w:num w:numId="24">
    <w:abstractNumId w:val="12"/>
  </w:num>
  <w:num w:numId="25">
    <w:abstractNumId w:val="8"/>
  </w:num>
  <w:num w:numId="26">
    <w:abstractNumId w:val="2"/>
  </w:num>
  <w:num w:numId="27">
    <w:abstractNumId w:val="29"/>
  </w:num>
  <w:num w:numId="28">
    <w:abstractNumId w:val="6"/>
  </w:num>
  <w:num w:numId="29">
    <w:abstractNumId w:val="26"/>
  </w:num>
  <w:num w:numId="30">
    <w:abstractNumId w:val="11"/>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3C9"/>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1E2"/>
    <w:rsid w:val="00015311"/>
    <w:rsid w:val="000158E3"/>
    <w:rsid w:val="00016253"/>
    <w:rsid w:val="00016DFF"/>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CC5"/>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98"/>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9C4"/>
    <w:rsid w:val="00093C3D"/>
    <w:rsid w:val="00095798"/>
    <w:rsid w:val="00095EAB"/>
    <w:rsid w:val="000965B3"/>
    <w:rsid w:val="00096A82"/>
    <w:rsid w:val="000970D6"/>
    <w:rsid w:val="0009797E"/>
    <w:rsid w:val="00097B03"/>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730"/>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27"/>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83B"/>
    <w:rsid w:val="000E29AA"/>
    <w:rsid w:val="000E2EA2"/>
    <w:rsid w:val="000E3170"/>
    <w:rsid w:val="000E3231"/>
    <w:rsid w:val="000E3403"/>
    <w:rsid w:val="000E34BB"/>
    <w:rsid w:val="000E34BD"/>
    <w:rsid w:val="000E34CA"/>
    <w:rsid w:val="000E37B6"/>
    <w:rsid w:val="000E3874"/>
    <w:rsid w:val="000E3E05"/>
    <w:rsid w:val="000E547E"/>
    <w:rsid w:val="000E5788"/>
    <w:rsid w:val="000E60BB"/>
    <w:rsid w:val="000E6695"/>
    <w:rsid w:val="000E69FE"/>
    <w:rsid w:val="000E6B90"/>
    <w:rsid w:val="000E6F57"/>
    <w:rsid w:val="000E7FBA"/>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36A5"/>
    <w:rsid w:val="001144AE"/>
    <w:rsid w:val="001149F2"/>
    <w:rsid w:val="00114A7D"/>
    <w:rsid w:val="00114CED"/>
    <w:rsid w:val="00115830"/>
    <w:rsid w:val="00116FD6"/>
    <w:rsid w:val="001178D1"/>
    <w:rsid w:val="001178E9"/>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9E6"/>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73C"/>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A1F"/>
    <w:rsid w:val="00176C9B"/>
    <w:rsid w:val="001778CF"/>
    <w:rsid w:val="00180B3C"/>
    <w:rsid w:val="00181213"/>
    <w:rsid w:val="00181C9F"/>
    <w:rsid w:val="00181ECC"/>
    <w:rsid w:val="00182140"/>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3C58"/>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2E"/>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4D7B"/>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6F78"/>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3A3"/>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2BD"/>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4FF"/>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5DF"/>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5746"/>
    <w:rsid w:val="00316088"/>
    <w:rsid w:val="00316239"/>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CC8"/>
    <w:rsid w:val="003327BC"/>
    <w:rsid w:val="00333B52"/>
    <w:rsid w:val="00333D71"/>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3D68"/>
    <w:rsid w:val="003449E4"/>
    <w:rsid w:val="00344DAF"/>
    <w:rsid w:val="003451E1"/>
    <w:rsid w:val="00345352"/>
    <w:rsid w:val="0034557F"/>
    <w:rsid w:val="00345944"/>
    <w:rsid w:val="00345B98"/>
    <w:rsid w:val="00345CC6"/>
    <w:rsid w:val="00345F28"/>
    <w:rsid w:val="00346FBC"/>
    <w:rsid w:val="00347373"/>
    <w:rsid w:val="00347381"/>
    <w:rsid w:val="003473C6"/>
    <w:rsid w:val="00350667"/>
    <w:rsid w:val="00350E31"/>
    <w:rsid w:val="00350F45"/>
    <w:rsid w:val="00350FC4"/>
    <w:rsid w:val="00351921"/>
    <w:rsid w:val="00351BD0"/>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1C5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EBD"/>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696"/>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C3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3A7"/>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677"/>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6B54"/>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1EA1"/>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6F3"/>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2A7"/>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838"/>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30"/>
    <w:rsid w:val="005208C0"/>
    <w:rsid w:val="00520ECF"/>
    <w:rsid w:val="00522292"/>
    <w:rsid w:val="00522FCF"/>
    <w:rsid w:val="005235D5"/>
    <w:rsid w:val="005246A7"/>
    <w:rsid w:val="00524FB1"/>
    <w:rsid w:val="0052500D"/>
    <w:rsid w:val="0052570A"/>
    <w:rsid w:val="00525CF8"/>
    <w:rsid w:val="00525D07"/>
    <w:rsid w:val="00525F1A"/>
    <w:rsid w:val="005268D5"/>
    <w:rsid w:val="00526D7F"/>
    <w:rsid w:val="00527022"/>
    <w:rsid w:val="005274AC"/>
    <w:rsid w:val="005276B5"/>
    <w:rsid w:val="0052786B"/>
    <w:rsid w:val="00530E49"/>
    <w:rsid w:val="00531979"/>
    <w:rsid w:val="005319C2"/>
    <w:rsid w:val="00532567"/>
    <w:rsid w:val="0053291C"/>
    <w:rsid w:val="00533725"/>
    <w:rsid w:val="00533EE4"/>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16D5"/>
    <w:rsid w:val="005A28DF"/>
    <w:rsid w:val="005A2A11"/>
    <w:rsid w:val="005A2EBC"/>
    <w:rsid w:val="005A2F5B"/>
    <w:rsid w:val="005A340F"/>
    <w:rsid w:val="005A3516"/>
    <w:rsid w:val="005A3B67"/>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2F8"/>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6E14"/>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57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4C"/>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5E9E"/>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5C19"/>
    <w:rsid w:val="006B6112"/>
    <w:rsid w:val="006B6C79"/>
    <w:rsid w:val="006B77EA"/>
    <w:rsid w:val="006C02CE"/>
    <w:rsid w:val="006C0C23"/>
    <w:rsid w:val="006C0E6C"/>
    <w:rsid w:val="006C123B"/>
    <w:rsid w:val="006C1535"/>
    <w:rsid w:val="006C2BA9"/>
    <w:rsid w:val="006C2CDF"/>
    <w:rsid w:val="006C3C38"/>
    <w:rsid w:val="006C41DB"/>
    <w:rsid w:val="006C45EE"/>
    <w:rsid w:val="006C5569"/>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3D4C"/>
    <w:rsid w:val="006E48D1"/>
    <w:rsid w:val="006E4A22"/>
    <w:rsid w:val="006E5299"/>
    <w:rsid w:val="006E5F93"/>
    <w:rsid w:val="006E69BE"/>
    <w:rsid w:val="006E6BD7"/>
    <w:rsid w:val="006E718B"/>
    <w:rsid w:val="006E72C2"/>
    <w:rsid w:val="006E7847"/>
    <w:rsid w:val="006E7BBA"/>
    <w:rsid w:val="006E7CF0"/>
    <w:rsid w:val="006F0172"/>
    <w:rsid w:val="006F07D5"/>
    <w:rsid w:val="006F0C81"/>
    <w:rsid w:val="006F104D"/>
    <w:rsid w:val="006F1077"/>
    <w:rsid w:val="006F1601"/>
    <w:rsid w:val="006F21D4"/>
    <w:rsid w:val="006F2376"/>
    <w:rsid w:val="006F2D04"/>
    <w:rsid w:val="006F2F43"/>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0FF3"/>
    <w:rsid w:val="0071180F"/>
    <w:rsid w:val="007118F0"/>
    <w:rsid w:val="0071194E"/>
    <w:rsid w:val="00711C9A"/>
    <w:rsid w:val="00712527"/>
    <w:rsid w:val="00713A83"/>
    <w:rsid w:val="007149F4"/>
    <w:rsid w:val="0071543E"/>
    <w:rsid w:val="007154A5"/>
    <w:rsid w:val="007154F9"/>
    <w:rsid w:val="007161AC"/>
    <w:rsid w:val="007167F2"/>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1A"/>
    <w:rsid w:val="00737D3F"/>
    <w:rsid w:val="007400D3"/>
    <w:rsid w:val="00740C9E"/>
    <w:rsid w:val="0074163A"/>
    <w:rsid w:val="007418F2"/>
    <w:rsid w:val="007422B7"/>
    <w:rsid w:val="00742DAD"/>
    <w:rsid w:val="00742E38"/>
    <w:rsid w:val="00744984"/>
    <w:rsid w:val="00744FF6"/>
    <w:rsid w:val="00745751"/>
    <w:rsid w:val="00746514"/>
    <w:rsid w:val="00746707"/>
    <w:rsid w:val="00746775"/>
    <w:rsid w:val="00746A59"/>
    <w:rsid w:val="00746D51"/>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05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914"/>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269"/>
    <w:rsid w:val="00813552"/>
    <w:rsid w:val="008139F4"/>
    <w:rsid w:val="00814493"/>
    <w:rsid w:val="00814AC7"/>
    <w:rsid w:val="0081546B"/>
    <w:rsid w:val="008154F0"/>
    <w:rsid w:val="00815EF9"/>
    <w:rsid w:val="008163C1"/>
    <w:rsid w:val="00816781"/>
    <w:rsid w:val="00817549"/>
    <w:rsid w:val="008200A3"/>
    <w:rsid w:val="008206BC"/>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48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30"/>
    <w:rsid w:val="0085168A"/>
    <w:rsid w:val="00851CB4"/>
    <w:rsid w:val="008520C1"/>
    <w:rsid w:val="008522BF"/>
    <w:rsid w:val="008524DF"/>
    <w:rsid w:val="0085265A"/>
    <w:rsid w:val="00852887"/>
    <w:rsid w:val="008531F1"/>
    <w:rsid w:val="008536EF"/>
    <w:rsid w:val="00853956"/>
    <w:rsid w:val="00853E40"/>
    <w:rsid w:val="0085406F"/>
    <w:rsid w:val="00854A6C"/>
    <w:rsid w:val="00854E1C"/>
    <w:rsid w:val="008555AE"/>
    <w:rsid w:val="008555E3"/>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4481"/>
    <w:rsid w:val="008751E4"/>
    <w:rsid w:val="0087572D"/>
    <w:rsid w:val="0087586A"/>
    <w:rsid w:val="00875B84"/>
    <w:rsid w:val="00875F9C"/>
    <w:rsid w:val="0087641B"/>
    <w:rsid w:val="008766B4"/>
    <w:rsid w:val="0087677D"/>
    <w:rsid w:val="0087775C"/>
    <w:rsid w:val="00880E10"/>
    <w:rsid w:val="00881064"/>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07A"/>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39C"/>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FEA"/>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911"/>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06E"/>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0E8C"/>
    <w:rsid w:val="009411E1"/>
    <w:rsid w:val="0094149C"/>
    <w:rsid w:val="00941907"/>
    <w:rsid w:val="00941F87"/>
    <w:rsid w:val="00942112"/>
    <w:rsid w:val="009428B0"/>
    <w:rsid w:val="00942DC7"/>
    <w:rsid w:val="00943D7C"/>
    <w:rsid w:val="0094409D"/>
    <w:rsid w:val="0094417D"/>
    <w:rsid w:val="00944803"/>
    <w:rsid w:val="009448A8"/>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888"/>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486"/>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B4D"/>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250"/>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048"/>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04A"/>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438"/>
    <w:rsid w:val="00BA772B"/>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D9E"/>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32"/>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338"/>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B24"/>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1E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9E9"/>
    <w:rsid w:val="00CF113F"/>
    <w:rsid w:val="00CF15BA"/>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CB"/>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8C5"/>
    <w:rsid w:val="00D27E1B"/>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3CD"/>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2C"/>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0F17"/>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BA3"/>
    <w:rsid w:val="00DB0C3D"/>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3D1"/>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04"/>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4E55"/>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66E9"/>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69B"/>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77706089">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060400146">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82031657">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FCAD0-C1EF-425F-814A-7B135BB2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2587</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2017-04-17T15:21:00Z</cp:lastPrinted>
  <dcterms:created xsi:type="dcterms:W3CDTF">2017-04-17T14:07:00Z</dcterms:created>
  <dcterms:modified xsi:type="dcterms:W3CDTF">2017-06-21T03:55:00Z</dcterms:modified>
</cp:coreProperties>
</file>