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61DD" w:rsidRPr="006E4540" w:rsidRDefault="00CC61DD" w:rsidP="00CC61DD">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FC6FDE" w:rsidRPr="007D3EFE" w:rsidRDefault="00FC6FDE">
      <w:pPr>
        <w:tabs>
          <w:tab w:val="left" w:pos="3579"/>
        </w:tabs>
        <w:spacing w:line="360" w:lineRule="auto"/>
        <w:jc w:val="center"/>
        <w:rPr>
          <w:rFonts w:ascii="Arial" w:eastAsia="Arial" w:hAnsi="Arial" w:cs="Arial"/>
        </w:rPr>
      </w:pPr>
      <w:r w:rsidRPr="007D3EFE">
        <w:rPr>
          <w:rFonts w:ascii="Arial" w:hAnsi="Arial" w:cs="Arial"/>
          <w:noProof/>
          <w:lang w:val="fr-FR" w:eastAsia="fr-FR"/>
        </w:rPr>
        <w:drawing>
          <wp:anchor distT="0" distB="0" distL="114300" distR="114300" simplePos="0" relativeHeight="251657216" behindDoc="0" locked="0" layoutInCell="0" hidden="0" allowOverlap="1" wp14:anchorId="162DEEBB" wp14:editId="7B2C4702">
            <wp:simplePos x="0" y="0"/>
            <wp:positionH relativeFrom="margin">
              <wp:posOffset>2778125</wp:posOffset>
            </wp:positionH>
            <wp:positionV relativeFrom="paragraph">
              <wp:posOffset>173355</wp:posOffset>
            </wp:positionV>
            <wp:extent cx="351790" cy="351790"/>
            <wp:effectExtent l="0" t="0" r="0" b="0"/>
            <wp:wrapSquare wrapText="right"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a:srcRect/>
                    <a:stretch>
                      <a:fillRect/>
                    </a:stretch>
                  </pic:blipFill>
                  <pic:spPr>
                    <a:xfrm>
                      <a:off x="0" y="0"/>
                      <a:ext cx="351790" cy="351790"/>
                    </a:xfrm>
                    <a:prstGeom prst="rect">
                      <a:avLst/>
                    </a:prstGeom>
                    <a:ln/>
                  </pic:spPr>
                </pic:pic>
              </a:graphicData>
            </a:graphic>
          </wp:anchor>
        </w:drawing>
      </w:r>
    </w:p>
    <w:p w:rsidR="00FC6FDE" w:rsidRPr="007D3EFE" w:rsidRDefault="007D3EFE" w:rsidP="007D3EFE">
      <w:pPr>
        <w:tabs>
          <w:tab w:val="left" w:pos="460"/>
          <w:tab w:val="left" w:pos="3579"/>
        </w:tabs>
        <w:spacing w:line="360" w:lineRule="auto"/>
        <w:rPr>
          <w:rFonts w:ascii="Arial" w:eastAsia="Arial" w:hAnsi="Arial" w:cs="Arial"/>
        </w:rPr>
      </w:pPr>
      <w:r w:rsidRPr="007D3EFE">
        <w:rPr>
          <w:rFonts w:ascii="Arial" w:eastAsia="Arial" w:hAnsi="Arial" w:cs="Arial"/>
        </w:rPr>
        <w:tab/>
      </w:r>
    </w:p>
    <w:p w:rsidR="00F70CC9" w:rsidRPr="007D3EFE" w:rsidRDefault="00F70CC9" w:rsidP="00F70CC9">
      <w:pPr>
        <w:pStyle w:val="Sansinterligne"/>
        <w:tabs>
          <w:tab w:val="left" w:pos="3579"/>
        </w:tabs>
        <w:spacing w:line="360" w:lineRule="auto"/>
        <w:jc w:val="center"/>
        <w:rPr>
          <w:rFonts w:ascii="Arial" w:hAnsi="Arial" w:cs="Arial"/>
          <w:w w:val="140"/>
          <w:sz w:val="14"/>
        </w:rPr>
      </w:pPr>
      <w:r w:rsidRPr="007D3EFE">
        <w:rPr>
          <w:rFonts w:ascii="Arial" w:hAnsi="Arial" w:cs="Arial"/>
          <w:w w:val="140"/>
          <w:sz w:val="14"/>
        </w:rPr>
        <w:t>REPUBLICA DE COLOMBIA</w:t>
      </w:r>
    </w:p>
    <w:p w:rsidR="00F70CC9" w:rsidRPr="007D3EFE" w:rsidRDefault="00F70CC9" w:rsidP="00F70CC9">
      <w:pPr>
        <w:pStyle w:val="Sansinterligne"/>
        <w:tabs>
          <w:tab w:val="center" w:pos="4987"/>
          <w:tab w:val="left" w:pos="8449"/>
        </w:tabs>
        <w:spacing w:line="360" w:lineRule="auto"/>
        <w:jc w:val="center"/>
        <w:rPr>
          <w:rFonts w:ascii="Arial" w:hAnsi="Arial" w:cs="Arial"/>
          <w:w w:val="140"/>
        </w:rPr>
      </w:pPr>
      <w:r w:rsidRPr="007D3EFE">
        <w:rPr>
          <w:rFonts w:ascii="Arial" w:hAnsi="Arial" w:cs="Arial"/>
          <w:w w:val="140"/>
          <w:sz w:val="14"/>
        </w:rPr>
        <w:t>RAMA JUDICIAL DEL PODER PÚBLICO</w:t>
      </w:r>
    </w:p>
    <w:p w:rsidR="00F70CC9" w:rsidRPr="007D3EFE" w:rsidRDefault="00F70CC9" w:rsidP="00F70CC9">
      <w:pPr>
        <w:pStyle w:val="Sansinterligne"/>
        <w:spacing w:line="360" w:lineRule="auto"/>
        <w:jc w:val="center"/>
        <w:rPr>
          <w:rFonts w:ascii="Arial" w:hAnsi="Arial" w:cs="Arial"/>
          <w:w w:val="140"/>
          <w:sz w:val="16"/>
        </w:rPr>
      </w:pPr>
      <w:r w:rsidRPr="007D3EFE">
        <w:rPr>
          <w:rFonts w:ascii="Arial" w:hAnsi="Arial" w:cs="Arial"/>
          <w:w w:val="140"/>
          <w:sz w:val="18"/>
        </w:rPr>
        <w:t>T</w:t>
      </w:r>
      <w:r w:rsidRPr="007D3EFE">
        <w:rPr>
          <w:rFonts w:ascii="Arial" w:hAnsi="Arial" w:cs="Arial"/>
          <w:w w:val="140"/>
          <w:sz w:val="16"/>
        </w:rPr>
        <w:t>RIBUNAL</w:t>
      </w:r>
      <w:r w:rsidRPr="007D3EFE">
        <w:rPr>
          <w:rFonts w:ascii="Arial" w:hAnsi="Arial" w:cs="Arial"/>
          <w:w w:val="140"/>
          <w:sz w:val="18"/>
        </w:rPr>
        <w:t xml:space="preserve"> S</w:t>
      </w:r>
      <w:r w:rsidRPr="007D3EFE">
        <w:rPr>
          <w:rFonts w:ascii="Arial" w:hAnsi="Arial" w:cs="Arial"/>
          <w:w w:val="140"/>
          <w:sz w:val="16"/>
        </w:rPr>
        <w:t xml:space="preserve">UPERIOR DEL </w:t>
      </w:r>
      <w:r w:rsidRPr="007D3EFE">
        <w:rPr>
          <w:rFonts w:ascii="Arial" w:hAnsi="Arial" w:cs="Arial"/>
          <w:w w:val="140"/>
          <w:sz w:val="18"/>
        </w:rPr>
        <w:t>D</w:t>
      </w:r>
      <w:r w:rsidRPr="007D3EFE">
        <w:rPr>
          <w:rFonts w:ascii="Arial" w:hAnsi="Arial" w:cs="Arial"/>
          <w:w w:val="140"/>
          <w:sz w:val="16"/>
        </w:rPr>
        <w:t>ISTRITO</w:t>
      </w:r>
      <w:r w:rsidRPr="007D3EFE">
        <w:rPr>
          <w:rFonts w:ascii="Arial" w:hAnsi="Arial" w:cs="Arial"/>
          <w:w w:val="140"/>
          <w:sz w:val="18"/>
        </w:rPr>
        <w:t xml:space="preserve"> J</w:t>
      </w:r>
      <w:r w:rsidRPr="007D3EFE">
        <w:rPr>
          <w:rFonts w:ascii="Arial" w:hAnsi="Arial" w:cs="Arial"/>
          <w:w w:val="140"/>
          <w:sz w:val="16"/>
        </w:rPr>
        <w:t>UDICIAL</w:t>
      </w:r>
    </w:p>
    <w:p w:rsidR="00F70CC9" w:rsidRPr="007D3EFE" w:rsidRDefault="00F70CC9" w:rsidP="00F70CC9">
      <w:pPr>
        <w:pStyle w:val="Sansinterligne"/>
        <w:spacing w:line="360" w:lineRule="auto"/>
        <w:jc w:val="center"/>
        <w:rPr>
          <w:rFonts w:ascii="Arial" w:hAnsi="Arial" w:cs="Arial"/>
          <w:w w:val="140"/>
          <w:sz w:val="16"/>
          <w:szCs w:val="18"/>
        </w:rPr>
      </w:pPr>
      <w:r w:rsidRPr="007D3EFE">
        <w:rPr>
          <w:rFonts w:ascii="Arial" w:hAnsi="Arial" w:cs="Arial"/>
          <w:w w:val="140"/>
          <w:sz w:val="18"/>
          <w:szCs w:val="18"/>
        </w:rPr>
        <w:t>S</w:t>
      </w:r>
      <w:r w:rsidRPr="007D3EFE">
        <w:rPr>
          <w:rFonts w:ascii="Arial" w:hAnsi="Arial" w:cs="Arial"/>
          <w:w w:val="140"/>
          <w:sz w:val="16"/>
          <w:szCs w:val="18"/>
        </w:rPr>
        <w:t>ALA</w:t>
      </w:r>
      <w:r w:rsidRPr="007D3EFE">
        <w:rPr>
          <w:rFonts w:ascii="Arial" w:hAnsi="Arial" w:cs="Arial"/>
          <w:w w:val="140"/>
          <w:sz w:val="14"/>
          <w:szCs w:val="18"/>
        </w:rPr>
        <w:t xml:space="preserve"> </w:t>
      </w:r>
      <w:r w:rsidRPr="007D3EFE">
        <w:rPr>
          <w:rFonts w:ascii="Arial" w:hAnsi="Arial" w:cs="Arial"/>
          <w:w w:val="140"/>
          <w:sz w:val="16"/>
          <w:szCs w:val="18"/>
        </w:rPr>
        <w:t xml:space="preserve">DE </w:t>
      </w:r>
      <w:r w:rsidRPr="007D3EFE">
        <w:rPr>
          <w:rFonts w:ascii="Arial" w:hAnsi="Arial" w:cs="Arial"/>
          <w:w w:val="140"/>
          <w:sz w:val="18"/>
          <w:szCs w:val="18"/>
        </w:rPr>
        <w:t>D</w:t>
      </w:r>
      <w:r w:rsidRPr="007D3EFE">
        <w:rPr>
          <w:rFonts w:ascii="Arial" w:hAnsi="Arial" w:cs="Arial"/>
          <w:w w:val="140"/>
          <w:sz w:val="16"/>
          <w:szCs w:val="18"/>
        </w:rPr>
        <w:t>ECISIÓN</w:t>
      </w:r>
      <w:r w:rsidRPr="007D3EFE">
        <w:rPr>
          <w:rFonts w:ascii="Arial" w:hAnsi="Arial" w:cs="Arial"/>
          <w:w w:val="140"/>
          <w:sz w:val="18"/>
          <w:szCs w:val="18"/>
        </w:rPr>
        <w:t xml:space="preserve"> C</w:t>
      </w:r>
      <w:r w:rsidRPr="007D3EFE">
        <w:rPr>
          <w:rFonts w:ascii="Arial" w:hAnsi="Arial" w:cs="Arial"/>
          <w:w w:val="140"/>
          <w:sz w:val="16"/>
          <w:szCs w:val="18"/>
        </w:rPr>
        <w:t>IVIL –</w:t>
      </w:r>
      <w:r w:rsidRPr="007D3EFE">
        <w:rPr>
          <w:rFonts w:ascii="Arial" w:hAnsi="Arial" w:cs="Arial"/>
          <w:w w:val="140"/>
          <w:sz w:val="18"/>
          <w:szCs w:val="18"/>
        </w:rPr>
        <w:t>F</w:t>
      </w:r>
      <w:r w:rsidRPr="007D3EFE">
        <w:rPr>
          <w:rFonts w:ascii="Arial" w:hAnsi="Arial" w:cs="Arial"/>
          <w:w w:val="140"/>
          <w:sz w:val="16"/>
          <w:szCs w:val="18"/>
        </w:rPr>
        <w:t xml:space="preserve">AMILIA – </w:t>
      </w:r>
      <w:r w:rsidRPr="007D3EFE">
        <w:rPr>
          <w:rFonts w:ascii="Arial" w:hAnsi="Arial" w:cs="Arial"/>
          <w:w w:val="140"/>
          <w:sz w:val="18"/>
          <w:szCs w:val="18"/>
        </w:rPr>
        <w:t>D</w:t>
      </w:r>
      <w:r w:rsidRPr="007D3EFE">
        <w:rPr>
          <w:rFonts w:ascii="Arial" w:hAnsi="Arial" w:cs="Arial"/>
          <w:w w:val="140"/>
          <w:sz w:val="16"/>
          <w:szCs w:val="18"/>
        </w:rPr>
        <w:t>ISTRITO</w:t>
      </w:r>
      <w:r w:rsidRPr="007D3EFE">
        <w:rPr>
          <w:rFonts w:ascii="Arial" w:hAnsi="Arial" w:cs="Arial"/>
          <w:w w:val="140"/>
          <w:sz w:val="18"/>
          <w:szCs w:val="18"/>
        </w:rPr>
        <w:t xml:space="preserve"> D</w:t>
      </w:r>
      <w:r w:rsidRPr="007D3EFE">
        <w:rPr>
          <w:rFonts w:ascii="Arial" w:hAnsi="Arial" w:cs="Arial"/>
          <w:w w:val="140"/>
          <w:sz w:val="16"/>
          <w:szCs w:val="18"/>
        </w:rPr>
        <w:t>E</w:t>
      </w:r>
      <w:r w:rsidRPr="007D3EFE">
        <w:rPr>
          <w:rFonts w:ascii="Arial" w:hAnsi="Arial" w:cs="Arial"/>
          <w:w w:val="140"/>
          <w:sz w:val="18"/>
          <w:szCs w:val="18"/>
        </w:rPr>
        <w:t xml:space="preserve"> P</w:t>
      </w:r>
      <w:r w:rsidRPr="007D3EFE">
        <w:rPr>
          <w:rFonts w:ascii="Arial" w:hAnsi="Arial" w:cs="Arial"/>
          <w:w w:val="140"/>
          <w:sz w:val="16"/>
          <w:szCs w:val="18"/>
        </w:rPr>
        <w:t>EREIRA</w:t>
      </w:r>
    </w:p>
    <w:p w:rsidR="00F70CC9" w:rsidRPr="007D3EFE" w:rsidRDefault="00F70CC9" w:rsidP="00F70CC9">
      <w:pPr>
        <w:pStyle w:val="Sansinterligne"/>
        <w:spacing w:line="360" w:lineRule="auto"/>
        <w:jc w:val="center"/>
        <w:rPr>
          <w:rFonts w:ascii="Arial" w:hAnsi="Arial" w:cs="Arial"/>
          <w:w w:val="140"/>
          <w:sz w:val="16"/>
          <w:szCs w:val="18"/>
        </w:rPr>
      </w:pPr>
      <w:r w:rsidRPr="007D3EFE">
        <w:rPr>
          <w:rFonts w:ascii="Arial" w:hAnsi="Arial" w:cs="Arial"/>
          <w:w w:val="140"/>
          <w:sz w:val="18"/>
          <w:szCs w:val="18"/>
        </w:rPr>
        <w:t>D</w:t>
      </w:r>
      <w:r w:rsidRPr="007D3EFE">
        <w:rPr>
          <w:rFonts w:ascii="Arial" w:hAnsi="Arial" w:cs="Arial"/>
          <w:w w:val="140"/>
          <w:sz w:val="16"/>
          <w:szCs w:val="18"/>
        </w:rPr>
        <w:t xml:space="preserve">EPARTAMENTO </w:t>
      </w:r>
      <w:r w:rsidRPr="007D3EFE">
        <w:rPr>
          <w:rFonts w:ascii="Arial" w:hAnsi="Arial" w:cs="Arial"/>
          <w:w w:val="140"/>
          <w:sz w:val="18"/>
          <w:szCs w:val="18"/>
        </w:rPr>
        <w:t>D</w:t>
      </w:r>
      <w:r w:rsidRPr="007D3EFE">
        <w:rPr>
          <w:rFonts w:ascii="Arial" w:hAnsi="Arial" w:cs="Arial"/>
          <w:w w:val="140"/>
          <w:sz w:val="16"/>
          <w:szCs w:val="18"/>
        </w:rPr>
        <w:t xml:space="preserve">EL </w:t>
      </w:r>
      <w:r w:rsidRPr="007D3EFE">
        <w:rPr>
          <w:rFonts w:ascii="Arial" w:hAnsi="Arial" w:cs="Arial"/>
          <w:w w:val="140"/>
          <w:sz w:val="18"/>
          <w:szCs w:val="18"/>
        </w:rPr>
        <w:t>R</w:t>
      </w:r>
      <w:r w:rsidRPr="007D3EFE">
        <w:rPr>
          <w:rFonts w:ascii="Arial" w:hAnsi="Arial" w:cs="Arial"/>
          <w:w w:val="140"/>
          <w:sz w:val="16"/>
          <w:szCs w:val="18"/>
        </w:rPr>
        <w:t>ISARALDA</w:t>
      </w:r>
    </w:p>
    <w:p w:rsidR="00884B0F" w:rsidRPr="00CC61DD" w:rsidRDefault="00884B0F" w:rsidP="00303747">
      <w:pPr>
        <w:tabs>
          <w:tab w:val="left" w:pos="3869"/>
        </w:tabs>
        <w:spacing w:line="360" w:lineRule="auto"/>
        <w:rPr>
          <w:rFonts w:ascii="Arial" w:hAnsi="Arial" w:cs="Arial"/>
          <w:sz w:val="6"/>
          <w:szCs w:val="6"/>
        </w:rPr>
      </w:pPr>
    </w:p>
    <w:p w:rsidR="00884B0F" w:rsidRDefault="004A5FA5" w:rsidP="00077963">
      <w:pPr>
        <w:widowControl/>
        <w:tabs>
          <w:tab w:val="left" w:pos="0"/>
          <w:tab w:val="left" w:pos="708"/>
          <w:tab w:val="left" w:pos="851"/>
          <w:tab w:val="left" w:pos="1416"/>
          <w:tab w:val="left" w:pos="2124"/>
          <w:tab w:val="left" w:pos="2799"/>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eastAsia="Arial" w:hAnsi="Arial" w:cs="Arial"/>
          <w:sz w:val="22"/>
          <w:szCs w:val="22"/>
        </w:rPr>
      </w:pPr>
      <w:r w:rsidRPr="007D3EFE">
        <w:rPr>
          <w:rFonts w:ascii="Arial" w:eastAsia="Arial" w:hAnsi="Arial" w:cs="Arial"/>
          <w:sz w:val="22"/>
          <w:szCs w:val="22"/>
        </w:rPr>
        <w:tab/>
      </w:r>
      <w:r w:rsidR="00F70CC9" w:rsidRPr="007D3EFE">
        <w:rPr>
          <w:rFonts w:ascii="Arial" w:eastAsia="Arial" w:hAnsi="Arial" w:cs="Arial"/>
          <w:sz w:val="22"/>
          <w:szCs w:val="22"/>
        </w:rPr>
        <w:tab/>
      </w:r>
      <w:r w:rsidR="00077963" w:rsidRPr="007D3EFE">
        <w:rPr>
          <w:rFonts w:ascii="Arial" w:eastAsia="Arial" w:hAnsi="Arial" w:cs="Arial"/>
          <w:sz w:val="22"/>
          <w:szCs w:val="22"/>
        </w:rPr>
        <w:tab/>
      </w:r>
      <w:r w:rsidR="00CC61DD">
        <w:rPr>
          <w:rFonts w:ascii="Arial" w:eastAsia="Arial" w:hAnsi="Arial" w:cs="Arial"/>
          <w:sz w:val="22"/>
          <w:szCs w:val="22"/>
        </w:rPr>
        <w:t>Providencia</w:t>
      </w:r>
      <w:r w:rsidRPr="007D3EFE">
        <w:rPr>
          <w:rFonts w:ascii="Arial" w:eastAsia="Arial" w:hAnsi="Arial" w:cs="Arial"/>
          <w:sz w:val="22"/>
          <w:szCs w:val="22"/>
        </w:rPr>
        <w:tab/>
      </w:r>
      <w:r w:rsidR="00077963" w:rsidRPr="007D3EFE">
        <w:rPr>
          <w:rFonts w:ascii="Arial" w:eastAsia="Arial" w:hAnsi="Arial" w:cs="Arial"/>
          <w:sz w:val="22"/>
          <w:szCs w:val="22"/>
        </w:rPr>
        <w:tab/>
      </w:r>
      <w:r w:rsidR="00077963" w:rsidRPr="007D3EFE">
        <w:rPr>
          <w:rFonts w:ascii="Arial" w:eastAsia="Arial" w:hAnsi="Arial" w:cs="Arial"/>
          <w:sz w:val="22"/>
          <w:szCs w:val="22"/>
        </w:rPr>
        <w:tab/>
      </w:r>
      <w:r w:rsidRPr="007D3EFE">
        <w:rPr>
          <w:rFonts w:ascii="Arial" w:eastAsia="Arial" w:hAnsi="Arial" w:cs="Arial"/>
          <w:sz w:val="22"/>
          <w:szCs w:val="22"/>
        </w:rPr>
        <w:t xml:space="preserve">: Sentencia </w:t>
      </w:r>
      <w:r w:rsidR="00CC61DD">
        <w:rPr>
          <w:rFonts w:ascii="Arial" w:eastAsia="Arial" w:hAnsi="Arial" w:cs="Arial"/>
          <w:sz w:val="22"/>
          <w:szCs w:val="22"/>
        </w:rPr>
        <w:t>– 1ª instancia – 24 de abril de 2017</w:t>
      </w:r>
    </w:p>
    <w:p w:rsidR="00CC61DD" w:rsidRPr="007D3EFE" w:rsidRDefault="00CC61DD" w:rsidP="00077963">
      <w:pPr>
        <w:widowControl/>
        <w:tabs>
          <w:tab w:val="left" w:pos="0"/>
          <w:tab w:val="left" w:pos="708"/>
          <w:tab w:val="left" w:pos="851"/>
          <w:tab w:val="left" w:pos="1416"/>
          <w:tab w:val="left" w:pos="2124"/>
          <w:tab w:val="left" w:pos="2799"/>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Proceso</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Acción de Tutela – Declara improcedente la acción</w:t>
      </w:r>
    </w:p>
    <w:p w:rsidR="00884B0F" w:rsidRPr="007D3EFE" w:rsidRDefault="00F70CC9" w:rsidP="00F70CC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7D3EFE">
        <w:rPr>
          <w:rFonts w:ascii="Arial" w:eastAsia="Arial" w:hAnsi="Arial" w:cs="Arial"/>
          <w:sz w:val="22"/>
          <w:szCs w:val="22"/>
        </w:rPr>
        <w:t xml:space="preserve"> </w:t>
      </w:r>
      <w:r w:rsidRPr="007D3EFE">
        <w:rPr>
          <w:rFonts w:ascii="Arial" w:eastAsia="Arial" w:hAnsi="Arial" w:cs="Arial"/>
          <w:sz w:val="22"/>
          <w:szCs w:val="22"/>
        </w:rPr>
        <w:tab/>
      </w:r>
      <w:r w:rsidRPr="007D3EFE">
        <w:rPr>
          <w:rFonts w:ascii="Arial" w:eastAsia="Arial" w:hAnsi="Arial" w:cs="Arial"/>
          <w:sz w:val="22"/>
          <w:szCs w:val="22"/>
        </w:rPr>
        <w:tab/>
      </w:r>
      <w:r w:rsidR="00077963" w:rsidRPr="007D3EFE">
        <w:rPr>
          <w:rFonts w:ascii="Arial" w:eastAsia="Arial" w:hAnsi="Arial" w:cs="Arial"/>
          <w:sz w:val="22"/>
          <w:szCs w:val="22"/>
        </w:rPr>
        <w:tab/>
      </w:r>
      <w:r w:rsidR="004A5FA5" w:rsidRPr="007D3EFE">
        <w:rPr>
          <w:rFonts w:ascii="Arial" w:eastAsia="Arial" w:hAnsi="Arial" w:cs="Arial"/>
          <w:sz w:val="22"/>
          <w:szCs w:val="22"/>
        </w:rPr>
        <w:t>Accionante</w:t>
      </w:r>
      <w:r w:rsidR="004A5FA5" w:rsidRPr="007D3EFE">
        <w:rPr>
          <w:rFonts w:ascii="Arial" w:eastAsia="Arial" w:hAnsi="Arial" w:cs="Arial"/>
          <w:sz w:val="22"/>
          <w:szCs w:val="22"/>
        </w:rPr>
        <w:tab/>
      </w:r>
      <w:r w:rsidR="004A5FA5" w:rsidRPr="007D3EFE">
        <w:rPr>
          <w:rFonts w:ascii="Arial" w:eastAsia="Arial" w:hAnsi="Arial" w:cs="Arial"/>
          <w:sz w:val="22"/>
          <w:szCs w:val="22"/>
        </w:rPr>
        <w:tab/>
        <w:t xml:space="preserve">: </w:t>
      </w:r>
      <w:r w:rsidR="00861415" w:rsidRPr="007D3EFE">
        <w:rPr>
          <w:rFonts w:ascii="Arial" w:eastAsia="Arial" w:hAnsi="Arial" w:cs="Arial"/>
          <w:sz w:val="22"/>
          <w:szCs w:val="22"/>
        </w:rPr>
        <w:t xml:space="preserve">Javier Elías Arias </w:t>
      </w:r>
      <w:proofErr w:type="spellStart"/>
      <w:r w:rsidR="00861415" w:rsidRPr="007D3EFE">
        <w:rPr>
          <w:rFonts w:ascii="Arial" w:eastAsia="Arial" w:hAnsi="Arial" w:cs="Arial"/>
          <w:sz w:val="22"/>
          <w:szCs w:val="22"/>
        </w:rPr>
        <w:t>Idárraga</w:t>
      </w:r>
      <w:proofErr w:type="spellEnd"/>
      <w:r w:rsidR="00D90495">
        <w:rPr>
          <w:rFonts w:ascii="Arial" w:eastAsia="Arial" w:hAnsi="Arial" w:cs="Arial"/>
          <w:sz w:val="22"/>
          <w:szCs w:val="22"/>
        </w:rPr>
        <w:t xml:space="preserve"> y otro</w:t>
      </w:r>
    </w:p>
    <w:p w:rsidR="00884B0F" w:rsidRDefault="00F70CC9" w:rsidP="00E616DE">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eastAsia="Arial" w:hAnsi="Arial" w:cs="Arial"/>
          <w:sz w:val="22"/>
          <w:szCs w:val="22"/>
        </w:rPr>
      </w:pPr>
      <w:r w:rsidRPr="007D3EFE">
        <w:rPr>
          <w:rFonts w:ascii="Arial" w:eastAsia="Arial" w:hAnsi="Arial" w:cs="Arial"/>
          <w:sz w:val="22"/>
          <w:szCs w:val="22"/>
        </w:rPr>
        <w:tab/>
      </w:r>
      <w:r w:rsidRPr="007D3EFE">
        <w:rPr>
          <w:rFonts w:ascii="Arial" w:eastAsia="Arial" w:hAnsi="Arial" w:cs="Arial"/>
          <w:sz w:val="22"/>
          <w:szCs w:val="22"/>
        </w:rPr>
        <w:tab/>
      </w:r>
      <w:r w:rsidR="00077963" w:rsidRPr="007D3EFE">
        <w:rPr>
          <w:rFonts w:ascii="Arial" w:eastAsia="Arial" w:hAnsi="Arial" w:cs="Arial"/>
          <w:sz w:val="22"/>
          <w:szCs w:val="22"/>
        </w:rPr>
        <w:tab/>
      </w:r>
      <w:r w:rsidR="004A5FA5" w:rsidRPr="007D3EFE">
        <w:rPr>
          <w:rFonts w:ascii="Arial" w:eastAsia="Arial" w:hAnsi="Arial" w:cs="Arial"/>
          <w:sz w:val="22"/>
          <w:szCs w:val="22"/>
        </w:rPr>
        <w:t>Accionado (s)</w:t>
      </w:r>
      <w:r w:rsidR="004A5FA5" w:rsidRPr="007D3EFE">
        <w:rPr>
          <w:rFonts w:ascii="Arial" w:eastAsia="Arial" w:hAnsi="Arial" w:cs="Arial"/>
          <w:sz w:val="22"/>
          <w:szCs w:val="22"/>
        </w:rPr>
        <w:tab/>
      </w:r>
      <w:r w:rsidR="00077963" w:rsidRPr="007D3EFE">
        <w:rPr>
          <w:rFonts w:ascii="Arial" w:eastAsia="Arial" w:hAnsi="Arial" w:cs="Arial"/>
          <w:sz w:val="22"/>
          <w:szCs w:val="22"/>
        </w:rPr>
        <w:tab/>
      </w:r>
      <w:r w:rsidR="00DA64CA">
        <w:rPr>
          <w:rFonts w:ascii="Arial" w:eastAsia="Arial" w:hAnsi="Arial" w:cs="Arial"/>
          <w:sz w:val="22"/>
          <w:szCs w:val="22"/>
        </w:rPr>
        <w:t xml:space="preserve">: </w:t>
      </w:r>
      <w:r w:rsidR="00D90495">
        <w:rPr>
          <w:rFonts w:ascii="Arial" w:eastAsia="Arial" w:hAnsi="Arial" w:cs="Arial"/>
          <w:sz w:val="22"/>
          <w:szCs w:val="22"/>
        </w:rPr>
        <w:t>Juzgado Tercero Civil del Circuito de Pereira y otros</w:t>
      </w:r>
    </w:p>
    <w:p w:rsidR="00DA64CA" w:rsidRPr="00595344" w:rsidRDefault="00DA64CA" w:rsidP="00E616DE">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lang w:val="es-CO"/>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Litisconsorte (s)</w:t>
      </w:r>
      <w:r>
        <w:rPr>
          <w:rFonts w:ascii="Arial" w:eastAsia="Arial" w:hAnsi="Arial" w:cs="Arial"/>
          <w:sz w:val="22"/>
          <w:szCs w:val="22"/>
        </w:rPr>
        <w:tab/>
        <w:t xml:space="preserve">: </w:t>
      </w:r>
      <w:r w:rsidR="00D36D2F">
        <w:rPr>
          <w:rFonts w:ascii="Arial" w:eastAsia="Arial" w:hAnsi="Arial" w:cs="Arial"/>
          <w:sz w:val="22"/>
          <w:szCs w:val="22"/>
        </w:rPr>
        <w:t xml:space="preserve">Defensoría del Pueblo, Regional </w:t>
      </w:r>
      <w:r w:rsidR="00E4392F">
        <w:rPr>
          <w:rFonts w:ascii="Arial" w:eastAsia="Arial" w:hAnsi="Arial" w:cs="Arial"/>
          <w:sz w:val="22"/>
          <w:szCs w:val="22"/>
        </w:rPr>
        <w:t xml:space="preserve">Risaralda </w:t>
      </w:r>
      <w:r w:rsidR="00D36D2F">
        <w:rPr>
          <w:rFonts w:ascii="Arial" w:eastAsia="Arial" w:hAnsi="Arial" w:cs="Arial"/>
          <w:sz w:val="22"/>
          <w:szCs w:val="22"/>
        </w:rPr>
        <w:t>y otros</w:t>
      </w:r>
    </w:p>
    <w:p w:rsidR="00E616DE" w:rsidRPr="007D3EFE" w:rsidRDefault="00F70CC9" w:rsidP="00F70CC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eastAsia="Arial" w:hAnsi="Arial" w:cs="Arial"/>
          <w:sz w:val="22"/>
          <w:szCs w:val="22"/>
        </w:rPr>
      </w:pPr>
      <w:r w:rsidRPr="007D3EFE">
        <w:rPr>
          <w:rFonts w:ascii="Arial" w:eastAsia="Arial" w:hAnsi="Arial" w:cs="Arial"/>
          <w:sz w:val="22"/>
          <w:szCs w:val="22"/>
        </w:rPr>
        <w:tab/>
      </w:r>
      <w:r w:rsidRPr="007D3EFE">
        <w:rPr>
          <w:rFonts w:ascii="Arial" w:eastAsia="Arial" w:hAnsi="Arial" w:cs="Arial"/>
          <w:sz w:val="22"/>
          <w:szCs w:val="22"/>
        </w:rPr>
        <w:tab/>
      </w:r>
      <w:r w:rsidR="00077963" w:rsidRPr="007D3EFE">
        <w:rPr>
          <w:rFonts w:ascii="Arial" w:eastAsia="Arial" w:hAnsi="Arial" w:cs="Arial"/>
          <w:sz w:val="22"/>
          <w:szCs w:val="22"/>
        </w:rPr>
        <w:tab/>
      </w:r>
      <w:r w:rsidR="004A5FA5" w:rsidRPr="007D3EFE">
        <w:rPr>
          <w:rFonts w:ascii="Arial" w:eastAsia="Arial" w:hAnsi="Arial" w:cs="Arial"/>
          <w:sz w:val="22"/>
          <w:szCs w:val="22"/>
        </w:rPr>
        <w:t>Radicación</w:t>
      </w:r>
      <w:r w:rsidR="004A5FA5" w:rsidRPr="007D3EFE">
        <w:rPr>
          <w:rFonts w:ascii="Arial" w:eastAsia="Arial" w:hAnsi="Arial" w:cs="Arial"/>
          <w:sz w:val="22"/>
          <w:szCs w:val="22"/>
        </w:rPr>
        <w:tab/>
      </w:r>
      <w:r w:rsidR="004A5FA5" w:rsidRPr="007D3EFE">
        <w:rPr>
          <w:rFonts w:ascii="Arial" w:eastAsia="Arial" w:hAnsi="Arial" w:cs="Arial"/>
          <w:sz w:val="22"/>
          <w:szCs w:val="22"/>
        </w:rPr>
        <w:tab/>
        <w:t>: 201</w:t>
      </w:r>
      <w:r w:rsidR="00FC6FDE" w:rsidRPr="007D3EFE">
        <w:rPr>
          <w:rFonts w:ascii="Arial" w:eastAsia="Arial" w:hAnsi="Arial" w:cs="Arial"/>
          <w:sz w:val="22"/>
          <w:szCs w:val="22"/>
        </w:rPr>
        <w:t>7</w:t>
      </w:r>
      <w:r w:rsidR="004A5FA5" w:rsidRPr="007D3EFE">
        <w:rPr>
          <w:rFonts w:ascii="Arial" w:eastAsia="Arial" w:hAnsi="Arial" w:cs="Arial"/>
          <w:sz w:val="22"/>
          <w:szCs w:val="22"/>
        </w:rPr>
        <w:t>-</w:t>
      </w:r>
      <w:r w:rsidR="00D90495">
        <w:rPr>
          <w:rFonts w:ascii="Arial" w:eastAsia="Arial" w:hAnsi="Arial" w:cs="Arial"/>
          <w:sz w:val="22"/>
          <w:szCs w:val="22"/>
        </w:rPr>
        <w:t>00318</w:t>
      </w:r>
      <w:r w:rsidR="004A5FA5" w:rsidRPr="007D3EFE">
        <w:rPr>
          <w:rFonts w:ascii="Arial" w:eastAsia="Arial" w:hAnsi="Arial" w:cs="Arial"/>
          <w:sz w:val="22"/>
          <w:szCs w:val="22"/>
        </w:rPr>
        <w:t>-00</w:t>
      </w:r>
      <w:r w:rsidR="00595344">
        <w:rPr>
          <w:rFonts w:ascii="Arial" w:eastAsia="Arial" w:hAnsi="Arial" w:cs="Arial"/>
          <w:sz w:val="22"/>
          <w:szCs w:val="22"/>
        </w:rPr>
        <w:t xml:space="preserve"> (Interna No.</w:t>
      </w:r>
      <w:r w:rsidR="00D90495">
        <w:rPr>
          <w:rFonts w:ascii="Arial" w:eastAsia="Arial" w:hAnsi="Arial" w:cs="Arial"/>
          <w:sz w:val="22"/>
          <w:szCs w:val="22"/>
        </w:rPr>
        <w:t>318</w:t>
      </w:r>
      <w:r w:rsidR="00595344">
        <w:rPr>
          <w:rFonts w:ascii="Arial" w:eastAsia="Arial" w:hAnsi="Arial" w:cs="Arial"/>
          <w:sz w:val="22"/>
          <w:szCs w:val="22"/>
        </w:rPr>
        <w:t>)</w:t>
      </w:r>
    </w:p>
    <w:p w:rsidR="00884B0F" w:rsidRPr="007D3EFE" w:rsidRDefault="004A5FA5" w:rsidP="00F70CC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7D3EFE">
        <w:rPr>
          <w:rFonts w:ascii="Arial" w:eastAsia="Arial" w:hAnsi="Arial" w:cs="Arial"/>
          <w:sz w:val="22"/>
          <w:szCs w:val="22"/>
        </w:rPr>
        <w:tab/>
      </w:r>
      <w:r w:rsidRPr="007D3EFE">
        <w:rPr>
          <w:rFonts w:ascii="Arial" w:eastAsia="Arial" w:hAnsi="Arial" w:cs="Arial"/>
          <w:sz w:val="22"/>
          <w:szCs w:val="22"/>
        </w:rPr>
        <w:tab/>
      </w:r>
      <w:r w:rsidR="00077963" w:rsidRPr="007D3EFE">
        <w:rPr>
          <w:rFonts w:ascii="Arial" w:eastAsia="Arial" w:hAnsi="Arial" w:cs="Arial"/>
          <w:sz w:val="22"/>
          <w:szCs w:val="22"/>
        </w:rPr>
        <w:tab/>
      </w:r>
      <w:r w:rsidRPr="007D3EFE">
        <w:rPr>
          <w:rFonts w:ascii="Arial" w:eastAsia="Arial" w:hAnsi="Arial" w:cs="Arial"/>
          <w:sz w:val="22"/>
          <w:szCs w:val="22"/>
        </w:rPr>
        <w:t>Magistrado Ponente</w:t>
      </w:r>
      <w:r w:rsidRPr="007D3EFE">
        <w:rPr>
          <w:rFonts w:ascii="Arial" w:eastAsia="Arial" w:hAnsi="Arial" w:cs="Arial"/>
          <w:sz w:val="22"/>
          <w:szCs w:val="22"/>
        </w:rPr>
        <w:tab/>
        <w:t xml:space="preserve">: </w:t>
      </w:r>
      <w:proofErr w:type="spellStart"/>
      <w:r w:rsidRPr="007D3EFE">
        <w:rPr>
          <w:rFonts w:ascii="Arial" w:eastAsia="Arial" w:hAnsi="Arial" w:cs="Arial"/>
          <w:smallCaps/>
          <w:sz w:val="22"/>
          <w:szCs w:val="22"/>
        </w:rPr>
        <w:t>Duberney</w:t>
      </w:r>
      <w:proofErr w:type="spellEnd"/>
      <w:r w:rsidRPr="007D3EFE">
        <w:rPr>
          <w:rFonts w:ascii="Arial" w:eastAsia="Arial" w:hAnsi="Arial" w:cs="Arial"/>
          <w:smallCaps/>
          <w:sz w:val="22"/>
          <w:szCs w:val="22"/>
        </w:rPr>
        <w:t xml:space="preserve"> Grisales Herrera</w:t>
      </w:r>
    </w:p>
    <w:p w:rsidR="00A8313B" w:rsidRDefault="00A8313B" w:rsidP="00A8313B">
      <w:pPr>
        <w:tabs>
          <w:tab w:val="left" w:pos="851"/>
          <w:tab w:val="left" w:pos="1416"/>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Acta número</w:t>
      </w:r>
      <w:r>
        <w:rPr>
          <w:rFonts w:ascii="Arial" w:hAnsi="Arial" w:cs="Arial"/>
          <w:sz w:val="22"/>
          <w:szCs w:val="22"/>
        </w:rPr>
        <w:tab/>
      </w:r>
      <w:r>
        <w:rPr>
          <w:rFonts w:ascii="Arial" w:hAnsi="Arial" w:cs="Arial"/>
          <w:sz w:val="22"/>
          <w:szCs w:val="22"/>
        </w:rPr>
        <w:tab/>
        <w:t xml:space="preserve">: </w:t>
      </w:r>
      <w:r w:rsidR="008B5AF7">
        <w:rPr>
          <w:rFonts w:ascii="Arial" w:hAnsi="Arial" w:cs="Arial"/>
          <w:sz w:val="22"/>
          <w:szCs w:val="22"/>
        </w:rPr>
        <w:t>205 de 24-04-2017</w:t>
      </w:r>
    </w:p>
    <w:p w:rsidR="00CC61DD" w:rsidRPr="00CC61DD" w:rsidRDefault="00CC61DD" w:rsidP="00A8313B">
      <w:pPr>
        <w:tabs>
          <w:tab w:val="left" w:pos="851"/>
          <w:tab w:val="left" w:pos="1416"/>
        </w:tabs>
        <w:spacing w:line="360" w:lineRule="auto"/>
        <w:rPr>
          <w:rFonts w:ascii="Arial" w:hAnsi="Arial" w:cs="Arial"/>
          <w:sz w:val="10"/>
          <w:szCs w:val="10"/>
        </w:rPr>
      </w:pPr>
    </w:p>
    <w:p w:rsidR="00CC61DD" w:rsidRPr="00CC61DD" w:rsidRDefault="00CC61DD" w:rsidP="00CC61DD">
      <w:pPr>
        <w:widowControl/>
        <w:tabs>
          <w:tab w:val="left" w:pos="0"/>
          <w:tab w:val="left" w:pos="708"/>
          <w:tab w:val="left" w:pos="851"/>
          <w:tab w:val="left" w:pos="1416"/>
          <w:tab w:val="left" w:pos="2106"/>
          <w:tab w:val="left" w:pos="2832"/>
          <w:tab w:val="left" w:pos="3540"/>
          <w:tab w:val="left" w:pos="4248"/>
          <w:tab w:val="left" w:pos="4956"/>
          <w:tab w:val="left" w:pos="5664"/>
          <w:tab w:val="left" w:pos="6372"/>
          <w:tab w:val="left" w:pos="7080"/>
          <w:tab w:val="left" w:pos="7788"/>
          <w:tab w:val="left" w:pos="7920"/>
        </w:tabs>
        <w:ind w:left="1416" w:hanging="1416"/>
        <w:jc w:val="both"/>
        <w:rPr>
          <w:rFonts w:ascii="Arial" w:eastAsia="Arial" w:hAnsi="Arial" w:cs="Arial"/>
          <w:b/>
          <w:sz w:val="22"/>
          <w:szCs w:val="22"/>
        </w:rPr>
      </w:pPr>
      <w:r w:rsidRPr="00CC61DD">
        <w:rPr>
          <w:rFonts w:ascii="Arial" w:eastAsia="Arial" w:hAnsi="Arial" w:cs="Arial"/>
          <w:b/>
          <w:sz w:val="22"/>
          <w:szCs w:val="22"/>
        </w:rPr>
        <w:tab/>
        <w:t xml:space="preserve"> </w:t>
      </w:r>
      <w:r w:rsidRPr="00CC61DD">
        <w:rPr>
          <w:rFonts w:ascii="Arial" w:eastAsia="Arial" w:hAnsi="Arial" w:cs="Arial"/>
          <w:b/>
          <w:sz w:val="22"/>
          <w:szCs w:val="22"/>
        </w:rPr>
        <w:tab/>
      </w:r>
      <w:r w:rsidRPr="00CC61DD">
        <w:rPr>
          <w:rFonts w:ascii="Arial" w:eastAsia="Arial" w:hAnsi="Arial" w:cs="Arial"/>
          <w:b/>
          <w:sz w:val="22"/>
          <w:szCs w:val="22"/>
        </w:rPr>
        <w:tab/>
        <w:t>TEMAS</w:t>
      </w:r>
      <w:r w:rsidRPr="00CC61DD">
        <w:rPr>
          <w:rFonts w:ascii="Arial" w:eastAsia="Arial" w:hAnsi="Arial" w:cs="Arial"/>
          <w:b/>
          <w:sz w:val="22"/>
          <w:szCs w:val="22"/>
        </w:rPr>
        <w:tab/>
      </w:r>
      <w:r w:rsidRPr="00CC61DD">
        <w:rPr>
          <w:rFonts w:ascii="Arial" w:eastAsia="Arial" w:hAnsi="Arial" w:cs="Arial"/>
          <w:b/>
          <w:sz w:val="22"/>
          <w:szCs w:val="22"/>
        </w:rPr>
        <w:tab/>
        <w:t>: SUBSIDIARIEDAD - PREMATURA - MORA JUDICIAL</w:t>
      </w:r>
      <w:r>
        <w:rPr>
          <w:rFonts w:ascii="Arial" w:eastAsia="Arial" w:hAnsi="Arial" w:cs="Arial"/>
          <w:b/>
          <w:sz w:val="22"/>
          <w:szCs w:val="22"/>
        </w:rPr>
        <w:t>.</w:t>
      </w:r>
      <w:r w:rsidRPr="00CC61DD">
        <w:rPr>
          <w:rFonts w:ascii="Arial" w:eastAsia="Arial" w:hAnsi="Arial" w:cs="Arial"/>
          <w:b/>
          <w:sz w:val="22"/>
          <w:szCs w:val="22"/>
        </w:rPr>
        <w:t xml:space="preserve"> </w:t>
      </w:r>
      <w:r w:rsidRPr="00CC61DD">
        <w:rPr>
          <w:rFonts w:ascii="Arial" w:eastAsia="Arial" w:hAnsi="Arial" w:cs="Arial"/>
          <w:sz w:val="22"/>
          <w:szCs w:val="22"/>
        </w:rPr>
        <w:t>“[A] estas alturas de las diligencias el presente amparo constitucional se torna prematuro porque fue promovido el 03-04-2017, sin siquiera esperar las resultas del recurso formulado, por manera que es evidente la improcedencia del amparo en razón a que el asunto en el que se alega la vulneración de los derechos fundamentales aún está en curso</w:t>
      </w:r>
      <w:r w:rsidRPr="00CC61DD">
        <w:rPr>
          <w:rFonts w:ascii="Arial" w:eastAsia="Arial" w:hAnsi="Arial" w:cs="Arial"/>
          <w:sz w:val="22"/>
          <w:szCs w:val="22"/>
          <w:lang w:val="es-CO"/>
        </w:rPr>
        <w:t>.</w:t>
      </w:r>
      <w:r w:rsidRPr="00CC61DD">
        <w:rPr>
          <w:rFonts w:ascii="Arial" w:eastAsia="Arial" w:hAnsi="Arial" w:cs="Arial"/>
          <w:sz w:val="22"/>
          <w:szCs w:val="22"/>
        </w:rPr>
        <w:t xml:space="preserve"> Así lo ha dispuesto la jurisprudencia de la CC, criterio también expuesto por la CSJ. (…) </w:t>
      </w:r>
      <w:r w:rsidRPr="00CC61DD">
        <w:rPr>
          <w:rFonts w:ascii="Arial" w:eastAsia="Arial" w:hAnsi="Arial" w:cs="Arial"/>
          <w:sz w:val="22"/>
          <w:szCs w:val="22"/>
          <w:lang w:val="es-CO"/>
        </w:rPr>
        <w:t>De acuerdo con las copias arrimadas y la descripción del estado del asunto se observa que la acción popular ha sido tramitada con diligencia y celeridad. No obran peticiones pendientes de resolver e inexisten etapas procesales suspendidas, por el contrario se advierte la desidia del actor para atender la carga mínima procesal que se le impuso por el Juzgado accionado y que atañe a efectuar la publicación de que trata la Ley 472. Los espacios de tiempo tomados por el despacho judicial para proferir sus decisiones no se advierten antojadizos ni desproporcionados. Todas las peticiones han sido resueltas oportunamente</w:t>
      </w:r>
      <w:r w:rsidRPr="00CC61DD">
        <w:rPr>
          <w:rFonts w:ascii="Arial" w:eastAsia="Arial" w:hAnsi="Arial" w:cs="Arial"/>
          <w:sz w:val="22"/>
          <w:szCs w:val="22"/>
        </w:rPr>
        <w:t>; además, las solicitudes que presenta con el fin de exigir el impulso oficioso, sin siquiera asumir las cargas que le competen, a diferencia de lo expuesto en la tutela, entorpecen aún más el trámite del asunto.”.</w:t>
      </w:r>
    </w:p>
    <w:p w:rsidR="00A8313B" w:rsidRPr="00DD3059" w:rsidRDefault="00A8313B" w:rsidP="00A8313B">
      <w:pPr>
        <w:pBdr>
          <w:bottom w:val="double" w:sz="6" w:space="1" w:color="auto"/>
        </w:pBdr>
        <w:spacing w:line="360" w:lineRule="auto"/>
        <w:jc w:val="center"/>
        <w:rPr>
          <w:rFonts w:ascii="Arial" w:hAnsi="Arial" w:cs="Arial"/>
          <w:b/>
          <w:bCs/>
          <w:sz w:val="14"/>
          <w:szCs w:val="22"/>
        </w:rPr>
      </w:pPr>
    </w:p>
    <w:p w:rsidR="00A8313B" w:rsidRPr="00D74C0F" w:rsidRDefault="00A8313B" w:rsidP="00A8313B">
      <w:pPr>
        <w:spacing w:line="360" w:lineRule="auto"/>
        <w:jc w:val="center"/>
        <w:rPr>
          <w:rFonts w:ascii="Arial" w:hAnsi="Arial" w:cs="Arial"/>
          <w:b/>
          <w:bCs/>
          <w:sz w:val="18"/>
          <w:szCs w:val="22"/>
        </w:rPr>
      </w:pPr>
    </w:p>
    <w:p w:rsidR="00A8313B" w:rsidRDefault="00A8313B" w:rsidP="00A8313B">
      <w:pPr>
        <w:spacing w:line="360" w:lineRule="auto"/>
        <w:jc w:val="center"/>
        <w:rPr>
          <w:rFonts w:ascii="Arial" w:hAnsi="Arial" w:cs="Arial"/>
          <w:sz w:val="28"/>
        </w:rPr>
      </w:pPr>
      <w:r>
        <w:rPr>
          <w:rFonts w:ascii="Arial" w:hAnsi="Arial" w:cs="Arial"/>
          <w:smallCaps/>
          <w:sz w:val="28"/>
        </w:rPr>
        <w:t xml:space="preserve">Pereira, R., </w:t>
      </w:r>
      <w:r w:rsidR="008B5AF7">
        <w:rPr>
          <w:rFonts w:ascii="Arial" w:hAnsi="Arial" w:cs="Arial"/>
          <w:smallCaps/>
          <w:sz w:val="28"/>
        </w:rPr>
        <w:t xml:space="preserve">veinticuatro </w:t>
      </w:r>
      <w:r>
        <w:rPr>
          <w:rFonts w:ascii="Arial" w:hAnsi="Arial" w:cs="Arial"/>
          <w:smallCaps/>
          <w:sz w:val="28"/>
        </w:rPr>
        <w:t>(</w:t>
      </w:r>
      <w:r w:rsidR="008B5AF7">
        <w:rPr>
          <w:rFonts w:ascii="Arial" w:hAnsi="Arial" w:cs="Arial"/>
          <w:smallCaps/>
          <w:sz w:val="28"/>
        </w:rPr>
        <w:t>24</w:t>
      </w:r>
      <w:r>
        <w:rPr>
          <w:rFonts w:ascii="Arial" w:hAnsi="Arial" w:cs="Arial"/>
          <w:smallCaps/>
          <w:sz w:val="28"/>
        </w:rPr>
        <w:t>) de abril de dos mil diecisiete (2017)</w:t>
      </w:r>
      <w:r>
        <w:rPr>
          <w:rFonts w:ascii="Arial" w:hAnsi="Arial" w:cs="Arial"/>
          <w:sz w:val="28"/>
        </w:rPr>
        <w:t>.</w:t>
      </w:r>
    </w:p>
    <w:p w:rsidR="00884B0F" w:rsidRPr="00595344" w:rsidRDefault="00884B0F" w:rsidP="00CC61DD">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jc w:val="both"/>
        <w:rPr>
          <w:rFonts w:ascii="Arial" w:hAnsi="Arial" w:cs="Arial"/>
        </w:rPr>
      </w:pPr>
    </w:p>
    <w:p w:rsidR="00884B0F" w:rsidRPr="00595344" w:rsidRDefault="000A751E" w:rsidP="00962082">
      <w:pPr>
        <w:widowControl/>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ind w:hanging="360"/>
        <w:jc w:val="both"/>
        <w:rPr>
          <w:rFonts w:ascii="Arial" w:eastAsia="Arial" w:hAnsi="Arial" w:cs="Arial"/>
          <w:smallCaps/>
          <w:sz w:val="28"/>
        </w:rPr>
      </w:pPr>
      <w:r>
        <w:rPr>
          <w:rFonts w:ascii="Arial" w:eastAsia="Arial" w:hAnsi="Arial" w:cs="Arial"/>
          <w:smallCaps/>
          <w:sz w:val="28"/>
        </w:rPr>
        <w:t xml:space="preserve">     </w:t>
      </w:r>
      <w:r w:rsidR="004A5FA5" w:rsidRPr="00595344">
        <w:rPr>
          <w:rFonts w:ascii="Arial" w:eastAsia="Arial" w:hAnsi="Arial" w:cs="Arial"/>
          <w:smallCaps/>
          <w:sz w:val="28"/>
        </w:rPr>
        <w:t>El asunto por decidir</w:t>
      </w:r>
    </w:p>
    <w:p w:rsidR="00884B0F" w:rsidRPr="00CC61DD" w:rsidRDefault="00884B0F" w:rsidP="00CC61DD">
      <w:pPr>
        <w:pStyle w:val="Sansinterligne"/>
        <w:rPr>
          <w:rFonts w:ascii="Arial" w:hAnsi="Arial" w:cs="Arial"/>
          <w:sz w:val="16"/>
          <w:szCs w:val="16"/>
        </w:rPr>
      </w:pPr>
    </w:p>
    <w:p w:rsidR="00884B0F" w:rsidRPr="00595344" w:rsidRDefault="004A5FA5"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595344">
        <w:rPr>
          <w:rFonts w:ascii="Arial" w:eastAsia="Arial" w:hAnsi="Arial" w:cs="Arial"/>
        </w:rPr>
        <w:t>L</w:t>
      </w:r>
      <w:r w:rsidR="003F111B" w:rsidRPr="00595344">
        <w:rPr>
          <w:rFonts w:ascii="Arial" w:eastAsia="Arial" w:hAnsi="Arial" w:cs="Arial"/>
        </w:rPr>
        <w:t>a acci</w:t>
      </w:r>
      <w:r w:rsidR="006C4187" w:rsidRPr="00595344">
        <w:rPr>
          <w:rFonts w:ascii="Arial" w:eastAsia="Arial" w:hAnsi="Arial" w:cs="Arial"/>
        </w:rPr>
        <w:t xml:space="preserve">ón </w:t>
      </w:r>
      <w:r w:rsidR="00251244" w:rsidRPr="00595344">
        <w:rPr>
          <w:rFonts w:ascii="Arial" w:eastAsia="Arial" w:hAnsi="Arial" w:cs="Arial"/>
        </w:rPr>
        <w:t>constitucional</w:t>
      </w:r>
      <w:r w:rsidRPr="00595344">
        <w:rPr>
          <w:rFonts w:ascii="Arial" w:eastAsia="Arial" w:hAnsi="Arial" w:cs="Arial"/>
        </w:rPr>
        <w:t xml:space="preserve"> </w:t>
      </w:r>
      <w:r w:rsidR="00251244" w:rsidRPr="00595344">
        <w:rPr>
          <w:rFonts w:ascii="Arial" w:eastAsia="Arial" w:hAnsi="Arial" w:cs="Arial"/>
        </w:rPr>
        <w:t xml:space="preserve">de la referencia, </w:t>
      </w:r>
      <w:r w:rsidRPr="00595344">
        <w:rPr>
          <w:rFonts w:ascii="Arial" w:eastAsia="Arial" w:hAnsi="Arial" w:cs="Arial"/>
        </w:rPr>
        <w:t>adelantadas las debidas actuaciones con el trámite preferente y sumario, sin que se evidencien causales de nulidad que la invalide</w:t>
      </w:r>
      <w:r w:rsidR="00251244" w:rsidRPr="00595344">
        <w:rPr>
          <w:rFonts w:ascii="Arial" w:eastAsia="Arial" w:hAnsi="Arial" w:cs="Arial"/>
        </w:rPr>
        <w:t>n</w:t>
      </w:r>
      <w:r w:rsidRPr="00595344">
        <w:rPr>
          <w:rFonts w:ascii="Arial" w:eastAsia="Arial" w:hAnsi="Arial" w:cs="Arial"/>
        </w:rPr>
        <w:t>.</w:t>
      </w:r>
    </w:p>
    <w:p w:rsidR="00884B0F" w:rsidRPr="00AB5228" w:rsidRDefault="00884B0F" w:rsidP="00CC61DD">
      <w:pPr>
        <w:pStyle w:val="Sansinterligne"/>
        <w:rPr>
          <w:rFonts w:ascii="Arial" w:hAnsi="Arial" w:cs="Arial"/>
          <w:szCs w:val="24"/>
        </w:rPr>
      </w:pPr>
    </w:p>
    <w:p w:rsidR="00884B0F" w:rsidRPr="000A751E" w:rsidRDefault="004A5FA5" w:rsidP="000A751E">
      <w:pPr>
        <w:pStyle w:val="Paragraphedeliste"/>
        <w:widowControl/>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ind w:left="0"/>
        <w:jc w:val="both"/>
        <w:rPr>
          <w:rFonts w:ascii="Arial" w:eastAsia="Arial" w:hAnsi="Arial" w:cs="Arial"/>
          <w:smallCaps/>
          <w:sz w:val="28"/>
        </w:rPr>
      </w:pPr>
      <w:r w:rsidRPr="000A751E">
        <w:rPr>
          <w:rFonts w:ascii="Arial" w:eastAsia="Arial" w:hAnsi="Arial" w:cs="Arial"/>
          <w:smallCaps/>
          <w:sz w:val="28"/>
        </w:rPr>
        <w:t>La síntesis de los supuestos fácticos relevantes</w:t>
      </w:r>
    </w:p>
    <w:p w:rsidR="00F855C3" w:rsidRPr="00CC61DD" w:rsidRDefault="00F855C3" w:rsidP="00CC61DD">
      <w:pPr>
        <w:jc w:val="both"/>
        <w:rPr>
          <w:rFonts w:ascii="Arial" w:hAnsi="Arial" w:cs="Arial"/>
          <w:sz w:val="16"/>
          <w:szCs w:val="16"/>
        </w:rPr>
      </w:pPr>
    </w:p>
    <w:p w:rsidR="00E4392F" w:rsidRDefault="00E4392F" w:rsidP="00E4392F">
      <w:pPr>
        <w:spacing w:line="360" w:lineRule="auto"/>
        <w:jc w:val="both"/>
        <w:rPr>
          <w:rFonts w:ascii="Arial" w:hAnsi="Arial" w:cs="Arial"/>
        </w:rPr>
      </w:pPr>
      <w:r>
        <w:rPr>
          <w:rFonts w:ascii="Arial" w:hAnsi="Arial" w:cs="Arial"/>
        </w:rPr>
        <w:t xml:space="preserve">Indicó el accionante que </w:t>
      </w:r>
      <w:r w:rsidR="00D90495">
        <w:rPr>
          <w:rFonts w:ascii="Arial" w:hAnsi="Arial" w:cs="Arial"/>
        </w:rPr>
        <w:t xml:space="preserve">actúa en </w:t>
      </w:r>
      <w:r>
        <w:rPr>
          <w:rFonts w:ascii="Arial" w:hAnsi="Arial" w:cs="Arial"/>
        </w:rPr>
        <w:t>la acción popular No.</w:t>
      </w:r>
      <w:r w:rsidR="00D90495">
        <w:rPr>
          <w:rFonts w:ascii="Arial" w:hAnsi="Arial" w:cs="Arial"/>
        </w:rPr>
        <w:t xml:space="preserve">2015-00729-00, ha solicitado constantemente aplicar los artículos 5 y 84 de la Ley 472, pero el accionado la declaró </w:t>
      </w:r>
      <w:proofErr w:type="gramStart"/>
      <w:r w:rsidR="00D90495">
        <w:rPr>
          <w:rFonts w:ascii="Arial" w:hAnsi="Arial" w:cs="Arial"/>
        </w:rPr>
        <w:t>terminada</w:t>
      </w:r>
      <w:proofErr w:type="gramEnd"/>
      <w:r w:rsidR="00D90495">
        <w:rPr>
          <w:rFonts w:ascii="Arial" w:hAnsi="Arial" w:cs="Arial"/>
        </w:rPr>
        <w:t xml:space="preserve"> por desistimiento tácito </w:t>
      </w:r>
      <w:r>
        <w:rPr>
          <w:rFonts w:ascii="Arial" w:hAnsi="Arial" w:cs="Arial"/>
        </w:rPr>
        <w:t>(Folios 1 y 2, este cuaderno).</w:t>
      </w:r>
    </w:p>
    <w:p w:rsidR="00A8313B" w:rsidRDefault="006A66DA" w:rsidP="00A8313B">
      <w:pPr>
        <w:pStyle w:val="Corpsdetexte"/>
        <w:numPr>
          <w:ilvl w:val="0"/>
          <w:numId w:val="4"/>
        </w:numPr>
        <w:spacing w:line="360" w:lineRule="auto"/>
        <w:ind w:left="0"/>
        <w:rPr>
          <w:rFonts w:ascii="Arial" w:hAnsi="Arial" w:cs="Arial"/>
          <w:smallCaps/>
          <w:sz w:val="28"/>
          <w:szCs w:val="24"/>
        </w:rPr>
      </w:pPr>
      <w:r w:rsidRPr="00595344">
        <w:rPr>
          <w:rFonts w:ascii="Arial" w:hAnsi="Arial" w:cs="Arial"/>
          <w:smallCaps/>
          <w:sz w:val="28"/>
          <w:szCs w:val="24"/>
        </w:rPr>
        <w:lastRenderedPageBreak/>
        <w:t xml:space="preserve">Los </w:t>
      </w:r>
      <w:r w:rsidR="00303747" w:rsidRPr="00595344">
        <w:rPr>
          <w:rFonts w:ascii="Arial" w:hAnsi="Arial" w:cs="Arial"/>
          <w:smallCaps/>
          <w:sz w:val="28"/>
          <w:szCs w:val="24"/>
        </w:rPr>
        <w:t>derecho</w:t>
      </w:r>
      <w:r w:rsidRPr="00595344">
        <w:rPr>
          <w:rFonts w:ascii="Arial" w:hAnsi="Arial" w:cs="Arial"/>
          <w:smallCaps/>
          <w:sz w:val="28"/>
          <w:szCs w:val="24"/>
        </w:rPr>
        <w:t>s</w:t>
      </w:r>
      <w:r w:rsidR="00303747" w:rsidRPr="00595344">
        <w:rPr>
          <w:rFonts w:ascii="Arial" w:hAnsi="Arial" w:cs="Arial"/>
          <w:smallCaps/>
          <w:sz w:val="28"/>
          <w:szCs w:val="24"/>
        </w:rPr>
        <w:t xml:space="preserve"> invocado</w:t>
      </w:r>
      <w:r w:rsidRPr="00595344">
        <w:rPr>
          <w:rFonts w:ascii="Arial" w:hAnsi="Arial" w:cs="Arial"/>
          <w:smallCaps/>
          <w:sz w:val="28"/>
          <w:szCs w:val="24"/>
        </w:rPr>
        <w:t>s</w:t>
      </w:r>
    </w:p>
    <w:p w:rsidR="00A8313B" w:rsidRPr="00AB5228" w:rsidRDefault="00A8313B" w:rsidP="00A8313B">
      <w:pPr>
        <w:pStyle w:val="Corpsdetexte"/>
        <w:spacing w:line="360" w:lineRule="auto"/>
        <w:rPr>
          <w:rFonts w:ascii="Arial" w:hAnsi="Arial" w:cs="Arial"/>
          <w:smallCaps/>
          <w:szCs w:val="24"/>
        </w:rPr>
      </w:pPr>
    </w:p>
    <w:p w:rsidR="00303747" w:rsidRPr="00595344" w:rsidRDefault="00CC2570" w:rsidP="009620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595344">
        <w:rPr>
          <w:rFonts w:ascii="Arial" w:hAnsi="Arial" w:cs="Arial"/>
          <w:spacing w:val="-3"/>
          <w:lang w:val="es-ES_tradnl"/>
        </w:rPr>
        <w:t>El a</w:t>
      </w:r>
      <w:r w:rsidR="00033AB6" w:rsidRPr="00595344">
        <w:rPr>
          <w:rFonts w:ascii="Arial" w:hAnsi="Arial" w:cs="Arial"/>
          <w:spacing w:val="-3"/>
          <w:lang w:val="es-ES_tradnl"/>
        </w:rPr>
        <w:t xml:space="preserve">ccionante </w:t>
      </w:r>
      <w:r w:rsidR="006A66DA" w:rsidRPr="00595344">
        <w:rPr>
          <w:rFonts w:ascii="Arial" w:hAnsi="Arial" w:cs="Arial"/>
          <w:spacing w:val="-3"/>
          <w:lang w:val="es-ES_tradnl"/>
        </w:rPr>
        <w:t>considera que se le vulneran</w:t>
      </w:r>
      <w:r w:rsidR="007D1FCA" w:rsidRPr="00595344">
        <w:rPr>
          <w:rFonts w:ascii="Arial" w:hAnsi="Arial" w:cs="Arial"/>
          <w:spacing w:val="-3"/>
          <w:lang w:val="es-ES_tradnl"/>
        </w:rPr>
        <w:t xml:space="preserve"> </w:t>
      </w:r>
      <w:r w:rsidR="00595344" w:rsidRPr="00595344">
        <w:rPr>
          <w:rFonts w:ascii="Arial" w:hAnsi="Arial" w:cs="Arial"/>
          <w:spacing w:val="-3"/>
          <w:lang w:val="es-ES_tradnl"/>
        </w:rPr>
        <w:t xml:space="preserve">los derechos </w:t>
      </w:r>
      <w:r w:rsidR="00DA64CA">
        <w:rPr>
          <w:rFonts w:ascii="Arial" w:hAnsi="Arial" w:cs="Arial"/>
          <w:spacing w:val="-3"/>
          <w:lang w:val="es-ES_tradnl"/>
        </w:rPr>
        <w:t xml:space="preserve">a </w:t>
      </w:r>
      <w:r w:rsidR="00DA64CA" w:rsidRPr="000C1DAC">
        <w:rPr>
          <w:rFonts w:ascii="Arial" w:hAnsi="Arial" w:cs="Arial"/>
          <w:i/>
          <w:spacing w:val="-3"/>
          <w:sz w:val="22"/>
          <w:lang w:val="es-ES_tradnl"/>
        </w:rPr>
        <w:t>“(…) mis garantías procesales (…)”</w:t>
      </w:r>
      <w:r w:rsidR="00D42A85" w:rsidRPr="000C1DAC">
        <w:rPr>
          <w:rFonts w:ascii="Arial" w:hAnsi="Arial" w:cs="Arial"/>
          <w:i/>
          <w:spacing w:val="-3"/>
          <w:lang w:val="es-ES_tradnl"/>
        </w:rPr>
        <w:t>,</w:t>
      </w:r>
      <w:r w:rsidR="00D90495">
        <w:rPr>
          <w:rFonts w:ascii="Arial" w:hAnsi="Arial" w:cs="Arial"/>
          <w:spacing w:val="-3"/>
          <w:lang w:val="es-ES_tradnl"/>
        </w:rPr>
        <w:t xml:space="preserve"> y </w:t>
      </w:r>
      <w:r w:rsidR="00D36D2F" w:rsidRPr="00D36D2F">
        <w:rPr>
          <w:rFonts w:ascii="Arial" w:hAnsi="Arial" w:cs="Arial"/>
          <w:spacing w:val="-3"/>
          <w:lang w:val="es-ES_tradnl"/>
        </w:rPr>
        <w:t xml:space="preserve">debido proceso </w:t>
      </w:r>
      <w:r w:rsidR="00303747" w:rsidRPr="00595344">
        <w:rPr>
          <w:rFonts w:ascii="Arial" w:hAnsi="Arial" w:cs="Arial"/>
        </w:rPr>
        <w:t>(Folio</w:t>
      </w:r>
      <w:r w:rsidR="000708F5" w:rsidRPr="00595344">
        <w:rPr>
          <w:rFonts w:ascii="Arial" w:hAnsi="Arial" w:cs="Arial"/>
        </w:rPr>
        <w:t xml:space="preserve"> </w:t>
      </w:r>
      <w:r w:rsidR="00DA64CA">
        <w:rPr>
          <w:rFonts w:ascii="Arial" w:hAnsi="Arial" w:cs="Arial"/>
        </w:rPr>
        <w:t xml:space="preserve">2 </w:t>
      </w:r>
      <w:r w:rsidR="00AA2779" w:rsidRPr="00595344">
        <w:rPr>
          <w:rFonts w:ascii="Arial" w:hAnsi="Arial" w:cs="Arial"/>
        </w:rPr>
        <w:t>de</w:t>
      </w:r>
      <w:r w:rsidR="00303747" w:rsidRPr="00595344">
        <w:rPr>
          <w:rFonts w:ascii="Arial" w:hAnsi="Arial" w:cs="Arial"/>
        </w:rPr>
        <w:t xml:space="preserve"> este cuaderno).</w:t>
      </w:r>
      <w:r w:rsidR="00303747" w:rsidRPr="00595344">
        <w:rPr>
          <w:rFonts w:ascii="Arial" w:hAnsi="Arial" w:cs="Arial"/>
          <w:spacing w:val="-3"/>
          <w:lang w:val="es-ES_tradnl"/>
        </w:rPr>
        <w:t xml:space="preserve"> </w:t>
      </w:r>
    </w:p>
    <w:p w:rsidR="00303747" w:rsidRPr="00AB5228" w:rsidRDefault="00303747" w:rsidP="00962082">
      <w:pPr>
        <w:pStyle w:val="Sansinterligne"/>
        <w:spacing w:line="360" w:lineRule="auto"/>
        <w:rPr>
          <w:rFonts w:ascii="Arial" w:hAnsi="Arial" w:cs="Arial"/>
          <w:szCs w:val="24"/>
          <w:lang w:val="es-ES_tradnl"/>
        </w:rPr>
      </w:pPr>
    </w:p>
    <w:p w:rsidR="00303747" w:rsidRPr="00595344" w:rsidRDefault="00303747" w:rsidP="00962082">
      <w:pPr>
        <w:pStyle w:val="Corpsdetexte"/>
        <w:numPr>
          <w:ilvl w:val="0"/>
          <w:numId w:val="4"/>
        </w:numPr>
        <w:spacing w:line="360" w:lineRule="auto"/>
        <w:ind w:left="0"/>
        <w:rPr>
          <w:rFonts w:ascii="Arial" w:hAnsi="Arial" w:cs="Arial"/>
          <w:smallCaps/>
          <w:sz w:val="28"/>
          <w:szCs w:val="24"/>
        </w:rPr>
      </w:pPr>
      <w:r w:rsidRPr="00595344">
        <w:rPr>
          <w:rFonts w:ascii="Arial" w:hAnsi="Arial" w:cs="Arial"/>
          <w:smallCaps/>
          <w:sz w:val="28"/>
          <w:szCs w:val="24"/>
        </w:rPr>
        <w:t>La petición de protección</w:t>
      </w:r>
    </w:p>
    <w:p w:rsidR="00303747" w:rsidRPr="00AB5228" w:rsidRDefault="00303747" w:rsidP="00962082">
      <w:pPr>
        <w:pStyle w:val="Sansinterligne"/>
        <w:spacing w:line="360" w:lineRule="auto"/>
        <w:rPr>
          <w:rFonts w:ascii="Arial" w:hAnsi="Arial" w:cs="Arial"/>
          <w:szCs w:val="24"/>
        </w:rPr>
      </w:pPr>
    </w:p>
    <w:p w:rsidR="00303747" w:rsidRDefault="00303747" w:rsidP="00962082">
      <w:pPr>
        <w:spacing w:line="360" w:lineRule="auto"/>
        <w:jc w:val="both"/>
        <w:rPr>
          <w:rFonts w:ascii="Arial" w:hAnsi="Arial" w:cs="Arial"/>
        </w:rPr>
      </w:pPr>
      <w:r w:rsidRPr="00595344">
        <w:rPr>
          <w:rFonts w:ascii="Arial" w:hAnsi="Arial" w:cs="Arial"/>
        </w:rPr>
        <w:t>Solicita</w:t>
      </w:r>
      <w:r w:rsidR="00CD67DF" w:rsidRPr="00595344">
        <w:rPr>
          <w:rFonts w:ascii="Arial" w:hAnsi="Arial" w:cs="Arial"/>
        </w:rPr>
        <w:t xml:space="preserve"> </w:t>
      </w:r>
      <w:r w:rsidR="00595344">
        <w:rPr>
          <w:rFonts w:ascii="Arial" w:hAnsi="Arial" w:cs="Arial"/>
        </w:rPr>
        <w:t>que</w:t>
      </w:r>
      <w:r w:rsidR="00D36D2F">
        <w:rPr>
          <w:rFonts w:ascii="Arial" w:hAnsi="Arial" w:cs="Arial"/>
        </w:rPr>
        <w:t xml:space="preserve">: (i) </w:t>
      </w:r>
      <w:r w:rsidR="00D42A85">
        <w:rPr>
          <w:rFonts w:ascii="Arial" w:hAnsi="Arial" w:cs="Arial"/>
        </w:rPr>
        <w:t xml:space="preserve">Se ordene </w:t>
      </w:r>
      <w:r w:rsidR="00D90495">
        <w:rPr>
          <w:rFonts w:ascii="Arial" w:hAnsi="Arial" w:cs="Arial"/>
        </w:rPr>
        <w:t>dar continuidad a la acción popular</w:t>
      </w:r>
      <w:r w:rsidR="00D42A85">
        <w:rPr>
          <w:rFonts w:ascii="Arial" w:hAnsi="Arial" w:cs="Arial"/>
        </w:rPr>
        <w:t xml:space="preserve">; (ii) Se disponga </w:t>
      </w:r>
      <w:r w:rsidR="00D90495">
        <w:rPr>
          <w:rFonts w:ascii="Arial" w:hAnsi="Arial" w:cs="Arial"/>
        </w:rPr>
        <w:t>que el procurador que actúa en ese asunto demuestre como ha protegido sus garantías procesales; (iii) Se ordene al juzgado accionado que aclare si aplica el CGP pese a la obligación contenida en el artículo 5, Ley 472</w:t>
      </w:r>
      <w:r w:rsidR="00D42A85">
        <w:rPr>
          <w:rFonts w:ascii="Arial" w:hAnsi="Arial" w:cs="Arial"/>
          <w:lang w:val="es-CO"/>
        </w:rPr>
        <w:t xml:space="preserve"> </w:t>
      </w:r>
      <w:r w:rsidRPr="00595344">
        <w:rPr>
          <w:rFonts w:ascii="Arial" w:hAnsi="Arial" w:cs="Arial"/>
        </w:rPr>
        <w:t>(Folio</w:t>
      </w:r>
      <w:r w:rsidR="00D90495">
        <w:rPr>
          <w:rFonts w:ascii="Arial" w:hAnsi="Arial" w:cs="Arial"/>
        </w:rPr>
        <w:t>s 1 y</w:t>
      </w:r>
      <w:r w:rsidR="00AA2779" w:rsidRPr="00595344">
        <w:rPr>
          <w:rFonts w:ascii="Arial" w:hAnsi="Arial" w:cs="Arial"/>
        </w:rPr>
        <w:t xml:space="preserve"> </w:t>
      </w:r>
      <w:r w:rsidR="00DA64CA">
        <w:rPr>
          <w:rFonts w:ascii="Arial" w:hAnsi="Arial" w:cs="Arial"/>
        </w:rPr>
        <w:t xml:space="preserve">2 </w:t>
      </w:r>
      <w:r w:rsidR="00AA2779" w:rsidRPr="00595344">
        <w:rPr>
          <w:rFonts w:ascii="Arial" w:hAnsi="Arial" w:cs="Arial"/>
        </w:rPr>
        <w:t xml:space="preserve">de </w:t>
      </w:r>
      <w:r w:rsidRPr="00595344">
        <w:rPr>
          <w:rFonts w:ascii="Arial" w:hAnsi="Arial" w:cs="Arial"/>
        </w:rPr>
        <w:t>este cuaderno).</w:t>
      </w:r>
    </w:p>
    <w:p w:rsidR="00E3591B" w:rsidRDefault="00E3591B" w:rsidP="00962082">
      <w:pPr>
        <w:spacing w:line="360" w:lineRule="auto"/>
        <w:jc w:val="both"/>
        <w:rPr>
          <w:rFonts w:ascii="Arial" w:hAnsi="Arial" w:cs="Arial"/>
        </w:rPr>
      </w:pPr>
    </w:p>
    <w:p w:rsidR="00303747" w:rsidRPr="007D3EFE" w:rsidRDefault="00D90495" w:rsidP="00962082">
      <w:pPr>
        <w:pStyle w:val="Sansinterligne"/>
        <w:numPr>
          <w:ilvl w:val="0"/>
          <w:numId w:val="4"/>
        </w:numPr>
        <w:spacing w:line="360" w:lineRule="auto"/>
        <w:ind w:left="0"/>
        <w:jc w:val="both"/>
        <w:rPr>
          <w:rFonts w:ascii="Arial" w:hAnsi="Arial" w:cs="Arial"/>
          <w:smallCaps/>
          <w:sz w:val="28"/>
          <w:szCs w:val="28"/>
        </w:rPr>
      </w:pPr>
      <w:r>
        <w:rPr>
          <w:rFonts w:ascii="Arial" w:hAnsi="Arial" w:cs="Arial"/>
          <w:smallCaps/>
          <w:sz w:val="28"/>
          <w:szCs w:val="28"/>
        </w:rPr>
        <w:t xml:space="preserve">El resumen </w:t>
      </w:r>
      <w:r w:rsidR="00303747" w:rsidRPr="007D3EFE">
        <w:rPr>
          <w:rFonts w:ascii="Arial" w:hAnsi="Arial" w:cs="Arial"/>
          <w:smallCaps/>
          <w:sz w:val="28"/>
          <w:szCs w:val="28"/>
        </w:rPr>
        <w:t>de la crónica procesal</w:t>
      </w:r>
    </w:p>
    <w:p w:rsidR="00303747" w:rsidRPr="00AB5228" w:rsidRDefault="00303747" w:rsidP="00962082">
      <w:pPr>
        <w:pStyle w:val="Sansinterligne"/>
        <w:spacing w:line="360" w:lineRule="auto"/>
        <w:rPr>
          <w:rFonts w:ascii="Arial" w:hAnsi="Arial" w:cs="Arial"/>
        </w:rPr>
      </w:pPr>
    </w:p>
    <w:p w:rsidR="00CE096B" w:rsidRDefault="006A66DA" w:rsidP="00962082">
      <w:pPr>
        <w:spacing w:line="360" w:lineRule="auto"/>
        <w:jc w:val="both"/>
        <w:rPr>
          <w:rFonts w:ascii="Arial" w:hAnsi="Arial" w:cs="Arial"/>
          <w:lang w:val="es-CO"/>
        </w:rPr>
      </w:pPr>
      <w:r w:rsidRPr="007D3EFE">
        <w:rPr>
          <w:rFonts w:ascii="Arial" w:hAnsi="Arial" w:cs="Arial"/>
        </w:rPr>
        <w:t>En reparto ordinario d</w:t>
      </w:r>
      <w:r w:rsidR="00303747" w:rsidRPr="007D3EFE">
        <w:rPr>
          <w:rFonts w:ascii="Arial" w:hAnsi="Arial" w:cs="Arial"/>
        </w:rPr>
        <w:t xml:space="preserve">el </w:t>
      </w:r>
      <w:r w:rsidR="00D90495">
        <w:rPr>
          <w:rFonts w:ascii="Arial" w:hAnsi="Arial" w:cs="Arial"/>
        </w:rPr>
        <w:t xml:space="preserve">03-04-2017 </w:t>
      </w:r>
      <w:r w:rsidR="00E820BC" w:rsidRPr="007D3EFE">
        <w:rPr>
          <w:rFonts w:ascii="Arial" w:hAnsi="Arial" w:cs="Arial"/>
        </w:rPr>
        <w:t>se asign</w:t>
      </w:r>
      <w:r w:rsidR="009D0EF6" w:rsidRPr="007D3EFE">
        <w:rPr>
          <w:rFonts w:ascii="Arial" w:hAnsi="Arial" w:cs="Arial"/>
        </w:rPr>
        <w:t>ó el conocimiento</w:t>
      </w:r>
      <w:r w:rsidR="00E820BC" w:rsidRPr="007D3EFE">
        <w:rPr>
          <w:rFonts w:ascii="Arial" w:hAnsi="Arial" w:cs="Arial"/>
        </w:rPr>
        <w:t xml:space="preserve"> a este Despacho, con providencia del</w:t>
      </w:r>
      <w:r w:rsidR="009D0EF6" w:rsidRPr="007D3EFE">
        <w:rPr>
          <w:rFonts w:ascii="Arial" w:hAnsi="Arial" w:cs="Arial"/>
        </w:rPr>
        <w:t xml:space="preserve"> </w:t>
      </w:r>
      <w:r w:rsidR="00D90495">
        <w:rPr>
          <w:rFonts w:ascii="Arial" w:hAnsi="Arial" w:cs="Arial"/>
        </w:rPr>
        <w:t>05-04-2017</w:t>
      </w:r>
      <w:r w:rsidR="00E820BC" w:rsidRPr="007D3EFE">
        <w:rPr>
          <w:rFonts w:ascii="Arial" w:hAnsi="Arial" w:cs="Arial"/>
        </w:rPr>
        <w:t>, se admiti</w:t>
      </w:r>
      <w:r w:rsidR="009D0EF6" w:rsidRPr="007D3EFE">
        <w:rPr>
          <w:rFonts w:ascii="Arial" w:hAnsi="Arial" w:cs="Arial"/>
        </w:rPr>
        <w:t>ó</w:t>
      </w:r>
      <w:r w:rsidR="00B02350" w:rsidRPr="007D3EFE">
        <w:rPr>
          <w:rFonts w:ascii="Arial" w:hAnsi="Arial" w:cs="Arial"/>
        </w:rPr>
        <w:t xml:space="preserve">, </w:t>
      </w:r>
      <w:r w:rsidR="00E820BC" w:rsidRPr="007D3EFE">
        <w:rPr>
          <w:rFonts w:ascii="Arial" w:hAnsi="Arial" w:cs="Arial"/>
        </w:rPr>
        <w:t>se ordenó</w:t>
      </w:r>
      <w:r w:rsidR="00303747" w:rsidRPr="007D3EFE">
        <w:rPr>
          <w:rFonts w:ascii="Arial" w:hAnsi="Arial" w:cs="Arial"/>
        </w:rPr>
        <w:t xml:space="preserve"> vincular a quienes se estimó conveniente, se dispuso notificar a la partes, entre otros ordenamientos (Folio </w:t>
      </w:r>
      <w:r w:rsidR="00D90495">
        <w:rPr>
          <w:rFonts w:ascii="Arial" w:hAnsi="Arial" w:cs="Arial"/>
        </w:rPr>
        <w:t>10 y 11</w:t>
      </w:r>
      <w:r w:rsidR="00303747" w:rsidRPr="007D3EFE">
        <w:rPr>
          <w:rFonts w:ascii="Arial" w:hAnsi="Arial" w:cs="Arial"/>
        </w:rPr>
        <w:t xml:space="preserve">, </w:t>
      </w:r>
      <w:r w:rsidR="00CD67DF">
        <w:rPr>
          <w:rFonts w:ascii="Arial" w:hAnsi="Arial" w:cs="Arial"/>
        </w:rPr>
        <w:t>ibídem</w:t>
      </w:r>
      <w:r w:rsidR="0017516C" w:rsidRPr="007D3EFE">
        <w:rPr>
          <w:rFonts w:ascii="Arial" w:hAnsi="Arial" w:cs="Arial"/>
        </w:rPr>
        <w:t>)</w:t>
      </w:r>
      <w:r w:rsidR="00303747" w:rsidRPr="007D3EFE">
        <w:rPr>
          <w:rFonts w:ascii="Arial" w:hAnsi="Arial" w:cs="Arial"/>
        </w:rPr>
        <w:t xml:space="preserve">. Fueron debidamente enterados los extremos de la </w:t>
      </w:r>
      <w:r w:rsidR="00D90495">
        <w:rPr>
          <w:rFonts w:ascii="Arial" w:hAnsi="Arial" w:cs="Arial"/>
        </w:rPr>
        <w:t>acción (Folios 12 a 15</w:t>
      </w:r>
      <w:r w:rsidR="00D36D2F">
        <w:rPr>
          <w:rFonts w:ascii="Arial" w:hAnsi="Arial" w:cs="Arial"/>
        </w:rPr>
        <w:t>,</w:t>
      </w:r>
      <w:r w:rsidR="00303747" w:rsidRPr="007D3EFE">
        <w:rPr>
          <w:rFonts w:ascii="Arial" w:hAnsi="Arial" w:cs="Arial"/>
        </w:rPr>
        <w:t xml:space="preserve"> ib</w:t>
      </w:r>
      <w:r w:rsidR="00D36D2F">
        <w:rPr>
          <w:rFonts w:ascii="Arial" w:hAnsi="Arial" w:cs="Arial"/>
        </w:rPr>
        <w:t>.). Contestaron</w:t>
      </w:r>
      <w:r w:rsidR="00303747" w:rsidRPr="007D3EFE">
        <w:rPr>
          <w:rFonts w:ascii="Arial" w:hAnsi="Arial" w:cs="Arial"/>
        </w:rPr>
        <w:t xml:space="preserve"> </w:t>
      </w:r>
      <w:r w:rsidR="00D90495">
        <w:rPr>
          <w:rFonts w:ascii="Arial" w:hAnsi="Arial" w:cs="Arial"/>
        </w:rPr>
        <w:t xml:space="preserve">la Procuraduría General de la Nación, Regional </w:t>
      </w:r>
      <w:r w:rsidR="00D42A85">
        <w:rPr>
          <w:rFonts w:ascii="Arial" w:hAnsi="Arial" w:cs="Arial"/>
        </w:rPr>
        <w:t xml:space="preserve">Risaralda </w:t>
      </w:r>
      <w:r w:rsidR="00D90495">
        <w:rPr>
          <w:rFonts w:ascii="Arial" w:hAnsi="Arial" w:cs="Arial"/>
        </w:rPr>
        <w:t>(Folio 16</w:t>
      </w:r>
      <w:r w:rsidR="00D36D2F">
        <w:rPr>
          <w:rFonts w:ascii="Arial" w:hAnsi="Arial" w:cs="Arial"/>
        </w:rPr>
        <w:t>, ib.)</w:t>
      </w:r>
      <w:r w:rsidR="00D42A85">
        <w:rPr>
          <w:rFonts w:ascii="Arial" w:hAnsi="Arial" w:cs="Arial"/>
        </w:rPr>
        <w:t xml:space="preserve"> y</w:t>
      </w:r>
      <w:r w:rsidR="00D36D2F">
        <w:rPr>
          <w:rFonts w:ascii="Arial" w:hAnsi="Arial" w:cs="Arial"/>
        </w:rPr>
        <w:t xml:space="preserve"> la </w:t>
      </w:r>
      <w:r w:rsidR="00D90495">
        <w:rPr>
          <w:rFonts w:ascii="Arial" w:hAnsi="Arial" w:cs="Arial"/>
        </w:rPr>
        <w:t>Alcaldía de Pereira (</w:t>
      </w:r>
      <w:r w:rsidR="000708F5" w:rsidRPr="007D3EFE">
        <w:rPr>
          <w:rFonts w:ascii="Arial" w:hAnsi="Arial" w:cs="Arial"/>
          <w:spacing w:val="3"/>
        </w:rPr>
        <w:t>Folio</w:t>
      </w:r>
      <w:r w:rsidR="00D90495">
        <w:rPr>
          <w:rFonts w:ascii="Arial" w:hAnsi="Arial" w:cs="Arial"/>
          <w:spacing w:val="3"/>
        </w:rPr>
        <w:t>s</w:t>
      </w:r>
      <w:r w:rsidR="00D42A85">
        <w:rPr>
          <w:rFonts w:ascii="Arial" w:hAnsi="Arial" w:cs="Arial"/>
          <w:spacing w:val="3"/>
        </w:rPr>
        <w:t xml:space="preserve"> </w:t>
      </w:r>
      <w:r w:rsidR="00D90495">
        <w:rPr>
          <w:rFonts w:ascii="Arial" w:hAnsi="Arial" w:cs="Arial"/>
          <w:spacing w:val="3"/>
        </w:rPr>
        <w:t>19 a 20</w:t>
      </w:r>
      <w:r w:rsidR="00595344">
        <w:rPr>
          <w:rFonts w:ascii="Arial" w:hAnsi="Arial" w:cs="Arial"/>
          <w:spacing w:val="3"/>
        </w:rPr>
        <w:t xml:space="preserve">, </w:t>
      </w:r>
      <w:r w:rsidR="00F70CC9" w:rsidRPr="007D3EFE">
        <w:rPr>
          <w:rFonts w:ascii="Arial" w:hAnsi="Arial" w:cs="Arial"/>
          <w:spacing w:val="3"/>
        </w:rPr>
        <w:t>ib</w:t>
      </w:r>
      <w:r w:rsidR="00325ADE" w:rsidRPr="007D3EFE">
        <w:rPr>
          <w:rFonts w:ascii="Arial" w:hAnsi="Arial" w:cs="Arial"/>
          <w:spacing w:val="3"/>
        </w:rPr>
        <w:t>.</w:t>
      </w:r>
      <w:r w:rsidR="000708F5" w:rsidRPr="007D3EFE">
        <w:rPr>
          <w:rFonts w:ascii="Arial" w:hAnsi="Arial" w:cs="Arial"/>
          <w:spacing w:val="3"/>
        </w:rPr>
        <w:t>)</w:t>
      </w:r>
      <w:r w:rsidR="00CE096B">
        <w:rPr>
          <w:rFonts w:ascii="Arial" w:hAnsi="Arial" w:cs="Arial"/>
          <w:spacing w:val="3"/>
        </w:rPr>
        <w:t>. E</w:t>
      </w:r>
      <w:r w:rsidR="00595344">
        <w:rPr>
          <w:rFonts w:ascii="Arial" w:hAnsi="Arial" w:cs="Arial"/>
          <w:spacing w:val="3"/>
        </w:rPr>
        <w:t xml:space="preserve">l Juzgado accionado </w:t>
      </w:r>
      <w:r w:rsidR="00CE096B">
        <w:rPr>
          <w:rFonts w:ascii="Arial" w:hAnsi="Arial" w:cs="Arial"/>
          <w:spacing w:val="3"/>
        </w:rPr>
        <w:t xml:space="preserve">arrimó las copias requeridas </w:t>
      </w:r>
      <w:r w:rsidR="00E24A8D" w:rsidRPr="007D3EFE">
        <w:rPr>
          <w:rFonts w:ascii="Arial" w:hAnsi="Arial" w:cs="Arial"/>
          <w:spacing w:val="3"/>
        </w:rPr>
        <w:t>(</w:t>
      </w:r>
      <w:r w:rsidR="00BB4F44" w:rsidRPr="007D3EFE">
        <w:rPr>
          <w:rFonts w:ascii="Arial" w:hAnsi="Arial" w:cs="Arial"/>
          <w:spacing w:val="3"/>
        </w:rPr>
        <w:t>Folio</w:t>
      </w:r>
      <w:r w:rsidR="000A751E">
        <w:rPr>
          <w:rFonts w:ascii="Arial" w:hAnsi="Arial" w:cs="Arial"/>
          <w:spacing w:val="3"/>
        </w:rPr>
        <w:t>s</w:t>
      </w:r>
      <w:r w:rsidR="00BB4F44" w:rsidRPr="007D3EFE">
        <w:rPr>
          <w:rFonts w:ascii="Arial" w:hAnsi="Arial" w:cs="Arial"/>
          <w:spacing w:val="3"/>
        </w:rPr>
        <w:t xml:space="preserve"> </w:t>
      </w:r>
      <w:r w:rsidR="000A751E">
        <w:rPr>
          <w:rFonts w:ascii="Arial" w:hAnsi="Arial" w:cs="Arial"/>
          <w:spacing w:val="3"/>
        </w:rPr>
        <w:t>25 a 41</w:t>
      </w:r>
      <w:r w:rsidR="00CD67DF">
        <w:rPr>
          <w:rFonts w:ascii="Arial" w:hAnsi="Arial" w:cs="Arial"/>
          <w:spacing w:val="3"/>
        </w:rPr>
        <w:t>, ib.</w:t>
      </w:r>
      <w:r w:rsidR="00E24A8D" w:rsidRPr="007D3EFE">
        <w:rPr>
          <w:rFonts w:ascii="Arial" w:hAnsi="Arial" w:cs="Arial"/>
          <w:lang w:val="es-CO"/>
        </w:rPr>
        <w:t>)</w:t>
      </w:r>
      <w:r w:rsidR="00CD67DF">
        <w:rPr>
          <w:rFonts w:ascii="Arial" w:hAnsi="Arial" w:cs="Arial"/>
          <w:lang w:val="es-CO"/>
        </w:rPr>
        <w:t>.</w:t>
      </w:r>
      <w:r w:rsidR="00CE096B">
        <w:rPr>
          <w:rFonts w:ascii="Arial" w:hAnsi="Arial" w:cs="Arial"/>
          <w:lang w:val="es-CO"/>
        </w:rPr>
        <w:t xml:space="preserve"> </w:t>
      </w:r>
    </w:p>
    <w:p w:rsidR="00CE096B" w:rsidRPr="00AB5228" w:rsidRDefault="00CE096B" w:rsidP="00962082">
      <w:pPr>
        <w:spacing w:line="360" w:lineRule="auto"/>
        <w:jc w:val="both"/>
        <w:rPr>
          <w:rFonts w:ascii="Arial" w:hAnsi="Arial" w:cs="Arial"/>
          <w:lang w:val="es-CO"/>
        </w:rPr>
      </w:pPr>
    </w:p>
    <w:p w:rsidR="00303747" w:rsidRPr="000A751E" w:rsidRDefault="00303747" w:rsidP="000A751E">
      <w:pPr>
        <w:pStyle w:val="Paragraphedeliste"/>
        <w:numPr>
          <w:ilvl w:val="0"/>
          <w:numId w:val="4"/>
        </w:numPr>
        <w:spacing w:line="360" w:lineRule="auto"/>
        <w:ind w:left="0"/>
        <w:jc w:val="both"/>
        <w:rPr>
          <w:rFonts w:ascii="Arial" w:hAnsi="Arial" w:cs="Arial"/>
          <w:smallCaps/>
          <w:sz w:val="28"/>
          <w:szCs w:val="28"/>
        </w:rPr>
      </w:pPr>
      <w:r w:rsidRPr="000A751E">
        <w:rPr>
          <w:rFonts w:ascii="Arial" w:hAnsi="Arial" w:cs="Arial"/>
          <w:smallCaps/>
          <w:sz w:val="28"/>
          <w:szCs w:val="28"/>
        </w:rPr>
        <w:t>La sinopsis de la</w:t>
      </w:r>
      <w:r w:rsidR="00A71F08" w:rsidRPr="000A751E">
        <w:rPr>
          <w:rFonts w:ascii="Arial" w:hAnsi="Arial" w:cs="Arial"/>
          <w:smallCaps/>
          <w:sz w:val="28"/>
          <w:szCs w:val="28"/>
        </w:rPr>
        <w:t>s</w:t>
      </w:r>
      <w:r w:rsidRPr="000A751E">
        <w:rPr>
          <w:rFonts w:ascii="Arial" w:hAnsi="Arial" w:cs="Arial"/>
          <w:smallCaps/>
          <w:sz w:val="28"/>
          <w:szCs w:val="28"/>
        </w:rPr>
        <w:t xml:space="preserve"> </w:t>
      </w:r>
      <w:r w:rsidR="0017516C" w:rsidRPr="000A751E">
        <w:rPr>
          <w:rFonts w:ascii="Arial" w:hAnsi="Arial" w:cs="Arial"/>
          <w:smallCaps/>
          <w:sz w:val="28"/>
          <w:szCs w:val="28"/>
        </w:rPr>
        <w:t>r</w:t>
      </w:r>
      <w:r w:rsidRPr="000A751E">
        <w:rPr>
          <w:rFonts w:ascii="Arial" w:hAnsi="Arial" w:cs="Arial"/>
          <w:smallCaps/>
          <w:sz w:val="28"/>
          <w:szCs w:val="28"/>
        </w:rPr>
        <w:t>espuest</w:t>
      </w:r>
      <w:r w:rsidR="00A71F08" w:rsidRPr="000A751E">
        <w:rPr>
          <w:rFonts w:ascii="Arial" w:hAnsi="Arial" w:cs="Arial"/>
          <w:smallCaps/>
          <w:sz w:val="28"/>
          <w:szCs w:val="28"/>
        </w:rPr>
        <w:t>as</w:t>
      </w:r>
    </w:p>
    <w:p w:rsidR="002E669B" w:rsidRPr="00A8313B" w:rsidRDefault="009E3845" w:rsidP="00962082">
      <w:pPr>
        <w:spacing w:line="360" w:lineRule="auto"/>
        <w:jc w:val="both"/>
        <w:rPr>
          <w:rFonts w:ascii="Arial" w:hAnsi="Arial" w:cs="Arial"/>
          <w:sz w:val="20"/>
        </w:rPr>
      </w:pPr>
      <w:r w:rsidRPr="007D3EFE">
        <w:rPr>
          <w:rFonts w:ascii="Arial" w:hAnsi="Arial" w:cs="Arial"/>
        </w:rPr>
        <w:t xml:space="preserve"> </w:t>
      </w:r>
    </w:p>
    <w:p w:rsidR="00303747" w:rsidRDefault="000A751E" w:rsidP="000A751E">
      <w:pPr>
        <w:spacing w:line="360" w:lineRule="auto"/>
        <w:jc w:val="both"/>
        <w:rPr>
          <w:rFonts w:ascii="Arial" w:hAnsi="Arial"/>
        </w:rPr>
      </w:pPr>
      <w:r w:rsidRPr="00BD086B">
        <w:rPr>
          <w:rFonts w:ascii="Arial" w:hAnsi="Arial"/>
        </w:rPr>
        <w:t xml:space="preserve">La </w:t>
      </w:r>
      <w:r w:rsidRPr="00664AAC">
        <w:rPr>
          <w:rFonts w:ascii="Arial" w:hAnsi="Arial"/>
        </w:rPr>
        <w:t xml:space="preserve">Procuraduría General de la Nación, </w:t>
      </w:r>
      <w:r>
        <w:rPr>
          <w:rFonts w:ascii="Arial" w:hAnsi="Arial"/>
        </w:rPr>
        <w:t xml:space="preserve">Regional </w:t>
      </w:r>
      <w:r w:rsidRPr="00664AAC">
        <w:rPr>
          <w:rFonts w:ascii="Arial" w:hAnsi="Arial"/>
        </w:rPr>
        <w:t xml:space="preserve">Risaralda y </w:t>
      </w:r>
      <w:r>
        <w:rPr>
          <w:rFonts w:ascii="Arial" w:hAnsi="Arial"/>
        </w:rPr>
        <w:t xml:space="preserve">la Alcaldía </w:t>
      </w:r>
      <w:r w:rsidRPr="00664AAC">
        <w:rPr>
          <w:rFonts w:ascii="Arial" w:hAnsi="Arial"/>
        </w:rPr>
        <w:t xml:space="preserve">de Pereira, </w:t>
      </w:r>
      <w:r w:rsidRPr="001136A5">
        <w:rPr>
          <w:rFonts w:ascii="Arial" w:hAnsi="Arial"/>
        </w:rPr>
        <w:t>adujeron que la situación alegada es ajena a sus funciones, y que es al Juzgado accionado al que le corresponde tramitar la acción popular y tomar las decisiones</w:t>
      </w:r>
      <w:r>
        <w:rPr>
          <w:rFonts w:ascii="Arial" w:hAnsi="Arial"/>
        </w:rPr>
        <w:t xml:space="preserve"> </w:t>
      </w:r>
      <w:r w:rsidRPr="00134196">
        <w:rPr>
          <w:rFonts w:ascii="Arial" w:hAnsi="Arial"/>
        </w:rPr>
        <w:t>respectivas, por lo tanto, no se les puede imputar responsabilidad alguna. Solicitaron su</w:t>
      </w:r>
      <w:r>
        <w:rPr>
          <w:rFonts w:ascii="Arial" w:hAnsi="Arial"/>
        </w:rPr>
        <w:t xml:space="preserve"> </w:t>
      </w:r>
      <w:r w:rsidRPr="00134196">
        <w:rPr>
          <w:rFonts w:ascii="Arial" w:hAnsi="Arial"/>
        </w:rPr>
        <w:t>desvinculación</w:t>
      </w:r>
      <w:r>
        <w:rPr>
          <w:rFonts w:ascii="Arial" w:hAnsi="Arial"/>
        </w:rPr>
        <w:t xml:space="preserve"> (Folios 16 y 19  a20, ib.).</w:t>
      </w:r>
    </w:p>
    <w:p w:rsidR="000A751E" w:rsidRPr="008B5AF7" w:rsidRDefault="000A751E" w:rsidP="000A751E">
      <w:pPr>
        <w:spacing w:line="360" w:lineRule="auto"/>
        <w:jc w:val="both"/>
        <w:rPr>
          <w:rFonts w:ascii="Arial" w:hAnsi="Arial" w:cs="Arial"/>
          <w:sz w:val="22"/>
        </w:rPr>
      </w:pPr>
    </w:p>
    <w:p w:rsidR="00303747" w:rsidRDefault="00303747" w:rsidP="000A751E">
      <w:pPr>
        <w:pStyle w:val="Corpsdetexte"/>
        <w:numPr>
          <w:ilvl w:val="0"/>
          <w:numId w:val="4"/>
        </w:numPr>
        <w:spacing w:line="360" w:lineRule="auto"/>
        <w:ind w:left="0"/>
        <w:rPr>
          <w:rFonts w:ascii="Arial" w:hAnsi="Arial" w:cs="Arial"/>
          <w:smallCaps/>
          <w:sz w:val="28"/>
          <w:szCs w:val="28"/>
        </w:rPr>
      </w:pPr>
      <w:r w:rsidRPr="007D3EFE">
        <w:rPr>
          <w:rFonts w:ascii="Arial" w:hAnsi="Arial" w:cs="Arial"/>
          <w:smallCaps/>
          <w:sz w:val="28"/>
          <w:szCs w:val="28"/>
        </w:rPr>
        <w:t>La fundamentación jurídica para decidir</w:t>
      </w:r>
    </w:p>
    <w:p w:rsidR="008E0AB5" w:rsidRPr="00AB5228" w:rsidRDefault="008E0AB5" w:rsidP="008E0AB5">
      <w:pPr>
        <w:pStyle w:val="Corpsdetexte"/>
        <w:spacing w:line="360" w:lineRule="auto"/>
        <w:ind w:left="400"/>
        <w:rPr>
          <w:rFonts w:ascii="Arial" w:hAnsi="Arial" w:cs="Arial"/>
          <w:smallCaps/>
          <w:szCs w:val="28"/>
        </w:rPr>
      </w:pPr>
    </w:p>
    <w:p w:rsidR="00303747" w:rsidRPr="007D3EFE" w:rsidRDefault="00303747" w:rsidP="000A751E">
      <w:pPr>
        <w:pStyle w:val="Corpsdetexte"/>
        <w:numPr>
          <w:ilvl w:val="1"/>
          <w:numId w:val="11"/>
        </w:numPr>
        <w:tabs>
          <w:tab w:val="clear" w:pos="0"/>
        </w:tabs>
        <w:spacing w:line="360" w:lineRule="auto"/>
        <w:rPr>
          <w:rFonts w:ascii="Arial" w:hAnsi="Arial" w:cs="Arial"/>
          <w:szCs w:val="24"/>
        </w:rPr>
      </w:pPr>
      <w:r w:rsidRPr="007D3EFE">
        <w:rPr>
          <w:rFonts w:ascii="Arial" w:hAnsi="Arial" w:cs="Arial"/>
          <w:smallCaps/>
          <w:szCs w:val="26"/>
        </w:rPr>
        <w:t>La competencia</w:t>
      </w:r>
      <w:r w:rsidR="00CE5584" w:rsidRPr="007D3EFE">
        <w:rPr>
          <w:rFonts w:ascii="Arial" w:hAnsi="Arial" w:cs="Arial"/>
          <w:smallCaps/>
          <w:szCs w:val="26"/>
        </w:rPr>
        <w:t xml:space="preserve">. </w:t>
      </w:r>
      <w:r w:rsidRPr="007D3EFE">
        <w:rPr>
          <w:rFonts w:ascii="Arial" w:hAnsi="Arial" w:cs="Arial"/>
          <w:szCs w:val="24"/>
        </w:rPr>
        <w:t xml:space="preserve">Esta Sala es competente para conocer la acción en razón a que es la superiora jerárquica del </w:t>
      </w:r>
      <w:r w:rsidR="007A4953" w:rsidRPr="007D3EFE">
        <w:rPr>
          <w:rFonts w:ascii="Arial" w:hAnsi="Arial" w:cs="Arial"/>
          <w:szCs w:val="24"/>
        </w:rPr>
        <w:t xml:space="preserve">Juzgado </w:t>
      </w:r>
      <w:r w:rsidRPr="007D3EFE">
        <w:rPr>
          <w:rFonts w:ascii="Arial" w:hAnsi="Arial" w:cs="Arial"/>
          <w:szCs w:val="24"/>
        </w:rPr>
        <w:t>accionado.</w:t>
      </w:r>
    </w:p>
    <w:p w:rsidR="000C1DAC" w:rsidRPr="000C1DAC" w:rsidRDefault="000C1DAC" w:rsidP="000C1DAC">
      <w:pPr>
        <w:pStyle w:val="Textopredeterminado"/>
        <w:spacing w:line="360" w:lineRule="auto"/>
        <w:ind w:left="720"/>
        <w:jc w:val="both"/>
        <w:rPr>
          <w:rFonts w:ascii="Arial" w:hAnsi="Arial" w:cs="Arial"/>
          <w:spacing w:val="3"/>
        </w:rPr>
      </w:pPr>
    </w:p>
    <w:p w:rsidR="000C1DAC" w:rsidRPr="00E3591B" w:rsidRDefault="000C1DAC" w:rsidP="000C1DAC">
      <w:pPr>
        <w:pStyle w:val="Textopredeterminado"/>
        <w:numPr>
          <w:ilvl w:val="1"/>
          <w:numId w:val="11"/>
        </w:numPr>
        <w:spacing w:line="360" w:lineRule="auto"/>
        <w:jc w:val="both"/>
        <w:rPr>
          <w:rFonts w:ascii="Arial" w:hAnsi="Arial" w:cs="Arial"/>
          <w:spacing w:val="3"/>
        </w:rPr>
      </w:pPr>
      <w:r w:rsidRPr="000C1DAC">
        <w:rPr>
          <w:rFonts w:ascii="Arial" w:hAnsi="Arial" w:cs="Arial"/>
          <w:smallCaps/>
          <w:szCs w:val="26"/>
        </w:rPr>
        <w:lastRenderedPageBreak/>
        <w:t>El problema jurídico a resolver</w:t>
      </w:r>
      <w:r w:rsidRPr="000703DD">
        <w:rPr>
          <w:rFonts w:ascii="Arial" w:hAnsi="Arial" w:cs="Arial"/>
          <w:smallCaps/>
          <w:sz w:val="26"/>
          <w:szCs w:val="26"/>
        </w:rPr>
        <w:t xml:space="preserve">.  </w:t>
      </w:r>
      <w:r w:rsidRPr="000703DD">
        <w:rPr>
          <w:rFonts w:ascii="Arial" w:hAnsi="Arial" w:cs="Arial"/>
        </w:rPr>
        <w:t>¿El Juzgado accionado</w:t>
      </w:r>
      <w:r>
        <w:rPr>
          <w:rFonts w:ascii="Arial" w:hAnsi="Arial" w:cs="Arial"/>
          <w:szCs w:val="24"/>
        </w:rPr>
        <w:t xml:space="preserve"> </w:t>
      </w:r>
      <w:r w:rsidRPr="000703DD">
        <w:rPr>
          <w:rFonts w:ascii="Arial" w:hAnsi="Arial" w:cs="Arial"/>
        </w:rPr>
        <w:t>ha</w:t>
      </w:r>
      <w:r>
        <w:rPr>
          <w:rFonts w:ascii="Arial" w:hAnsi="Arial" w:cs="Arial"/>
        </w:rPr>
        <w:t>n</w:t>
      </w:r>
      <w:r w:rsidRPr="000703DD">
        <w:rPr>
          <w:rFonts w:ascii="Arial" w:hAnsi="Arial" w:cs="Arial"/>
        </w:rPr>
        <w:t xml:space="preserve"> vulnerado o</w:t>
      </w:r>
      <w:r>
        <w:rPr>
          <w:rFonts w:ascii="Arial" w:hAnsi="Arial" w:cs="Arial"/>
        </w:rPr>
        <w:t xml:space="preserve"> </w:t>
      </w:r>
      <w:r w:rsidRPr="000703DD">
        <w:rPr>
          <w:rFonts w:ascii="Arial" w:hAnsi="Arial" w:cs="Arial"/>
        </w:rPr>
        <w:t xml:space="preserve">amenazado los derechos fundamentales del accionante </w:t>
      </w:r>
      <w:r>
        <w:rPr>
          <w:rFonts w:ascii="Arial" w:hAnsi="Arial" w:cs="Arial"/>
        </w:rPr>
        <w:t xml:space="preserve">según </w:t>
      </w:r>
      <w:r w:rsidRPr="000703DD">
        <w:rPr>
          <w:rFonts w:ascii="Arial" w:hAnsi="Arial" w:cs="Arial"/>
        </w:rPr>
        <w:t>lo expuesto en el petitorio de tutela?</w:t>
      </w:r>
    </w:p>
    <w:p w:rsidR="000C1DAC" w:rsidRDefault="000C1DAC" w:rsidP="000C1DAC">
      <w:pPr>
        <w:pStyle w:val="Textopredeterminado"/>
        <w:spacing w:line="360" w:lineRule="auto"/>
        <w:ind w:left="720"/>
        <w:jc w:val="both"/>
        <w:rPr>
          <w:rFonts w:ascii="Arial" w:hAnsi="Arial" w:cs="Arial"/>
          <w:spacing w:val="3"/>
        </w:rPr>
      </w:pPr>
    </w:p>
    <w:p w:rsidR="000C1DAC" w:rsidRPr="000C1DAC" w:rsidRDefault="000C1DAC" w:rsidP="000C1DAC">
      <w:pPr>
        <w:pStyle w:val="Corpsdetexte"/>
        <w:numPr>
          <w:ilvl w:val="1"/>
          <w:numId w:val="11"/>
        </w:numPr>
        <w:tabs>
          <w:tab w:val="clear" w:pos="708"/>
          <w:tab w:val="clear" w:pos="1416"/>
          <w:tab w:val="left" w:pos="709"/>
          <w:tab w:val="left" w:pos="1418"/>
        </w:tabs>
        <w:spacing w:line="360" w:lineRule="auto"/>
        <w:rPr>
          <w:rFonts w:ascii="Arial" w:hAnsi="Arial" w:cs="Arial"/>
          <w:smallCaps/>
          <w:szCs w:val="26"/>
        </w:rPr>
      </w:pPr>
      <w:r w:rsidRPr="000C1DAC">
        <w:rPr>
          <w:rFonts w:ascii="Arial" w:hAnsi="Arial" w:cs="Arial"/>
          <w:smallCaps/>
          <w:szCs w:val="26"/>
        </w:rPr>
        <w:t>Los presupuestos de procedencia de la acción</w:t>
      </w:r>
    </w:p>
    <w:p w:rsidR="000C1DAC" w:rsidRPr="000C1DAC" w:rsidRDefault="000C1DAC" w:rsidP="000C1DAC">
      <w:pPr>
        <w:pStyle w:val="Textopredeterminado"/>
        <w:spacing w:line="360" w:lineRule="auto"/>
        <w:ind w:left="720"/>
        <w:jc w:val="both"/>
        <w:rPr>
          <w:rFonts w:ascii="Arial" w:hAnsi="Arial" w:cs="Arial"/>
          <w:spacing w:val="3"/>
        </w:rPr>
      </w:pPr>
    </w:p>
    <w:p w:rsidR="000A751E" w:rsidRPr="000A751E" w:rsidRDefault="00CD67DF" w:rsidP="000C1DAC">
      <w:pPr>
        <w:pStyle w:val="Textopredeterminado"/>
        <w:numPr>
          <w:ilvl w:val="2"/>
          <w:numId w:val="11"/>
        </w:numPr>
        <w:spacing w:line="360" w:lineRule="auto"/>
        <w:jc w:val="both"/>
        <w:rPr>
          <w:rFonts w:ascii="Arial" w:hAnsi="Arial" w:cs="Arial"/>
          <w:spacing w:val="3"/>
        </w:rPr>
      </w:pPr>
      <w:r w:rsidRPr="00CD67DF">
        <w:rPr>
          <w:rFonts w:ascii="Arial" w:hAnsi="Arial" w:cs="Arial"/>
          <w:smallCaps/>
          <w:szCs w:val="24"/>
        </w:rPr>
        <w:t>La legitimación en la causa</w:t>
      </w:r>
      <w:r>
        <w:rPr>
          <w:rFonts w:ascii="Arial" w:hAnsi="Arial" w:cs="Arial"/>
          <w:smallCaps/>
          <w:szCs w:val="24"/>
        </w:rPr>
        <w:t xml:space="preserve">. </w:t>
      </w:r>
    </w:p>
    <w:p w:rsidR="000A751E" w:rsidRPr="008B5AF7" w:rsidRDefault="000A751E" w:rsidP="000A751E">
      <w:pPr>
        <w:pStyle w:val="Paragraphedeliste"/>
        <w:rPr>
          <w:rFonts w:ascii="Arial" w:hAnsi="Arial" w:cs="Arial"/>
          <w:sz w:val="32"/>
        </w:rPr>
      </w:pPr>
    </w:p>
    <w:p w:rsidR="00CB087F" w:rsidRPr="008E0AB5" w:rsidRDefault="00CD67DF" w:rsidP="000A751E">
      <w:pPr>
        <w:pStyle w:val="Textopredeterminado"/>
        <w:spacing w:line="360" w:lineRule="auto"/>
        <w:jc w:val="both"/>
        <w:rPr>
          <w:rFonts w:ascii="Arial" w:hAnsi="Arial" w:cs="Arial"/>
          <w:spacing w:val="3"/>
        </w:rPr>
      </w:pPr>
      <w:r w:rsidRPr="00CD67DF">
        <w:rPr>
          <w:rFonts w:ascii="Arial" w:hAnsi="Arial" w:cs="Arial"/>
          <w:szCs w:val="24"/>
        </w:rPr>
        <w:t xml:space="preserve">Se cumple por activa, pues el accionante </w:t>
      </w:r>
      <w:r w:rsidR="000A751E">
        <w:rPr>
          <w:rFonts w:ascii="Arial" w:hAnsi="Arial" w:cs="Arial"/>
          <w:szCs w:val="24"/>
        </w:rPr>
        <w:t xml:space="preserve">actúa como coadyuvante </w:t>
      </w:r>
      <w:r w:rsidRPr="00CD67DF">
        <w:rPr>
          <w:rFonts w:ascii="Arial" w:hAnsi="Arial" w:cs="Arial"/>
          <w:szCs w:val="24"/>
        </w:rPr>
        <w:t xml:space="preserve">en el trámite popular donde se reprocha la falta al debido proceso. Y por pasiva, lo es el Juzgado </w:t>
      </w:r>
      <w:r w:rsidR="000A751E">
        <w:rPr>
          <w:rFonts w:ascii="Arial" w:hAnsi="Arial" w:cs="Arial"/>
          <w:szCs w:val="24"/>
        </w:rPr>
        <w:t xml:space="preserve">Tercero Civil </w:t>
      </w:r>
      <w:r w:rsidR="00101C44">
        <w:rPr>
          <w:rFonts w:ascii="Arial" w:hAnsi="Arial" w:cs="Arial"/>
          <w:szCs w:val="24"/>
        </w:rPr>
        <w:t xml:space="preserve">del Circuito de </w:t>
      </w:r>
      <w:r w:rsidR="000A751E">
        <w:rPr>
          <w:rFonts w:ascii="Arial" w:hAnsi="Arial" w:cs="Arial"/>
          <w:szCs w:val="24"/>
        </w:rPr>
        <w:t>Pereira</w:t>
      </w:r>
      <w:r w:rsidRPr="00CD67DF">
        <w:rPr>
          <w:rFonts w:ascii="Arial" w:hAnsi="Arial" w:cs="Arial"/>
          <w:szCs w:val="24"/>
        </w:rPr>
        <w:t>, al ser la autoridad judicial que conoce la actuación</w:t>
      </w:r>
      <w:r w:rsidR="00962082" w:rsidRPr="00E17BC5">
        <w:rPr>
          <w:rFonts w:ascii="Arial" w:hAnsi="Arial" w:cs="Arial"/>
        </w:rPr>
        <w:t>.</w:t>
      </w:r>
    </w:p>
    <w:p w:rsidR="008E0AB5" w:rsidRPr="00AB5228" w:rsidRDefault="008E0AB5" w:rsidP="008E0AB5">
      <w:pPr>
        <w:pStyle w:val="Paragraphedeliste"/>
        <w:rPr>
          <w:rFonts w:ascii="Arial" w:hAnsi="Arial" w:cs="Arial"/>
          <w:spacing w:val="3"/>
        </w:rPr>
      </w:pPr>
    </w:p>
    <w:p w:rsidR="008E0AB5" w:rsidRDefault="008E0AB5" w:rsidP="008E0AB5">
      <w:pPr>
        <w:pStyle w:val="Corpsdetexte"/>
        <w:spacing w:line="360" w:lineRule="auto"/>
        <w:rPr>
          <w:rFonts w:ascii="Arial" w:hAnsi="Arial" w:cs="Arial"/>
          <w:szCs w:val="24"/>
        </w:rPr>
      </w:pPr>
      <w:r>
        <w:rPr>
          <w:rFonts w:ascii="Arial" w:hAnsi="Arial" w:cs="Arial"/>
          <w:szCs w:val="24"/>
        </w:rPr>
        <w:t xml:space="preserve">Diferente es respecto de la Procuraduría General de la Nación, Regional Risaralda, toda vez que no ha sido vinculada a la acción popular y el petitorio de tutela carece de prueba que acredite que se le haya solicitado por el accionante su intervención en procura de garantizar sus derechos procesales en dicho asunto. </w:t>
      </w:r>
    </w:p>
    <w:p w:rsidR="00AB5228" w:rsidRDefault="00AB5228" w:rsidP="008E0AB5">
      <w:pPr>
        <w:pStyle w:val="Corpsdetexte"/>
        <w:spacing w:line="360" w:lineRule="auto"/>
        <w:rPr>
          <w:rFonts w:ascii="Arial" w:hAnsi="Arial" w:cs="Arial"/>
          <w:szCs w:val="24"/>
        </w:rPr>
      </w:pPr>
    </w:p>
    <w:p w:rsidR="008E0AB5" w:rsidRDefault="008E0AB5" w:rsidP="008E0AB5">
      <w:pPr>
        <w:pStyle w:val="Corpsdetexte"/>
        <w:spacing w:line="360" w:lineRule="auto"/>
        <w:rPr>
          <w:rFonts w:ascii="Arial" w:hAnsi="Arial" w:cs="Arial"/>
          <w:szCs w:val="24"/>
        </w:rPr>
      </w:pPr>
      <w:r>
        <w:rPr>
          <w:rFonts w:ascii="Arial" w:hAnsi="Arial" w:cs="Arial"/>
          <w:szCs w:val="24"/>
        </w:rPr>
        <w:t>Al respecto la autorizada doctrina de la CC, constitutiva de precedente vertical, expresa</w:t>
      </w:r>
      <w:r>
        <w:rPr>
          <w:rStyle w:val="Appelnotedebasdep"/>
          <w:rFonts w:ascii="Arial" w:hAnsi="Arial"/>
          <w:szCs w:val="24"/>
        </w:rPr>
        <w:footnoteReference w:id="1"/>
      </w:r>
      <w:r>
        <w:rPr>
          <w:rFonts w:ascii="Arial" w:hAnsi="Arial" w:cs="Arial"/>
          <w:szCs w:val="24"/>
        </w:rPr>
        <w:t xml:space="preserve">: </w:t>
      </w:r>
    </w:p>
    <w:p w:rsidR="008E0AB5" w:rsidRPr="00AB5228" w:rsidRDefault="008E0AB5" w:rsidP="008E0AB5">
      <w:pPr>
        <w:pStyle w:val="Corpsdetexte"/>
        <w:spacing w:line="360" w:lineRule="auto"/>
        <w:rPr>
          <w:rFonts w:ascii="Arial" w:hAnsi="Arial"/>
          <w:szCs w:val="24"/>
        </w:rPr>
      </w:pPr>
    </w:p>
    <w:p w:rsidR="008E0AB5" w:rsidRDefault="008E0AB5" w:rsidP="008E0AB5">
      <w:pPr>
        <w:pStyle w:val="Corpsdetexte"/>
        <w:tabs>
          <w:tab w:val="clear" w:pos="0"/>
        </w:tabs>
        <w:spacing w:line="240" w:lineRule="auto"/>
        <w:ind w:left="567" w:right="618"/>
        <w:rPr>
          <w:rFonts w:ascii="Arial" w:hAnsi="Arial"/>
          <w:szCs w:val="24"/>
          <w:lang w:val="es-ES"/>
        </w:rPr>
      </w:pPr>
      <w:r>
        <w:rPr>
          <w:rFonts w:ascii="Arial" w:hAnsi="Arial"/>
          <w:szCs w:val="24"/>
        </w:rPr>
        <w:t xml:space="preserve">Conforme con lo contemplado en el artículo 10 del Decreto–ley 2591 de 1991, la acción de tutela solo puede ser ejercida por la persona vulnerada o amenazada en sus derechos fundamentales… </w:t>
      </w:r>
    </w:p>
    <w:p w:rsidR="008E0AB5" w:rsidRDefault="008E0AB5" w:rsidP="008E0AB5">
      <w:pPr>
        <w:pStyle w:val="Corpsdetexte"/>
        <w:tabs>
          <w:tab w:val="clear" w:pos="0"/>
        </w:tabs>
        <w:spacing w:line="240" w:lineRule="auto"/>
        <w:ind w:left="567" w:right="618"/>
        <w:rPr>
          <w:rFonts w:ascii="Arial" w:hAnsi="Arial"/>
          <w:szCs w:val="24"/>
          <w:lang w:val="es-ES"/>
        </w:rPr>
      </w:pPr>
      <w:r>
        <w:rPr>
          <w:rFonts w:ascii="Arial" w:hAnsi="Arial"/>
          <w:szCs w:val="24"/>
        </w:rPr>
        <w:t> </w:t>
      </w:r>
    </w:p>
    <w:p w:rsidR="008E0AB5" w:rsidRDefault="008E0AB5" w:rsidP="008E0AB5">
      <w:pPr>
        <w:pStyle w:val="Corpsdetexte"/>
        <w:tabs>
          <w:tab w:val="clear" w:pos="0"/>
        </w:tabs>
        <w:spacing w:line="240" w:lineRule="auto"/>
        <w:ind w:left="567" w:right="618"/>
        <w:rPr>
          <w:rFonts w:ascii="Arial" w:hAnsi="Arial"/>
          <w:szCs w:val="24"/>
        </w:rPr>
      </w:pPr>
      <w:r>
        <w:rPr>
          <w:rFonts w:ascii="Arial" w:hAnsi="Arial"/>
          <w:szCs w:val="24"/>
        </w:rPr>
        <w:t>Este es el primer requisito de procedibilidad de la acción de tutela, que exige que quien solicita el amparo constitucional se encuentre </w:t>
      </w:r>
      <w:r>
        <w:rPr>
          <w:rFonts w:ascii="Arial" w:hAnsi="Arial"/>
          <w:i/>
          <w:iCs/>
          <w:szCs w:val="24"/>
        </w:rPr>
        <w:t>“legitimado en la causa”</w:t>
      </w:r>
      <w:r>
        <w:rPr>
          <w:rFonts w:ascii="Arial" w:hAnsi="Arial"/>
          <w:szCs w:val="24"/>
        </w:rPr>
        <w:t> para presentar la solicitud de protección de sus derechos fundamentales. Dicha legitimación puede ser “</w:t>
      </w:r>
      <w:r>
        <w:rPr>
          <w:rFonts w:ascii="Arial" w:hAnsi="Arial"/>
          <w:i/>
          <w:iCs/>
          <w:szCs w:val="24"/>
        </w:rPr>
        <w:t>por activa</w:t>
      </w:r>
      <w:r>
        <w:rPr>
          <w:rFonts w:ascii="Arial" w:hAnsi="Arial"/>
          <w:szCs w:val="24"/>
        </w:rPr>
        <w:t>” o “</w:t>
      </w:r>
      <w:r>
        <w:rPr>
          <w:rFonts w:ascii="Arial" w:hAnsi="Arial"/>
          <w:i/>
          <w:iCs/>
          <w:szCs w:val="24"/>
        </w:rPr>
        <w:t>por pasiva</w:t>
      </w:r>
      <w:r>
        <w:rPr>
          <w:rFonts w:ascii="Arial" w:hAnsi="Arial"/>
          <w:szCs w:val="24"/>
        </w:rPr>
        <w:t>”. Por la primera exige que el derecho cuya protección se invoca sea un derecho fundamental propio y no, en principio, de otra persona</w:t>
      </w:r>
      <w:r>
        <w:rPr>
          <w:rStyle w:val="Appelnotedebasdep"/>
          <w:rFonts w:ascii="Arial" w:hAnsi="Arial"/>
          <w:szCs w:val="24"/>
        </w:rPr>
        <w:footnoteReference w:id="2"/>
      </w:r>
      <w:r>
        <w:rPr>
          <w:rFonts w:ascii="Arial" w:hAnsi="Arial"/>
          <w:szCs w:val="24"/>
        </w:rPr>
        <w:t>…</w:t>
      </w:r>
    </w:p>
    <w:p w:rsidR="008E0AB5" w:rsidRDefault="008E0AB5" w:rsidP="008E0AB5">
      <w:pPr>
        <w:pStyle w:val="Corpsdetexte"/>
        <w:spacing w:line="360" w:lineRule="auto"/>
        <w:rPr>
          <w:rFonts w:ascii="Arial" w:hAnsi="Arial" w:cs="Arial"/>
          <w:szCs w:val="24"/>
          <w:lang w:val="es-CO"/>
        </w:rPr>
      </w:pPr>
    </w:p>
    <w:p w:rsidR="008E0AB5" w:rsidRDefault="008E0AB5" w:rsidP="008E0AB5">
      <w:pPr>
        <w:pStyle w:val="Corpsdetexte"/>
        <w:spacing w:line="360" w:lineRule="auto"/>
        <w:rPr>
          <w:szCs w:val="24"/>
        </w:rPr>
      </w:pPr>
      <w:r>
        <w:rPr>
          <w:rFonts w:ascii="Arial" w:hAnsi="Arial" w:cs="Arial"/>
          <w:szCs w:val="24"/>
        </w:rPr>
        <w:t>En  antigua  y  reiterada  jurisprudencia  la  CC  ha  referido  con relación a este requisito de procedibilidad</w:t>
      </w:r>
      <w:r>
        <w:rPr>
          <w:rStyle w:val="Appelnotedebasdep"/>
          <w:rFonts w:ascii="Arial" w:hAnsi="Arial" w:cs="Arial"/>
          <w:szCs w:val="24"/>
        </w:rPr>
        <w:footnoteReference w:id="3"/>
      </w:r>
      <w:r>
        <w:rPr>
          <w:rFonts w:ascii="Arial" w:hAnsi="Arial" w:cs="Arial"/>
          <w:szCs w:val="24"/>
        </w:rPr>
        <w:t>:</w:t>
      </w:r>
    </w:p>
    <w:p w:rsidR="008E0AB5" w:rsidRPr="00AB5228" w:rsidRDefault="008E0AB5" w:rsidP="008E0AB5">
      <w:pPr>
        <w:spacing w:line="360" w:lineRule="auto"/>
        <w:ind w:left="567" w:right="335"/>
        <w:jc w:val="both"/>
        <w:rPr>
          <w:rFonts w:ascii="Arial" w:hAnsi="Arial" w:cs="Arial"/>
          <w:lang w:val="es-CO"/>
        </w:rPr>
      </w:pPr>
    </w:p>
    <w:p w:rsidR="008E0AB5" w:rsidRDefault="008E0AB5" w:rsidP="008E0AB5">
      <w:pPr>
        <w:ind w:left="567" w:right="567"/>
        <w:jc w:val="both"/>
        <w:rPr>
          <w:rFonts w:ascii="Arial" w:hAnsi="Arial" w:cs="Arial"/>
          <w:u w:val="single"/>
          <w:lang w:val="es-CO"/>
        </w:rPr>
      </w:pPr>
      <w:r>
        <w:rPr>
          <w:rFonts w:ascii="Arial" w:hAnsi="Arial" w:cs="Arial"/>
          <w:lang w:val="es-CO"/>
        </w:rPr>
        <w:t xml:space="preserve">La legitimación en la causa es un presupuesto de la sentencia de fondo porque otorga a las partes el derecho a que el juez se pronuncie sobre el mérito de las pretensiones del actor y las razones de la oposición por el demandado, mediante sentencia favorable o desfavorable. </w:t>
      </w:r>
      <w:r>
        <w:rPr>
          <w:rFonts w:ascii="Arial" w:hAnsi="Arial" w:cs="Arial"/>
          <w:u w:val="single"/>
          <w:lang w:val="es-CO"/>
        </w:rPr>
        <w:t>Es una calidad subjetiva de las partes en relación con el interés sustancial que se discute en el proceso.</w:t>
      </w:r>
      <w:r>
        <w:rPr>
          <w:rFonts w:ascii="Arial" w:hAnsi="Arial" w:cs="Arial"/>
          <w:lang w:val="es-CO"/>
        </w:rPr>
        <w:t xml:space="preserve"> </w:t>
      </w:r>
      <w:r>
        <w:rPr>
          <w:rFonts w:ascii="Arial" w:hAnsi="Arial" w:cs="Arial"/>
          <w:u w:val="single"/>
          <w:lang w:val="es-CO"/>
        </w:rPr>
        <w:t>Por tanto, cuando una de las partes carece de dicha calidad o atributo, no puede el juez adoptar una decisión de mérito y debe entonces simplemente declararse inhibido para fallar el caso de fondo.</w:t>
      </w:r>
    </w:p>
    <w:p w:rsidR="008E0AB5" w:rsidRDefault="008E0AB5" w:rsidP="008E0AB5">
      <w:pPr>
        <w:ind w:left="567" w:right="567"/>
        <w:jc w:val="both"/>
        <w:rPr>
          <w:rFonts w:ascii="Arial" w:hAnsi="Arial" w:cs="Arial"/>
          <w:sz w:val="28"/>
          <w:u w:val="single"/>
          <w:lang w:val="es-CO"/>
        </w:rPr>
      </w:pPr>
    </w:p>
    <w:p w:rsidR="008E0AB5" w:rsidRDefault="008E0AB5" w:rsidP="008E0AB5">
      <w:pPr>
        <w:ind w:left="567" w:right="567"/>
        <w:jc w:val="both"/>
        <w:rPr>
          <w:rFonts w:ascii="Arial" w:hAnsi="Arial" w:cs="Arial"/>
          <w:u w:val="single"/>
          <w:lang w:val="es-CO"/>
        </w:rPr>
      </w:pPr>
      <w:r>
        <w:rPr>
          <w:rFonts w:ascii="Arial" w:hAnsi="Arial" w:cs="Arial"/>
          <w:lang w:val="es-CO"/>
        </w:rPr>
        <w:lastRenderedPageBreak/>
        <w:t xml:space="preserve">… la legitimación en la causa como requisito de procedibilidad </w:t>
      </w:r>
      <w:r>
        <w:rPr>
          <w:rFonts w:ascii="Arial" w:hAnsi="Arial" w:cs="Arial"/>
          <w:u w:val="single"/>
          <w:lang w:val="es-CO"/>
        </w:rPr>
        <w:t>exige la presencia de un nexo de causalidad entre la vulneración de los derechos del demandante, y la acción u omisión de la autoridad o el particular demandado, vínculo sin el cual la tutela se torna improcedente</w:t>
      </w:r>
      <w:r>
        <w:rPr>
          <w:rFonts w:ascii="Arial" w:hAnsi="Arial" w:cs="Arial"/>
          <w:lang w:val="es-CO"/>
        </w:rPr>
        <w:t xml:space="preserve">. La </w:t>
      </w:r>
      <w:proofErr w:type="spellStart"/>
      <w:r>
        <w:rPr>
          <w:rFonts w:ascii="Arial" w:hAnsi="Arial" w:cs="Arial"/>
          <w:lang w:val="es-CO"/>
        </w:rPr>
        <w:t>sublínea</w:t>
      </w:r>
      <w:proofErr w:type="spellEnd"/>
      <w:r>
        <w:rPr>
          <w:rFonts w:ascii="Arial" w:hAnsi="Arial" w:cs="Arial"/>
          <w:lang w:val="es-CO"/>
        </w:rPr>
        <w:t xml:space="preserve"> es de esta Sala.</w:t>
      </w:r>
    </w:p>
    <w:p w:rsidR="008E0AB5" w:rsidRPr="00AB5228" w:rsidRDefault="008E0AB5" w:rsidP="008E0AB5">
      <w:pPr>
        <w:spacing w:line="360" w:lineRule="auto"/>
        <w:jc w:val="both"/>
        <w:rPr>
          <w:rFonts w:ascii="Arial" w:hAnsi="Arial" w:cs="Arial"/>
          <w:lang w:val="es-ES_tradnl"/>
        </w:rPr>
      </w:pPr>
    </w:p>
    <w:p w:rsidR="008E0AB5" w:rsidRPr="00DC53D1" w:rsidRDefault="008E0AB5" w:rsidP="008E0AB5">
      <w:pPr>
        <w:spacing w:line="360" w:lineRule="auto"/>
        <w:jc w:val="both"/>
        <w:rPr>
          <w:rFonts w:ascii="Arial" w:hAnsi="Arial" w:cs="Arial"/>
          <w:lang w:val="es-ES_tradnl"/>
        </w:rPr>
      </w:pPr>
      <w:r w:rsidRPr="00DC53D1">
        <w:rPr>
          <w:rFonts w:ascii="Arial" w:hAnsi="Arial" w:cs="Arial"/>
          <w:lang w:val="es-ES_tradnl"/>
        </w:rPr>
        <w:t xml:space="preserve">Así las cosas, se declarará improcedente el amparo en su contra, pues, se itera, nunca ha sido destinataria de petición alguna </w:t>
      </w:r>
      <w:r>
        <w:rPr>
          <w:rFonts w:ascii="Arial" w:hAnsi="Arial" w:cs="Arial"/>
          <w:lang w:val="es-ES_tradnl"/>
        </w:rPr>
        <w:t xml:space="preserve">por el actor </w:t>
      </w:r>
      <w:r w:rsidRPr="00DC53D1">
        <w:rPr>
          <w:rFonts w:ascii="Arial" w:hAnsi="Arial" w:cs="Arial"/>
          <w:lang w:val="es-ES_tradnl"/>
        </w:rPr>
        <w:t xml:space="preserve">y ni siquiera ha sido notificada de la existencia del trámite popular. </w:t>
      </w:r>
    </w:p>
    <w:p w:rsidR="00CB087F" w:rsidRPr="00AB5228" w:rsidRDefault="00CB087F" w:rsidP="00A8313B">
      <w:pPr>
        <w:pStyle w:val="Paragraphedeliste"/>
        <w:spacing w:line="360" w:lineRule="auto"/>
        <w:rPr>
          <w:rFonts w:ascii="Arial" w:hAnsi="Arial" w:cs="Arial"/>
          <w:smallCaps/>
          <w:szCs w:val="26"/>
        </w:rPr>
      </w:pPr>
    </w:p>
    <w:p w:rsidR="00CC52C2" w:rsidRPr="002A0C2A" w:rsidRDefault="00CC52C2" w:rsidP="000C1DAC">
      <w:pPr>
        <w:pStyle w:val="Corpsdetexte"/>
        <w:numPr>
          <w:ilvl w:val="2"/>
          <w:numId w:val="11"/>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Arial" w:hAnsi="Arial" w:cs="Verdana"/>
          <w:smallCaps/>
          <w:spacing w:val="0"/>
          <w:szCs w:val="24"/>
          <w:lang w:val="es-ES"/>
        </w:rPr>
      </w:pPr>
      <w:r w:rsidRPr="002A0C2A">
        <w:rPr>
          <w:rFonts w:ascii="Arial" w:hAnsi="Arial" w:cs="Verdana"/>
          <w:smallCaps/>
          <w:spacing w:val="0"/>
          <w:szCs w:val="24"/>
          <w:lang w:val="es-ES"/>
        </w:rPr>
        <w:t>Las sub-reglas de análisis en la procedibilidad frente a decisiones judiciales</w:t>
      </w:r>
    </w:p>
    <w:p w:rsidR="00CC52C2" w:rsidRPr="00AB5228" w:rsidRDefault="00CC52C2" w:rsidP="00CC52C2">
      <w:pPr>
        <w:pStyle w:val="Corpsdetexte"/>
        <w:spacing w:line="360" w:lineRule="auto"/>
        <w:rPr>
          <w:rFonts w:ascii="Arial" w:hAnsi="Arial" w:cs="Arial"/>
          <w:szCs w:val="24"/>
        </w:rPr>
      </w:pPr>
    </w:p>
    <w:p w:rsidR="00CC52C2" w:rsidRDefault="00CC52C2" w:rsidP="00CC52C2">
      <w:pPr>
        <w:pStyle w:val="Corpsdetexte"/>
        <w:spacing w:line="360" w:lineRule="auto"/>
        <w:rPr>
          <w:rFonts w:ascii="Arial" w:hAnsi="Arial" w:cs="Arial"/>
          <w:szCs w:val="24"/>
        </w:rPr>
      </w:pPr>
      <w:r w:rsidRPr="00DC6BEA">
        <w:rPr>
          <w:rFonts w:ascii="Arial" w:hAnsi="Arial" w:cs="Arial"/>
          <w:szCs w:val="24"/>
        </w:rPr>
        <w:t>Desde la sentencia C-543</w:t>
      </w:r>
      <w:r w:rsidRPr="00DC6BEA">
        <w:t xml:space="preserve"> </w:t>
      </w:r>
      <w:r>
        <w:rPr>
          <w:rFonts w:ascii="Arial" w:hAnsi="Arial" w:cs="Arial"/>
          <w:szCs w:val="24"/>
        </w:rPr>
        <w:t xml:space="preserve">de 1992, </w:t>
      </w:r>
      <w:r w:rsidRPr="00DC6BEA">
        <w:rPr>
          <w:rFonts w:ascii="Arial" w:hAnsi="Arial" w:cs="Arial"/>
          <w:szCs w:val="24"/>
        </w:rPr>
        <w:t>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DC6BEA">
        <w:rPr>
          <w:rStyle w:val="Appelnotedebasdep"/>
          <w:rFonts w:ascii="Arial" w:hAnsi="Arial" w:cs="Arial"/>
          <w:szCs w:val="24"/>
        </w:rPr>
        <w:footnoteReference w:id="4"/>
      </w:r>
      <w:r w:rsidRPr="00DC6BEA">
        <w:rPr>
          <w:rFonts w:ascii="Arial" w:hAnsi="Arial" w:cs="Arial"/>
          <w:szCs w:val="24"/>
        </w:rPr>
        <w:t xml:space="preserve">, básicamente sustituyó la expresión “vías de hecho” por la de “causales genéricas de procedibilidad” y ensanchó las causales especiales, pasando de cuatro (4) a ocho (8).  En el mismo sentido Quiroga </w:t>
      </w:r>
      <w:proofErr w:type="spellStart"/>
      <w:r w:rsidRPr="00DC6BEA">
        <w:rPr>
          <w:rFonts w:ascii="Arial" w:hAnsi="Arial" w:cs="Arial"/>
          <w:szCs w:val="24"/>
        </w:rPr>
        <w:t>Natale</w:t>
      </w:r>
      <w:proofErr w:type="spellEnd"/>
      <w:r w:rsidRPr="00DC6BEA">
        <w:rPr>
          <w:rStyle w:val="Appelnotedebasdep"/>
          <w:rFonts w:ascii="Arial" w:hAnsi="Arial"/>
          <w:szCs w:val="24"/>
        </w:rPr>
        <w:footnoteReference w:id="5"/>
      </w:r>
      <w:r w:rsidRPr="00DC6BEA">
        <w:rPr>
          <w:rFonts w:ascii="Arial" w:hAnsi="Arial" w:cs="Arial"/>
          <w:szCs w:val="24"/>
        </w:rPr>
        <w:t>.</w:t>
      </w:r>
    </w:p>
    <w:p w:rsidR="003009A9" w:rsidRPr="00907C22" w:rsidRDefault="003009A9" w:rsidP="00CC52C2">
      <w:pPr>
        <w:pStyle w:val="Corpsdetexte"/>
        <w:spacing w:line="360" w:lineRule="auto"/>
        <w:rPr>
          <w:rFonts w:ascii="Arial" w:hAnsi="Arial" w:cs="Arial"/>
          <w:szCs w:val="24"/>
        </w:rPr>
      </w:pPr>
    </w:p>
    <w:p w:rsidR="00CC52C2" w:rsidRPr="00907C22" w:rsidRDefault="00CC52C2" w:rsidP="00CC52C2">
      <w:pPr>
        <w:pStyle w:val="Corpsdetexte"/>
        <w:spacing w:line="360" w:lineRule="auto"/>
        <w:rPr>
          <w:rFonts w:ascii="Arial" w:hAnsi="Arial" w:cs="Arial"/>
          <w:szCs w:val="24"/>
        </w:rPr>
      </w:pPr>
      <w:r w:rsidRPr="00907C22">
        <w:rPr>
          <w:rFonts w:ascii="Arial" w:hAnsi="Arial" w:cs="Arial"/>
          <w:szCs w:val="24"/>
        </w:rPr>
        <w:t xml:space="preserve">Ahora, en frente  del  examen que se reclama en sede constitucional, resulta de mayúscula trascendencia, precisar que </w:t>
      </w:r>
      <w:r w:rsidRPr="00907C22">
        <w:rPr>
          <w:rFonts w:ascii="Arial" w:hAnsi="Arial" w:cs="Arial"/>
          <w:szCs w:val="24"/>
          <w:u w:val="single"/>
        </w:rPr>
        <w:t>se trata de un juicio de validez y no de corrección</w:t>
      </w:r>
      <w:r w:rsidRPr="00907C22">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07C22">
        <w:rPr>
          <w:rStyle w:val="Appelnotedebasdep"/>
          <w:rFonts w:ascii="Arial" w:hAnsi="Arial" w:cs="Arial"/>
          <w:szCs w:val="24"/>
        </w:rPr>
        <w:footnoteReference w:id="6"/>
      </w:r>
      <w:r w:rsidRPr="00907C22">
        <w:rPr>
          <w:rFonts w:ascii="Arial" w:hAnsi="Arial" w:cs="Arial"/>
          <w:szCs w:val="24"/>
        </w:rPr>
        <w:t>.</w:t>
      </w:r>
    </w:p>
    <w:p w:rsidR="00CC52C2" w:rsidRPr="00AB5228" w:rsidRDefault="00CC52C2" w:rsidP="00CC52C2">
      <w:pPr>
        <w:pStyle w:val="Corpsdetexte"/>
        <w:spacing w:line="360" w:lineRule="auto"/>
        <w:rPr>
          <w:rFonts w:ascii="Arial" w:hAnsi="Arial" w:cs="Arial"/>
          <w:szCs w:val="24"/>
        </w:rPr>
      </w:pPr>
    </w:p>
    <w:p w:rsidR="00CC52C2" w:rsidRDefault="00CC52C2" w:rsidP="00CC52C2">
      <w:pPr>
        <w:pStyle w:val="Corpsdetexte"/>
        <w:spacing w:line="360" w:lineRule="auto"/>
        <w:rPr>
          <w:rFonts w:ascii="Arial" w:hAnsi="Arial" w:cs="Arial"/>
          <w:szCs w:val="24"/>
        </w:rPr>
      </w:pPr>
      <w:r w:rsidRPr="00907C22">
        <w:rPr>
          <w:rFonts w:ascii="Arial" w:hAnsi="Arial" w:cs="Arial"/>
          <w:szCs w:val="24"/>
        </w:rPr>
        <w:t>Los requisitos generales de procedibilidad, explicados en amplitud en la sentencia C-590 de 2005</w:t>
      </w:r>
      <w:r w:rsidRPr="00907C22">
        <w:rPr>
          <w:rStyle w:val="Appelnotedebasdep"/>
          <w:rFonts w:ascii="Arial" w:hAnsi="Arial" w:cs="Arial"/>
          <w:szCs w:val="24"/>
        </w:rPr>
        <w:footnoteReference w:id="7"/>
      </w:r>
      <w:r w:rsidRPr="00907C22">
        <w:rPr>
          <w:rFonts w:ascii="Arial" w:hAnsi="Arial" w:cs="Arial"/>
          <w:szCs w:val="24"/>
        </w:rPr>
        <w:t xml:space="preserve"> y reiterados en la consolidada línea jurisprudencial de la </w:t>
      </w:r>
      <w:r>
        <w:rPr>
          <w:rFonts w:ascii="Arial" w:hAnsi="Arial" w:cs="Arial"/>
          <w:szCs w:val="24"/>
        </w:rPr>
        <w:t>CC</w:t>
      </w:r>
      <w:r w:rsidRPr="00907C22">
        <w:rPr>
          <w:rStyle w:val="Appelnotedebasdep"/>
          <w:rFonts w:ascii="Arial" w:hAnsi="Arial" w:cs="Arial"/>
          <w:szCs w:val="24"/>
        </w:rPr>
        <w:footnoteReference w:id="8"/>
      </w:r>
      <w:r w:rsidRPr="00907C22">
        <w:rPr>
          <w:rFonts w:ascii="Arial" w:hAnsi="Arial"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07C22">
        <w:rPr>
          <w:rStyle w:val="Appelnotedebasdep"/>
          <w:rFonts w:ascii="Arial" w:hAnsi="Arial"/>
          <w:szCs w:val="24"/>
        </w:rPr>
        <w:footnoteReference w:id="9"/>
      </w:r>
      <w:r w:rsidRPr="00907C22">
        <w:rPr>
          <w:rFonts w:ascii="Arial" w:hAnsi="Arial" w:cs="Arial"/>
          <w:szCs w:val="24"/>
        </w:rPr>
        <w:t>.</w:t>
      </w:r>
    </w:p>
    <w:p w:rsidR="00CC52C2" w:rsidRDefault="00CC52C2" w:rsidP="00CC52C2">
      <w:pPr>
        <w:pStyle w:val="Corpsdetexte"/>
        <w:spacing w:line="360" w:lineRule="auto"/>
        <w:rPr>
          <w:rFonts w:ascii="Arial" w:hAnsi="Arial" w:cs="Arial"/>
          <w:szCs w:val="24"/>
        </w:rPr>
      </w:pPr>
      <w:r w:rsidRPr="00907C22">
        <w:rPr>
          <w:rFonts w:ascii="Arial" w:hAnsi="Arial" w:cs="Arial"/>
          <w:szCs w:val="24"/>
        </w:rPr>
        <w:lastRenderedPageBreak/>
        <w:t xml:space="preserve">De otra parte, como requisitos o causales especiales de procedibilidad, se han definido los </w:t>
      </w:r>
    </w:p>
    <w:p w:rsidR="00CC52C2" w:rsidRDefault="00CC52C2" w:rsidP="00CC52C2">
      <w:pPr>
        <w:pStyle w:val="Corpsdetexte"/>
        <w:spacing w:line="360" w:lineRule="auto"/>
        <w:rPr>
          <w:rFonts w:ascii="Arial" w:hAnsi="Arial" w:cs="Arial"/>
          <w:szCs w:val="24"/>
        </w:rPr>
      </w:pPr>
      <w:r w:rsidRPr="00907C22">
        <w:rPr>
          <w:rFonts w:ascii="Arial" w:hAnsi="Arial" w:cs="Arial"/>
          <w:szCs w:val="24"/>
        </w:rPr>
        <w:t>siguientes: (i) Defecto orgánico, (ii) Defecto procedimental absoluto, (iii) Defecto fáctico, (iv) Error inducido, (v) Decisión sin motivación, (vi) Defecto material o sustantivo; (vii) Desconocimiento del precedente; y, por último, (viii) violación direct</w:t>
      </w:r>
      <w:r w:rsidR="00A8313B">
        <w:rPr>
          <w:rFonts w:ascii="Arial" w:hAnsi="Arial" w:cs="Arial"/>
          <w:szCs w:val="24"/>
        </w:rPr>
        <w:t xml:space="preserve">a de la Carta. </w:t>
      </w:r>
      <w:r w:rsidRPr="00907C22">
        <w:rPr>
          <w:rFonts w:ascii="Arial" w:hAnsi="Arial" w:cs="Arial"/>
          <w:szCs w:val="24"/>
        </w:rPr>
        <w:t xml:space="preserve">Un sistemático </w:t>
      </w:r>
      <w:r w:rsidR="00A8313B">
        <w:rPr>
          <w:rFonts w:ascii="Arial" w:hAnsi="Arial" w:cs="Arial"/>
          <w:szCs w:val="24"/>
        </w:rPr>
        <w:t xml:space="preserve"> </w:t>
      </w:r>
      <w:r w:rsidRPr="00907C22">
        <w:rPr>
          <w:rFonts w:ascii="Arial" w:hAnsi="Arial" w:cs="Arial"/>
          <w:szCs w:val="24"/>
        </w:rPr>
        <w:t xml:space="preserve">recuento </w:t>
      </w:r>
      <w:r w:rsidR="00A8313B">
        <w:rPr>
          <w:rFonts w:ascii="Arial" w:hAnsi="Arial" w:cs="Arial"/>
          <w:szCs w:val="24"/>
        </w:rPr>
        <w:t xml:space="preserve"> </w:t>
      </w:r>
      <w:r w:rsidRPr="00907C22">
        <w:rPr>
          <w:rFonts w:ascii="Arial" w:hAnsi="Arial" w:cs="Arial"/>
          <w:szCs w:val="24"/>
        </w:rPr>
        <w:t xml:space="preserve">puede </w:t>
      </w:r>
      <w:r w:rsidR="00A8313B">
        <w:rPr>
          <w:rFonts w:ascii="Arial" w:hAnsi="Arial" w:cs="Arial"/>
          <w:szCs w:val="24"/>
        </w:rPr>
        <w:t xml:space="preserve"> </w:t>
      </w:r>
      <w:r w:rsidRPr="00907C22">
        <w:rPr>
          <w:rFonts w:ascii="Arial" w:hAnsi="Arial" w:cs="Arial"/>
          <w:szCs w:val="24"/>
        </w:rPr>
        <w:t>leerse</w:t>
      </w:r>
      <w:r w:rsidR="00A8313B">
        <w:rPr>
          <w:rFonts w:ascii="Arial" w:hAnsi="Arial" w:cs="Arial"/>
          <w:szCs w:val="24"/>
        </w:rPr>
        <w:t xml:space="preserve"> </w:t>
      </w:r>
      <w:r w:rsidRPr="00907C22">
        <w:rPr>
          <w:rFonts w:ascii="Arial" w:hAnsi="Arial" w:cs="Arial"/>
          <w:szCs w:val="24"/>
        </w:rPr>
        <w:t xml:space="preserve"> en</w:t>
      </w:r>
      <w:r w:rsidR="00A8313B">
        <w:rPr>
          <w:rFonts w:ascii="Arial" w:hAnsi="Arial" w:cs="Arial"/>
          <w:szCs w:val="24"/>
        </w:rPr>
        <w:t xml:space="preserve"> </w:t>
      </w:r>
      <w:r w:rsidRPr="00907C22">
        <w:rPr>
          <w:rFonts w:ascii="Arial" w:hAnsi="Arial" w:cs="Arial"/>
          <w:szCs w:val="24"/>
        </w:rPr>
        <w:t xml:space="preserve"> la </w:t>
      </w:r>
      <w:r w:rsidR="00A8313B">
        <w:rPr>
          <w:rFonts w:ascii="Arial" w:hAnsi="Arial" w:cs="Arial"/>
          <w:szCs w:val="24"/>
        </w:rPr>
        <w:t xml:space="preserve"> </w:t>
      </w:r>
      <w:r w:rsidRPr="00907C22">
        <w:rPr>
          <w:rFonts w:ascii="Arial" w:hAnsi="Arial" w:cs="Arial"/>
          <w:szCs w:val="24"/>
        </w:rPr>
        <w:t>obra de los doctores Catalina Botero Marino</w:t>
      </w:r>
      <w:r w:rsidRPr="00907C22">
        <w:rPr>
          <w:rFonts w:ascii="Arial" w:hAnsi="Arial" w:cs="Arial"/>
          <w:szCs w:val="24"/>
          <w:vertAlign w:val="superscript"/>
        </w:rPr>
        <w:footnoteReference w:id="10"/>
      </w:r>
      <w:r w:rsidRPr="00907C22">
        <w:rPr>
          <w:rFonts w:ascii="Arial" w:hAnsi="Arial" w:cs="Arial"/>
          <w:szCs w:val="24"/>
        </w:rPr>
        <w:t xml:space="preserve"> y Quinche Ramírez</w:t>
      </w:r>
      <w:r w:rsidRPr="00907C22">
        <w:rPr>
          <w:rStyle w:val="Appelnotedebasdep"/>
          <w:rFonts w:ascii="Arial" w:hAnsi="Arial" w:cs="Arial"/>
          <w:szCs w:val="24"/>
        </w:rPr>
        <w:footnoteReference w:id="11"/>
      </w:r>
      <w:r w:rsidRPr="00907C22">
        <w:rPr>
          <w:rFonts w:ascii="Arial" w:hAnsi="Arial" w:cs="Arial"/>
          <w:szCs w:val="24"/>
        </w:rPr>
        <w:t>.</w:t>
      </w:r>
    </w:p>
    <w:p w:rsidR="000A751E" w:rsidRPr="00907C22" w:rsidRDefault="000A751E" w:rsidP="00CC52C2">
      <w:pPr>
        <w:pStyle w:val="Corpsdetexte"/>
        <w:spacing w:line="360" w:lineRule="auto"/>
        <w:rPr>
          <w:rFonts w:ascii="Arial" w:hAnsi="Arial" w:cs="Arial"/>
          <w:szCs w:val="24"/>
        </w:rPr>
      </w:pPr>
    </w:p>
    <w:p w:rsidR="00CC52C2" w:rsidRDefault="00CC52C2" w:rsidP="000C1DAC">
      <w:pPr>
        <w:pStyle w:val="Corpsdetexte"/>
        <w:numPr>
          <w:ilvl w:val="2"/>
          <w:numId w:val="11"/>
        </w:numPr>
        <w:tabs>
          <w:tab w:val="clear" w:pos="0"/>
        </w:tabs>
        <w:spacing w:line="360" w:lineRule="auto"/>
        <w:rPr>
          <w:rFonts w:ascii="Arial" w:hAnsi="Arial"/>
          <w:smallCaps/>
          <w:szCs w:val="24"/>
        </w:rPr>
      </w:pPr>
      <w:r w:rsidRPr="000466C3">
        <w:rPr>
          <w:rFonts w:ascii="Arial" w:hAnsi="Arial"/>
          <w:smallCaps/>
          <w:szCs w:val="24"/>
        </w:rPr>
        <w:t>El carácter subsidiario de la acción de tutela</w:t>
      </w:r>
    </w:p>
    <w:p w:rsidR="008B5AF7" w:rsidRPr="008B5AF7" w:rsidRDefault="008B5AF7" w:rsidP="00CC52C2">
      <w:pPr>
        <w:pStyle w:val="Corpsdetexte"/>
        <w:tabs>
          <w:tab w:val="clear" w:pos="0"/>
        </w:tabs>
        <w:spacing w:line="360" w:lineRule="auto"/>
        <w:rPr>
          <w:rFonts w:ascii="Arial" w:hAnsi="Arial" w:cs="Arial"/>
          <w:sz w:val="20"/>
          <w:szCs w:val="24"/>
        </w:rPr>
      </w:pPr>
    </w:p>
    <w:p w:rsidR="008B5AF7" w:rsidRDefault="00CC52C2" w:rsidP="00CC52C2">
      <w:pPr>
        <w:pStyle w:val="Corpsdetexte"/>
        <w:tabs>
          <w:tab w:val="clear" w:pos="0"/>
        </w:tabs>
        <w:spacing w:line="360" w:lineRule="auto"/>
        <w:rPr>
          <w:rFonts w:ascii="Arial" w:hAnsi="Arial" w:cs="Arial"/>
          <w:szCs w:val="24"/>
        </w:rPr>
      </w:pPr>
      <w:r>
        <w:rPr>
          <w:rFonts w:ascii="Arial" w:hAnsi="Arial" w:cs="Arial"/>
          <w:szCs w:val="24"/>
        </w:rPr>
        <w:t xml:space="preserve">La </w:t>
      </w:r>
      <w:r w:rsidR="008B5AF7">
        <w:rPr>
          <w:rFonts w:ascii="Arial" w:hAnsi="Arial" w:cs="Arial"/>
          <w:szCs w:val="24"/>
        </w:rPr>
        <w:t xml:space="preserve"> </w:t>
      </w:r>
      <w:r>
        <w:rPr>
          <w:rFonts w:ascii="Arial" w:hAnsi="Arial" w:cs="Arial"/>
          <w:szCs w:val="24"/>
        </w:rPr>
        <w:t xml:space="preserve">acción </w:t>
      </w:r>
      <w:r w:rsidR="008B5AF7">
        <w:rPr>
          <w:rFonts w:ascii="Arial" w:hAnsi="Arial" w:cs="Arial"/>
          <w:szCs w:val="24"/>
        </w:rPr>
        <w:t xml:space="preserve"> </w:t>
      </w:r>
      <w:r>
        <w:rPr>
          <w:rFonts w:ascii="Arial" w:hAnsi="Arial" w:cs="Arial"/>
          <w:szCs w:val="24"/>
        </w:rPr>
        <w:t xml:space="preserve">de </w:t>
      </w:r>
      <w:r w:rsidR="008B5AF7">
        <w:rPr>
          <w:rFonts w:ascii="Arial" w:hAnsi="Arial" w:cs="Arial"/>
          <w:szCs w:val="24"/>
        </w:rPr>
        <w:t xml:space="preserve"> </w:t>
      </w:r>
      <w:r>
        <w:rPr>
          <w:rFonts w:ascii="Arial" w:hAnsi="Arial" w:cs="Arial"/>
          <w:szCs w:val="24"/>
        </w:rPr>
        <w:t xml:space="preserve">tutela, </w:t>
      </w:r>
      <w:r w:rsidR="008B5AF7">
        <w:rPr>
          <w:rFonts w:ascii="Arial" w:hAnsi="Arial" w:cs="Arial"/>
          <w:szCs w:val="24"/>
        </w:rPr>
        <w:t xml:space="preserve"> </w:t>
      </w:r>
      <w:r>
        <w:rPr>
          <w:rFonts w:ascii="Arial" w:hAnsi="Arial" w:cs="Arial"/>
          <w:szCs w:val="24"/>
        </w:rPr>
        <w:t xml:space="preserve">se halla prescrita en el artículo 86 de la CP, definiendo la regla general </w:t>
      </w:r>
    </w:p>
    <w:p w:rsidR="00CC52C2" w:rsidRDefault="00CC52C2" w:rsidP="00CC52C2">
      <w:pPr>
        <w:pStyle w:val="Corpsdetexte"/>
        <w:tabs>
          <w:tab w:val="clear" w:pos="0"/>
        </w:tabs>
        <w:spacing w:line="360" w:lineRule="auto"/>
        <w:rPr>
          <w:rFonts w:ascii="Arial" w:hAnsi="Arial" w:cs="Arial"/>
          <w:sz w:val="22"/>
          <w:szCs w:val="22"/>
          <w:u w:val="single"/>
        </w:rPr>
      </w:pPr>
      <w:proofErr w:type="gramStart"/>
      <w:r>
        <w:rPr>
          <w:rFonts w:ascii="Arial" w:hAnsi="Arial" w:cs="Arial"/>
          <w:szCs w:val="24"/>
        </w:rPr>
        <w:t>sobre</w:t>
      </w:r>
      <w:proofErr w:type="gramEnd"/>
      <w:r>
        <w:rPr>
          <w:rFonts w:ascii="Arial" w:hAnsi="Arial" w:cs="Arial"/>
          <w:szCs w:val="24"/>
        </w:rPr>
        <w:t xml:space="preserve"> la procedencia de la acción, al consagrar en el inciso 3° 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
    <w:p w:rsidR="00CC52C2" w:rsidRPr="00A8313B" w:rsidRDefault="00CC52C2" w:rsidP="00CC52C2">
      <w:pPr>
        <w:pStyle w:val="Corpsdetexte"/>
        <w:tabs>
          <w:tab w:val="clear" w:pos="0"/>
        </w:tabs>
        <w:spacing w:line="360" w:lineRule="auto"/>
        <w:rPr>
          <w:rFonts w:ascii="Arial" w:hAnsi="Arial" w:cs="Arial"/>
          <w:szCs w:val="22"/>
          <w:u w:val="single"/>
        </w:rPr>
      </w:pPr>
    </w:p>
    <w:p w:rsidR="00CC52C2" w:rsidRDefault="00CC52C2" w:rsidP="00CC52C2">
      <w:pPr>
        <w:pStyle w:val="Corpsdetex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Appelnotedebasdep"/>
          <w:rFonts w:ascii="Arial" w:hAnsi="Arial" w:cs="Arial"/>
          <w:i/>
          <w:sz w:val="22"/>
          <w:szCs w:val="22"/>
        </w:rPr>
        <w:footnoteReference w:id="12"/>
      </w:r>
      <w:r>
        <w:rPr>
          <w:rFonts w:ascii="Arial" w:hAnsi="Arial" w:cs="Arial"/>
          <w:i/>
          <w:sz w:val="22"/>
          <w:szCs w:val="22"/>
        </w:rPr>
        <w:t>.</w:t>
      </w:r>
    </w:p>
    <w:p w:rsidR="00CC52C2" w:rsidRPr="00A8313B" w:rsidRDefault="00CC52C2" w:rsidP="00CC52C2">
      <w:pPr>
        <w:widowControl/>
        <w:spacing w:line="360" w:lineRule="auto"/>
        <w:jc w:val="both"/>
        <w:rPr>
          <w:rFonts w:ascii="Arial" w:hAnsi="Arial" w:cs="Arial"/>
          <w:szCs w:val="22"/>
          <w:lang w:val="es-ES_tradnl"/>
        </w:rPr>
      </w:pPr>
    </w:p>
    <w:p w:rsidR="00CC52C2" w:rsidRDefault="00CC52C2" w:rsidP="00CC52C2">
      <w:pPr>
        <w:pStyle w:val="Corpsdetexte"/>
        <w:tabs>
          <w:tab w:val="clear" w:pos="0"/>
        </w:tabs>
        <w:spacing w:line="360" w:lineRule="auto"/>
        <w:rPr>
          <w:rFonts w:ascii="Arial" w:hAnsi="Arial" w:cs="Arial"/>
        </w:rPr>
      </w:pPr>
      <w:r>
        <w:rPr>
          <w:rFonts w:ascii="Arial" w:hAnsi="Arial" w:cs="Arial"/>
          <w:szCs w:val="24"/>
        </w:rPr>
        <w:t>Conforme a lo sostenido por la CC</w:t>
      </w:r>
      <w:r>
        <w:rPr>
          <w:rStyle w:val="Appelnotedebasdep"/>
          <w:rFonts w:ascii="Arial" w:hAnsi="Arial"/>
          <w:color w:val="000000"/>
          <w:shd w:val="clear" w:color="auto" w:fill="FFFFFF"/>
        </w:rPr>
        <w:footnoteReference w:id="13"/>
      </w:r>
      <w:r>
        <w:rPr>
          <w:rFonts w:ascii="Arial" w:hAnsi="Arial" w:cs="Arial"/>
          <w:szCs w:val="24"/>
        </w:rPr>
        <w:t>, deben agotarse los recursos ordinarios de defensa, 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Pr>
          <w:rStyle w:val="Appelnotedebasdep"/>
          <w:rFonts w:ascii="Arial" w:hAnsi="Arial" w:cs="Arial"/>
          <w:sz w:val="22"/>
          <w:szCs w:val="22"/>
        </w:rPr>
        <w:footnoteReference w:id="14"/>
      </w:r>
      <w:r>
        <w:rPr>
          <w:rFonts w:ascii="Arial" w:hAnsi="Arial" w:cs="Arial"/>
          <w:sz w:val="22"/>
          <w:szCs w:val="22"/>
        </w:rPr>
        <w:t>.</w:t>
      </w:r>
      <w:r>
        <w:rPr>
          <w:rFonts w:ascii="Arial" w:hAnsi="Arial" w:cs="Arial"/>
          <w:szCs w:val="24"/>
        </w:rPr>
        <w:t xml:space="preserve"> Además, ha sido reiterativa en su criterio</w:t>
      </w:r>
      <w:r>
        <w:rPr>
          <w:rStyle w:val="Appelnotedebasdep"/>
          <w:rFonts w:ascii="Arial" w:hAnsi="Arial"/>
          <w:szCs w:val="24"/>
        </w:rPr>
        <w:footnoteReference w:id="15"/>
      </w:r>
      <w:r>
        <w:rPr>
          <w:rFonts w:ascii="Arial" w:hAnsi="Arial" w:cs="Arial"/>
          <w:szCs w:val="24"/>
        </w:rPr>
        <w:t>.</w:t>
      </w:r>
      <w:r>
        <w:rPr>
          <w:rFonts w:ascii="Arial" w:hAnsi="Arial" w:cs="Arial"/>
        </w:rPr>
        <w:t>También la CSJ se ha referido al tema</w:t>
      </w:r>
      <w:r>
        <w:rPr>
          <w:rStyle w:val="Appelnotedebasdep"/>
          <w:rFonts w:ascii="Arial" w:hAnsi="Arial" w:cs="Arial"/>
        </w:rPr>
        <w:footnoteReference w:id="16"/>
      </w:r>
      <w:r>
        <w:rPr>
          <w:rFonts w:ascii="Arial" w:hAnsi="Arial" w:cs="Arial"/>
        </w:rPr>
        <w:t xml:space="preserve">, </w:t>
      </w:r>
      <w:proofErr w:type="spellStart"/>
      <w:r>
        <w:rPr>
          <w:rFonts w:ascii="Arial" w:hAnsi="Arial" w:cs="Arial"/>
        </w:rPr>
        <w:t>prohija</w:t>
      </w:r>
      <w:proofErr w:type="spellEnd"/>
      <w:r>
        <w:rPr>
          <w:rFonts w:ascii="Arial" w:hAnsi="Arial" w:cs="Arial"/>
        </w:rPr>
        <w:t xml:space="preserve"> la improcedencia de la tutela por aplicación del principio de subsidiariedad.</w:t>
      </w:r>
    </w:p>
    <w:p w:rsidR="00D358B2" w:rsidRPr="008B5AF7" w:rsidRDefault="00D358B2" w:rsidP="008B5AF7">
      <w:pPr>
        <w:pStyle w:val="Paragraphedeliste"/>
        <w:numPr>
          <w:ilvl w:val="2"/>
          <w:numId w:val="11"/>
        </w:numPr>
        <w:spacing w:line="360" w:lineRule="auto"/>
        <w:jc w:val="both"/>
        <w:rPr>
          <w:rFonts w:ascii="Arial" w:hAnsi="Arial" w:cs="Arial"/>
          <w:smallCaps/>
          <w:lang w:val="es-ES_tradnl"/>
        </w:rPr>
      </w:pPr>
      <w:r w:rsidRPr="008B5AF7">
        <w:rPr>
          <w:rFonts w:ascii="Arial" w:hAnsi="Arial" w:cs="Arial"/>
          <w:smallCaps/>
          <w:lang w:val="es-ES_tradnl"/>
        </w:rPr>
        <w:lastRenderedPageBreak/>
        <w:t>La mora judicial</w:t>
      </w:r>
    </w:p>
    <w:p w:rsidR="00D358B2" w:rsidRDefault="00D358B2" w:rsidP="00D358B2">
      <w:pPr>
        <w:pStyle w:val="Paragraphedeliste"/>
        <w:spacing w:line="360" w:lineRule="auto"/>
        <w:ind w:left="720"/>
        <w:jc w:val="both"/>
        <w:rPr>
          <w:rFonts w:ascii="Arial" w:hAnsi="Arial" w:cs="Arial"/>
          <w:smallCaps/>
          <w:lang w:val="es-ES_tradnl"/>
        </w:rPr>
      </w:pPr>
    </w:p>
    <w:p w:rsidR="00D358B2" w:rsidRDefault="00D358B2" w:rsidP="00D358B2">
      <w:pPr>
        <w:spacing w:line="360" w:lineRule="auto"/>
        <w:jc w:val="both"/>
        <w:rPr>
          <w:rFonts w:ascii="Arial" w:hAnsi="Arial" w:cs="Arial"/>
          <w:sz w:val="22"/>
          <w:szCs w:val="22"/>
          <w:lang w:val="es-CO"/>
        </w:rPr>
      </w:pPr>
      <w:r>
        <w:rPr>
          <w:rFonts w:ascii="Arial" w:hAnsi="Arial" w:cs="Arial"/>
          <w:lang w:val="es-ES_tradnl"/>
        </w:rPr>
        <w:t>En principio se afirma que el retardo o la dilación de los jueces para dictar providencias en el término de la ley, constituye una vulneración al debido proceso y en consecuencia, impiden la materialización oportuna del derecho, no obstante, dicha premisa debe retomarse para enfocarla en la realidad judicial, puesto que si se supera el plazo razonable de ley para decidir los asuntos, se deben examinar los casos específicos, es decir, cuántos procesos tiene el despacho a cargo, cuáles tienen prevalencia y la complejidad de los asuntos entre otros, así lo</w:t>
      </w:r>
      <w:r>
        <w:rPr>
          <w:rFonts w:ascii="Arial" w:hAnsi="Arial" w:cs="Arial"/>
        </w:rPr>
        <w:t xml:space="preserve"> ha recordado la doctrina constitucional</w:t>
      </w:r>
      <w:r>
        <w:rPr>
          <w:rStyle w:val="Appelnotedebasdep"/>
          <w:rFonts w:ascii="Arial" w:hAnsi="Arial"/>
        </w:rPr>
        <w:footnoteReference w:id="17"/>
      </w:r>
      <w:r>
        <w:rPr>
          <w:rFonts w:ascii="Arial" w:hAnsi="Arial" w:cs="Arial"/>
        </w:rPr>
        <w:t xml:space="preserve"> que limitó la prosperidad del amparo a que:</w:t>
      </w:r>
      <w:r>
        <w:rPr>
          <w:rFonts w:ascii="Arial" w:hAnsi="Arial" w:cs="Arial"/>
          <w:lang w:val="es-ES_tradnl"/>
        </w:rPr>
        <w:t xml:space="preserve"> </w:t>
      </w:r>
      <w:r>
        <w:rPr>
          <w:rFonts w:ascii="Arial" w:hAnsi="Arial" w:cs="Arial"/>
          <w:i/>
          <w:sz w:val="22"/>
          <w:szCs w:val="22"/>
          <w:lang w:val="es-ES_tradnl"/>
        </w:rPr>
        <w:t xml:space="preserve">“(…) </w:t>
      </w:r>
      <w:r>
        <w:rPr>
          <w:rFonts w:ascii="Arial" w:hAnsi="Arial" w:cs="Arial"/>
          <w:i/>
          <w:sz w:val="22"/>
          <w:szCs w:val="22"/>
          <w:lang w:val="es-CO"/>
        </w:rPr>
        <w:t xml:space="preserve">(i) el funcionario haya incurrido en mora judicial injustificada y que (ii) se </w:t>
      </w:r>
      <w:proofErr w:type="spellStart"/>
      <w:r>
        <w:rPr>
          <w:rFonts w:ascii="Arial" w:hAnsi="Arial" w:cs="Arial"/>
          <w:i/>
          <w:sz w:val="22"/>
          <w:szCs w:val="22"/>
          <w:lang w:val="es-CO"/>
        </w:rPr>
        <w:t>este</w:t>
      </w:r>
      <w:proofErr w:type="spellEnd"/>
      <w:r>
        <w:rPr>
          <w:rFonts w:ascii="Arial" w:hAnsi="Arial" w:cs="Arial"/>
          <w:i/>
          <w:sz w:val="22"/>
          <w:szCs w:val="22"/>
          <w:lang w:val="es-CO"/>
        </w:rPr>
        <w:t xml:space="preserve"> (Sic) ante la posibilidad de que se materialice un daño que genere un perjuicio que no pueda ser subsanado</w:t>
      </w:r>
      <w:r>
        <w:rPr>
          <w:rFonts w:ascii="Arial" w:hAnsi="Arial" w:cs="Arial"/>
          <w:i/>
          <w:sz w:val="22"/>
          <w:szCs w:val="22"/>
          <w:vertAlign w:val="superscript"/>
          <w:lang w:val="es-CO"/>
        </w:rPr>
        <w:footnoteReference w:id="18"/>
      </w:r>
      <w:r>
        <w:rPr>
          <w:rFonts w:ascii="Arial" w:hAnsi="Arial" w:cs="Arial"/>
          <w:i/>
          <w:sz w:val="22"/>
          <w:szCs w:val="22"/>
          <w:lang w:val="es-CO"/>
        </w:rPr>
        <w:t xml:space="preserve"> (…)”.</w:t>
      </w:r>
      <w:r>
        <w:rPr>
          <w:rFonts w:ascii="Arial" w:hAnsi="Arial" w:cs="Arial"/>
          <w:sz w:val="22"/>
          <w:szCs w:val="22"/>
          <w:lang w:val="es-CO"/>
        </w:rPr>
        <w:t xml:space="preserve"> </w:t>
      </w:r>
    </w:p>
    <w:p w:rsidR="00D358B2" w:rsidRPr="00AB5228" w:rsidRDefault="00D358B2" w:rsidP="00D358B2">
      <w:pPr>
        <w:spacing w:line="360" w:lineRule="auto"/>
        <w:ind w:right="567"/>
        <w:jc w:val="both"/>
        <w:rPr>
          <w:rFonts w:ascii="Arial" w:hAnsi="Arial" w:cs="Arial"/>
          <w:lang w:val="es-CO"/>
        </w:rPr>
      </w:pPr>
    </w:p>
    <w:p w:rsidR="00D358B2" w:rsidRDefault="00D358B2" w:rsidP="00D358B2">
      <w:pPr>
        <w:pStyle w:val="NormalWeb"/>
        <w:spacing w:after="0" w:line="360" w:lineRule="auto"/>
        <w:jc w:val="both"/>
        <w:rPr>
          <w:rFonts w:ascii="Arial" w:hAnsi="Arial" w:cs="Arial"/>
          <w:i/>
          <w:sz w:val="22"/>
          <w:szCs w:val="22"/>
          <w:lang w:val="es-ES_tradnl"/>
        </w:rPr>
      </w:pPr>
      <w:r>
        <w:rPr>
          <w:rFonts w:ascii="Arial" w:hAnsi="Arial" w:cs="Arial"/>
          <w:lang w:val="es-ES_tradnl"/>
        </w:rPr>
        <w:t>Recientemente, sobre la justificación de la mora judicial se ha pronunciado la CSJ</w:t>
      </w:r>
      <w:r>
        <w:rPr>
          <w:rStyle w:val="Appelnotedebasdep"/>
          <w:rFonts w:ascii="Arial" w:hAnsi="Arial"/>
          <w:lang w:val="es-ES_tradnl"/>
        </w:rPr>
        <w:footnoteReference w:id="19"/>
      </w:r>
      <w:r>
        <w:rPr>
          <w:rFonts w:ascii="Arial" w:hAnsi="Arial" w:cs="Arial"/>
          <w:lang w:val="es-ES_tradnl"/>
        </w:rPr>
        <w:t xml:space="preserve">, en la especialidad Civil y en ese sentido señaló: </w:t>
      </w:r>
      <w:r>
        <w:rPr>
          <w:rFonts w:ascii="Arial" w:hAnsi="Arial" w:cs="Arial"/>
          <w:i/>
          <w:sz w:val="22"/>
          <w:szCs w:val="22"/>
          <w:lang w:val="es-ES_tradnl"/>
        </w:rPr>
        <w:t>“</w:t>
      </w:r>
      <w:r>
        <w:rPr>
          <w:rFonts w:ascii="Arial" w:hAnsi="Arial" w:cs="Arial"/>
          <w:i/>
          <w:sz w:val="22"/>
          <w:szCs w:val="22"/>
        </w:rPr>
        <w:t>(…) la protección del derecho fundamental al debido proceso por mora judicial, se circunscribe a la verificación objetiva de su calificación entre justificada e injustificada, pues si existe alguna de las causales de justificación, tales como la fuerza mayor, el caso fortuito, la culpa del tercero o cualquier otra circunstancia objetiva y razonable que permita establecer que la mora es aceptable, no podrá predicarse la violación del derecho al debido proceso. Se insiste, la protección efectiva del derecho opera cuando la mora judicial es injustificada (CSJ STC, 19 de sep. de 2008, rad. 01138-00, reiterada en STC153 de ene. 21 de 2016).</w:t>
      </w:r>
      <w:r>
        <w:rPr>
          <w:rFonts w:ascii="Arial" w:hAnsi="Arial" w:cs="Arial"/>
          <w:i/>
          <w:sz w:val="22"/>
          <w:szCs w:val="22"/>
          <w:lang w:val="es-ES_tradnl"/>
        </w:rPr>
        <w:t xml:space="preserve"> </w:t>
      </w:r>
    </w:p>
    <w:p w:rsidR="00D358B2" w:rsidRPr="00AB5228" w:rsidRDefault="00D358B2" w:rsidP="00962082">
      <w:pPr>
        <w:pStyle w:val="Sansinterligne"/>
        <w:spacing w:line="360" w:lineRule="auto"/>
        <w:rPr>
          <w:rFonts w:ascii="Arial" w:hAnsi="Arial" w:cs="Arial"/>
          <w:lang w:val="es-ES_tradnl"/>
        </w:rPr>
      </w:pPr>
    </w:p>
    <w:p w:rsidR="00303747" w:rsidRDefault="00303747" w:rsidP="000A751E">
      <w:pPr>
        <w:pStyle w:val="Corpsdetexte"/>
        <w:numPr>
          <w:ilvl w:val="0"/>
          <w:numId w:val="11"/>
        </w:numPr>
        <w:spacing w:line="360" w:lineRule="auto"/>
        <w:ind w:left="709" w:hanging="709"/>
        <w:rPr>
          <w:rFonts w:ascii="Arial" w:hAnsi="Arial" w:cs="Arial"/>
          <w:smallCaps/>
          <w:sz w:val="28"/>
          <w:szCs w:val="28"/>
        </w:rPr>
      </w:pPr>
      <w:r w:rsidRPr="007D3EFE">
        <w:rPr>
          <w:rFonts w:ascii="Arial" w:hAnsi="Arial" w:cs="Arial"/>
          <w:smallCaps/>
          <w:sz w:val="28"/>
          <w:szCs w:val="28"/>
        </w:rPr>
        <w:t xml:space="preserve">El caso concreto </w:t>
      </w:r>
    </w:p>
    <w:p w:rsidR="000703DD" w:rsidRPr="00AB5228" w:rsidRDefault="000703DD" w:rsidP="006715E2">
      <w:pPr>
        <w:pStyle w:val="Corpsdetexte"/>
        <w:spacing w:line="360" w:lineRule="auto"/>
        <w:rPr>
          <w:rFonts w:ascii="Arial" w:hAnsi="Arial" w:cs="Arial"/>
          <w:smallCaps/>
          <w:szCs w:val="28"/>
        </w:rPr>
      </w:pPr>
    </w:p>
    <w:p w:rsidR="006715E2" w:rsidRPr="006715E2" w:rsidRDefault="006715E2" w:rsidP="000A751E">
      <w:pPr>
        <w:pStyle w:val="Corpsdetexte"/>
        <w:numPr>
          <w:ilvl w:val="1"/>
          <w:numId w:val="11"/>
        </w:numPr>
        <w:spacing w:line="360" w:lineRule="auto"/>
        <w:rPr>
          <w:rFonts w:ascii="Arial" w:hAnsi="Arial" w:cs="Arial"/>
          <w:smallCaps/>
          <w:szCs w:val="24"/>
        </w:rPr>
      </w:pPr>
      <w:r w:rsidRPr="006715E2">
        <w:rPr>
          <w:rFonts w:ascii="Arial" w:hAnsi="Arial" w:cs="Arial"/>
          <w:smallCaps/>
          <w:szCs w:val="24"/>
        </w:rPr>
        <w:t>La subsidiariedad</w:t>
      </w:r>
    </w:p>
    <w:p w:rsidR="006715E2" w:rsidRPr="00AB5228" w:rsidRDefault="006715E2" w:rsidP="006715E2">
      <w:pPr>
        <w:pStyle w:val="Corpsdetexte"/>
        <w:spacing w:line="360" w:lineRule="auto"/>
        <w:ind w:left="720"/>
        <w:rPr>
          <w:rFonts w:ascii="Arial" w:hAnsi="Arial" w:cs="Arial"/>
          <w:smallCaps/>
          <w:szCs w:val="28"/>
        </w:rPr>
      </w:pPr>
    </w:p>
    <w:p w:rsidR="00CC52C2" w:rsidRDefault="00CC52C2" w:rsidP="00CC52C2">
      <w:pPr>
        <w:spacing w:line="360" w:lineRule="auto"/>
        <w:jc w:val="both"/>
        <w:rPr>
          <w:rFonts w:ascii="Arial" w:hAnsi="Arial" w:cs="Arial"/>
          <w:lang w:val="es-ES_tradnl"/>
        </w:rPr>
      </w:pPr>
      <w:r w:rsidRPr="003E0E8A">
        <w:rPr>
          <w:rFonts w:ascii="Arial" w:hAnsi="Arial" w:cs="Arial"/>
          <w:lang w:val="es-ES_tradnl"/>
        </w:rPr>
        <w:t xml:space="preserve">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resulta suficiente para el fracaso </w:t>
      </w:r>
      <w:r>
        <w:rPr>
          <w:rFonts w:ascii="Arial" w:hAnsi="Arial" w:cs="Arial"/>
          <w:lang w:val="es-ES_tradnl"/>
        </w:rPr>
        <w:t>del amparo.</w:t>
      </w:r>
    </w:p>
    <w:p w:rsidR="00CC52C2" w:rsidRPr="00AB5228" w:rsidRDefault="00CC52C2" w:rsidP="00CC52C2">
      <w:pPr>
        <w:spacing w:line="360" w:lineRule="auto"/>
        <w:jc w:val="both"/>
        <w:rPr>
          <w:rFonts w:ascii="Arial" w:hAnsi="Arial" w:cs="Arial"/>
          <w:lang w:val="es-ES_tradnl"/>
        </w:rPr>
      </w:pPr>
    </w:p>
    <w:p w:rsidR="00CC52C2" w:rsidRDefault="00CC52C2" w:rsidP="00CC52C2">
      <w:pPr>
        <w:widowControl/>
        <w:spacing w:line="360" w:lineRule="auto"/>
        <w:jc w:val="both"/>
        <w:rPr>
          <w:rFonts w:ascii="Arial" w:hAnsi="Arial" w:cs="Arial"/>
        </w:rPr>
      </w:pPr>
      <w:r>
        <w:rPr>
          <w:rFonts w:ascii="Arial" w:hAnsi="Arial" w:cs="Arial"/>
        </w:rPr>
        <w:t xml:space="preserve">El actor se duele porque el Juzgado accionado no </w:t>
      </w:r>
      <w:r w:rsidR="000A751E">
        <w:rPr>
          <w:rFonts w:ascii="Arial" w:hAnsi="Arial" w:cs="Arial"/>
        </w:rPr>
        <w:t xml:space="preserve">aplicó </w:t>
      </w:r>
      <w:r w:rsidR="00101C44">
        <w:rPr>
          <w:rFonts w:ascii="Arial" w:hAnsi="Arial" w:cs="Arial"/>
        </w:rPr>
        <w:t>los artículos 5º y 84 de la Ley 472</w:t>
      </w:r>
      <w:r w:rsidR="000A751E">
        <w:rPr>
          <w:rFonts w:ascii="Arial" w:hAnsi="Arial" w:cs="Arial"/>
        </w:rPr>
        <w:t xml:space="preserve"> y declaró terminada la acción popular No.2015-00729-00 por desistimiento tácito</w:t>
      </w:r>
      <w:r>
        <w:rPr>
          <w:rFonts w:ascii="Arial" w:hAnsi="Arial" w:cs="Arial"/>
        </w:rPr>
        <w:t>.</w:t>
      </w:r>
    </w:p>
    <w:p w:rsidR="00CC52C2" w:rsidRPr="00AB5228" w:rsidRDefault="00CC52C2" w:rsidP="00CC52C2">
      <w:pPr>
        <w:widowControl/>
        <w:spacing w:line="360" w:lineRule="auto"/>
        <w:jc w:val="both"/>
        <w:rPr>
          <w:rFonts w:ascii="Arial" w:hAnsi="Arial" w:cs="Arial"/>
        </w:rPr>
      </w:pPr>
    </w:p>
    <w:p w:rsidR="00CC52C2" w:rsidRDefault="00CC52C2" w:rsidP="00CC52C2">
      <w:pPr>
        <w:widowControl/>
        <w:spacing w:line="360" w:lineRule="auto"/>
        <w:jc w:val="both"/>
        <w:rPr>
          <w:rFonts w:ascii="Arial" w:hAnsi="Arial"/>
          <w:lang w:val="es-CO"/>
        </w:rPr>
      </w:pPr>
      <w:r>
        <w:rPr>
          <w:rFonts w:ascii="Arial" w:hAnsi="Arial" w:cs="Arial"/>
        </w:rPr>
        <w:lastRenderedPageBreak/>
        <w:t>C</w:t>
      </w:r>
      <w:r w:rsidRPr="003E0E8A">
        <w:rPr>
          <w:rFonts w:ascii="Arial" w:hAnsi="Arial" w:cs="Arial"/>
        </w:rPr>
        <w:t xml:space="preserve">onforme </w:t>
      </w:r>
      <w:r>
        <w:rPr>
          <w:rFonts w:ascii="Arial" w:hAnsi="Arial" w:cs="Arial"/>
        </w:rPr>
        <w:t xml:space="preserve"> </w:t>
      </w:r>
      <w:r w:rsidRPr="003E0E8A">
        <w:rPr>
          <w:rFonts w:ascii="Arial" w:hAnsi="Arial" w:cs="Arial"/>
        </w:rPr>
        <w:t xml:space="preserve">al </w:t>
      </w:r>
      <w:r>
        <w:rPr>
          <w:rFonts w:ascii="Arial" w:hAnsi="Arial" w:cs="Arial"/>
        </w:rPr>
        <w:t xml:space="preserve"> </w:t>
      </w:r>
      <w:r w:rsidRPr="003E0E8A">
        <w:rPr>
          <w:rFonts w:ascii="Arial" w:hAnsi="Arial" w:cs="Arial"/>
        </w:rPr>
        <w:t xml:space="preserve">acervo </w:t>
      </w:r>
      <w:r>
        <w:rPr>
          <w:rFonts w:ascii="Arial" w:hAnsi="Arial" w:cs="Arial"/>
        </w:rPr>
        <w:t xml:space="preserve"> </w:t>
      </w:r>
      <w:r w:rsidRPr="003E0E8A">
        <w:rPr>
          <w:rFonts w:ascii="Arial" w:hAnsi="Arial" w:cs="Arial"/>
        </w:rPr>
        <w:t xml:space="preserve">probatorio </w:t>
      </w:r>
      <w:r w:rsidR="00E3600C">
        <w:rPr>
          <w:rFonts w:ascii="Arial" w:hAnsi="Arial" w:cs="Arial"/>
        </w:rPr>
        <w:t xml:space="preserve">en despacho judicial accionado </w:t>
      </w:r>
      <w:r>
        <w:rPr>
          <w:rFonts w:ascii="Arial" w:hAnsi="Arial" w:cs="Arial"/>
        </w:rPr>
        <w:t xml:space="preserve">con auto del </w:t>
      </w:r>
      <w:r w:rsidR="000A751E">
        <w:rPr>
          <w:rFonts w:ascii="Arial" w:hAnsi="Arial" w:cs="Arial"/>
        </w:rPr>
        <w:t>24-01</w:t>
      </w:r>
      <w:r w:rsidR="00E3600C">
        <w:rPr>
          <w:rFonts w:ascii="Arial" w:hAnsi="Arial" w:cs="Arial"/>
        </w:rPr>
        <w:t xml:space="preserve">-2017 requirió a la parte actora para que en el término de 30 realizara la publicación del aviso a la comunidad (Folio 39, ib.), luego, y como quiera </w:t>
      </w:r>
      <w:r w:rsidR="000C1DAC">
        <w:rPr>
          <w:rFonts w:ascii="Arial" w:hAnsi="Arial" w:cs="Arial"/>
        </w:rPr>
        <w:t xml:space="preserve">que </w:t>
      </w:r>
      <w:r w:rsidR="00E3600C">
        <w:rPr>
          <w:rFonts w:ascii="Arial" w:hAnsi="Arial" w:cs="Arial"/>
        </w:rPr>
        <w:t>se dejó vencer el plazo sin cumplir con la carga impuesta, con decisión del 30-03-2017 se declaró el desistimiento tácito de la acción constitucional (Folio 40, ib.), notificada en el estado del 03-04-2017 y recurrida por el actor (Folio 40 vuelto, ib.)</w:t>
      </w:r>
      <w:r>
        <w:rPr>
          <w:rFonts w:ascii="Arial" w:hAnsi="Arial"/>
          <w:lang w:val="es-CO"/>
        </w:rPr>
        <w:t xml:space="preserve">.  </w:t>
      </w:r>
    </w:p>
    <w:p w:rsidR="00CC52C2" w:rsidRPr="00AB5228" w:rsidRDefault="00CC52C2" w:rsidP="00CC52C2">
      <w:pPr>
        <w:widowControl/>
        <w:spacing w:line="360" w:lineRule="auto"/>
        <w:jc w:val="both"/>
        <w:rPr>
          <w:rFonts w:ascii="Arial" w:hAnsi="Arial"/>
          <w:lang w:val="es-CO"/>
        </w:rPr>
      </w:pPr>
    </w:p>
    <w:p w:rsidR="00E3600C" w:rsidRPr="00A80FCC" w:rsidRDefault="00E3600C" w:rsidP="00E3600C">
      <w:pPr>
        <w:spacing w:line="360" w:lineRule="auto"/>
        <w:ind w:right="51"/>
        <w:jc w:val="both"/>
        <w:rPr>
          <w:rFonts w:ascii="Arial" w:hAnsi="Arial" w:cs="Arial"/>
        </w:rPr>
      </w:pPr>
      <w:r>
        <w:rPr>
          <w:rFonts w:ascii="Arial" w:hAnsi="Arial" w:cs="Arial"/>
        </w:rPr>
        <w:t xml:space="preserve">Así las cosas, hay que decir que a estas alturas de las diligencias el presente amparo constitucional se torna prematuro porque fue promovido el 03-04-2017, sin siquiera esperar las resultas del recurso formulado, </w:t>
      </w:r>
      <w:r w:rsidRPr="002543A3">
        <w:rPr>
          <w:rFonts w:ascii="Arial" w:hAnsi="Arial" w:cs="Arial"/>
        </w:rPr>
        <w:t xml:space="preserve">por manera que es evidente </w:t>
      </w:r>
      <w:r>
        <w:rPr>
          <w:rFonts w:ascii="Arial" w:hAnsi="Arial" w:cs="Arial"/>
        </w:rPr>
        <w:t xml:space="preserve">la </w:t>
      </w:r>
      <w:r w:rsidRPr="002543A3">
        <w:rPr>
          <w:rFonts w:ascii="Arial" w:hAnsi="Arial" w:cs="Arial"/>
        </w:rPr>
        <w:t xml:space="preserve">improcedencia </w:t>
      </w:r>
      <w:r>
        <w:rPr>
          <w:rFonts w:ascii="Arial" w:hAnsi="Arial" w:cs="Arial"/>
        </w:rPr>
        <w:t xml:space="preserve">del amparo </w:t>
      </w:r>
      <w:r w:rsidRPr="002543A3">
        <w:rPr>
          <w:rFonts w:ascii="Arial" w:hAnsi="Arial" w:cs="Arial"/>
        </w:rPr>
        <w:t xml:space="preserve">en razón a que el asunto en el que se alega </w:t>
      </w:r>
      <w:r>
        <w:rPr>
          <w:rFonts w:ascii="Arial" w:hAnsi="Arial" w:cs="Arial"/>
        </w:rPr>
        <w:t xml:space="preserve">la vulneración de los derechos fundamentales </w:t>
      </w:r>
      <w:r w:rsidRPr="002543A3">
        <w:rPr>
          <w:rFonts w:ascii="Arial" w:hAnsi="Arial" w:cs="Arial"/>
        </w:rPr>
        <w:t>aún está en curso</w:t>
      </w:r>
      <w:r w:rsidRPr="002543A3">
        <w:rPr>
          <w:rFonts w:ascii="Arial" w:hAnsi="Arial" w:cs="Arial"/>
          <w:lang w:val="es-CO"/>
        </w:rPr>
        <w:t>.</w:t>
      </w:r>
      <w:r w:rsidRPr="002543A3">
        <w:rPr>
          <w:rFonts w:ascii="Arial" w:hAnsi="Arial" w:cs="Arial"/>
        </w:rPr>
        <w:t xml:space="preserve"> Así lo ha dispuesto la jurisprudencia de la CC</w:t>
      </w:r>
      <w:r w:rsidRPr="002543A3">
        <w:rPr>
          <w:rStyle w:val="Appelnotedebasdep"/>
          <w:rFonts w:ascii="Arial" w:hAnsi="Arial"/>
        </w:rPr>
        <w:footnoteReference w:id="20"/>
      </w:r>
      <w:r w:rsidRPr="002543A3">
        <w:rPr>
          <w:rFonts w:ascii="Arial" w:hAnsi="Arial" w:cs="Arial"/>
        </w:rPr>
        <w:t>, criterio también expuesto por la CSJ</w:t>
      </w:r>
      <w:r w:rsidRPr="002543A3">
        <w:rPr>
          <w:rStyle w:val="Appelnotedebasdep"/>
          <w:rFonts w:ascii="Arial" w:hAnsi="Arial"/>
        </w:rPr>
        <w:footnoteReference w:id="21"/>
      </w:r>
      <w:r w:rsidRPr="002543A3">
        <w:rPr>
          <w:rFonts w:ascii="Arial" w:hAnsi="Arial" w:cs="Arial"/>
        </w:rPr>
        <w:t>.</w:t>
      </w:r>
    </w:p>
    <w:p w:rsidR="00E3600C" w:rsidRPr="004B7598" w:rsidRDefault="00E3600C" w:rsidP="00E3600C">
      <w:pPr>
        <w:spacing w:line="360" w:lineRule="auto"/>
        <w:jc w:val="both"/>
        <w:rPr>
          <w:rFonts w:ascii="Arial" w:hAnsi="Arial" w:cs="Arial"/>
          <w:sz w:val="20"/>
        </w:rPr>
      </w:pPr>
    </w:p>
    <w:p w:rsidR="00E3600C" w:rsidRDefault="00E3600C" w:rsidP="00E3600C">
      <w:pPr>
        <w:spacing w:line="360" w:lineRule="auto"/>
        <w:ind w:right="51"/>
        <w:jc w:val="both"/>
        <w:rPr>
          <w:rFonts w:ascii="Arial" w:hAnsi="Arial" w:cs="Arial"/>
        </w:rPr>
      </w:pPr>
      <w:r w:rsidRPr="00A80FCC">
        <w:rPr>
          <w:rFonts w:ascii="Arial" w:hAnsi="Arial" w:cs="Arial"/>
          <w:lang w:val="es-ES_tradnl"/>
        </w:rPr>
        <w:t xml:space="preserve">Evidente, entonces, es la falta de agotamiento del supuesto de subsidiariedad, como ha explicado </w:t>
      </w:r>
      <w:r w:rsidRPr="00A80FCC">
        <w:rPr>
          <w:rFonts w:ascii="Arial" w:hAnsi="Arial" w:cs="Arial"/>
        </w:rPr>
        <w:t xml:space="preserve">la </w:t>
      </w:r>
      <w:r>
        <w:rPr>
          <w:rFonts w:ascii="Arial" w:hAnsi="Arial" w:cs="Arial"/>
        </w:rPr>
        <w:t>CC</w:t>
      </w:r>
      <w:r w:rsidRPr="00A80FCC">
        <w:rPr>
          <w:rFonts w:ascii="Arial" w:hAnsi="Arial" w:cs="Arial"/>
        </w:rPr>
        <w:t xml:space="preserve">, que reiteradamente ha referido que la acción de tutela no puede implementarse como </w:t>
      </w:r>
      <w:r w:rsidRPr="00A80FCC">
        <w:rPr>
          <w:rFonts w:ascii="Arial" w:hAnsi="Arial" w:cs="Arial"/>
          <w:shd w:val="clear" w:color="auto" w:fill="FFFFFF"/>
        </w:rPr>
        <w:t>mecanismo alternativo o paralelo para resolver</w:t>
      </w:r>
      <w:r>
        <w:rPr>
          <w:rFonts w:ascii="Arial" w:hAnsi="Arial" w:cs="Arial"/>
          <w:shd w:val="clear" w:color="auto" w:fill="FFFFFF"/>
        </w:rPr>
        <w:t xml:space="preserve"> </w:t>
      </w:r>
      <w:r w:rsidRPr="00A80FCC">
        <w:rPr>
          <w:rFonts w:ascii="Arial" w:hAnsi="Arial" w:cs="Arial"/>
          <w:shd w:val="clear" w:color="auto" w:fill="FFFFFF"/>
        </w:rPr>
        <w:t>problemas jurídicos que deben ser resueltos al interior del trámite ordinario</w:t>
      </w:r>
      <w:r w:rsidRPr="00A80FCC">
        <w:rPr>
          <w:rStyle w:val="Appelnotedebasdep"/>
          <w:rFonts w:ascii="Arial" w:hAnsi="Arial" w:cs="Arial"/>
        </w:rPr>
        <w:footnoteReference w:id="22"/>
      </w:r>
      <w:r w:rsidRPr="00A80FCC">
        <w:rPr>
          <w:rFonts w:ascii="Arial" w:hAnsi="Arial" w:cs="Arial"/>
        </w:rPr>
        <w:t xml:space="preserve">. </w:t>
      </w:r>
    </w:p>
    <w:p w:rsidR="00E3600C" w:rsidRDefault="00E3600C" w:rsidP="00E3600C">
      <w:pPr>
        <w:spacing w:line="360" w:lineRule="auto"/>
        <w:ind w:right="51"/>
        <w:jc w:val="both"/>
        <w:rPr>
          <w:rFonts w:ascii="Arial" w:hAnsi="Arial" w:cs="Arial"/>
        </w:rPr>
      </w:pPr>
    </w:p>
    <w:p w:rsidR="00E3600C" w:rsidRDefault="00E3600C" w:rsidP="00E3600C">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Appelnotedebasdep"/>
          <w:rFonts w:ascii="Arial" w:hAnsi="Arial"/>
          <w:bCs/>
          <w:szCs w:val="22"/>
          <w:lang w:val="es-CO"/>
        </w:rPr>
        <w:footnoteReference w:id="23"/>
      </w:r>
      <w:r w:rsidRPr="008B43C6">
        <w:rPr>
          <w:rFonts w:ascii="Arial" w:hAnsi="Arial" w:cs="Arial"/>
          <w:bCs/>
          <w:szCs w:val="22"/>
          <w:lang w:val="es-CO"/>
        </w:rPr>
        <w:t xml:space="preserve"> de tal modo que amerite un análisis flexible del requisito de procedibilidad echado de menos</w:t>
      </w:r>
      <w:r>
        <w:rPr>
          <w:rFonts w:ascii="Arial" w:hAnsi="Arial"/>
        </w:rPr>
        <w:t>.</w:t>
      </w:r>
    </w:p>
    <w:p w:rsidR="00E3600C" w:rsidRPr="00D54497" w:rsidRDefault="00E3600C" w:rsidP="00E3600C">
      <w:pPr>
        <w:spacing w:line="360" w:lineRule="auto"/>
        <w:ind w:right="51"/>
        <w:jc w:val="both"/>
        <w:rPr>
          <w:rFonts w:ascii="Arial" w:hAnsi="Arial"/>
          <w:sz w:val="20"/>
        </w:rPr>
      </w:pPr>
    </w:p>
    <w:p w:rsidR="00E3600C" w:rsidRDefault="00E3600C" w:rsidP="00E3600C">
      <w:pPr>
        <w:spacing w:line="360" w:lineRule="auto"/>
        <w:ind w:right="51"/>
        <w:jc w:val="both"/>
        <w:rPr>
          <w:rFonts w:ascii="Arial" w:hAnsi="Arial"/>
        </w:rPr>
      </w:pPr>
      <w:r w:rsidRPr="0004784E">
        <w:rPr>
          <w:rFonts w:ascii="Arial" w:hAnsi="Arial" w:cs="Arial"/>
          <w:lang w:val="es-ES_tradnl"/>
        </w:rPr>
        <w:t xml:space="preserve">En ese contexto, </w:t>
      </w:r>
      <w:r>
        <w:rPr>
          <w:rFonts w:ascii="Arial" w:hAnsi="Arial" w:cs="Arial"/>
          <w:lang w:val="es-ES_tradnl"/>
        </w:rPr>
        <w:t xml:space="preserve">el presente amparo es improcedente </w:t>
      </w:r>
      <w:r w:rsidRPr="0004784E">
        <w:rPr>
          <w:rFonts w:ascii="Arial" w:hAnsi="Arial" w:cs="Arial"/>
          <w:lang w:val="es-ES_tradnl"/>
        </w:rPr>
        <w:t xml:space="preserve">toda vez que se incumple con uno de los siete (7) requisitos generales de procedibilidad, como lo es el de la subsidiariedad, </w:t>
      </w:r>
      <w:r>
        <w:rPr>
          <w:rFonts w:ascii="Arial" w:hAnsi="Arial" w:cs="Arial"/>
          <w:lang w:val="es-ES_tradnl"/>
        </w:rPr>
        <w:t xml:space="preserve">dado que, para la época en que fue promovido, </w:t>
      </w:r>
      <w:r>
        <w:rPr>
          <w:rFonts w:ascii="Arial" w:hAnsi="Arial" w:cs="Arial"/>
          <w:lang w:val="es-CO"/>
        </w:rPr>
        <w:t xml:space="preserve">aun se estaba tramitando </w:t>
      </w:r>
      <w:r>
        <w:rPr>
          <w:rFonts w:ascii="Arial" w:hAnsi="Arial" w:cs="Arial"/>
          <w:lang w:val="es-ES_tradnl"/>
        </w:rPr>
        <w:t>el asunto popular.</w:t>
      </w:r>
    </w:p>
    <w:p w:rsidR="00D358B2" w:rsidRDefault="00D358B2" w:rsidP="00BB24D1">
      <w:pPr>
        <w:spacing w:line="360" w:lineRule="auto"/>
        <w:ind w:right="51"/>
        <w:jc w:val="both"/>
        <w:rPr>
          <w:rFonts w:ascii="Arial" w:hAnsi="Arial"/>
        </w:rPr>
      </w:pPr>
    </w:p>
    <w:p w:rsidR="00D358B2" w:rsidRPr="00D358B2" w:rsidRDefault="00D358B2" w:rsidP="000A751E">
      <w:pPr>
        <w:pStyle w:val="Paragraphedeliste"/>
        <w:widowControl/>
        <w:numPr>
          <w:ilvl w:val="1"/>
          <w:numId w:val="11"/>
        </w:numPr>
        <w:spacing w:line="360" w:lineRule="auto"/>
        <w:jc w:val="both"/>
        <w:rPr>
          <w:rFonts w:ascii="Arial" w:hAnsi="Arial"/>
          <w:smallCaps/>
          <w:lang w:val="es-CO"/>
        </w:rPr>
      </w:pPr>
      <w:r w:rsidRPr="00D358B2">
        <w:rPr>
          <w:rFonts w:ascii="Arial" w:hAnsi="Arial"/>
          <w:smallCaps/>
        </w:rPr>
        <w:t>La mora judicial</w:t>
      </w:r>
    </w:p>
    <w:p w:rsidR="00D358B2" w:rsidRPr="00D358B2" w:rsidRDefault="00D358B2" w:rsidP="00D358B2">
      <w:pPr>
        <w:pStyle w:val="Paragraphedeliste"/>
        <w:widowControl/>
        <w:spacing w:line="360" w:lineRule="auto"/>
        <w:ind w:left="720"/>
        <w:jc w:val="both"/>
        <w:rPr>
          <w:rFonts w:ascii="Arial" w:hAnsi="Arial"/>
          <w:lang w:val="es-CO"/>
        </w:rPr>
      </w:pPr>
    </w:p>
    <w:p w:rsidR="00D358B2" w:rsidRPr="00D358B2" w:rsidRDefault="00D358B2" w:rsidP="00D358B2">
      <w:pPr>
        <w:widowControl/>
        <w:spacing w:line="360" w:lineRule="auto"/>
        <w:jc w:val="both"/>
        <w:rPr>
          <w:rFonts w:ascii="Arial" w:hAnsi="Arial"/>
          <w:lang w:val="es-CO"/>
        </w:rPr>
      </w:pPr>
      <w:r w:rsidRPr="00D358B2">
        <w:rPr>
          <w:rFonts w:ascii="Arial" w:hAnsi="Arial"/>
        </w:rPr>
        <w:t>En torno a la supuesta renuencia para impulsar oficiosamente el amparo popular con celeridad (Artículo 5</w:t>
      </w:r>
      <w:r w:rsidR="008E0AB5">
        <w:rPr>
          <w:rFonts w:ascii="Arial" w:hAnsi="Arial"/>
        </w:rPr>
        <w:t>º</w:t>
      </w:r>
      <w:r w:rsidRPr="00D358B2">
        <w:rPr>
          <w:rFonts w:ascii="Arial" w:hAnsi="Arial"/>
        </w:rPr>
        <w:t xml:space="preserve">, Ley 472), considera la Sala, conforme las premisas </w:t>
      </w:r>
      <w:r w:rsidRPr="00D358B2">
        <w:rPr>
          <w:rFonts w:ascii="Arial" w:hAnsi="Arial"/>
        </w:rPr>
        <w:lastRenderedPageBreak/>
        <w:t xml:space="preserve">jurisprudenciales referidas, que es inexistente la vulneración o amenaza del derecho fundamental al debido proceso por mora judicial, puesto que no se avizora conducta </w:t>
      </w:r>
      <w:proofErr w:type="spellStart"/>
      <w:r w:rsidRPr="00D358B2">
        <w:rPr>
          <w:rFonts w:ascii="Arial" w:hAnsi="Arial"/>
        </w:rPr>
        <w:t>omisiva</w:t>
      </w:r>
      <w:proofErr w:type="spellEnd"/>
      <w:r w:rsidRPr="00D358B2">
        <w:rPr>
          <w:rFonts w:ascii="Arial" w:hAnsi="Arial"/>
        </w:rPr>
        <w:t xml:space="preserve"> que comporte una tardanza injustificada en su trámite por parte del despacho judicial accionado</w:t>
      </w:r>
      <w:r w:rsidRPr="00D358B2">
        <w:rPr>
          <w:rFonts w:ascii="Arial" w:hAnsi="Arial"/>
          <w:lang w:val="es-CO"/>
        </w:rPr>
        <w:t>.</w:t>
      </w:r>
    </w:p>
    <w:p w:rsidR="00D358B2" w:rsidRPr="00AB5228" w:rsidRDefault="00D358B2" w:rsidP="00D358B2">
      <w:pPr>
        <w:widowControl/>
        <w:spacing w:line="360" w:lineRule="auto"/>
        <w:jc w:val="both"/>
        <w:rPr>
          <w:rFonts w:ascii="Arial" w:hAnsi="Arial"/>
          <w:lang w:val="es-CO"/>
        </w:rPr>
      </w:pPr>
    </w:p>
    <w:p w:rsidR="00D358B2" w:rsidRDefault="00D358B2" w:rsidP="00D358B2">
      <w:pPr>
        <w:widowControl/>
        <w:spacing w:line="360" w:lineRule="auto"/>
        <w:jc w:val="both"/>
        <w:rPr>
          <w:rFonts w:ascii="Arial" w:hAnsi="Arial"/>
          <w:lang w:val="es-CO"/>
        </w:rPr>
      </w:pPr>
      <w:r>
        <w:rPr>
          <w:rFonts w:ascii="Arial" w:hAnsi="Arial"/>
          <w:lang w:val="es-CO"/>
        </w:rPr>
        <w:t>De acuerdo con las copias arrimadas y la descripción del estado del asunto se observa que la acción popular ha sido tramitada con diligencia y celeridad. No obran peticiones pendientes de resolver e inexisten etapas procesales suspendidas, por el contrario se advierte la desidia del actor para atender la carga mínima procesal que se le impuso por el Juzgado accionado y que atañe a efectuar la publicación de que trata la Ley 472.</w:t>
      </w:r>
    </w:p>
    <w:p w:rsidR="00757F1A" w:rsidRDefault="00757F1A" w:rsidP="00D358B2">
      <w:pPr>
        <w:widowControl/>
        <w:spacing w:line="360" w:lineRule="auto"/>
        <w:jc w:val="both"/>
        <w:rPr>
          <w:rFonts w:ascii="Arial" w:hAnsi="Arial"/>
          <w:lang w:val="es-CO"/>
        </w:rPr>
      </w:pPr>
    </w:p>
    <w:p w:rsidR="00D358B2" w:rsidRDefault="00D358B2" w:rsidP="00D358B2">
      <w:pPr>
        <w:widowControl/>
        <w:spacing w:line="360" w:lineRule="auto"/>
        <w:jc w:val="both"/>
        <w:rPr>
          <w:rFonts w:ascii="Arial" w:hAnsi="Arial"/>
        </w:rPr>
      </w:pPr>
      <w:r>
        <w:rPr>
          <w:rFonts w:ascii="Arial" w:hAnsi="Arial"/>
          <w:lang w:val="es-CO"/>
        </w:rPr>
        <w:t>Los espacios de tiempo tomados por el despacho judicial para proferir sus decisiones no se advierten antojadizos ni desproporcionados. Todas las peticiones han sido resueltas oportunamente</w:t>
      </w:r>
      <w:r>
        <w:rPr>
          <w:rFonts w:ascii="Arial" w:hAnsi="Arial"/>
        </w:rPr>
        <w:t>; además, las solicitudes que presenta con el fin de exigir el impulso oficioso, sin siquiera asumir las cargas que le competen, a diferencia de lo expuesto en la tutela, entorpecen aún más el trámite del asunto.</w:t>
      </w:r>
    </w:p>
    <w:p w:rsidR="00DF2C95" w:rsidRPr="00757F1A" w:rsidRDefault="00DF2C95" w:rsidP="00BB24D1">
      <w:pPr>
        <w:spacing w:line="360" w:lineRule="auto"/>
        <w:ind w:right="51"/>
        <w:jc w:val="both"/>
        <w:rPr>
          <w:rFonts w:ascii="Arial" w:hAnsi="Arial"/>
          <w:sz w:val="22"/>
          <w:lang w:val="es-CO"/>
        </w:rPr>
      </w:pPr>
    </w:p>
    <w:p w:rsidR="00DF2C95" w:rsidRDefault="00DF2C95" w:rsidP="00962082">
      <w:pPr>
        <w:pStyle w:val="Sansinterligne"/>
        <w:spacing w:line="360" w:lineRule="auto"/>
        <w:rPr>
          <w:rFonts w:ascii="Arial" w:hAnsi="Arial" w:cs="Arial"/>
          <w:sz w:val="2"/>
        </w:rPr>
      </w:pPr>
    </w:p>
    <w:p w:rsidR="000703DD" w:rsidRPr="007D3EFE" w:rsidRDefault="000703DD" w:rsidP="00962082">
      <w:pPr>
        <w:pStyle w:val="Sansinterligne"/>
        <w:spacing w:line="360" w:lineRule="auto"/>
        <w:rPr>
          <w:rFonts w:ascii="Arial" w:hAnsi="Arial" w:cs="Arial"/>
          <w:sz w:val="2"/>
        </w:rPr>
      </w:pPr>
    </w:p>
    <w:p w:rsidR="00303747" w:rsidRDefault="00303747" w:rsidP="000A751E">
      <w:pPr>
        <w:pStyle w:val="Corpsdetexte"/>
        <w:numPr>
          <w:ilvl w:val="0"/>
          <w:numId w:val="11"/>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567" w:hanging="567"/>
        <w:textAlignment w:val="auto"/>
        <w:rPr>
          <w:rFonts w:ascii="Arial" w:hAnsi="Arial" w:cs="Arial"/>
          <w:sz w:val="28"/>
          <w:szCs w:val="28"/>
        </w:rPr>
      </w:pPr>
      <w:r w:rsidRPr="007D3EFE">
        <w:rPr>
          <w:rFonts w:ascii="Arial" w:hAnsi="Arial" w:cs="Arial"/>
          <w:smallCaps/>
          <w:sz w:val="28"/>
          <w:szCs w:val="28"/>
        </w:rPr>
        <w:t>Las conclusiones</w:t>
      </w:r>
      <w:r w:rsidRPr="007D3EFE">
        <w:rPr>
          <w:rFonts w:ascii="Arial" w:hAnsi="Arial" w:cs="Arial"/>
          <w:sz w:val="28"/>
          <w:szCs w:val="28"/>
        </w:rPr>
        <w:t xml:space="preserve"> </w:t>
      </w:r>
    </w:p>
    <w:p w:rsidR="000703DD" w:rsidRPr="00757F1A" w:rsidRDefault="000703DD" w:rsidP="000703DD">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567"/>
        <w:textAlignment w:val="auto"/>
        <w:rPr>
          <w:rFonts w:ascii="Arial" w:hAnsi="Arial" w:cs="Arial"/>
          <w:sz w:val="22"/>
          <w:szCs w:val="28"/>
        </w:rPr>
      </w:pPr>
    </w:p>
    <w:p w:rsidR="006715E2" w:rsidRDefault="00303747" w:rsidP="006715E2">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7D3EFE">
        <w:rPr>
          <w:rFonts w:ascii="Arial" w:hAnsi="Arial" w:cs="Arial"/>
        </w:rPr>
        <w:t>En armonía con las premisas expuestas</w:t>
      </w:r>
      <w:r w:rsidR="0050729D">
        <w:rPr>
          <w:rFonts w:ascii="Arial" w:hAnsi="Arial" w:cs="Arial"/>
        </w:rPr>
        <w:t xml:space="preserve"> </w:t>
      </w:r>
      <w:r w:rsidR="00DF2C95">
        <w:rPr>
          <w:rFonts w:ascii="Arial" w:hAnsi="Arial" w:cs="Arial"/>
        </w:rPr>
        <w:t xml:space="preserve">se </w:t>
      </w:r>
      <w:r w:rsidRPr="007D3EFE">
        <w:rPr>
          <w:rFonts w:ascii="Arial" w:hAnsi="Arial" w:cs="Arial"/>
        </w:rPr>
        <w:t>declarará improcedente la acci</w:t>
      </w:r>
      <w:r w:rsidR="009C4613" w:rsidRPr="007D3EFE">
        <w:rPr>
          <w:rFonts w:ascii="Arial" w:hAnsi="Arial" w:cs="Arial"/>
        </w:rPr>
        <w:t>ón</w:t>
      </w:r>
      <w:r w:rsidRPr="007D3EFE">
        <w:rPr>
          <w:rFonts w:ascii="Arial" w:hAnsi="Arial" w:cs="Arial"/>
        </w:rPr>
        <w:t xml:space="preserve"> constitucional </w:t>
      </w:r>
      <w:r w:rsidR="002F3F47">
        <w:rPr>
          <w:rFonts w:ascii="Arial" w:hAnsi="Arial" w:cs="Arial"/>
        </w:rPr>
        <w:t xml:space="preserve">frente al Juzgado Tercero Civil del Circuito de Pereira </w:t>
      </w:r>
      <w:r w:rsidR="0077283E" w:rsidRPr="007D3EFE">
        <w:rPr>
          <w:rFonts w:ascii="Arial" w:hAnsi="Arial" w:cs="Arial"/>
        </w:rPr>
        <w:t xml:space="preserve">porque se </w:t>
      </w:r>
      <w:r w:rsidRPr="007D3EFE">
        <w:rPr>
          <w:rFonts w:ascii="Arial" w:hAnsi="Arial" w:cs="Arial"/>
        </w:rPr>
        <w:t xml:space="preserve">incumplió el presupuesto de </w:t>
      </w:r>
      <w:r w:rsidR="0077283E" w:rsidRPr="007D3EFE">
        <w:rPr>
          <w:rFonts w:ascii="Arial" w:hAnsi="Arial" w:cs="Arial"/>
        </w:rPr>
        <w:t xml:space="preserve">la </w:t>
      </w:r>
      <w:r w:rsidR="00D65216" w:rsidRPr="007D3EFE">
        <w:rPr>
          <w:rFonts w:ascii="Arial" w:hAnsi="Arial" w:cs="Arial"/>
        </w:rPr>
        <w:t>subsidiariedad</w:t>
      </w:r>
      <w:r w:rsidR="002F3F47">
        <w:rPr>
          <w:rFonts w:ascii="Arial" w:hAnsi="Arial" w:cs="Arial"/>
        </w:rPr>
        <w:t xml:space="preserve">, también, contra </w:t>
      </w:r>
      <w:r w:rsidR="006715E2">
        <w:rPr>
          <w:rFonts w:ascii="Arial" w:hAnsi="Arial" w:cs="Arial"/>
        </w:rPr>
        <w:t xml:space="preserve">la Procuraduría General de la Nación, Regional </w:t>
      </w:r>
      <w:r w:rsidR="00B47C81">
        <w:rPr>
          <w:rFonts w:ascii="Arial" w:hAnsi="Arial" w:cs="Arial"/>
        </w:rPr>
        <w:t>Risaralda</w:t>
      </w:r>
      <w:r w:rsidR="002F3F47">
        <w:rPr>
          <w:rFonts w:ascii="Arial" w:hAnsi="Arial" w:cs="Arial"/>
        </w:rPr>
        <w:t>, por carecer de legitimación por pasiva</w:t>
      </w:r>
      <w:r w:rsidR="006715E2">
        <w:rPr>
          <w:rFonts w:ascii="Arial" w:hAnsi="Arial" w:cs="Arial"/>
        </w:rPr>
        <w:t>.</w:t>
      </w:r>
    </w:p>
    <w:p w:rsidR="00303747" w:rsidRPr="007D3EFE" w:rsidRDefault="00303747" w:rsidP="00962082">
      <w:pPr>
        <w:pStyle w:val="Sansinterligne"/>
        <w:spacing w:line="360" w:lineRule="auto"/>
        <w:rPr>
          <w:rFonts w:ascii="Arial" w:hAnsi="Arial" w:cs="Arial"/>
          <w:sz w:val="2"/>
        </w:rPr>
      </w:pPr>
    </w:p>
    <w:p w:rsidR="002A30C4" w:rsidRPr="003009A9" w:rsidRDefault="002A30C4" w:rsidP="00962082">
      <w:pPr>
        <w:tabs>
          <w:tab w:val="left" w:pos="-720"/>
        </w:tabs>
        <w:suppressAutoHyphens/>
        <w:spacing w:line="360" w:lineRule="auto"/>
        <w:jc w:val="both"/>
        <w:rPr>
          <w:rFonts w:ascii="Arial" w:hAnsi="Arial" w:cs="Arial"/>
          <w:lang w:val="es-CO"/>
        </w:rPr>
      </w:pPr>
    </w:p>
    <w:p w:rsidR="00303747" w:rsidRPr="007D3EFE" w:rsidRDefault="00303747" w:rsidP="00962082">
      <w:pPr>
        <w:tabs>
          <w:tab w:val="left" w:pos="-720"/>
        </w:tabs>
        <w:suppressAutoHyphens/>
        <w:spacing w:line="360" w:lineRule="auto"/>
        <w:jc w:val="both"/>
        <w:rPr>
          <w:rFonts w:ascii="Arial" w:hAnsi="Arial" w:cs="Arial"/>
        </w:rPr>
      </w:pPr>
      <w:r w:rsidRPr="007D3EFE">
        <w:rPr>
          <w:rFonts w:ascii="Arial" w:hAnsi="Arial" w:cs="Arial"/>
        </w:rPr>
        <w:t xml:space="preserve">En </w:t>
      </w:r>
      <w:r w:rsidRPr="00654381">
        <w:rPr>
          <w:rFonts w:ascii="Arial" w:hAnsi="Arial" w:cs="Arial"/>
        </w:rPr>
        <w:t>mérito</w:t>
      </w:r>
      <w:r w:rsidRPr="007D3EFE">
        <w:rPr>
          <w:rFonts w:ascii="Arial" w:hAnsi="Arial" w:cs="Arial"/>
        </w:rPr>
        <w:t xml:space="preserve"> de lo expuesto, el </w:t>
      </w:r>
      <w:r w:rsidRPr="007D3EFE">
        <w:rPr>
          <w:rFonts w:ascii="Arial" w:hAnsi="Arial" w:cs="Arial"/>
          <w:bCs/>
          <w:smallCaps/>
        </w:rPr>
        <w:t>Tribunal Superior del Distrito Judicial de Pereira, Sala de Decisión Civil -Familia</w:t>
      </w:r>
      <w:r w:rsidRPr="007D3EFE">
        <w:rPr>
          <w:rFonts w:ascii="Arial" w:hAnsi="Arial" w:cs="Arial"/>
        </w:rPr>
        <w:t>, administrando Justicia, en nombre de la República y por autoridad de la Ley,</w:t>
      </w:r>
    </w:p>
    <w:p w:rsidR="00D64C4B" w:rsidRPr="007D3EFE" w:rsidRDefault="00D64C4B" w:rsidP="00962082">
      <w:pPr>
        <w:pStyle w:val="Corpsdetexte"/>
        <w:spacing w:line="360" w:lineRule="auto"/>
        <w:jc w:val="center"/>
        <w:rPr>
          <w:rFonts w:ascii="Arial" w:hAnsi="Arial" w:cs="Arial"/>
          <w:bCs/>
          <w:smallCaps/>
          <w:sz w:val="2"/>
          <w:szCs w:val="24"/>
        </w:rPr>
      </w:pPr>
    </w:p>
    <w:p w:rsidR="00303747" w:rsidRDefault="00303747" w:rsidP="00962082">
      <w:pPr>
        <w:pStyle w:val="Corpsdetexte"/>
        <w:spacing w:line="360" w:lineRule="auto"/>
        <w:jc w:val="center"/>
        <w:rPr>
          <w:rFonts w:ascii="Arial" w:hAnsi="Arial" w:cs="Arial"/>
          <w:bCs/>
          <w:smallCaps/>
          <w:szCs w:val="24"/>
        </w:rPr>
      </w:pPr>
      <w:r w:rsidRPr="007D3EFE">
        <w:rPr>
          <w:rFonts w:ascii="Arial" w:hAnsi="Arial" w:cs="Arial"/>
          <w:bCs/>
          <w:smallCaps/>
          <w:szCs w:val="24"/>
        </w:rPr>
        <w:t xml:space="preserve">F A L </w:t>
      </w:r>
      <w:proofErr w:type="spellStart"/>
      <w:r w:rsidRPr="007D3EFE">
        <w:rPr>
          <w:rFonts w:ascii="Arial" w:hAnsi="Arial" w:cs="Arial"/>
          <w:bCs/>
          <w:smallCaps/>
          <w:szCs w:val="24"/>
        </w:rPr>
        <w:t>L</w:t>
      </w:r>
      <w:proofErr w:type="spellEnd"/>
      <w:r w:rsidRPr="007D3EFE">
        <w:rPr>
          <w:rFonts w:ascii="Arial" w:hAnsi="Arial" w:cs="Arial"/>
          <w:bCs/>
          <w:smallCaps/>
          <w:szCs w:val="24"/>
        </w:rPr>
        <w:t xml:space="preserve"> A,</w:t>
      </w:r>
    </w:p>
    <w:p w:rsidR="003009A9" w:rsidRPr="007D3EFE" w:rsidRDefault="003009A9" w:rsidP="00962082">
      <w:pPr>
        <w:pStyle w:val="Corpsdetexte"/>
        <w:spacing w:line="360" w:lineRule="auto"/>
        <w:jc w:val="center"/>
        <w:rPr>
          <w:rFonts w:ascii="Arial" w:hAnsi="Arial" w:cs="Arial"/>
          <w:bCs/>
          <w:smallCaps/>
          <w:szCs w:val="24"/>
        </w:rPr>
      </w:pPr>
    </w:p>
    <w:p w:rsidR="002D09F9" w:rsidRDefault="00D65216" w:rsidP="002D09F9">
      <w:pPr>
        <w:pStyle w:val="Paragraphedeliste"/>
        <w:numPr>
          <w:ilvl w:val="0"/>
          <w:numId w:val="6"/>
        </w:numPr>
        <w:tabs>
          <w:tab w:val="clear" w:pos="786"/>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426" w:hanging="426"/>
        <w:jc w:val="both"/>
        <w:rPr>
          <w:rFonts w:ascii="Arial" w:hAnsi="Arial" w:cs="Arial"/>
        </w:rPr>
      </w:pPr>
      <w:r w:rsidRPr="006E048E">
        <w:rPr>
          <w:rFonts w:ascii="Arial" w:hAnsi="Arial" w:cs="Arial"/>
        </w:rPr>
        <w:t xml:space="preserve">DECLARAR improcedente la tutela propuesta por el señor Javier Elías Arias </w:t>
      </w:r>
      <w:proofErr w:type="spellStart"/>
      <w:r w:rsidRPr="006E048E">
        <w:rPr>
          <w:rFonts w:ascii="Arial" w:hAnsi="Arial" w:cs="Arial"/>
        </w:rPr>
        <w:t>Idárraga</w:t>
      </w:r>
      <w:proofErr w:type="spellEnd"/>
      <w:r w:rsidRPr="006E048E">
        <w:rPr>
          <w:rFonts w:ascii="Arial" w:hAnsi="Arial" w:cs="Arial"/>
        </w:rPr>
        <w:t xml:space="preserve"> contra el Juzgado </w:t>
      </w:r>
      <w:r w:rsidR="002F3F47">
        <w:rPr>
          <w:rFonts w:ascii="Arial" w:hAnsi="Arial" w:cs="Arial"/>
        </w:rPr>
        <w:t xml:space="preserve">Tercero Civil del </w:t>
      </w:r>
      <w:r w:rsidR="00B47C81">
        <w:rPr>
          <w:rFonts w:ascii="Arial" w:hAnsi="Arial" w:cs="Arial"/>
        </w:rPr>
        <w:t xml:space="preserve">Circuito </w:t>
      </w:r>
      <w:r w:rsidR="002F3F47">
        <w:rPr>
          <w:rFonts w:ascii="Arial" w:hAnsi="Arial" w:cs="Arial"/>
        </w:rPr>
        <w:t xml:space="preserve">de Pereira </w:t>
      </w:r>
      <w:r w:rsidR="008E0AB5">
        <w:rPr>
          <w:rFonts w:ascii="Arial" w:hAnsi="Arial" w:cs="Arial"/>
        </w:rPr>
        <w:t>y la Procuraduría General de la Nación, Regional Risaralda.</w:t>
      </w:r>
    </w:p>
    <w:p w:rsidR="003009A9" w:rsidRDefault="003009A9" w:rsidP="003009A9">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426"/>
        <w:jc w:val="both"/>
        <w:rPr>
          <w:rFonts w:ascii="Arial" w:hAnsi="Arial" w:cs="Arial"/>
        </w:rPr>
      </w:pPr>
    </w:p>
    <w:p w:rsidR="00D65216" w:rsidRDefault="00D65216" w:rsidP="00AB5228">
      <w:pPr>
        <w:pStyle w:val="Paragraphedeliste"/>
        <w:widowControl/>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cs="Arial"/>
          <w:spacing w:val="-3"/>
          <w:lang w:val="es-ES_tradnl"/>
        </w:rPr>
      </w:pPr>
      <w:r w:rsidRPr="007D3EFE">
        <w:rPr>
          <w:rFonts w:ascii="Arial" w:hAnsi="Arial" w:cs="Arial"/>
          <w:spacing w:val="-3"/>
          <w:lang w:val="es-ES_tradnl"/>
        </w:rPr>
        <w:t>NOTIFICAR esta decisión a todas las partes, por el medio más expedito y eficaz.</w:t>
      </w:r>
    </w:p>
    <w:p w:rsidR="003009A9" w:rsidRPr="003009A9" w:rsidRDefault="003009A9" w:rsidP="00AB5228">
      <w:pPr>
        <w:pStyle w:val="Paragraphedeliste"/>
        <w:spacing w:line="360" w:lineRule="auto"/>
        <w:rPr>
          <w:rFonts w:ascii="Arial" w:hAnsi="Arial" w:cs="Arial"/>
          <w:spacing w:val="-3"/>
          <w:lang w:val="es-ES_tradnl"/>
        </w:rPr>
      </w:pPr>
    </w:p>
    <w:p w:rsidR="00654381" w:rsidRDefault="00D65216" w:rsidP="00AB5228">
      <w:pPr>
        <w:pStyle w:val="Paragraphedeliste"/>
        <w:widowControl/>
        <w:numPr>
          <w:ilvl w:val="0"/>
          <w:numId w:val="6"/>
        </w:numPr>
        <w:tabs>
          <w:tab w:val="clear" w:pos="786"/>
        </w:tabs>
        <w:suppressAutoHyphens/>
        <w:overflowPunct w:val="0"/>
        <w:autoSpaceDE/>
        <w:autoSpaceDN/>
        <w:adjustRightInd/>
        <w:spacing w:line="360" w:lineRule="auto"/>
        <w:ind w:left="426" w:hanging="426"/>
        <w:contextualSpacing/>
        <w:jc w:val="both"/>
        <w:textAlignment w:val="baseline"/>
        <w:rPr>
          <w:rFonts w:ascii="Arial" w:hAnsi="Arial" w:cs="Arial"/>
          <w:spacing w:val="-3"/>
          <w:lang w:val="es-ES_tradnl"/>
        </w:rPr>
      </w:pPr>
      <w:r w:rsidRPr="007D3EFE">
        <w:rPr>
          <w:rFonts w:ascii="Arial" w:hAnsi="Arial" w:cs="Arial"/>
          <w:spacing w:val="-3"/>
          <w:lang w:val="es-ES_tradnl"/>
        </w:rPr>
        <w:t xml:space="preserve">REMITIR este expediente, a la Corte Constitucional para su eventual revisión, </w:t>
      </w:r>
      <w:r w:rsidRPr="007D3EFE">
        <w:rPr>
          <w:rFonts w:ascii="Arial" w:hAnsi="Arial" w:cs="Arial"/>
        </w:rPr>
        <w:t>de no ser impugnada</w:t>
      </w:r>
      <w:r w:rsidRPr="007D3EFE">
        <w:rPr>
          <w:rFonts w:ascii="Arial" w:hAnsi="Arial" w:cs="Arial"/>
          <w:spacing w:val="-3"/>
          <w:lang w:val="es-ES_tradnl"/>
        </w:rPr>
        <w:t>.</w:t>
      </w:r>
    </w:p>
    <w:p w:rsidR="00AB5228" w:rsidRPr="00AB5228" w:rsidRDefault="00AB5228" w:rsidP="00AB5228">
      <w:pPr>
        <w:pStyle w:val="Paragraphedeliste"/>
        <w:rPr>
          <w:rFonts w:ascii="Arial" w:hAnsi="Arial" w:cs="Arial"/>
          <w:spacing w:val="-3"/>
          <w:lang w:val="es-ES_tradnl"/>
        </w:rPr>
      </w:pPr>
    </w:p>
    <w:p w:rsidR="00D65216" w:rsidRDefault="00D65216" w:rsidP="00AB5228">
      <w:pPr>
        <w:pStyle w:val="Paragraphedeliste"/>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7D3EFE">
        <w:rPr>
          <w:rFonts w:ascii="Arial" w:hAnsi="Arial" w:cs="Arial"/>
        </w:rPr>
        <w:lastRenderedPageBreak/>
        <w:t>ORDENAR el archivo del expediente, surtidos los trámites anteriores.</w:t>
      </w:r>
    </w:p>
    <w:p w:rsidR="00D65216" w:rsidRPr="003009A9" w:rsidRDefault="00D65216" w:rsidP="00AB5228">
      <w:pPr>
        <w:pStyle w:val="Corpsdetexte"/>
        <w:spacing w:line="360" w:lineRule="auto"/>
        <w:rPr>
          <w:rFonts w:ascii="Arial" w:hAnsi="Arial" w:cs="Arial"/>
          <w:smallCaps/>
          <w:szCs w:val="24"/>
          <w:lang w:val="es-ES"/>
        </w:rPr>
      </w:pPr>
    </w:p>
    <w:p w:rsidR="00D65216" w:rsidRDefault="00D65216" w:rsidP="00962082">
      <w:pPr>
        <w:pStyle w:val="Corpsdetexte"/>
        <w:spacing w:line="360" w:lineRule="auto"/>
        <w:jc w:val="center"/>
        <w:rPr>
          <w:rFonts w:ascii="Arial" w:hAnsi="Arial" w:cs="Arial"/>
          <w:smallCaps/>
          <w:sz w:val="28"/>
          <w:szCs w:val="24"/>
          <w:lang w:val="en-US"/>
        </w:rPr>
      </w:pPr>
      <w:proofErr w:type="spellStart"/>
      <w:r w:rsidRPr="006715E2">
        <w:rPr>
          <w:rFonts w:ascii="Arial" w:hAnsi="Arial" w:cs="Arial"/>
          <w:smallCaps/>
          <w:sz w:val="28"/>
          <w:szCs w:val="24"/>
          <w:lang w:val="en-US"/>
        </w:rPr>
        <w:t>Notifíquese</w:t>
      </w:r>
      <w:proofErr w:type="spellEnd"/>
      <w:r w:rsidRPr="006715E2">
        <w:rPr>
          <w:rFonts w:ascii="Arial" w:hAnsi="Arial" w:cs="Arial"/>
          <w:smallCaps/>
          <w:sz w:val="28"/>
          <w:szCs w:val="24"/>
          <w:lang w:val="en-US"/>
        </w:rPr>
        <w:t>,</w:t>
      </w:r>
    </w:p>
    <w:p w:rsidR="003009A9" w:rsidRDefault="003009A9" w:rsidP="003009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lang w:val="en-US"/>
        </w:rPr>
      </w:pPr>
    </w:p>
    <w:p w:rsidR="003009A9" w:rsidRPr="003009A9" w:rsidRDefault="003009A9" w:rsidP="003009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lang w:val="en-US"/>
        </w:rPr>
      </w:pPr>
    </w:p>
    <w:p w:rsidR="00D65216" w:rsidRPr="007D3EFE" w:rsidRDefault="00D65216" w:rsidP="00757F1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4"/>
          <w:szCs w:val="18"/>
          <w:lang w:val="en-US"/>
        </w:rPr>
      </w:pPr>
      <w:r w:rsidRPr="007D3EFE">
        <w:rPr>
          <w:rFonts w:ascii="Arial" w:hAnsi="Arial" w:cs="Arial"/>
          <w:i/>
          <w:spacing w:val="-3"/>
          <w:w w:val="150"/>
          <w:sz w:val="28"/>
          <w:lang w:val="en-US"/>
        </w:rPr>
        <w:t>D</w:t>
      </w:r>
      <w:r w:rsidRPr="007D3EFE">
        <w:rPr>
          <w:rFonts w:ascii="Arial" w:hAnsi="Arial" w:cs="Arial"/>
          <w:i/>
          <w:spacing w:val="-3"/>
          <w:w w:val="150"/>
          <w:sz w:val="18"/>
          <w:szCs w:val="16"/>
          <w:lang w:val="en-US"/>
        </w:rPr>
        <w:t xml:space="preserve">UBERNEY </w:t>
      </w:r>
      <w:r w:rsidRPr="007D3EFE">
        <w:rPr>
          <w:rFonts w:ascii="Arial" w:hAnsi="Arial" w:cs="Arial"/>
          <w:i/>
          <w:spacing w:val="-3"/>
          <w:w w:val="150"/>
          <w:sz w:val="28"/>
          <w:lang w:val="en-US"/>
        </w:rPr>
        <w:t>G</w:t>
      </w:r>
      <w:r w:rsidRPr="007D3EFE">
        <w:rPr>
          <w:rFonts w:ascii="Arial" w:hAnsi="Arial" w:cs="Arial"/>
          <w:i/>
          <w:spacing w:val="-3"/>
          <w:w w:val="150"/>
          <w:sz w:val="18"/>
          <w:szCs w:val="16"/>
          <w:lang w:val="en-US"/>
        </w:rPr>
        <w:t xml:space="preserve">RISALES </w:t>
      </w:r>
      <w:r w:rsidRPr="007D3EFE">
        <w:rPr>
          <w:rFonts w:ascii="Arial" w:hAnsi="Arial" w:cs="Arial"/>
          <w:i/>
          <w:spacing w:val="-3"/>
          <w:w w:val="150"/>
          <w:sz w:val="28"/>
          <w:lang w:val="en-US"/>
        </w:rPr>
        <w:t>H</w:t>
      </w:r>
      <w:r w:rsidRPr="007D3EFE">
        <w:rPr>
          <w:rFonts w:ascii="Arial" w:hAnsi="Arial" w:cs="Arial"/>
          <w:i/>
          <w:spacing w:val="-3"/>
          <w:w w:val="150"/>
          <w:sz w:val="18"/>
          <w:szCs w:val="16"/>
          <w:lang w:val="en-US"/>
        </w:rPr>
        <w:t>ERRERA</w:t>
      </w:r>
    </w:p>
    <w:p w:rsidR="00654381" w:rsidRDefault="00D65216" w:rsidP="00757F1A">
      <w:pPr>
        <w:pStyle w:val="Sansinterligne"/>
        <w:spacing w:line="360" w:lineRule="auto"/>
        <w:rPr>
          <w:rFonts w:ascii="Arial" w:hAnsi="Arial" w:cs="Arial"/>
          <w:i/>
          <w:spacing w:val="-3"/>
          <w:w w:val="150"/>
          <w:sz w:val="18"/>
          <w:lang w:val="en-US"/>
        </w:rPr>
      </w:pPr>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r w:rsidRPr="007D3EFE">
        <w:rPr>
          <w:rFonts w:ascii="Arial" w:hAnsi="Arial" w:cs="Arial"/>
          <w:i/>
          <w:spacing w:val="-3"/>
          <w:w w:val="150"/>
          <w:sz w:val="28"/>
          <w:lang w:val="en-US"/>
        </w:rPr>
        <w:t>M</w:t>
      </w:r>
      <w:r w:rsidRPr="007D3EFE">
        <w:rPr>
          <w:rFonts w:ascii="Arial" w:hAnsi="Arial" w:cs="Arial"/>
          <w:i/>
          <w:spacing w:val="-3"/>
          <w:w w:val="150"/>
          <w:lang w:val="en-US"/>
        </w:rPr>
        <w:t xml:space="preserve"> </w:t>
      </w:r>
      <w:r w:rsidRPr="007D3EFE">
        <w:rPr>
          <w:rFonts w:ascii="Arial" w:hAnsi="Arial" w:cs="Arial"/>
          <w:i/>
          <w:spacing w:val="-3"/>
          <w:w w:val="150"/>
          <w:sz w:val="18"/>
          <w:lang w:val="en-US"/>
        </w:rPr>
        <w:t>A G I S T R A D O</w:t>
      </w:r>
    </w:p>
    <w:p w:rsidR="003009A9" w:rsidRPr="00757F1A" w:rsidRDefault="003009A9" w:rsidP="003009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lang w:val="en-US"/>
        </w:rPr>
      </w:pPr>
    </w:p>
    <w:p w:rsidR="003009A9" w:rsidRPr="003009A9" w:rsidRDefault="003009A9" w:rsidP="003009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lang w:val="en-US"/>
        </w:rPr>
      </w:pPr>
    </w:p>
    <w:p w:rsidR="003009A9" w:rsidRPr="00CC61DD" w:rsidRDefault="003009A9" w:rsidP="003009A9">
      <w:pPr>
        <w:pStyle w:val="Sansinterligne"/>
        <w:rPr>
          <w:rFonts w:ascii="Arial" w:hAnsi="Arial" w:cs="Arial"/>
          <w:spacing w:val="-3"/>
          <w:w w:val="150"/>
          <w:sz w:val="2"/>
          <w:lang w:val="en-GB"/>
        </w:rPr>
      </w:pPr>
    </w:p>
    <w:p w:rsidR="00365C8E" w:rsidRPr="0050729D" w:rsidRDefault="00365C8E" w:rsidP="008E0AB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textAlignment w:val="baseline"/>
        <w:rPr>
          <w:rFonts w:ascii="Arial" w:hAnsi="Arial" w:cs="Arial"/>
          <w:i/>
          <w:w w:val="150"/>
          <w:sz w:val="2"/>
          <w:szCs w:val="18"/>
          <w:lang w:val="en-US"/>
        </w:rPr>
      </w:pPr>
    </w:p>
    <w:p w:rsidR="00D65216" w:rsidRPr="007D3EFE" w:rsidRDefault="00D65216" w:rsidP="00757F1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20"/>
          <w:lang w:val="en-US"/>
        </w:rPr>
      </w:pPr>
      <w:r w:rsidRPr="007D3EFE">
        <w:rPr>
          <w:rFonts w:ascii="Arial" w:hAnsi="Arial" w:cs="Arial"/>
          <w:i/>
          <w:w w:val="150"/>
          <w:sz w:val="28"/>
          <w:szCs w:val="18"/>
          <w:lang w:val="en-US"/>
        </w:rPr>
        <w:t>E</w:t>
      </w:r>
      <w:r w:rsidRPr="007D3EFE">
        <w:rPr>
          <w:rFonts w:ascii="Arial" w:hAnsi="Arial" w:cs="Arial"/>
          <w:i/>
          <w:w w:val="150"/>
          <w:sz w:val="18"/>
          <w:szCs w:val="18"/>
          <w:lang w:val="en-US"/>
        </w:rPr>
        <w:t>DDER</w:t>
      </w:r>
      <w:r w:rsidRPr="007D3EFE">
        <w:rPr>
          <w:rFonts w:ascii="Arial" w:hAnsi="Arial" w:cs="Arial"/>
          <w:i/>
          <w:w w:val="150"/>
          <w:sz w:val="18"/>
          <w:lang w:val="en-US"/>
        </w:rPr>
        <w:t xml:space="preserve"> </w:t>
      </w:r>
      <w:r w:rsidRPr="007D3EFE">
        <w:rPr>
          <w:rFonts w:ascii="Arial" w:hAnsi="Arial" w:cs="Arial"/>
          <w:i/>
          <w:w w:val="150"/>
          <w:sz w:val="28"/>
          <w:lang w:val="en-US"/>
        </w:rPr>
        <w:t>J</w:t>
      </w:r>
      <w:r w:rsidRPr="007D3EFE">
        <w:rPr>
          <w:rFonts w:ascii="Arial" w:hAnsi="Arial" w:cs="Arial"/>
          <w:i/>
          <w:w w:val="150"/>
          <w:sz w:val="18"/>
          <w:szCs w:val="18"/>
          <w:lang w:val="en-US"/>
        </w:rPr>
        <w:t xml:space="preserve">IMMY </w:t>
      </w:r>
      <w:r w:rsidRPr="007D3EFE">
        <w:rPr>
          <w:rFonts w:ascii="Arial" w:hAnsi="Arial" w:cs="Arial"/>
          <w:i/>
          <w:w w:val="150"/>
          <w:sz w:val="28"/>
          <w:lang w:val="en-US"/>
        </w:rPr>
        <w:t>S</w:t>
      </w:r>
      <w:r w:rsidRPr="007D3EFE">
        <w:rPr>
          <w:rFonts w:ascii="Arial" w:hAnsi="Arial" w:cs="Arial"/>
          <w:i/>
          <w:w w:val="150"/>
          <w:sz w:val="18"/>
          <w:szCs w:val="18"/>
          <w:lang w:val="en-US"/>
        </w:rPr>
        <w:t xml:space="preserve">ÁNCHEZ </w:t>
      </w:r>
      <w:r w:rsidRPr="007D3EFE">
        <w:rPr>
          <w:rFonts w:ascii="Arial" w:hAnsi="Arial" w:cs="Arial"/>
          <w:i/>
          <w:w w:val="150"/>
          <w:sz w:val="28"/>
          <w:szCs w:val="18"/>
          <w:lang w:val="en-US"/>
        </w:rPr>
        <w:t>C.</w:t>
      </w:r>
      <w:r w:rsidRPr="007D3EFE">
        <w:rPr>
          <w:rFonts w:ascii="Arial" w:hAnsi="Arial" w:cs="Arial"/>
          <w:i/>
          <w:w w:val="150"/>
          <w:sz w:val="28"/>
          <w:szCs w:val="18"/>
          <w:lang w:val="en-US"/>
        </w:rPr>
        <w:tab/>
      </w:r>
      <w:r w:rsidRPr="007D3EFE">
        <w:rPr>
          <w:rFonts w:ascii="Arial" w:hAnsi="Arial" w:cs="Arial"/>
          <w:i/>
          <w:w w:val="150"/>
          <w:sz w:val="28"/>
          <w:szCs w:val="18"/>
          <w:lang w:val="en-US"/>
        </w:rPr>
        <w:tab/>
      </w:r>
      <w:r w:rsidRPr="007D3EFE">
        <w:rPr>
          <w:rFonts w:ascii="Arial" w:hAnsi="Arial" w:cs="Arial"/>
          <w:i/>
          <w:spacing w:val="-3"/>
          <w:w w:val="150"/>
          <w:sz w:val="28"/>
          <w:szCs w:val="18"/>
          <w:lang w:val="en-US"/>
        </w:rPr>
        <w:t>J</w:t>
      </w:r>
      <w:r w:rsidRPr="007D3EFE">
        <w:rPr>
          <w:rFonts w:ascii="Arial" w:hAnsi="Arial" w:cs="Arial"/>
          <w:i/>
          <w:spacing w:val="-3"/>
          <w:w w:val="150"/>
          <w:sz w:val="18"/>
          <w:szCs w:val="18"/>
          <w:lang w:val="en-US"/>
        </w:rPr>
        <w:t xml:space="preserve">AIME </w:t>
      </w:r>
      <w:r w:rsidRPr="007D3EFE">
        <w:rPr>
          <w:rFonts w:ascii="Arial" w:hAnsi="Arial" w:cs="Arial"/>
          <w:i/>
          <w:spacing w:val="-3"/>
          <w:w w:val="150"/>
          <w:sz w:val="28"/>
          <w:szCs w:val="18"/>
          <w:lang w:val="en-US"/>
        </w:rPr>
        <w:t>A</w:t>
      </w:r>
      <w:r w:rsidRPr="007D3EFE">
        <w:rPr>
          <w:rFonts w:ascii="Arial" w:hAnsi="Arial" w:cs="Arial"/>
          <w:i/>
          <w:w w:val="150"/>
          <w:sz w:val="18"/>
          <w:szCs w:val="18"/>
          <w:lang w:val="en-US"/>
        </w:rPr>
        <w:t xml:space="preserve">LBERTO </w:t>
      </w:r>
      <w:r w:rsidRPr="007D3EFE">
        <w:rPr>
          <w:rFonts w:ascii="Arial" w:hAnsi="Arial" w:cs="Arial"/>
          <w:i/>
          <w:spacing w:val="-3"/>
          <w:w w:val="150"/>
          <w:sz w:val="28"/>
          <w:szCs w:val="18"/>
          <w:lang w:val="en-US"/>
        </w:rPr>
        <w:t>S</w:t>
      </w:r>
      <w:r w:rsidRPr="007D3EFE">
        <w:rPr>
          <w:rFonts w:ascii="Arial" w:hAnsi="Arial" w:cs="Arial"/>
          <w:i/>
          <w:spacing w:val="-3"/>
          <w:w w:val="150"/>
          <w:sz w:val="18"/>
          <w:szCs w:val="16"/>
          <w:lang w:val="en-US"/>
        </w:rPr>
        <w:t xml:space="preserve">ARAZA </w:t>
      </w:r>
      <w:r w:rsidRPr="007D3EFE">
        <w:rPr>
          <w:rFonts w:ascii="Arial" w:hAnsi="Arial" w:cs="Arial"/>
          <w:i/>
          <w:spacing w:val="-3"/>
          <w:w w:val="150"/>
          <w:sz w:val="28"/>
          <w:szCs w:val="18"/>
          <w:lang w:val="en-US"/>
        </w:rPr>
        <w:t>N.</w:t>
      </w:r>
    </w:p>
    <w:p w:rsidR="007D3EFE" w:rsidRDefault="00D65216" w:rsidP="00757F1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7D3EFE">
        <w:rPr>
          <w:rFonts w:ascii="Arial" w:hAnsi="Arial" w:cs="Arial"/>
          <w:i/>
          <w:w w:val="150"/>
          <w:sz w:val="28"/>
          <w:lang w:val="en-US"/>
        </w:rPr>
        <w:tab/>
      </w:r>
      <w:r w:rsidRPr="007D3EFE">
        <w:rPr>
          <w:rFonts w:ascii="Arial" w:hAnsi="Arial" w:cs="Arial"/>
          <w:i/>
          <w:w w:val="150"/>
          <w:sz w:val="28"/>
          <w:lang w:val="en-GB"/>
        </w:rPr>
        <w:t>M</w:t>
      </w:r>
      <w:r w:rsidRPr="007D3EFE">
        <w:rPr>
          <w:rFonts w:ascii="Arial" w:hAnsi="Arial" w:cs="Arial"/>
          <w:i/>
          <w:w w:val="150"/>
          <w:sz w:val="18"/>
          <w:lang w:val="en-GB"/>
        </w:rPr>
        <w:t xml:space="preserve"> A G I S T R A D O </w:t>
      </w:r>
      <w:r w:rsidRPr="007D3EFE">
        <w:rPr>
          <w:rFonts w:ascii="Arial" w:hAnsi="Arial" w:cs="Arial"/>
          <w:i/>
          <w:w w:val="150"/>
          <w:sz w:val="18"/>
          <w:lang w:val="en-GB"/>
        </w:rPr>
        <w:tab/>
      </w:r>
      <w:r w:rsidRPr="007D3EFE">
        <w:rPr>
          <w:rFonts w:ascii="Arial" w:hAnsi="Arial" w:cs="Arial"/>
          <w:i/>
          <w:w w:val="150"/>
          <w:sz w:val="18"/>
          <w:lang w:val="en-GB"/>
        </w:rPr>
        <w:tab/>
      </w:r>
      <w:r w:rsidRPr="007D3EFE">
        <w:rPr>
          <w:rFonts w:ascii="Arial" w:hAnsi="Arial" w:cs="Arial"/>
          <w:i/>
          <w:w w:val="150"/>
          <w:sz w:val="18"/>
          <w:lang w:val="en-GB"/>
        </w:rPr>
        <w:tab/>
      </w:r>
      <w:r w:rsidRPr="007D3EFE">
        <w:rPr>
          <w:rFonts w:ascii="Arial" w:hAnsi="Arial" w:cs="Arial"/>
          <w:i/>
          <w:w w:val="150"/>
          <w:sz w:val="18"/>
          <w:lang w:val="en-GB"/>
        </w:rPr>
        <w:tab/>
      </w:r>
      <w:r w:rsidRPr="007D3EFE">
        <w:rPr>
          <w:rFonts w:ascii="Arial" w:hAnsi="Arial" w:cs="Arial"/>
          <w:i/>
          <w:w w:val="150"/>
          <w:sz w:val="28"/>
          <w:lang w:val="en-GB"/>
        </w:rPr>
        <w:t>M</w:t>
      </w:r>
      <w:r w:rsidR="00365C8E">
        <w:rPr>
          <w:rFonts w:ascii="Arial" w:hAnsi="Arial" w:cs="Arial"/>
          <w:i/>
          <w:w w:val="150"/>
          <w:sz w:val="18"/>
          <w:lang w:val="en-GB"/>
        </w:rPr>
        <w:t xml:space="preserve"> A G I S T R A D O</w:t>
      </w:r>
    </w:p>
    <w:p w:rsidR="008B5AF7" w:rsidRPr="008B5AF7" w:rsidRDefault="008B5AF7" w:rsidP="008B5AF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right"/>
        <w:textAlignment w:val="baseline"/>
        <w:rPr>
          <w:rFonts w:ascii="Arial" w:hAnsi="Arial" w:cs="Arial"/>
          <w:i/>
          <w:sz w:val="8"/>
          <w:szCs w:val="16"/>
        </w:rPr>
      </w:pPr>
      <w:bookmarkStart w:id="0" w:name="_GoBack"/>
      <w:bookmarkEnd w:id="0"/>
      <w:r w:rsidRPr="008B5AF7">
        <w:rPr>
          <w:rFonts w:ascii="Arial" w:hAnsi="Arial" w:cs="Arial"/>
          <w:i/>
          <w:w w:val="150"/>
          <w:sz w:val="10"/>
          <w:lang w:val="en-GB"/>
        </w:rPr>
        <w:t>DGH/ODCD/2017</w:t>
      </w:r>
    </w:p>
    <w:sectPr w:rsidR="008B5AF7" w:rsidRPr="008B5AF7" w:rsidSect="00C8464F">
      <w:headerReference w:type="default" r:id="rId10"/>
      <w:footerReference w:type="default" r:id="rId11"/>
      <w:pgSz w:w="12242" w:h="18722" w:code="14"/>
      <w:pgMar w:top="1276" w:right="1134" w:bottom="1418" w:left="1701"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9D9" w:rsidRDefault="00D469D9">
      <w:r>
        <w:separator/>
      </w:r>
    </w:p>
  </w:endnote>
  <w:endnote w:type="continuationSeparator" w:id="0">
    <w:p w:rsidR="00D469D9" w:rsidRDefault="00D4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B5" w:rsidRDefault="00AE4DB5" w:rsidP="00AE4DB5">
    <w:pPr>
      <w:pStyle w:val="Pieddepage"/>
      <w:pBdr>
        <w:bottom w:val="double" w:sz="6" w:space="1" w:color="auto"/>
      </w:pBdr>
      <w:spacing w:line="360" w:lineRule="auto"/>
      <w:jc w:val="right"/>
      <w:rPr>
        <w:rFonts w:ascii="Arial" w:hAnsi="Arial" w:cs="Arial"/>
        <w:spacing w:val="20"/>
        <w:w w:val="200"/>
        <w:sz w:val="14"/>
        <w:szCs w:val="10"/>
        <w:lang w:val="es-CO"/>
      </w:rPr>
    </w:pPr>
  </w:p>
  <w:p w:rsidR="00AE4DB5" w:rsidRDefault="00AE4DB5" w:rsidP="00AE4DB5">
    <w:pPr>
      <w:pStyle w:val="Pieddepage"/>
      <w:spacing w:line="360" w:lineRule="auto"/>
      <w:jc w:val="right"/>
      <w:rPr>
        <w:rFonts w:ascii="Arial" w:hAnsi="Arial" w:cs="Arial"/>
        <w:spacing w:val="20"/>
        <w:w w:val="200"/>
        <w:sz w:val="14"/>
        <w:szCs w:val="10"/>
        <w:lang w:val="es-CO"/>
      </w:rPr>
    </w:pPr>
  </w:p>
  <w:p w:rsidR="00AE4DB5" w:rsidRPr="003E18D8" w:rsidRDefault="00AE4DB5" w:rsidP="00AE4DB5">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0159B3" w:rsidRPr="007F7D49" w:rsidRDefault="00AE4DB5" w:rsidP="00724738">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9D9" w:rsidRDefault="00D469D9">
      <w:r>
        <w:separator/>
      </w:r>
    </w:p>
  </w:footnote>
  <w:footnote w:type="continuationSeparator" w:id="0">
    <w:p w:rsidR="00D469D9" w:rsidRDefault="00D469D9">
      <w:r>
        <w:continuationSeparator/>
      </w:r>
    </w:p>
  </w:footnote>
  <w:footnote w:id="1">
    <w:p w:rsidR="008E0AB5" w:rsidRPr="00CC61DD" w:rsidRDefault="008E0AB5" w:rsidP="008E0AB5">
      <w:pPr>
        <w:pStyle w:val="Notedebasdepage"/>
        <w:rPr>
          <w:rFonts w:ascii="Calibri" w:hAnsi="Calibri"/>
          <w:lang w:val="fr-FR"/>
        </w:rPr>
      </w:pPr>
      <w:r>
        <w:rPr>
          <w:rStyle w:val="Appelnotedebasdep"/>
          <w:rFonts w:ascii="Calibri" w:hAnsi="Calibri"/>
        </w:rPr>
        <w:footnoteRef/>
      </w:r>
      <w:r w:rsidRPr="00CC61DD">
        <w:rPr>
          <w:rFonts w:ascii="Calibri" w:hAnsi="Calibri"/>
          <w:lang w:val="fr-FR"/>
        </w:rPr>
        <w:t xml:space="preserve"> CC. T-382 de 2016</w:t>
      </w:r>
    </w:p>
  </w:footnote>
  <w:footnote w:id="2">
    <w:p w:rsidR="008E0AB5" w:rsidRPr="00CC61DD" w:rsidRDefault="008E0AB5" w:rsidP="008E0AB5">
      <w:pPr>
        <w:pStyle w:val="Notedebasdepage"/>
        <w:rPr>
          <w:rFonts w:ascii="Calibri" w:hAnsi="Calibri"/>
          <w:lang w:val="fr-FR"/>
        </w:rPr>
      </w:pPr>
      <w:r>
        <w:rPr>
          <w:rStyle w:val="Appelnotedebasdep"/>
          <w:rFonts w:ascii="Calibri" w:hAnsi="Calibri"/>
        </w:rPr>
        <w:footnoteRef/>
      </w:r>
      <w:r w:rsidRPr="00CC61DD">
        <w:rPr>
          <w:rFonts w:ascii="Calibri" w:hAnsi="Calibri"/>
          <w:lang w:val="fr-FR"/>
        </w:rPr>
        <w:t xml:space="preserve"> CC. T–1191 de 2004 </w:t>
      </w:r>
    </w:p>
  </w:footnote>
  <w:footnote w:id="3">
    <w:p w:rsidR="008E0AB5" w:rsidRDefault="008E0AB5" w:rsidP="008E0AB5">
      <w:pPr>
        <w:pStyle w:val="Notedebasdepage"/>
        <w:rPr>
          <w:rFonts w:ascii="Calibri" w:hAnsi="Calibri"/>
          <w:lang w:val="es-CO"/>
        </w:rPr>
      </w:pPr>
      <w:r>
        <w:rPr>
          <w:rStyle w:val="Appelnotedebasdep"/>
          <w:rFonts w:ascii="Calibri" w:hAnsi="Calibri"/>
          <w:lang w:val="es-CO"/>
        </w:rPr>
        <w:footnoteRef/>
      </w:r>
      <w:r>
        <w:rPr>
          <w:rFonts w:ascii="Calibri" w:hAnsi="Calibri"/>
          <w:lang w:val="es-CO"/>
        </w:rPr>
        <w:t xml:space="preserve"> CC. T-928 de 2012, reiterada en la T-464 de 2013.</w:t>
      </w:r>
    </w:p>
  </w:footnote>
  <w:footnote w:id="4">
    <w:p w:rsidR="00CC52C2" w:rsidRPr="00E17BD7" w:rsidRDefault="00CC52C2" w:rsidP="00CC52C2">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w:t>
      </w:r>
      <w:r>
        <w:rPr>
          <w:rFonts w:asciiTheme="minorHAnsi" w:hAnsiTheme="minorHAnsi" w:cs="Calibri"/>
        </w:rPr>
        <w:t>.</w:t>
      </w:r>
      <w:r w:rsidRPr="00E17BD7">
        <w:rPr>
          <w:rFonts w:asciiTheme="minorHAnsi" w:hAnsiTheme="minorHAnsi" w:cs="Calibri"/>
        </w:rPr>
        <w:t xml:space="preserve"> Vías de hecho, acción de tutela contra providencias, Editorial Temis SA, Bogotá, 2013, p.103.</w:t>
      </w:r>
    </w:p>
  </w:footnote>
  <w:footnote w:id="5">
    <w:p w:rsidR="00CC52C2" w:rsidRPr="00E17BD7" w:rsidRDefault="00CC52C2" w:rsidP="00CC52C2">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6">
    <w:p w:rsidR="00CC52C2" w:rsidRPr="00CC61DD" w:rsidRDefault="00CC52C2" w:rsidP="00CC52C2">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CC61DD">
        <w:rPr>
          <w:rFonts w:asciiTheme="minorHAnsi" w:hAnsiTheme="minorHAnsi" w:cs="Calibri"/>
          <w:lang w:val="fr-FR"/>
        </w:rPr>
        <w:t xml:space="preserve"> CC. T-917 de 2011.</w:t>
      </w:r>
    </w:p>
  </w:footnote>
  <w:footnote w:id="7">
    <w:p w:rsidR="00CC52C2" w:rsidRPr="00CC61DD" w:rsidRDefault="00CC52C2" w:rsidP="00CC52C2">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CC61DD">
        <w:rPr>
          <w:rFonts w:asciiTheme="minorHAnsi" w:hAnsiTheme="minorHAnsi" w:cs="Calibri"/>
          <w:lang w:val="fr-FR"/>
        </w:rPr>
        <w:t xml:space="preserve"> CC. C-590 de 2005.</w:t>
      </w:r>
    </w:p>
  </w:footnote>
  <w:footnote w:id="8">
    <w:p w:rsidR="00CC52C2" w:rsidRPr="00CC61DD" w:rsidRDefault="00CC52C2" w:rsidP="00CC52C2">
      <w:pPr>
        <w:pStyle w:val="Notedebasdepage"/>
        <w:jc w:val="both"/>
        <w:rPr>
          <w:rFonts w:asciiTheme="minorHAnsi" w:hAnsiTheme="minorHAnsi" w:cs="Calibri"/>
          <w:lang w:val="fr-FR"/>
        </w:rPr>
      </w:pPr>
      <w:r w:rsidRPr="00E17BD7">
        <w:rPr>
          <w:rStyle w:val="Appelnotedebasdep"/>
          <w:rFonts w:asciiTheme="minorHAnsi" w:hAnsiTheme="minorHAnsi" w:cs="Calibri"/>
        </w:rPr>
        <w:footnoteRef/>
      </w:r>
      <w:r w:rsidRPr="00CC61DD">
        <w:rPr>
          <w:rFonts w:asciiTheme="minorHAnsi" w:hAnsiTheme="minorHAnsi" w:cs="Calibri"/>
          <w:lang w:val="fr-FR"/>
        </w:rPr>
        <w:t xml:space="preserve"> CC. </w:t>
      </w:r>
      <w:r w:rsidRPr="00CC61DD">
        <w:rPr>
          <w:rFonts w:asciiTheme="minorHAnsi" w:hAnsiTheme="minorHAnsi" w:cs="Calibri"/>
          <w:bCs/>
          <w:lang w:val="fr-FR"/>
        </w:rPr>
        <w:t>SU-222 de 2016</w:t>
      </w:r>
      <w:r w:rsidRPr="00CC61DD">
        <w:rPr>
          <w:rFonts w:asciiTheme="minorHAnsi" w:hAnsiTheme="minorHAnsi" w:cs="Calibri"/>
          <w:lang w:val="fr-FR"/>
        </w:rPr>
        <w:t>.</w:t>
      </w:r>
    </w:p>
  </w:footnote>
  <w:footnote w:id="9">
    <w:p w:rsidR="00CC52C2" w:rsidRPr="00CC61DD" w:rsidRDefault="00CC52C2" w:rsidP="00CC52C2">
      <w:pPr>
        <w:pStyle w:val="Notedebasdepage"/>
        <w:rPr>
          <w:rFonts w:asciiTheme="minorHAnsi" w:hAnsiTheme="minorHAnsi"/>
          <w:lang w:val="fr-FR"/>
        </w:rPr>
      </w:pPr>
      <w:r w:rsidRPr="00E17BD7">
        <w:rPr>
          <w:rStyle w:val="Appelnotedebasdep"/>
          <w:rFonts w:asciiTheme="minorHAnsi" w:hAnsiTheme="minorHAnsi"/>
        </w:rPr>
        <w:footnoteRef/>
      </w:r>
      <w:r w:rsidRPr="00CC61DD">
        <w:rPr>
          <w:rFonts w:asciiTheme="minorHAnsi" w:hAnsiTheme="minorHAnsi"/>
          <w:lang w:val="fr-FR"/>
        </w:rPr>
        <w:t xml:space="preserve"> </w:t>
      </w:r>
      <w:r w:rsidRPr="00CC61DD">
        <w:rPr>
          <w:rFonts w:asciiTheme="minorHAnsi" w:hAnsiTheme="minorHAnsi" w:cs="Calibri"/>
          <w:lang w:val="fr-FR"/>
        </w:rPr>
        <w:t>CC. T-307 de 2015.</w:t>
      </w:r>
    </w:p>
  </w:footnote>
  <w:footnote w:id="10">
    <w:p w:rsidR="00CC52C2" w:rsidRPr="00E17BD7" w:rsidRDefault="00CC52C2" w:rsidP="00CC52C2">
      <w:pPr>
        <w:pStyle w:val="Notedebasdepag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11">
    <w:p w:rsidR="00CC52C2" w:rsidRPr="00E17BD7" w:rsidRDefault="00CC52C2" w:rsidP="00CC52C2">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 La acción de tutela, el amparo en Colombia, Bogotá DC, 2011, p.233-285.</w:t>
      </w:r>
    </w:p>
  </w:footnote>
  <w:footnote w:id="12">
    <w:p w:rsidR="00CC52C2" w:rsidRPr="00CC61DD" w:rsidRDefault="00CC52C2" w:rsidP="00CC52C2">
      <w:pPr>
        <w:pStyle w:val="Notedebasdepage"/>
        <w:jc w:val="both"/>
        <w:rPr>
          <w:lang w:val="fr-FR"/>
        </w:rPr>
      </w:pPr>
      <w:r>
        <w:rPr>
          <w:rStyle w:val="Appelnotedebasdep"/>
          <w:rFonts w:asciiTheme="minorHAnsi" w:hAnsiTheme="minorHAnsi"/>
        </w:rPr>
        <w:footnoteRef/>
      </w:r>
      <w:r w:rsidRPr="00CC61DD">
        <w:rPr>
          <w:rFonts w:asciiTheme="minorHAnsi" w:hAnsiTheme="minorHAnsi"/>
          <w:lang w:val="fr-FR"/>
        </w:rPr>
        <w:t xml:space="preserve"> </w:t>
      </w:r>
      <w:r w:rsidRPr="00CC61DD">
        <w:rPr>
          <w:rFonts w:asciiTheme="minorHAnsi" w:hAnsiTheme="minorHAnsi" w:cs="Calibri"/>
          <w:lang w:val="fr-FR"/>
        </w:rPr>
        <w:t xml:space="preserve">CC. T-134 de 1994. </w:t>
      </w:r>
    </w:p>
  </w:footnote>
  <w:footnote w:id="13">
    <w:p w:rsidR="00CC52C2" w:rsidRPr="00CC61DD" w:rsidRDefault="00CC52C2" w:rsidP="00CC52C2">
      <w:pPr>
        <w:pStyle w:val="Notedebasdepage"/>
        <w:rPr>
          <w:lang w:val="fr-FR"/>
        </w:rPr>
      </w:pPr>
      <w:r>
        <w:rPr>
          <w:rStyle w:val="Appelnotedebasdep"/>
        </w:rPr>
        <w:footnoteRef/>
      </w:r>
      <w:r w:rsidRPr="00CC61DD">
        <w:rPr>
          <w:lang w:val="fr-FR"/>
        </w:rPr>
        <w:t xml:space="preserve"> </w:t>
      </w:r>
      <w:r w:rsidRPr="00CC61DD">
        <w:rPr>
          <w:rFonts w:asciiTheme="minorHAnsi" w:hAnsiTheme="minorHAnsi" w:cs="Calibri"/>
          <w:lang w:val="fr-FR"/>
        </w:rPr>
        <w:t>CC. T-103 de 2014.</w:t>
      </w:r>
    </w:p>
  </w:footnote>
  <w:footnote w:id="14">
    <w:p w:rsidR="00CC52C2" w:rsidRPr="00CC61DD" w:rsidRDefault="00CC52C2" w:rsidP="00CC52C2">
      <w:pPr>
        <w:pStyle w:val="Notedebasdepage"/>
        <w:jc w:val="both"/>
        <w:rPr>
          <w:lang w:val="fr-FR"/>
        </w:rPr>
      </w:pPr>
      <w:r>
        <w:rPr>
          <w:rStyle w:val="Appelnotedebasdep"/>
          <w:rFonts w:asciiTheme="minorHAnsi" w:hAnsiTheme="minorHAnsi" w:cs="Calibri"/>
        </w:rPr>
        <w:footnoteRef/>
      </w:r>
      <w:r w:rsidRPr="00CC61DD">
        <w:rPr>
          <w:rFonts w:asciiTheme="minorHAnsi" w:hAnsiTheme="minorHAnsi" w:cs="Calibri"/>
          <w:lang w:val="fr-FR"/>
        </w:rPr>
        <w:t xml:space="preserve"> CC. T-567 de 1998.</w:t>
      </w:r>
    </w:p>
  </w:footnote>
  <w:footnote w:id="15">
    <w:p w:rsidR="00CC52C2" w:rsidRPr="00CC61DD" w:rsidRDefault="00CC52C2" w:rsidP="00CC52C2">
      <w:pPr>
        <w:pStyle w:val="Notedebasdepage"/>
        <w:jc w:val="both"/>
        <w:rPr>
          <w:lang w:val="fr-FR"/>
        </w:rPr>
      </w:pPr>
      <w:r>
        <w:rPr>
          <w:rStyle w:val="Appelnotedebasdep"/>
          <w:rFonts w:asciiTheme="minorHAnsi" w:hAnsiTheme="minorHAnsi"/>
        </w:rPr>
        <w:footnoteRef/>
      </w:r>
      <w:r w:rsidRPr="00CC61DD">
        <w:rPr>
          <w:rFonts w:asciiTheme="minorHAnsi" w:hAnsiTheme="minorHAnsi"/>
          <w:lang w:val="fr-FR"/>
        </w:rPr>
        <w:t xml:space="preserve"> </w:t>
      </w:r>
      <w:r w:rsidRPr="00CC61DD">
        <w:rPr>
          <w:rFonts w:asciiTheme="minorHAnsi" w:hAnsiTheme="minorHAnsi" w:cs="Calibri"/>
          <w:lang w:val="fr-FR"/>
        </w:rPr>
        <w:t xml:space="preserve">CC. T-662 de 2013, </w:t>
      </w:r>
      <w:r w:rsidRPr="00CC61DD">
        <w:rPr>
          <w:rFonts w:ascii="Calibri" w:hAnsi="Calibri"/>
          <w:bCs/>
          <w:bdr w:val="none" w:sz="0" w:space="0" w:color="auto" w:frame="1"/>
          <w:shd w:val="clear" w:color="auto" w:fill="FFFFFF"/>
          <w:lang w:val="fr-FR"/>
        </w:rPr>
        <w:t xml:space="preserve">T-037 de 2016, T-120 de 2016, </w:t>
      </w:r>
      <w:r w:rsidRPr="00CC61DD">
        <w:rPr>
          <w:rFonts w:ascii="Calibri" w:hAnsi="Calibri"/>
          <w:lang w:val="fr-FR"/>
        </w:rPr>
        <w:t>T-001 de 2017 y T-038 de 2017</w:t>
      </w:r>
      <w:r w:rsidRPr="00CC61DD">
        <w:rPr>
          <w:rFonts w:asciiTheme="minorHAnsi" w:hAnsiTheme="minorHAnsi" w:cs="Calibri"/>
          <w:lang w:val="fr-FR"/>
        </w:rPr>
        <w:t>.</w:t>
      </w:r>
      <w:r w:rsidRPr="00CC61DD">
        <w:rPr>
          <w:b/>
          <w:bCs/>
          <w:color w:val="2D2D2D"/>
          <w:sz w:val="28"/>
          <w:szCs w:val="28"/>
          <w:bdr w:val="none" w:sz="0" w:space="0" w:color="auto" w:frame="1"/>
          <w:shd w:val="clear" w:color="auto" w:fill="FFFFFF"/>
          <w:lang w:val="fr-FR"/>
        </w:rPr>
        <w:t xml:space="preserve"> </w:t>
      </w:r>
    </w:p>
  </w:footnote>
  <w:footnote w:id="16">
    <w:p w:rsidR="00CC52C2" w:rsidRDefault="00CC52C2" w:rsidP="00CC52C2">
      <w:pPr>
        <w:pStyle w:val="Notedebasdepage"/>
        <w:jc w:val="both"/>
      </w:pPr>
      <w:r>
        <w:rPr>
          <w:rStyle w:val="Appelnotedebasdep"/>
          <w:rFonts w:asciiTheme="minorHAnsi" w:hAnsiTheme="minorHAnsi" w:cs="Calibri"/>
        </w:rPr>
        <w:footnoteRef/>
      </w:r>
      <w:r>
        <w:rPr>
          <w:rFonts w:asciiTheme="minorHAnsi" w:hAnsiTheme="minorHAnsi" w:cs="Calibri"/>
        </w:rPr>
        <w:t xml:space="preserve"> </w:t>
      </w:r>
      <w:r>
        <w:rPr>
          <w:rFonts w:asciiTheme="minorHAnsi" w:hAnsiTheme="minorHAnsi" w:cs="Calibri"/>
          <w:lang w:val="es-CO"/>
        </w:rPr>
        <w:t xml:space="preserve">CSJ, Civil. Sentencias del 02-09-2014, MP: Margarita Cabello B., No.23001-22-14-000-2014-00097-01; </w:t>
      </w:r>
      <w:r>
        <w:rPr>
          <w:rFonts w:ascii="Calibri" w:hAnsi="Calibri" w:cs="Calibri"/>
        </w:rPr>
        <w:t xml:space="preserve">STC6121-2015, </w:t>
      </w:r>
      <w:r>
        <w:rPr>
          <w:rFonts w:ascii="Calibri" w:hAnsi="Calibri"/>
          <w:lang w:val="es-CO"/>
        </w:rPr>
        <w:t xml:space="preserve">STC3931-2016 y </w:t>
      </w:r>
      <w:r w:rsidRPr="000473E8">
        <w:rPr>
          <w:rFonts w:ascii="Calibri" w:hAnsi="Calibri"/>
        </w:rPr>
        <w:t>STC2349-2017</w:t>
      </w:r>
      <w:r>
        <w:rPr>
          <w:rFonts w:asciiTheme="minorHAnsi" w:hAnsiTheme="minorHAnsi" w:cs="Calibri"/>
          <w:w w:val="110"/>
          <w:lang w:val="es-CO"/>
        </w:rPr>
        <w:t>.</w:t>
      </w:r>
    </w:p>
  </w:footnote>
  <w:footnote w:id="17">
    <w:p w:rsidR="00D358B2" w:rsidRDefault="00D358B2" w:rsidP="00D358B2">
      <w:pPr>
        <w:pStyle w:val="Notedebasdepage"/>
        <w:rPr>
          <w:rFonts w:asciiTheme="minorHAnsi" w:hAnsiTheme="minorHAnsi"/>
          <w:lang w:val="es-CO"/>
        </w:rPr>
      </w:pPr>
      <w:r>
        <w:rPr>
          <w:rStyle w:val="Appelnotedebasdep"/>
          <w:rFonts w:asciiTheme="minorHAnsi" w:hAnsiTheme="minorHAnsi"/>
        </w:rPr>
        <w:footnoteRef/>
      </w:r>
      <w:r>
        <w:rPr>
          <w:rFonts w:asciiTheme="minorHAnsi" w:hAnsiTheme="minorHAnsi"/>
        </w:rPr>
        <w:t xml:space="preserve"> CC. T-230 de 2013.</w:t>
      </w:r>
    </w:p>
  </w:footnote>
  <w:footnote w:id="18">
    <w:p w:rsidR="00D358B2" w:rsidRDefault="00D358B2" w:rsidP="00D358B2">
      <w:pPr>
        <w:pStyle w:val="Notedebasdepage"/>
        <w:jc w:val="both"/>
      </w:pPr>
      <w:r>
        <w:rPr>
          <w:rStyle w:val="Appelnotedebasdep"/>
          <w:rFonts w:asciiTheme="minorHAnsi" w:hAnsiTheme="minorHAnsi"/>
          <w:lang w:val="es-CO"/>
        </w:rPr>
        <w:footnoteRef/>
      </w:r>
      <w:r>
        <w:rPr>
          <w:rFonts w:asciiTheme="minorHAnsi" w:hAnsiTheme="minorHAnsi"/>
          <w:lang w:val="es-CO"/>
        </w:rPr>
        <w:t xml:space="preserve"> En algunos casos, la jurisprudencia se ha referido al respecto como la ocurrencia de un </w:t>
      </w:r>
      <w:r>
        <w:rPr>
          <w:rFonts w:asciiTheme="minorHAnsi" w:hAnsiTheme="minorHAnsi"/>
          <w:i/>
          <w:lang w:val="es-CO"/>
        </w:rPr>
        <w:t>“perjuicio irremediable</w:t>
      </w:r>
      <w:r>
        <w:rPr>
          <w:rFonts w:asciiTheme="minorHAnsi" w:hAnsiTheme="minorHAnsi"/>
          <w:lang w:val="es-CO"/>
        </w:rPr>
        <w:t>”.</w:t>
      </w:r>
      <w:r>
        <w:rPr>
          <w:lang w:val="es-CO"/>
        </w:rPr>
        <w:t xml:space="preserve"> </w:t>
      </w:r>
    </w:p>
  </w:footnote>
  <w:footnote w:id="19">
    <w:p w:rsidR="00D358B2" w:rsidRDefault="00D358B2" w:rsidP="00D358B2">
      <w:pPr>
        <w:pStyle w:val="Notedebasdepage"/>
        <w:jc w:val="both"/>
        <w:rPr>
          <w:rFonts w:asciiTheme="minorHAnsi" w:hAnsiTheme="minorHAnsi" w:cs="Calibri"/>
        </w:rPr>
      </w:pPr>
      <w:r>
        <w:rPr>
          <w:rStyle w:val="Appelnotedebasdep"/>
        </w:rPr>
        <w:footnoteRef/>
      </w:r>
      <w:r>
        <w:t xml:space="preserve"> </w:t>
      </w:r>
      <w:r>
        <w:rPr>
          <w:rFonts w:asciiTheme="minorHAnsi" w:hAnsiTheme="minorHAnsi" w:cs="Calibri"/>
          <w:lang w:val="es-CO"/>
        </w:rPr>
        <w:t xml:space="preserve">CSJ, </w:t>
      </w:r>
      <w:r>
        <w:rPr>
          <w:rFonts w:asciiTheme="minorHAnsi" w:hAnsiTheme="minorHAnsi" w:cs="Calibri"/>
        </w:rPr>
        <w:t>Civil. STC8914-2016 y STC12858-2015, entre otras</w:t>
      </w:r>
      <w:r>
        <w:rPr>
          <w:rFonts w:asciiTheme="minorHAnsi" w:hAnsiTheme="minorHAnsi" w:cs="Calibri"/>
          <w:w w:val="110"/>
          <w:lang w:val="es-CO"/>
        </w:rPr>
        <w:t>.</w:t>
      </w:r>
    </w:p>
  </w:footnote>
  <w:footnote w:id="20">
    <w:p w:rsidR="00E3600C" w:rsidRDefault="00E3600C" w:rsidP="00E3600C">
      <w:pPr>
        <w:pStyle w:val="Notedebasdepage"/>
        <w:jc w:val="both"/>
        <w:rPr>
          <w:rFonts w:ascii="Calibri" w:hAnsi="Calibri"/>
          <w:lang w:val="es-CO"/>
        </w:rPr>
      </w:pPr>
      <w:r>
        <w:rPr>
          <w:rStyle w:val="Appelnotedebasdep"/>
          <w:rFonts w:ascii="Calibri" w:hAnsi="Calibri"/>
        </w:rPr>
        <w:footnoteRef/>
      </w:r>
      <w:r>
        <w:rPr>
          <w:rFonts w:ascii="Calibri" w:hAnsi="Calibri"/>
        </w:rPr>
        <w:t xml:space="preserve"> CC. </w:t>
      </w:r>
      <w:r>
        <w:rPr>
          <w:rFonts w:ascii="Calibri" w:hAnsi="Calibri" w:cs="Arial"/>
        </w:rPr>
        <w:t>T-103 de 2014.</w:t>
      </w:r>
      <w:r>
        <w:rPr>
          <w:rFonts w:ascii="Calibri" w:hAnsi="Calibri"/>
        </w:rPr>
        <w:t xml:space="preserve"> </w:t>
      </w:r>
      <w:r>
        <w:rPr>
          <w:rFonts w:ascii="Calibri" w:hAnsi="Calibri"/>
          <w:lang w:val="es-CO"/>
        </w:rPr>
        <w:t xml:space="preserve">En esta providencia la Corte estableció “(…) </w:t>
      </w:r>
      <w:r>
        <w:rPr>
          <w:rFonts w:ascii="Calibri" w:hAnsi="Calibri"/>
        </w:rPr>
        <w:t xml:space="preserve">que el principio de subsidiariedad de la acción de tutela envuelve tres características importantes que llevan a su improcedencia contra providencias judiciales, a saber: (i) </w:t>
      </w:r>
      <w:r>
        <w:rPr>
          <w:rFonts w:ascii="Calibri" w:hAnsi="Calibri"/>
          <w:u w:val="single"/>
        </w:rPr>
        <w:t>el asunto está en trámite</w:t>
      </w:r>
      <w:r>
        <w:rPr>
          <w:rFonts w:ascii="Calibri" w:hAnsi="Calibri"/>
        </w:rPr>
        <w:t>; (ii) no se han agotado los medios de defensa judicial ordinarios y extraordinarios; y (iii) se usa para revivir etapas procesales en donde se dejaron de emplear los recursos previstos en el ordenamiento jurídico (…)”</w:t>
      </w:r>
      <w:r>
        <w:rPr>
          <w:rFonts w:ascii="Calibri" w:hAnsi="Calibri"/>
          <w:lang w:val="es-CO"/>
        </w:rPr>
        <w:t xml:space="preserve"> </w:t>
      </w:r>
    </w:p>
  </w:footnote>
  <w:footnote w:id="21">
    <w:p w:rsidR="00E3600C" w:rsidRPr="00CC61DD" w:rsidRDefault="00E3600C" w:rsidP="00E3600C">
      <w:pPr>
        <w:pStyle w:val="Notedebasdepage"/>
        <w:jc w:val="both"/>
        <w:rPr>
          <w:rFonts w:ascii="Calibri" w:hAnsi="Calibri"/>
          <w:lang w:val="fr-FR"/>
        </w:rPr>
      </w:pPr>
      <w:r>
        <w:rPr>
          <w:rStyle w:val="Appelnotedebasdep"/>
        </w:rPr>
        <w:footnoteRef/>
      </w:r>
      <w:r w:rsidRPr="00CC61DD">
        <w:rPr>
          <w:lang w:val="fr-FR"/>
        </w:rPr>
        <w:t xml:space="preserve"> </w:t>
      </w:r>
      <w:r w:rsidRPr="00CC61DD">
        <w:rPr>
          <w:rFonts w:asciiTheme="minorHAnsi" w:hAnsiTheme="minorHAnsi" w:cs="Calibri"/>
          <w:lang w:val="fr-FR"/>
        </w:rPr>
        <w:t>CSJ</w:t>
      </w:r>
      <w:r w:rsidRPr="00CC61DD">
        <w:rPr>
          <w:rFonts w:ascii="Calibri" w:hAnsi="Calibri" w:cs="Calibri"/>
          <w:lang w:val="fr-FR"/>
        </w:rPr>
        <w:t>, Civil. STC3950-2016.</w:t>
      </w:r>
    </w:p>
  </w:footnote>
  <w:footnote w:id="22">
    <w:p w:rsidR="00E3600C" w:rsidRPr="00CC61DD" w:rsidRDefault="00E3600C" w:rsidP="00E3600C">
      <w:pPr>
        <w:pStyle w:val="Notedebasdepage"/>
        <w:jc w:val="both"/>
        <w:rPr>
          <w:lang w:val="fr-FR"/>
        </w:rPr>
      </w:pPr>
      <w:r>
        <w:rPr>
          <w:rStyle w:val="Appelnotedebasdep"/>
          <w:rFonts w:asciiTheme="minorHAnsi" w:hAnsiTheme="minorHAnsi" w:cs="Calibri"/>
        </w:rPr>
        <w:footnoteRef/>
      </w:r>
      <w:r w:rsidRPr="00CC61DD">
        <w:rPr>
          <w:rFonts w:asciiTheme="minorHAnsi" w:hAnsiTheme="minorHAnsi" w:cs="Calibri"/>
          <w:lang w:val="fr-FR"/>
        </w:rPr>
        <w:t xml:space="preserve"> CC. T-103 de 2014 y </w:t>
      </w:r>
      <w:r w:rsidRPr="00CC61DD">
        <w:rPr>
          <w:rFonts w:asciiTheme="minorHAnsi" w:hAnsiTheme="minorHAnsi" w:cs="Calibri"/>
          <w:bCs/>
          <w:lang w:val="fr-FR"/>
        </w:rPr>
        <w:t>SU-297 de 2015.</w:t>
      </w:r>
    </w:p>
  </w:footnote>
  <w:footnote w:id="23">
    <w:p w:rsidR="00E3600C" w:rsidRPr="00CC61DD" w:rsidRDefault="00E3600C" w:rsidP="00E3600C">
      <w:pPr>
        <w:pStyle w:val="Notedebasdepage"/>
        <w:rPr>
          <w:lang w:val="fr-FR"/>
        </w:rPr>
      </w:pPr>
      <w:r>
        <w:rPr>
          <w:rStyle w:val="Appelnotedebasdep"/>
        </w:rPr>
        <w:footnoteRef/>
      </w:r>
      <w:r w:rsidRPr="00CC61DD">
        <w:rPr>
          <w:lang w:val="fr-FR"/>
        </w:rPr>
        <w:t xml:space="preserve"> </w:t>
      </w:r>
      <w:r w:rsidRPr="00CC61DD">
        <w:rPr>
          <w:rFonts w:asciiTheme="minorHAnsi" w:hAnsiTheme="minorHAnsi" w:cs="Calibri"/>
          <w:lang w:val="fr-FR"/>
        </w:rPr>
        <w:t>CC. T-717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9B3" w:rsidRDefault="000159B3" w:rsidP="000159B3">
    <w:pPr>
      <w:pStyle w:val="En-tte"/>
      <w:pBdr>
        <w:bottom w:val="single" w:sz="4" w:space="2" w:color="D9D9D9"/>
      </w:pBdr>
      <w:jc w:val="right"/>
      <w:rPr>
        <w:rFonts w:ascii="Calibri" w:hAnsi="Calibri" w:cs="Calibri"/>
        <w:i/>
        <w:color w:val="7F7F7F"/>
        <w:spacing w:val="60"/>
        <w:sz w:val="20"/>
      </w:rPr>
    </w:pPr>
  </w:p>
  <w:p w:rsidR="000159B3" w:rsidRDefault="000159B3" w:rsidP="000159B3">
    <w:pPr>
      <w:pStyle w:val="En-tte"/>
      <w:pBdr>
        <w:bottom w:val="single" w:sz="4" w:space="2" w:color="D9D9D9"/>
      </w:pBdr>
      <w:jc w:val="right"/>
      <w:rPr>
        <w:rFonts w:ascii="Calibri" w:hAnsi="Calibri" w:cs="Calibri"/>
        <w:i/>
        <w:color w:val="7F7F7F"/>
        <w:spacing w:val="60"/>
        <w:sz w:val="20"/>
      </w:rPr>
    </w:pPr>
  </w:p>
  <w:p w:rsidR="000159B3" w:rsidRPr="006414F7" w:rsidRDefault="000159B3" w:rsidP="000159B3">
    <w:pPr>
      <w:pStyle w:val="En-tte"/>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CC61DD">
      <w:rPr>
        <w:rFonts w:ascii="Calibri" w:hAnsi="Calibri" w:cs="Calibri"/>
        <w:i/>
        <w:noProof/>
        <w:sz w:val="20"/>
      </w:rPr>
      <w:t>9</w:t>
    </w:r>
    <w:r w:rsidRPr="006414F7">
      <w:rPr>
        <w:rFonts w:ascii="Calibri" w:hAnsi="Calibri" w:cs="Calibri"/>
        <w:i/>
        <w:sz w:val="20"/>
      </w:rPr>
      <w:fldChar w:fldCharType="end"/>
    </w:r>
  </w:p>
  <w:p w:rsidR="00251244" w:rsidRPr="000159B3" w:rsidRDefault="00251244" w:rsidP="000159B3">
    <w:pPr>
      <w:pStyle w:val="En-tte"/>
      <w:ind w:right="360"/>
      <w:jc w:val="both"/>
      <w:rPr>
        <w:rFonts w:asciiTheme="minorHAnsi" w:hAnsiTheme="minorHAnsi"/>
        <w:b/>
        <w:bCs/>
        <w:i/>
        <w:sz w:val="22"/>
      </w:rPr>
    </w:pPr>
    <w:r w:rsidRPr="00251244">
      <w:rPr>
        <w:rFonts w:ascii="Calibri" w:eastAsia="Calibri" w:hAnsi="Calibri" w:cs="Calibri"/>
        <w:i/>
        <w:smallCaps/>
        <w:sz w:val="20"/>
        <w:szCs w:val="20"/>
      </w:rPr>
      <w:t xml:space="preserve">Expediente </w:t>
    </w:r>
    <w:r w:rsidR="00341198">
      <w:rPr>
        <w:rFonts w:ascii="Calibri" w:eastAsia="Calibri" w:hAnsi="Calibri" w:cs="Calibri"/>
        <w:i/>
        <w:smallCaps/>
        <w:sz w:val="20"/>
        <w:szCs w:val="20"/>
      </w:rPr>
      <w:t>No.</w:t>
    </w:r>
    <w:r w:rsidRPr="00251244">
      <w:rPr>
        <w:rFonts w:ascii="Calibri" w:eastAsia="Calibri" w:hAnsi="Calibri" w:cs="Calibri"/>
        <w:i/>
        <w:smallCaps/>
        <w:sz w:val="20"/>
        <w:szCs w:val="20"/>
      </w:rPr>
      <w:t>2017-</w:t>
    </w:r>
    <w:r w:rsidR="00D90495">
      <w:rPr>
        <w:rFonts w:ascii="Calibri" w:eastAsia="Calibri" w:hAnsi="Calibri" w:cs="Calibri"/>
        <w:i/>
        <w:smallCaps/>
        <w:sz w:val="20"/>
        <w:szCs w:val="20"/>
      </w:rPr>
      <w:t>00318</w:t>
    </w:r>
    <w:r w:rsidR="00DA64CA">
      <w:rPr>
        <w:rFonts w:ascii="Calibri" w:eastAsia="Calibri" w:hAnsi="Calibri" w:cs="Calibri"/>
        <w:i/>
        <w:smallCaps/>
        <w:sz w:val="20"/>
        <w:szCs w:val="20"/>
      </w:rPr>
      <w:t>-</w:t>
    </w:r>
    <w:r w:rsidRPr="00251244">
      <w:rPr>
        <w:rFonts w:ascii="Calibri" w:eastAsia="Calibri" w:hAnsi="Calibri" w:cs="Calibri"/>
        <w:i/>
        <w:smallCaps/>
        <w:sz w:val="20"/>
        <w:szCs w:val="20"/>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F26C8B"/>
    <w:multiLevelType w:val="multilevel"/>
    <w:tmpl w:val="B2AA9D6C"/>
    <w:lvl w:ilvl="0">
      <w:start w:val="1"/>
      <w:numFmt w:val="decimal"/>
      <w:lvlText w:val="%1."/>
      <w:lvlJc w:val="left"/>
      <w:pPr>
        <w:ind w:left="786" w:firstLine="425"/>
      </w:pPr>
    </w:lvl>
    <w:lvl w:ilvl="1">
      <w:start w:val="1"/>
      <w:numFmt w:val="lowerLetter"/>
      <w:lvlText w:val="%2."/>
      <w:lvlJc w:val="left"/>
      <w:pPr>
        <w:ind w:left="1506" w:firstLine="1146"/>
      </w:pPr>
    </w:lvl>
    <w:lvl w:ilvl="2">
      <w:start w:val="1"/>
      <w:numFmt w:val="lowerRoman"/>
      <w:lvlText w:val="%3."/>
      <w:lvlJc w:val="right"/>
      <w:pPr>
        <w:ind w:left="2226" w:firstLine="2046"/>
      </w:pPr>
    </w:lvl>
    <w:lvl w:ilvl="3">
      <w:start w:val="1"/>
      <w:numFmt w:val="decimal"/>
      <w:lvlText w:val="%4."/>
      <w:lvlJc w:val="left"/>
      <w:pPr>
        <w:ind w:left="2946" w:firstLine="2586"/>
      </w:pPr>
    </w:lvl>
    <w:lvl w:ilvl="4">
      <w:start w:val="1"/>
      <w:numFmt w:val="lowerLetter"/>
      <w:lvlText w:val="%5."/>
      <w:lvlJc w:val="left"/>
      <w:pPr>
        <w:ind w:left="3666" w:firstLine="3306"/>
      </w:pPr>
    </w:lvl>
    <w:lvl w:ilvl="5">
      <w:start w:val="1"/>
      <w:numFmt w:val="lowerRoman"/>
      <w:lvlText w:val="%6."/>
      <w:lvlJc w:val="right"/>
      <w:pPr>
        <w:ind w:left="4386" w:firstLine="4206"/>
      </w:pPr>
    </w:lvl>
    <w:lvl w:ilvl="6">
      <w:start w:val="1"/>
      <w:numFmt w:val="decimal"/>
      <w:lvlText w:val="%7."/>
      <w:lvlJc w:val="left"/>
      <w:pPr>
        <w:ind w:left="5106" w:firstLine="4746"/>
      </w:pPr>
    </w:lvl>
    <w:lvl w:ilvl="7">
      <w:start w:val="1"/>
      <w:numFmt w:val="lowerLetter"/>
      <w:lvlText w:val="%8."/>
      <w:lvlJc w:val="left"/>
      <w:pPr>
        <w:ind w:left="5826" w:firstLine="5466"/>
      </w:pPr>
    </w:lvl>
    <w:lvl w:ilvl="8">
      <w:start w:val="1"/>
      <w:numFmt w:val="lowerRoman"/>
      <w:lvlText w:val="%9."/>
      <w:lvlJc w:val="right"/>
      <w:pPr>
        <w:ind w:left="6546" w:firstLine="6366"/>
      </w:pPr>
    </w:lvl>
  </w:abstractNum>
  <w:abstractNum w:abstractNumId="2">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9901A49"/>
    <w:multiLevelType w:val="multilevel"/>
    <w:tmpl w:val="0D968142"/>
    <w:lvl w:ilvl="0">
      <w:start w:val="7"/>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55561AA1"/>
    <w:multiLevelType w:val="multilevel"/>
    <w:tmpl w:val="A8FC3A86"/>
    <w:lvl w:ilvl="0">
      <w:start w:val="7"/>
      <w:numFmt w:val="decimal"/>
      <w:lvlText w:val="%1."/>
      <w:lvlJc w:val="left"/>
      <w:pPr>
        <w:ind w:left="585" w:firstLine="0"/>
      </w:pPr>
    </w:lvl>
    <w:lvl w:ilvl="1">
      <w:start w:val="3"/>
      <w:numFmt w:val="decimal"/>
      <w:lvlText w:val="%1.%2."/>
      <w:lvlJc w:val="left"/>
      <w:pPr>
        <w:ind w:left="720" w:firstLine="0"/>
      </w:pPr>
    </w:lvl>
    <w:lvl w:ilvl="2">
      <w:start w:val="2"/>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5">
    <w:nsid w:val="57EF2D26"/>
    <w:multiLevelType w:val="multilevel"/>
    <w:tmpl w:val="9CB2C772"/>
    <w:lvl w:ilvl="0">
      <w:start w:val="1"/>
      <w:numFmt w:val="decimal"/>
      <w:lvlText w:val="%1."/>
      <w:lvlJc w:val="left"/>
      <w:pPr>
        <w:ind w:left="36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678478A4"/>
    <w:multiLevelType w:val="multilevel"/>
    <w:tmpl w:val="1B90B040"/>
    <w:lvl w:ilvl="0">
      <w:start w:val="9"/>
      <w:numFmt w:val="decimal"/>
      <w:lvlText w:val="%1."/>
      <w:lvlJc w:val="left"/>
      <w:pPr>
        <w:ind w:left="390" w:hanging="390"/>
      </w:pPr>
      <w:rPr>
        <w:rFonts w:cs="Courier New" w:hint="default"/>
      </w:rPr>
    </w:lvl>
    <w:lvl w:ilvl="1">
      <w:start w:val="2"/>
      <w:numFmt w:val="decimal"/>
      <w:lvlText w:val="%1.%2."/>
      <w:lvlJc w:val="left"/>
      <w:pPr>
        <w:ind w:left="720" w:hanging="720"/>
      </w:pPr>
      <w:rPr>
        <w:rFonts w:cs="Courier New" w:hint="default"/>
      </w:rPr>
    </w:lvl>
    <w:lvl w:ilvl="2">
      <w:start w:val="1"/>
      <w:numFmt w:val="decimal"/>
      <w:lvlText w:val="%1.%2.%3."/>
      <w:lvlJc w:val="left"/>
      <w:pPr>
        <w:ind w:left="720" w:hanging="720"/>
      </w:pPr>
      <w:rPr>
        <w:rFonts w:cs="Courier New" w:hint="default"/>
      </w:rPr>
    </w:lvl>
    <w:lvl w:ilvl="3">
      <w:start w:val="1"/>
      <w:numFmt w:val="decimal"/>
      <w:lvlText w:val="%1.%2.%3.%4."/>
      <w:lvlJc w:val="left"/>
      <w:pPr>
        <w:ind w:left="1080" w:hanging="1080"/>
      </w:pPr>
      <w:rPr>
        <w:rFonts w:cs="Courier New" w:hint="default"/>
      </w:rPr>
    </w:lvl>
    <w:lvl w:ilvl="4">
      <w:start w:val="1"/>
      <w:numFmt w:val="decimal"/>
      <w:lvlText w:val="%1.%2.%3.%4.%5."/>
      <w:lvlJc w:val="left"/>
      <w:pPr>
        <w:ind w:left="1080" w:hanging="1080"/>
      </w:pPr>
      <w:rPr>
        <w:rFonts w:cs="Courier New" w:hint="default"/>
      </w:rPr>
    </w:lvl>
    <w:lvl w:ilvl="5">
      <w:start w:val="1"/>
      <w:numFmt w:val="decimal"/>
      <w:lvlText w:val="%1.%2.%3.%4.%5.%6."/>
      <w:lvlJc w:val="left"/>
      <w:pPr>
        <w:ind w:left="1440" w:hanging="1440"/>
      </w:pPr>
      <w:rPr>
        <w:rFonts w:cs="Courier New" w:hint="default"/>
      </w:rPr>
    </w:lvl>
    <w:lvl w:ilvl="6">
      <w:start w:val="1"/>
      <w:numFmt w:val="decimal"/>
      <w:lvlText w:val="%1.%2.%3.%4.%5.%6.%7."/>
      <w:lvlJc w:val="left"/>
      <w:pPr>
        <w:ind w:left="1440" w:hanging="1440"/>
      </w:pPr>
      <w:rPr>
        <w:rFonts w:cs="Courier New" w:hint="default"/>
      </w:rPr>
    </w:lvl>
    <w:lvl w:ilvl="7">
      <w:start w:val="1"/>
      <w:numFmt w:val="decimal"/>
      <w:lvlText w:val="%1.%2.%3.%4.%5.%6.%7.%8."/>
      <w:lvlJc w:val="left"/>
      <w:pPr>
        <w:ind w:left="1800" w:hanging="1800"/>
      </w:pPr>
      <w:rPr>
        <w:rFonts w:cs="Courier New" w:hint="default"/>
      </w:rPr>
    </w:lvl>
    <w:lvl w:ilvl="8">
      <w:start w:val="1"/>
      <w:numFmt w:val="decimal"/>
      <w:lvlText w:val="%1.%2.%3.%4.%5.%6.%7.%8.%9."/>
      <w:lvlJc w:val="left"/>
      <w:pPr>
        <w:ind w:left="2160" w:hanging="2160"/>
      </w:pPr>
      <w:rPr>
        <w:rFonts w:cs="Courier New" w:hint="default"/>
      </w:rPr>
    </w:lvl>
  </w:abstractNum>
  <w:abstractNum w:abstractNumId="7">
    <w:nsid w:val="6A1578F0"/>
    <w:multiLevelType w:val="multilevel"/>
    <w:tmpl w:val="D4E0107C"/>
    <w:lvl w:ilvl="0">
      <w:start w:val="6"/>
      <w:numFmt w:val="decimal"/>
      <w:lvlText w:val="%1."/>
      <w:lvlJc w:val="left"/>
      <w:pPr>
        <w:ind w:left="400" w:firstLine="0"/>
      </w:pPr>
    </w:lvl>
    <w:lvl w:ilvl="1">
      <w:start w:val="1"/>
      <w:numFmt w:val="decimal"/>
      <w:lvlText w:val="%1.%2."/>
      <w:lvlJc w:val="left"/>
      <w:pPr>
        <w:ind w:left="720" w:firstLine="0"/>
      </w:pPr>
      <w:rPr>
        <w:sz w:val="24"/>
        <w:szCs w:val="24"/>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8">
    <w:nsid w:val="6A4A5A4C"/>
    <w:multiLevelType w:val="multilevel"/>
    <w:tmpl w:val="D880673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
  </w:num>
  <w:num w:numId="2">
    <w:abstractNumId w:val="7"/>
  </w:num>
  <w:num w:numId="3">
    <w:abstractNumId w:val="4"/>
  </w:num>
  <w:num w:numId="4">
    <w:abstractNumId w:val="5"/>
  </w:num>
  <w:num w:numId="5">
    <w:abstractNumId w:val="9"/>
  </w:num>
  <w:num w:numId="6">
    <w:abstractNumId w:val="0"/>
  </w:num>
  <w:num w:numId="7">
    <w:abstractNumId w:val="2"/>
  </w:num>
  <w:num w:numId="8">
    <w:abstractNumId w:val="3"/>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mirrorMargin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0F"/>
    <w:rsid w:val="00001A4C"/>
    <w:rsid w:val="00003544"/>
    <w:rsid w:val="000159B3"/>
    <w:rsid w:val="00033AB6"/>
    <w:rsid w:val="00044806"/>
    <w:rsid w:val="00046A8F"/>
    <w:rsid w:val="000608CF"/>
    <w:rsid w:val="00067852"/>
    <w:rsid w:val="000703DD"/>
    <w:rsid w:val="000708F5"/>
    <w:rsid w:val="000730FB"/>
    <w:rsid w:val="00074B41"/>
    <w:rsid w:val="00077963"/>
    <w:rsid w:val="00096759"/>
    <w:rsid w:val="000A48D2"/>
    <w:rsid w:val="000A751E"/>
    <w:rsid w:val="000B1860"/>
    <w:rsid w:val="000B2213"/>
    <w:rsid w:val="000C1DAC"/>
    <w:rsid w:val="000D3D4E"/>
    <w:rsid w:val="000E6C61"/>
    <w:rsid w:val="000F001B"/>
    <w:rsid w:val="000F3260"/>
    <w:rsid w:val="000F4C76"/>
    <w:rsid w:val="00101C44"/>
    <w:rsid w:val="00102C5F"/>
    <w:rsid w:val="00114DB4"/>
    <w:rsid w:val="00120192"/>
    <w:rsid w:val="0012361A"/>
    <w:rsid w:val="001456BE"/>
    <w:rsid w:val="00170E08"/>
    <w:rsid w:val="00172E29"/>
    <w:rsid w:val="0017516C"/>
    <w:rsid w:val="00191AC0"/>
    <w:rsid w:val="001B5701"/>
    <w:rsid w:val="001D3ED1"/>
    <w:rsid w:val="001F076E"/>
    <w:rsid w:val="001F471E"/>
    <w:rsid w:val="001F4752"/>
    <w:rsid w:val="002006BE"/>
    <w:rsid w:val="002117CF"/>
    <w:rsid w:val="00214FFF"/>
    <w:rsid w:val="0023125B"/>
    <w:rsid w:val="0024766E"/>
    <w:rsid w:val="00251244"/>
    <w:rsid w:val="002750F9"/>
    <w:rsid w:val="002834FB"/>
    <w:rsid w:val="00287D76"/>
    <w:rsid w:val="002A30C4"/>
    <w:rsid w:val="002A476E"/>
    <w:rsid w:val="002C2D59"/>
    <w:rsid w:val="002C2EB4"/>
    <w:rsid w:val="002D09F9"/>
    <w:rsid w:val="002E4759"/>
    <w:rsid w:val="002E669B"/>
    <w:rsid w:val="002F1A26"/>
    <w:rsid w:val="002F3F47"/>
    <w:rsid w:val="002F6122"/>
    <w:rsid w:val="003009A9"/>
    <w:rsid w:val="00303747"/>
    <w:rsid w:val="00313406"/>
    <w:rsid w:val="003233EF"/>
    <w:rsid w:val="00325ADE"/>
    <w:rsid w:val="00341198"/>
    <w:rsid w:val="00346052"/>
    <w:rsid w:val="00346CD6"/>
    <w:rsid w:val="00352333"/>
    <w:rsid w:val="00365C8E"/>
    <w:rsid w:val="003A25D0"/>
    <w:rsid w:val="003A4906"/>
    <w:rsid w:val="003B78D6"/>
    <w:rsid w:val="003E738E"/>
    <w:rsid w:val="003F111B"/>
    <w:rsid w:val="00412621"/>
    <w:rsid w:val="00423A33"/>
    <w:rsid w:val="004256BD"/>
    <w:rsid w:val="004469D0"/>
    <w:rsid w:val="00495981"/>
    <w:rsid w:val="004A5FA5"/>
    <w:rsid w:val="004B78EE"/>
    <w:rsid w:val="004F2B25"/>
    <w:rsid w:val="0050729D"/>
    <w:rsid w:val="00534AAF"/>
    <w:rsid w:val="00550C1D"/>
    <w:rsid w:val="00570EE5"/>
    <w:rsid w:val="00595344"/>
    <w:rsid w:val="005A741F"/>
    <w:rsid w:val="005B5624"/>
    <w:rsid w:val="005C3774"/>
    <w:rsid w:val="005C6E4A"/>
    <w:rsid w:val="005D3E67"/>
    <w:rsid w:val="005E0ADE"/>
    <w:rsid w:val="005E60B3"/>
    <w:rsid w:val="00627782"/>
    <w:rsid w:val="00654381"/>
    <w:rsid w:val="00661CB6"/>
    <w:rsid w:val="006715E2"/>
    <w:rsid w:val="006971C4"/>
    <w:rsid w:val="006A513E"/>
    <w:rsid w:val="006A66DA"/>
    <w:rsid w:val="006B7DBE"/>
    <w:rsid w:val="006C4187"/>
    <w:rsid w:val="006D0F53"/>
    <w:rsid w:val="006D655D"/>
    <w:rsid w:val="006E048E"/>
    <w:rsid w:val="00700B79"/>
    <w:rsid w:val="00706484"/>
    <w:rsid w:val="0071357E"/>
    <w:rsid w:val="00724738"/>
    <w:rsid w:val="00726230"/>
    <w:rsid w:val="00731A37"/>
    <w:rsid w:val="00747E7B"/>
    <w:rsid w:val="00757F1A"/>
    <w:rsid w:val="00761D97"/>
    <w:rsid w:val="00771556"/>
    <w:rsid w:val="0077283E"/>
    <w:rsid w:val="00791391"/>
    <w:rsid w:val="00793292"/>
    <w:rsid w:val="00794961"/>
    <w:rsid w:val="0079778F"/>
    <w:rsid w:val="007A2A0D"/>
    <w:rsid w:val="007A4953"/>
    <w:rsid w:val="007C41DE"/>
    <w:rsid w:val="007D1FCA"/>
    <w:rsid w:val="007D3EFE"/>
    <w:rsid w:val="007D6B3E"/>
    <w:rsid w:val="00823696"/>
    <w:rsid w:val="008320CC"/>
    <w:rsid w:val="0083750B"/>
    <w:rsid w:val="0085085F"/>
    <w:rsid w:val="00851E48"/>
    <w:rsid w:val="00861415"/>
    <w:rsid w:val="00884AA9"/>
    <w:rsid w:val="00884B0F"/>
    <w:rsid w:val="00886735"/>
    <w:rsid w:val="00897C0E"/>
    <w:rsid w:val="008A2115"/>
    <w:rsid w:val="008B5AF7"/>
    <w:rsid w:val="008C5F3F"/>
    <w:rsid w:val="008C6F11"/>
    <w:rsid w:val="008D0401"/>
    <w:rsid w:val="008D0B92"/>
    <w:rsid w:val="008E0AB5"/>
    <w:rsid w:val="008E5CDA"/>
    <w:rsid w:val="00905A7D"/>
    <w:rsid w:val="00913D17"/>
    <w:rsid w:val="0093042F"/>
    <w:rsid w:val="00943DC2"/>
    <w:rsid w:val="00962082"/>
    <w:rsid w:val="00964A8E"/>
    <w:rsid w:val="00973498"/>
    <w:rsid w:val="00997E8D"/>
    <w:rsid w:val="009C06FE"/>
    <w:rsid w:val="009C4613"/>
    <w:rsid w:val="009D0EF6"/>
    <w:rsid w:val="009D25C7"/>
    <w:rsid w:val="009E3845"/>
    <w:rsid w:val="009E4160"/>
    <w:rsid w:val="00A04FBD"/>
    <w:rsid w:val="00A17865"/>
    <w:rsid w:val="00A31ADF"/>
    <w:rsid w:val="00A347AB"/>
    <w:rsid w:val="00A615F0"/>
    <w:rsid w:val="00A7168E"/>
    <w:rsid w:val="00A71F08"/>
    <w:rsid w:val="00A7287E"/>
    <w:rsid w:val="00A74F11"/>
    <w:rsid w:val="00A8313B"/>
    <w:rsid w:val="00AA2779"/>
    <w:rsid w:val="00AA422F"/>
    <w:rsid w:val="00AB1101"/>
    <w:rsid w:val="00AB5228"/>
    <w:rsid w:val="00AB6155"/>
    <w:rsid w:val="00AE4DB5"/>
    <w:rsid w:val="00AF58C4"/>
    <w:rsid w:val="00B02350"/>
    <w:rsid w:val="00B05B11"/>
    <w:rsid w:val="00B436FD"/>
    <w:rsid w:val="00B47C81"/>
    <w:rsid w:val="00B55D28"/>
    <w:rsid w:val="00B76475"/>
    <w:rsid w:val="00B8227E"/>
    <w:rsid w:val="00B91B17"/>
    <w:rsid w:val="00BA5C67"/>
    <w:rsid w:val="00BA5DD2"/>
    <w:rsid w:val="00BB07D7"/>
    <w:rsid w:val="00BB24D1"/>
    <w:rsid w:val="00BB4ED4"/>
    <w:rsid w:val="00BB4F44"/>
    <w:rsid w:val="00BB7FD9"/>
    <w:rsid w:val="00BF5813"/>
    <w:rsid w:val="00C338BA"/>
    <w:rsid w:val="00C53BA8"/>
    <w:rsid w:val="00C55379"/>
    <w:rsid w:val="00C5718D"/>
    <w:rsid w:val="00C60521"/>
    <w:rsid w:val="00C73052"/>
    <w:rsid w:val="00C74D62"/>
    <w:rsid w:val="00C8464F"/>
    <w:rsid w:val="00C965FD"/>
    <w:rsid w:val="00CB087F"/>
    <w:rsid w:val="00CB2FD9"/>
    <w:rsid w:val="00CB4A88"/>
    <w:rsid w:val="00CC2570"/>
    <w:rsid w:val="00CC304E"/>
    <w:rsid w:val="00CC52C2"/>
    <w:rsid w:val="00CC5DA9"/>
    <w:rsid w:val="00CC61DD"/>
    <w:rsid w:val="00CD67DF"/>
    <w:rsid w:val="00CD746A"/>
    <w:rsid w:val="00CE096B"/>
    <w:rsid w:val="00CE5584"/>
    <w:rsid w:val="00CF7F72"/>
    <w:rsid w:val="00D027C4"/>
    <w:rsid w:val="00D120C3"/>
    <w:rsid w:val="00D143D4"/>
    <w:rsid w:val="00D358B2"/>
    <w:rsid w:val="00D36D2F"/>
    <w:rsid w:val="00D42174"/>
    <w:rsid w:val="00D42A85"/>
    <w:rsid w:val="00D45823"/>
    <w:rsid w:val="00D469D9"/>
    <w:rsid w:val="00D47533"/>
    <w:rsid w:val="00D51CFD"/>
    <w:rsid w:val="00D5414A"/>
    <w:rsid w:val="00D64C4B"/>
    <w:rsid w:val="00D65216"/>
    <w:rsid w:val="00D90495"/>
    <w:rsid w:val="00D94A81"/>
    <w:rsid w:val="00D95174"/>
    <w:rsid w:val="00DA17EB"/>
    <w:rsid w:val="00DA56CB"/>
    <w:rsid w:val="00DA64CA"/>
    <w:rsid w:val="00DC0250"/>
    <w:rsid w:val="00DE459F"/>
    <w:rsid w:val="00DF2C95"/>
    <w:rsid w:val="00DF3C5E"/>
    <w:rsid w:val="00E24A8D"/>
    <w:rsid w:val="00E3591B"/>
    <w:rsid w:val="00E3600C"/>
    <w:rsid w:val="00E366DB"/>
    <w:rsid w:val="00E42724"/>
    <w:rsid w:val="00E431A4"/>
    <w:rsid w:val="00E4392F"/>
    <w:rsid w:val="00E57A1C"/>
    <w:rsid w:val="00E60B9C"/>
    <w:rsid w:val="00E616DE"/>
    <w:rsid w:val="00E7774C"/>
    <w:rsid w:val="00E80395"/>
    <w:rsid w:val="00E820BC"/>
    <w:rsid w:val="00E86310"/>
    <w:rsid w:val="00EA53EB"/>
    <w:rsid w:val="00EC6040"/>
    <w:rsid w:val="00EE3FBB"/>
    <w:rsid w:val="00EF677D"/>
    <w:rsid w:val="00F02B91"/>
    <w:rsid w:val="00F05B8B"/>
    <w:rsid w:val="00F12784"/>
    <w:rsid w:val="00F33311"/>
    <w:rsid w:val="00F70CC9"/>
    <w:rsid w:val="00F855C3"/>
    <w:rsid w:val="00F87AB3"/>
    <w:rsid w:val="00F90F3D"/>
    <w:rsid w:val="00FA07B4"/>
    <w:rsid w:val="00FA1B75"/>
    <w:rsid w:val="00FA7B64"/>
    <w:rsid w:val="00FC5508"/>
    <w:rsid w:val="00FC6FDE"/>
    <w:rsid w:val="00FE1177"/>
    <w:rsid w:val="00FF7D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color w:val="000000"/>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spacing w:before="240" w:after="60"/>
      <w:outlineLvl w:val="0"/>
    </w:pPr>
    <w:rPr>
      <w:rFonts w:ascii="Cambria" w:eastAsia="Cambria" w:hAnsi="Cambria" w:cs="Cambria"/>
      <w:b/>
      <w:sz w:val="32"/>
      <w:szCs w:val="32"/>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spacing w:before="240" w:after="60"/>
      <w:outlineLvl w:val="2"/>
    </w:pPr>
    <w:rPr>
      <w:rFonts w:ascii="Cambria" w:eastAsia="Cambria" w:hAnsi="Cambria" w:cs="Cambria"/>
      <w:b/>
      <w:sz w:val="26"/>
      <w:szCs w:val="26"/>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paragraph" w:styleId="Titre7">
    <w:name w:val="heading 7"/>
    <w:basedOn w:val="Normal"/>
    <w:next w:val="Normal"/>
    <w:link w:val="Titre7Car"/>
    <w:uiPriority w:val="9"/>
    <w:unhideWhenUsed/>
    <w:qFormat/>
    <w:rsid w:val="00B0235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widowControl/>
      <w:jc w:val="center"/>
    </w:pPr>
    <w:rPr>
      <w:rFonts w:ascii="Arial" w:eastAsia="Arial" w:hAnsi="Arial" w:cs="Arial"/>
      <w:b/>
      <w:i/>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tte">
    <w:name w:val="header"/>
    <w:basedOn w:val="Normal"/>
    <w:link w:val="En-tteCar"/>
    <w:uiPriority w:val="99"/>
    <w:unhideWhenUsed/>
    <w:rsid w:val="00FC6FDE"/>
    <w:pPr>
      <w:tabs>
        <w:tab w:val="center" w:pos="4252"/>
        <w:tab w:val="right" w:pos="8504"/>
      </w:tabs>
    </w:pPr>
  </w:style>
  <w:style w:type="character" w:customStyle="1" w:styleId="En-tteCar">
    <w:name w:val="En-tête Car"/>
    <w:basedOn w:val="Policepardfaut"/>
    <w:link w:val="En-tte"/>
    <w:uiPriority w:val="99"/>
    <w:rsid w:val="00FC6FDE"/>
  </w:style>
  <w:style w:type="paragraph" w:styleId="Pieddepage">
    <w:name w:val="footer"/>
    <w:basedOn w:val="Normal"/>
    <w:link w:val="PieddepageCar"/>
    <w:uiPriority w:val="99"/>
    <w:unhideWhenUsed/>
    <w:rsid w:val="00FC6FDE"/>
    <w:pPr>
      <w:tabs>
        <w:tab w:val="center" w:pos="4252"/>
        <w:tab w:val="right" w:pos="8504"/>
      </w:tabs>
    </w:pPr>
  </w:style>
  <w:style w:type="character" w:customStyle="1" w:styleId="PieddepageCar">
    <w:name w:val="Pied de page Car"/>
    <w:basedOn w:val="Policepardfaut"/>
    <w:link w:val="Pieddepage"/>
    <w:uiPriority w:val="99"/>
    <w:rsid w:val="00FC6FDE"/>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303747"/>
    <w:rPr>
      <w:rFonts w:cs="Times New Roman"/>
      <w:vertAlign w:val="superscript"/>
    </w:rPr>
  </w:style>
  <w:style w:type="paragraph" w:styleId="Corpsdetexte">
    <w:name w:val="Body Text"/>
    <w:aliases w:val="Car"/>
    <w:basedOn w:val="Normal"/>
    <w:link w:val="CorpsdetexteCar"/>
    <w:uiPriority w:val="99"/>
    <w:rsid w:val="0030374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cs="Times New Roman"/>
      <w:color w:val="auto"/>
      <w:spacing w:val="-3"/>
      <w:szCs w:val="20"/>
      <w:lang w:val="es-ES_tradnl"/>
    </w:rPr>
  </w:style>
  <w:style w:type="character" w:customStyle="1" w:styleId="CorpsdetexteCar">
    <w:name w:val="Corps de texte Car"/>
    <w:aliases w:val="Car Car"/>
    <w:basedOn w:val="Policepardfaut"/>
    <w:link w:val="Corpsdetexte"/>
    <w:uiPriority w:val="99"/>
    <w:rsid w:val="00303747"/>
    <w:rPr>
      <w:rFonts w:ascii="Verdana" w:eastAsia="Times New Roman" w:hAnsi="Verdana" w:cs="Times New Roman"/>
      <w:color w:val="auto"/>
      <w:spacing w:val="-3"/>
      <w:szCs w:val="20"/>
      <w:lang w:val="es-ES_tradnl"/>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303747"/>
    <w:pPr>
      <w:widowControl/>
      <w:overflowPunct w:val="0"/>
      <w:autoSpaceDE w:val="0"/>
      <w:autoSpaceDN w:val="0"/>
      <w:adjustRightInd w:val="0"/>
      <w:textAlignment w:val="baseline"/>
    </w:pPr>
    <w:rPr>
      <w:rFonts w:ascii="Times New Roman" w:eastAsia="Times New Roman" w:hAnsi="Times New Roman" w:cs="Times New Roman"/>
      <w:color w:val="auto"/>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rsid w:val="00303747"/>
    <w:rPr>
      <w:rFonts w:ascii="Times New Roman" w:eastAsia="Times New Roman" w:hAnsi="Times New Roman" w:cs="Times New Roman"/>
      <w:color w:val="auto"/>
      <w:sz w:val="20"/>
      <w:szCs w:val="20"/>
    </w:rPr>
  </w:style>
  <w:style w:type="paragraph" w:styleId="Paragraphedeliste">
    <w:name w:val="List Paragraph"/>
    <w:basedOn w:val="Normal"/>
    <w:uiPriority w:val="99"/>
    <w:qFormat/>
    <w:rsid w:val="00303747"/>
    <w:pPr>
      <w:autoSpaceDE w:val="0"/>
      <w:autoSpaceDN w:val="0"/>
      <w:adjustRightInd w:val="0"/>
      <w:ind w:left="708"/>
    </w:pPr>
    <w:rPr>
      <w:rFonts w:eastAsia="Times New Roman"/>
      <w:color w:val="auto"/>
    </w:rPr>
  </w:style>
  <w:style w:type="paragraph" w:styleId="Sansinterligne">
    <w:name w:val="No Spacing"/>
    <w:link w:val="SansinterligneCar"/>
    <w:uiPriority w:val="1"/>
    <w:qFormat/>
    <w:rsid w:val="00303747"/>
    <w:pPr>
      <w:autoSpaceDE w:val="0"/>
      <w:autoSpaceDN w:val="0"/>
      <w:adjustRightInd w:val="0"/>
    </w:pPr>
    <w:rPr>
      <w:rFonts w:eastAsia="Times New Roman" w:cs="Times New Roman"/>
      <w:color w:val="auto"/>
      <w:szCs w:val="20"/>
    </w:rPr>
  </w:style>
  <w:style w:type="paragraph" w:styleId="Retraitcorpsdetexte2">
    <w:name w:val="Body Text Indent 2"/>
    <w:basedOn w:val="Normal"/>
    <w:link w:val="Retraitcorpsdetexte2Car"/>
    <w:uiPriority w:val="99"/>
    <w:unhideWhenUsed/>
    <w:rsid w:val="00303747"/>
    <w:pPr>
      <w:widowControl/>
      <w:overflowPunct w:val="0"/>
      <w:autoSpaceDE w:val="0"/>
      <w:autoSpaceDN w:val="0"/>
      <w:adjustRightInd w:val="0"/>
      <w:spacing w:after="120" w:line="480" w:lineRule="auto"/>
      <w:ind w:left="283"/>
      <w:textAlignment w:val="baseline"/>
    </w:pPr>
    <w:rPr>
      <w:rFonts w:ascii="Times New Roman" w:eastAsia="Times New Roman" w:hAnsi="Times New Roman" w:cs="Times New Roman"/>
      <w:color w:val="auto"/>
      <w:sz w:val="20"/>
      <w:szCs w:val="20"/>
      <w:lang w:val="es-ES_tradnl"/>
    </w:rPr>
  </w:style>
  <w:style w:type="character" w:customStyle="1" w:styleId="Retraitcorpsdetexte2Car">
    <w:name w:val="Retrait corps de texte 2 Car"/>
    <w:basedOn w:val="Policepardfaut"/>
    <w:link w:val="Retraitcorpsdetexte2"/>
    <w:uiPriority w:val="99"/>
    <w:rsid w:val="00303747"/>
    <w:rPr>
      <w:rFonts w:ascii="Times New Roman" w:eastAsia="Times New Roman" w:hAnsi="Times New Roman" w:cs="Times New Roman"/>
      <w:color w:val="auto"/>
      <w:sz w:val="20"/>
      <w:szCs w:val="20"/>
      <w:lang w:val="es-ES_tradnl"/>
    </w:rPr>
  </w:style>
  <w:style w:type="character" w:customStyle="1" w:styleId="SansinterligneCar">
    <w:name w:val="Sans interligne Car"/>
    <w:link w:val="Sansinterligne"/>
    <w:uiPriority w:val="1"/>
    <w:locked/>
    <w:rsid w:val="00303747"/>
    <w:rPr>
      <w:rFonts w:eastAsia="Times New Roman" w:cs="Times New Roman"/>
      <w:color w:val="auto"/>
      <w:szCs w:val="20"/>
    </w:rPr>
  </w:style>
  <w:style w:type="character" w:customStyle="1" w:styleId="Titre7Car">
    <w:name w:val="Titre 7 Car"/>
    <w:basedOn w:val="Policepardfaut"/>
    <w:link w:val="Titre7"/>
    <w:uiPriority w:val="9"/>
    <w:rsid w:val="00B02350"/>
    <w:rPr>
      <w:rFonts w:asciiTheme="majorHAnsi" w:eastAsiaTheme="majorEastAsia" w:hAnsiTheme="majorHAnsi" w:cstheme="majorBidi"/>
      <w:i/>
      <w:iCs/>
      <w:color w:val="1F4D78" w:themeColor="accent1" w:themeShade="7F"/>
    </w:rPr>
  </w:style>
  <w:style w:type="paragraph" w:styleId="Textedebulles">
    <w:name w:val="Balloon Text"/>
    <w:basedOn w:val="Normal"/>
    <w:link w:val="TextedebullesCar"/>
    <w:uiPriority w:val="99"/>
    <w:semiHidden/>
    <w:unhideWhenUsed/>
    <w:rsid w:val="00B02350"/>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2350"/>
    <w:rPr>
      <w:rFonts w:ascii="Segoe UI" w:hAnsi="Segoe UI" w:cs="Segoe UI"/>
      <w:sz w:val="18"/>
      <w:szCs w:val="18"/>
    </w:rPr>
  </w:style>
  <w:style w:type="character" w:customStyle="1" w:styleId="apple-converted-space">
    <w:name w:val="apple-converted-space"/>
    <w:basedOn w:val="Policepardfaut"/>
    <w:rsid w:val="00761D97"/>
  </w:style>
  <w:style w:type="paragraph" w:customStyle="1" w:styleId="Textopredeterminado">
    <w:name w:val="Texto predeterminado"/>
    <w:basedOn w:val="Normal"/>
    <w:uiPriority w:val="99"/>
    <w:rsid w:val="00962082"/>
    <w:pPr>
      <w:widowControl/>
      <w:overflowPunct w:val="0"/>
      <w:autoSpaceDE w:val="0"/>
      <w:autoSpaceDN w:val="0"/>
      <w:adjustRightInd w:val="0"/>
      <w:textAlignment w:val="baseline"/>
    </w:pPr>
    <w:rPr>
      <w:rFonts w:ascii="Times New Roman" w:eastAsia="Times New Roman" w:hAnsi="Times New Roman" w:cs="Times New Roman"/>
      <w:szCs w:val="20"/>
      <w:lang w:val="es-CO"/>
    </w:rPr>
  </w:style>
  <w:style w:type="character" w:styleId="Lienhypertexte">
    <w:name w:val="Hyperlink"/>
    <w:uiPriority w:val="99"/>
    <w:semiHidden/>
    <w:unhideWhenUsed/>
    <w:rsid w:val="00CC52C2"/>
    <w:rPr>
      <w:rFonts w:cs="Times New Roman"/>
      <w:color w:val="0000FF"/>
      <w:u w:val="single"/>
    </w:rPr>
  </w:style>
  <w:style w:type="paragraph" w:styleId="NormalWeb">
    <w:name w:val="Normal (Web)"/>
    <w:basedOn w:val="Normal"/>
    <w:uiPriority w:val="99"/>
    <w:semiHidden/>
    <w:unhideWhenUsed/>
    <w:rsid w:val="00D358B2"/>
    <w:pPr>
      <w:widowControl/>
      <w:spacing w:after="200" w:line="276" w:lineRule="auto"/>
    </w:pPr>
    <w:rPr>
      <w:rFonts w:ascii="Times New Roman" w:eastAsia="Times New Roman" w:hAnsi="Times New Roman" w:cs="Times New Roman"/>
      <w:color w:val="auto"/>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color w:val="000000"/>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spacing w:before="240" w:after="60"/>
      <w:outlineLvl w:val="0"/>
    </w:pPr>
    <w:rPr>
      <w:rFonts w:ascii="Cambria" w:eastAsia="Cambria" w:hAnsi="Cambria" w:cs="Cambria"/>
      <w:b/>
      <w:sz w:val="32"/>
      <w:szCs w:val="32"/>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spacing w:before="240" w:after="60"/>
      <w:outlineLvl w:val="2"/>
    </w:pPr>
    <w:rPr>
      <w:rFonts w:ascii="Cambria" w:eastAsia="Cambria" w:hAnsi="Cambria" w:cs="Cambria"/>
      <w:b/>
      <w:sz w:val="26"/>
      <w:szCs w:val="26"/>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paragraph" w:styleId="Titre7">
    <w:name w:val="heading 7"/>
    <w:basedOn w:val="Normal"/>
    <w:next w:val="Normal"/>
    <w:link w:val="Titre7Car"/>
    <w:uiPriority w:val="9"/>
    <w:unhideWhenUsed/>
    <w:qFormat/>
    <w:rsid w:val="00B0235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widowControl/>
      <w:jc w:val="center"/>
    </w:pPr>
    <w:rPr>
      <w:rFonts w:ascii="Arial" w:eastAsia="Arial" w:hAnsi="Arial" w:cs="Arial"/>
      <w:b/>
      <w:i/>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tte">
    <w:name w:val="header"/>
    <w:basedOn w:val="Normal"/>
    <w:link w:val="En-tteCar"/>
    <w:uiPriority w:val="99"/>
    <w:unhideWhenUsed/>
    <w:rsid w:val="00FC6FDE"/>
    <w:pPr>
      <w:tabs>
        <w:tab w:val="center" w:pos="4252"/>
        <w:tab w:val="right" w:pos="8504"/>
      </w:tabs>
    </w:pPr>
  </w:style>
  <w:style w:type="character" w:customStyle="1" w:styleId="En-tteCar">
    <w:name w:val="En-tête Car"/>
    <w:basedOn w:val="Policepardfaut"/>
    <w:link w:val="En-tte"/>
    <w:uiPriority w:val="99"/>
    <w:rsid w:val="00FC6FDE"/>
  </w:style>
  <w:style w:type="paragraph" w:styleId="Pieddepage">
    <w:name w:val="footer"/>
    <w:basedOn w:val="Normal"/>
    <w:link w:val="PieddepageCar"/>
    <w:uiPriority w:val="99"/>
    <w:unhideWhenUsed/>
    <w:rsid w:val="00FC6FDE"/>
    <w:pPr>
      <w:tabs>
        <w:tab w:val="center" w:pos="4252"/>
        <w:tab w:val="right" w:pos="8504"/>
      </w:tabs>
    </w:pPr>
  </w:style>
  <w:style w:type="character" w:customStyle="1" w:styleId="PieddepageCar">
    <w:name w:val="Pied de page Car"/>
    <w:basedOn w:val="Policepardfaut"/>
    <w:link w:val="Pieddepage"/>
    <w:uiPriority w:val="99"/>
    <w:rsid w:val="00FC6FDE"/>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303747"/>
    <w:rPr>
      <w:rFonts w:cs="Times New Roman"/>
      <w:vertAlign w:val="superscript"/>
    </w:rPr>
  </w:style>
  <w:style w:type="paragraph" w:styleId="Corpsdetexte">
    <w:name w:val="Body Text"/>
    <w:aliases w:val="Car"/>
    <w:basedOn w:val="Normal"/>
    <w:link w:val="CorpsdetexteCar"/>
    <w:uiPriority w:val="99"/>
    <w:rsid w:val="0030374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cs="Times New Roman"/>
      <w:color w:val="auto"/>
      <w:spacing w:val="-3"/>
      <w:szCs w:val="20"/>
      <w:lang w:val="es-ES_tradnl"/>
    </w:rPr>
  </w:style>
  <w:style w:type="character" w:customStyle="1" w:styleId="CorpsdetexteCar">
    <w:name w:val="Corps de texte Car"/>
    <w:aliases w:val="Car Car"/>
    <w:basedOn w:val="Policepardfaut"/>
    <w:link w:val="Corpsdetexte"/>
    <w:uiPriority w:val="99"/>
    <w:rsid w:val="00303747"/>
    <w:rPr>
      <w:rFonts w:ascii="Verdana" w:eastAsia="Times New Roman" w:hAnsi="Verdana" w:cs="Times New Roman"/>
      <w:color w:val="auto"/>
      <w:spacing w:val="-3"/>
      <w:szCs w:val="20"/>
      <w:lang w:val="es-ES_tradnl"/>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303747"/>
    <w:pPr>
      <w:widowControl/>
      <w:overflowPunct w:val="0"/>
      <w:autoSpaceDE w:val="0"/>
      <w:autoSpaceDN w:val="0"/>
      <w:adjustRightInd w:val="0"/>
      <w:textAlignment w:val="baseline"/>
    </w:pPr>
    <w:rPr>
      <w:rFonts w:ascii="Times New Roman" w:eastAsia="Times New Roman" w:hAnsi="Times New Roman" w:cs="Times New Roman"/>
      <w:color w:val="auto"/>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rsid w:val="00303747"/>
    <w:rPr>
      <w:rFonts w:ascii="Times New Roman" w:eastAsia="Times New Roman" w:hAnsi="Times New Roman" w:cs="Times New Roman"/>
      <w:color w:val="auto"/>
      <w:sz w:val="20"/>
      <w:szCs w:val="20"/>
    </w:rPr>
  </w:style>
  <w:style w:type="paragraph" w:styleId="Paragraphedeliste">
    <w:name w:val="List Paragraph"/>
    <w:basedOn w:val="Normal"/>
    <w:uiPriority w:val="99"/>
    <w:qFormat/>
    <w:rsid w:val="00303747"/>
    <w:pPr>
      <w:autoSpaceDE w:val="0"/>
      <w:autoSpaceDN w:val="0"/>
      <w:adjustRightInd w:val="0"/>
      <w:ind w:left="708"/>
    </w:pPr>
    <w:rPr>
      <w:rFonts w:eastAsia="Times New Roman"/>
      <w:color w:val="auto"/>
    </w:rPr>
  </w:style>
  <w:style w:type="paragraph" w:styleId="Sansinterligne">
    <w:name w:val="No Spacing"/>
    <w:link w:val="SansinterligneCar"/>
    <w:uiPriority w:val="1"/>
    <w:qFormat/>
    <w:rsid w:val="00303747"/>
    <w:pPr>
      <w:autoSpaceDE w:val="0"/>
      <w:autoSpaceDN w:val="0"/>
      <w:adjustRightInd w:val="0"/>
    </w:pPr>
    <w:rPr>
      <w:rFonts w:eastAsia="Times New Roman" w:cs="Times New Roman"/>
      <w:color w:val="auto"/>
      <w:szCs w:val="20"/>
    </w:rPr>
  </w:style>
  <w:style w:type="paragraph" w:styleId="Retraitcorpsdetexte2">
    <w:name w:val="Body Text Indent 2"/>
    <w:basedOn w:val="Normal"/>
    <w:link w:val="Retraitcorpsdetexte2Car"/>
    <w:uiPriority w:val="99"/>
    <w:unhideWhenUsed/>
    <w:rsid w:val="00303747"/>
    <w:pPr>
      <w:widowControl/>
      <w:overflowPunct w:val="0"/>
      <w:autoSpaceDE w:val="0"/>
      <w:autoSpaceDN w:val="0"/>
      <w:adjustRightInd w:val="0"/>
      <w:spacing w:after="120" w:line="480" w:lineRule="auto"/>
      <w:ind w:left="283"/>
      <w:textAlignment w:val="baseline"/>
    </w:pPr>
    <w:rPr>
      <w:rFonts w:ascii="Times New Roman" w:eastAsia="Times New Roman" w:hAnsi="Times New Roman" w:cs="Times New Roman"/>
      <w:color w:val="auto"/>
      <w:sz w:val="20"/>
      <w:szCs w:val="20"/>
      <w:lang w:val="es-ES_tradnl"/>
    </w:rPr>
  </w:style>
  <w:style w:type="character" w:customStyle="1" w:styleId="Retraitcorpsdetexte2Car">
    <w:name w:val="Retrait corps de texte 2 Car"/>
    <w:basedOn w:val="Policepardfaut"/>
    <w:link w:val="Retraitcorpsdetexte2"/>
    <w:uiPriority w:val="99"/>
    <w:rsid w:val="00303747"/>
    <w:rPr>
      <w:rFonts w:ascii="Times New Roman" w:eastAsia="Times New Roman" w:hAnsi="Times New Roman" w:cs="Times New Roman"/>
      <w:color w:val="auto"/>
      <w:sz w:val="20"/>
      <w:szCs w:val="20"/>
      <w:lang w:val="es-ES_tradnl"/>
    </w:rPr>
  </w:style>
  <w:style w:type="character" w:customStyle="1" w:styleId="SansinterligneCar">
    <w:name w:val="Sans interligne Car"/>
    <w:link w:val="Sansinterligne"/>
    <w:uiPriority w:val="1"/>
    <w:locked/>
    <w:rsid w:val="00303747"/>
    <w:rPr>
      <w:rFonts w:eastAsia="Times New Roman" w:cs="Times New Roman"/>
      <w:color w:val="auto"/>
      <w:szCs w:val="20"/>
    </w:rPr>
  </w:style>
  <w:style w:type="character" w:customStyle="1" w:styleId="Titre7Car">
    <w:name w:val="Titre 7 Car"/>
    <w:basedOn w:val="Policepardfaut"/>
    <w:link w:val="Titre7"/>
    <w:uiPriority w:val="9"/>
    <w:rsid w:val="00B02350"/>
    <w:rPr>
      <w:rFonts w:asciiTheme="majorHAnsi" w:eastAsiaTheme="majorEastAsia" w:hAnsiTheme="majorHAnsi" w:cstheme="majorBidi"/>
      <w:i/>
      <w:iCs/>
      <w:color w:val="1F4D78" w:themeColor="accent1" w:themeShade="7F"/>
    </w:rPr>
  </w:style>
  <w:style w:type="paragraph" w:styleId="Textedebulles">
    <w:name w:val="Balloon Text"/>
    <w:basedOn w:val="Normal"/>
    <w:link w:val="TextedebullesCar"/>
    <w:uiPriority w:val="99"/>
    <w:semiHidden/>
    <w:unhideWhenUsed/>
    <w:rsid w:val="00B02350"/>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2350"/>
    <w:rPr>
      <w:rFonts w:ascii="Segoe UI" w:hAnsi="Segoe UI" w:cs="Segoe UI"/>
      <w:sz w:val="18"/>
      <w:szCs w:val="18"/>
    </w:rPr>
  </w:style>
  <w:style w:type="character" w:customStyle="1" w:styleId="apple-converted-space">
    <w:name w:val="apple-converted-space"/>
    <w:basedOn w:val="Policepardfaut"/>
    <w:rsid w:val="00761D97"/>
  </w:style>
  <w:style w:type="paragraph" w:customStyle="1" w:styleId="Textopredeterminado">
    <w:name w:val="Texto predeterminado"/>
    <w:basedOn w:val="Normal"/>
    <w:uiPriority w:val="99"/>
    <w:rsid w:val="00962082"/>
    <w:pPr>
      <w:widowControl/>
      <w:overflowPunct w:val="0"/>
      <w:autoSpaceDE w:val="0"/>
      <w:autoSpaceDN w:val="0"/>
      <w:adjustRightInd w:val="0"/>
      <w:textAlignment w:val="baseline"/>
    </w:pPr>
    <w:rPr>
      <w:rFonts w:ascii="Times New Roman" w:eastAsia="Times New Roman" w:hAnsi="Times New Roman" w:cs="Times New Roman"/>
      <w:szCs w:val="20"/>
      <w:lang w:val="es-CO"/>
    </w:rPr>
  </w:style>
  <w:style w:type="character" w:styleId="Lienhypertexte">
    <w:name w:val="Hyperlink"/>
    <w:uiPriority w:val="99"/>
    <w:semiHidden/>
    <w:unhideWhenUsed/>
    <w:rsid w:val="00CC52C2"/>
    <w:rPr>
      <w:rFonts w:cs="Times New Roman"/>
      <w:color w:val="0000FF"/>
      <w:u w:val="single"/>
    </w:rPr>
  </w:style>
  <w:style w:type="paragraph" w:styleId="NormalWeb">
    <w:name w:val="Normal (Web)"/>
    <w:basedOn w:val="Normal"/>
    <w:uiPriority w:val="99"/>
    <w:semiHidden/>
    <w:unhideWhenUsed/>
    <w:rsid w:val="00D358B2"/>
    <w:pPr>
      <w:widowControl/>
      <w:spacing w:after="200" w:line="276" w:lineRule="auto"/>
    </w:pPr>
    <w:rPr>
      <w:rFonts w:ascii="Times New Roman" w:eastAsia="Times New Roman" w:hAnsi="Times New Roman" w:cs="Times New Roman"/>
      <w:color w:val="auto"/>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4061">
      <w:bodyDiv w:val="1"/>
      <w:marLeft w:val="0"/>
      <w:marRight w:val="0"/>
      <w:marTop w:val="0"/>
      <w:marBottom w:val="0"/>
      <w:divBdr>
        <w:top w:val="none" w:sz="0" w:space="0" w:color="auto"/>
        <w:left w:val="none" w:sz="0" w:space="0" w:color="auto"/>
        <w:bottom w:val="none" w:sz="0" w:space="0" w:color="auto"/>
        <w:right w:val="none" w:sz="0" w:space="0" w:color="auto"/>
      </w:divBdr>
    </w:div>
    <w:div w:id="333651199">
      <w:bodyDiv w:val="1"/>
      <w:marLeft w:val="0"/>
      <w:marRight w:val="0"/>
      <w:marTop w:val="0"/>
      <w:marBottom w:val="0"/>
      <w:divBdr>
        <w:top w:val="none" w:sz="0" w:space="0" w:color="auto"/>
        <w:left w:val="none" w:sz="0" w:space="0" w:color="auto"/>
        <w:bottom w:val="none" w:sz="0" w:space="0" w:color="auto"/>
        <w:right w:val="none" w:sz="0" w:space="0" w:color="auto"/>
      </w:divBdr>
    </w:div>
    <w:div w:id="352650267">
      <w:bodyDiv w:val="1"/>
      <w:marLeft w:val="0"/>
      <w:marRight w:val="0"/>
      <w:marTop w:val="0"/>
      <w:marBottom w:val="0"/>
      <w:divBdr>
        <w:top w:val="none" w:sz="0" w:space="0" w:color="auto"/>
        <w:left w:val="none" w:sz="0" w:space="0" w:color="auto"/>
        <w:bottom w:val="none" w:sz="0" w:space="0" w:color="auto"/>
        <w:right w:val="none" w:sz="0" w:space="0" w:color="auto"/>
      </w:divBdr>
    </w:div>
    <w:div w:id="1726365661">
      <w:bodyDiv w:val="1"/>
      <w:marLeft w:val="0"/>
      <w:marRight w:val="0"/>
      <w:marTop w:val="0"/>
      <w:marBottom w:val="0"/>
      <w:divBdr>
        <w:top w:val="none" w:sz="0" w:space="0" w:color="auto"/>
        <w:left w:val="none" w:sz="0" w:space="0" w:color="auto"/>
        <w:bottom w:val="none" w:sz="0" w:space="0" w:color="auto"/>
        <w:right w:val="none" w:sz="0" w:space="0" w:color="auto"/>
      </w:divBdr>
    </w:div>
    <w:div w:id="2098599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B7A4E-43A3-43E0-9E5A-F33AF57A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2739</Words>
  <Characters>15065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Granados Alvarez</dc:creator>
  <cp:keywords/>
  <dc:description/>
  <cp:lastModifiedBy>Malucimedina</cp:lastModifiedBy>
  <cp:revision>8</cp:revision>
  <cp:lastPrinted>2017-04-24T14:05:00Z</cp:lastPrinted>
  <dcterms:created xsi:type="dcterms:W3CDTF">2017-04-24T12:10:00Z</dcterms:created>
  <dcterms:modified xsi:type="dcterms:W3CDTF">2017-06-21T04:14:00Z</dcterms:modified>
</cp:coreProperties>
</file>