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1D" w:rsidRPr="001A531D" w:rsidRDefault="001A531D" w:rsidP="001A531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bookmarkStart w:id="0" w:name="_GoBack"/>
      <w:bookmarkEnd w:id="0"/>
      <w:r w:rsidRPr="001A531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A531D">
        <w:rPr>
          <w:rFonts w:ascii="Calibri" w:eastAsia="Calibri" w:hAnsi="Calibri" w:cs="Calibri"/>
          <w:color w:val="222222"/>
          <w:sz w:val="18"/>
          <w:szCs w:val="18"/>
          <w:lang w:val="es-CO" w:eastAsia="fr-FR"/>
        </w:rPr>
        <w:t> </w:t>
      </w:r>
    </w:p>
    <w:p w:rsidR="00EE7CA4" w:rsidRPr="001A531D" w:rsidRDefault="00EE7CA4"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1A531D">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1A531D">
        <w:rPr>
          <w:rFonts w:ascii="Arial" w:hAnsi="Arial" w:cs="Arial"/>
          <w:sz w:val="22"/>
          <w:szCs w:val="22"/>
        </w:rPr>
        <w:t>– 1ª instancia – 24 de abril de 2017</w:t>
      </w:r>
    </w:p>
    <w:p w:rsidR="001A531D" w:rsidRPr="002060F5" w:rsidRDefault="001A531D"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Niega amparos solicitados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921879">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9F0C5D">
        <w:rPr>
          <w:rFonts w:ascii="Arial" w:hAnsi="Arial" w:cs="Arial"/>
          <w:sz w:val="22"/>
        </w:rPr>
        <w:t>Promiscuo del Circuito de La Virginia, R. y/o</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w:t>
      </w:r>
      <w:r w:rsidR="009F0C5D">
        <w:rPr>
          <w:rFonts w:ascii="Arial" w:hAnsi="Arial" w:cs="Arial"/>
          <w:sz w:val="22"/>
          <w:szCs w:val="22"/>
        </w:rPr>
        <w:t>,</w:t>
      </w:r>
      <w:r w:rsidRPr="00964618">
        <w:rPr>
          <w:rFonts w:ascii="Arial" w:hAnsi="Arial" w:cs="Arial"/>
          <w:sz w:val="22"/>
          <w:szCs w:val="22"/>
        </w:rPr>
        <w:t xml:space="preserve"> Regional </w:t>
      </w:r>
      <w:r w:rsidR="009F0C5D">
        <w:rPr>
          <w:rFonts w:ascii="Arial" w:hAnsi="Arial" w:cs="Arial"/>
          <w:sz w:val="22"/>
          <w:szCs w:val="22"/>
        </w:rPr>
        <w:t xml:space="preserve">Risaralda </w:t>
      </w:r>
      <w:r w:rsidRPr="00964618">
        <w:rPr>
          <w:rFonts w:ascii="Arial" w:hAnsi="Arial" w:cs="Arial"/>
          <w:sz w:val="22"/>
          <w:szCs w:val="22"/>
        </w:rPr>
        <w:t>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9F0C5D">
        <w:rPr>
          <w:rFonts w:ascii="Arial" w:hAnsi="Arial" w:cs="Arial"/>
          <w:sz w:val="22"/>
        </w:rPr>
        <w:t>2017-00326-00, 2017-00327-00 y 2017-00333-00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E7150C" w:rsidRDefault="00E7150C" w:rsidP="00E7150C">
      <w:pPr>
        <w:tabs>
          <w:tab w:val="left" w:pos="851"/>
          <w:tab w:val="left" w:pos="1416"/>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Acta número</w:t>
      </w:r>
      <w:r>
        <w:rPr>
          <w:rFonts w:ascii="Arial" w:hAnsi="Arial" w:cs="Arial"/>
          <w:sz w:val="22"/>
          <w:szCs w:val="22"/>
        </w:rPr>
        <w:tab/>
      </w:r>
      <w:r>
        <w:rPr>
          <w:rFonts w:ascii="Arial" w:hAnsi="Arial" w:cs="Arial"/>
          <w:sz w:val="22"/>
          <w:szCs w:val="22"/>
        </w:rPr>
        <w:tab/>
        <w:t>: 205 de 24-04-2017</w:t>
      </w:r>
    </w:p>
    <w:p w:rsidR="001A531D" w:rsidRPr="001A531D" w:rsidRDefault="001A531D" w:rsidP="001A531D">
      <w:pPr>
        <w:pStyle w:val="Corpsdetexte"/>
        <w:spacing w:line="240" w:lineRule="auto"/>
        <w:rPr>
          <w:rFonts w:ascii="Arial" w:hAnsi="Arial" w:cs="Arial"/>
          <w:sz w:val="16"/>
          <w:szCs w:val="16"/>
        </w:rPr>
      </w:pPr>
    </w:p>
    <w:p w:rsidR="001A531D" w:rsidRPr="001A531D" w:rsidRDefault="001A531D" w:rsidP="001A531D">
      <w:pPr>
        <w:pStyle w:val="Corpsdetexte"/>
        <w:spacing w:line="240" w:lineRule="auto"/>
        <w:ind w:left="1416" w:hanging="1416"/>
        <w:rPr>
          <w:rFonts w:ascii="Arial" w:hAnsi="Arial" w:cs="Arial"/>
          <w:b/>
          <w:sz w:val="22"/>
          <w:szCs w:val="22"/>
        </w:rPr>
      </w:pPr>
      <w:r w:rsidRPr="001A531D">
        <w:rPr>
          <w:rFonts w:ascii="Arial" w:hAnsi="Arial" w:cs="Arial"/>
          <w:b/>
          <w:sz w:val="22"/>
          <w:szCs w:val="22"/>
        </w:rPr>
        <w:tab/>
      </w:r>
      <w:r w:rsidRPr="001A531D">
        <w:rPr>
          <w:rFonts w:ascii="Arial" w:hAnsi="Arial" w:cs="Arial"/>
          <w:b/>
          <w:sz w:val="22"/>
          <w:szCs w:val="22"/>
        </w:rPr>
        <w:tab/>
        <w:t>TEMAS</w:t>
      </w:r>
      <w:r w:rsidRPr="001A531D">
        <w:rPr>
          <w:rFonts w:ascii="Arial" w:hAnsi="Arial" w:cs="Arial"/>
          <w:b/>
          <w:sz w:val="22"/>
          <w:szCs w:val="22"/>
        </w:rPr>
        <w:tab/>
      </w:r>
      <w:r w:rsidRPr="001A531D">
        <w:rPr>
          <w:rFonts w:ascii="Arial" w:hAnsi="Arial" w:cs="Arial"/>
          <w:b/>
          <w:sz w:val="22"/>
          <w:szCs w:val="22"/>
        </w:rPr>
        <w:tab/>
        <w:t>: INEXISTENCIA DE VULNERACIÓN</w:t>
      </w:r>
      <w:r>
        <w:rPr>
          <w:rFonts w:ascii="Arial" w:hAnsi="Arial" w:cs="Arial"/>
          <w:b/>
          <w:sz w:val="22"/>
          <w:szCs w:val="22"/>
        </w:rPr>
        <w:t xml:space="preserve">. </w:t>
      </w:r>
      <w:r w:rsidRPr="001A531D">
        <w:rPr>
          <w:rFonts w:ascii="Arial" w:hAnsi="Arial" w:cs="Arial"/>
          <w:sz w:val="22"/>
          <w:szCs w:val="22"/>
        </w:rPr>
        <w:t xml:space="preserve">“Pretendía el accionante que se le resolviera sobre la admisión de las acciones populares atrás referenciadas, pero advierte la Sala que la </w:t>
      </w:r>
      <w:r w:rsidRPr="001A531D">
        <w:rPr>
          <w:rFonts w:ascii="Arial" w:hAnsi="Arial" w:cs="Arial"/>
          <w:i/>
          <w:sz w:val="22"/>
          <w:szCs w:val="22"/>
        </w:rPr>
        <w:t>a quo</w:t>
      </w:r>
      <w:r w:rsidRPr="001A531D">
        <w:rPr>
          <w:rFonts w:ascii="Arial" w:hAnsi="Arial" w:cs="Arial"/>
          <w:sz w:val="22"/>
          <w:szCs w:val="22"/>
        </w:rPr>
        <w:t xml:space="preserve"> con decisión del 03-04-2017, notificada en el estado del día </w:t>
      </w:r>
      <w:r w:rsidRPr="001A531D">
        <w:rPr>
          <w:rFonts w:ascii="Arial" w:hAnsi="Arial" w:cs="Arial"/>
          <w:sz w:val="22"/>
          <w:szCs w:val="22"/>
          <w:lang w:val="es-CO"/>
        </w:rPr>
        <w:t xml:space="preserve">04-04-2017 (Folios 17 vuelto y 18, 20 vuelto y 21 y 23 vuelto y 24, ib.), </w:t>
      </w:r>
      <w:r w:rsidRPr="001A531D">
        <w:rPr>
          <w:rFonts w:ascii="Arial" w:hAnsi="Arial" w:cs="Arial"/>
          <w:sz w:val="22"/>
          <w:szCs w:val="22"/>
        </w:rPr>
        <w:t xml:space="preserve">previamente a que se presentaran los amparos, ya había proferido los autos </w:t>
      </w:r>
      <w:proofErr w:type="spellStart"/>
      <w:r w:rsidRPr="001A531D">
        <w:rPr>
          <w:rFonts w:ascii="Arial" w:hAnsi="Arial" w:cs="Arial"/>
          <w:sz w:val="22"/>
          <w:szCs w:val="22"/>
        </w:rPr>
        <w:t>inadmisorios</w:t>
      </w:r>
      <w:proofErr w:type="spellEnd"/>
      <w:r w:rsidRPr="001A531D">
        <w:rPr>
          <w:rFonts w:ascii="Arial" w:hAnsi="Arial" w:cs="Arial"/>
          <w:sz w:val="22"/>
          <w:szCs w:val="22"/>
        </w:rPr>
        <w:t>. Si bien no lo hizo dentro de los plazos ley (Artículo 20 de la Ley 472), pues, las acciones fueron repartidas el 27-03-2017 (Folios 17, 20 y 23, ib.) y el término para decidir venció el día 30-03-2017, se observa que cesó la vulneración o amenazada al debido proceso. En consecuencia</w:t>
      </w:r>
      <w:r w:rsidRPr="001A531D">
        <w:rPr>
          <w:rFonts w:ascii="Arial" w:hAnsi="Arial" w:cs="Arial"/>
          <w:sz w:val="22"/>
          <w:szCs w:val="22"/>
          <w:lang w:val="es-CO"/>
        </w:rPr>
        <w:t>, estima esta Magistratura que</w:t>
      </w:r>
      <w:r w:rsidRPr="001A531D">
        <w:rPr>
          <w:rFonts w:ascii="Arial" w:hAnsi="Arial" w:cs="Arial"/>
          <w:sz w:val="22"/>
          <w:szCs w:val="22"/>
        </w:rPr>
        <w:t xml:space="preserve"> luce evidente la inexistencia de vulneración o amenaza del derecho al debido proceso alegado por el actor, dado que el juzgado ya había decidido sobre su admisibilidad, de tal suerte que se negarán los presentes amparos.”.</w:t>
      </w:r>
      <w:r w:rsidRPr="001A531D">
        <w:rPr>
          <w:rFonts w:ascii="Arial" w:hAnsi="Arial" w:cs="Arial"/>
          <w:b/>
          <w:sz w:val="22"/>
          <w:szCs w:val="22"/>
        </w:rPr>
        <w:t xml:space="preserve"> </w:t>
      </w:r>
    </w:p>
    <w:p w:rsidR="00E7150C" w:rsidRPr="00E7150C" w:rsidRDefault="00E7150C" w:rsidP="00E7150C">
      <w:pPr>
        <w:pBdr>
          <w:bottom w:val="double" w:sz="6" w:space="1" w:color="auto"/>
        </w:pBdr>
        <w:spacing w:line="360" w:lineRule="auto"/>
        <w:jc w:val="center"/>
        <w:rPr>
          <w:rFonts w:ascii="Arial" w:hAnsi="Arial" w:cs="Arial"/>
          <w:b/>
          <w:bCs/>
          <w:sz w:val="18"/>
          <w:szCs w:val="22"/>
        </w:rPr>
      </w:pPr>
    </w:p>
    <w:p w:rsidR="00E7150C" w:rsidRPr="00E7150C" w:rsidRDefault="00E7150C" w:rsidP="00E7150C">
      <w:pPr>
        <w:spacing w:line="360" w:lineRule="auto"/>
        <w:jc w:val="center"/>
        <w:rPr>
          <w:rFonts w:ascii="Arial" w:hAnsi="Arial" w:cs="Arial"/>
          <w:b/>
          <w:bCs/>
          <w:sz w:val="28"/>
          <w:szCs w:val="22"/>
        </w:rPr>
      </w:pPr>
    </w:p>
    <w:p w:rsidR="00E7150C" w:rsidRDefault="00E7150C" w:rsidP="00E7150C">
      <w:pPr>
        <w:spacing w:line="360" w:lineRule="auto"/>
        <w:jc w:val="center"/>
        <w:rPr>
          <w:rFonts w:ascii="Arial" w:hAnsi="Arial" w:cs="Arial"/>
          <w:sz w:val="28"/>
        </w:rPr>
      </w:pPr>
      <w:r>
        <w:rPr>
          <w:rFonts w:ascii="Arial" w:hAnsi="Arial" w:cs="Arial"/>
          <w:smallCaps/>
          <w:sz w:val="28"/>
        </w:rPr>
        <w:t>Pereira, R., veinticuatro (24) de abril de dos mil diecisiete (2017)</w:t>
      </w:r>
      <w:r>
        <w:rPr>
          <w:rFonts w:ascii="Arial" w:hAnsi="Arial" w:cs="Arial"/>
          <w:sz w:val="28"/>
        </w:rPr>
        <w:t>.</w:t>
      </w:r>
    </w:p>
    <w:p w:rsidR="003879F0" w:rsidRPr="009C04FD" w:rsidRDefault="003879F0" w:rsidP="0099045D">
      <w:pPr>
        <w:spacing w:line="360" w:lineRule="auto"/>
        <w:jc w:val="center"/>
        <w:rPr>
          <w:rFonts w:ascii="Arial" w:hAnsi="Arial" w:cs="Arial"/>
          <w:b/>
          <w:bCs/>
          <w:sz w:val="18"/>
          <w:lang w:val="es-CO"/>
        </w:rPr>
      </w:pPr>
    </w:p>
    <w:p w:rsidR="00CB272A" w:rsidRPr="0017728F" w:rsidRDefault="0017728F"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17728F">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9F0C5D">
        <w:rPr>
          <w:rFonts w:ascii="Arial" w:hAnsi="Arial"/>
          <w:szCs w:val="24"/>
        </w:rPr>
        <w:t>de la referencia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Pr="00BA69B4" w:rsidRDefault="00CB272A" w:rsidP="00CB272A">
      <w:pPr>
        <w:pStyle w:val="Corpsdetexte"/>
        <w:spacing w:line="360" w:lineRule="auto"/>
        <w:rPr>
          <w:rFonts w:ascii="Arial" w:hAnsi="Arial"/>
          <w:szCs w:val="24"/>
        </w:rPr>
      </w:pPr>
    </w:p>
    <w:p w:rsidR="00CB272A" w:rsidRPr="0017728F" w:rsidRDefault="0017728F"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 presentó ante el accionado las acciones populares radicadas a los Nos.</w:t>
      </w:r>
      <w:r w:rsidR="009F0C5D">
        <w:rPr>
          <w:rFonts w:ascii="Arial" w:hAnsi="Arial" w:cs="Arial"/>
        </w:rPr>
        <w:t>2017-00140-00, 2017-00139-00 y 2017-00133-00</w:t>
      </w:r>
      <w:r>
        <w:rPr>
          <w:rFonts w:ascii="Arial" w:hAnsi="Arial" w:cs="Arial"/>
        </w:rPr>
        <w:t xml:space="preserve"> </w:t>
      </w:r>
      <w:r w:rsidR="009F0C5D">
        <w:rPr>
          <w:rFonts w:ascii="Arial" w:hAnsi="Arial" w:cs="Arial"/>
        </w:rPr>
        <w:t xml:space="preserve">y </w:t>
      </w:r>
      <w:r>
        <w:rPr>
          <w:rFonts w:ascii="Arial" w:hAnsi="Arial" w:cs="Arial"/>
        </w:rPr>
        <w:t xml:space="preserve">a la fecha </w:t>
      </w:r>
      <w:r w:rsidR="009F0C5D">
        <w:rPr>
          <w:rFonts w:ascii="Arial" w:hAnsi="Arial" w:cs="Arial"/>
        </w:rPr>
        <w:t xml:space="preserve">aún </w:t>
      </w:r>
      <w:r>
        <w:rPr>
          <w:rFonts w:ascii="Arial" w:hAnsi="Arial" w:cs="Arial"/>
        </w:rPr>
        <w:t xml:space="preserve">no </w:t>
      </w:r>
      <w:r w:rsidR="001B6BBA">
        <w:rPr>
          <w:rFonts w:ascii="Arial" w:hAnsi="Arial" w:cs="Arial"/>
        </w:rPr>
        <w:t xml:space="preserve">ha resuelto sobre su admisión </w:t>
      </w:r>
      <w:r w:rsidRPr="00AF753A">
        <w:rPr>
          <w:rFonts w:ascii="Arial" w:hAnsi="Arial" w:cs="Arial"/>
        </w:rPr>
        <w:t>(Folio</w:t>
      </w:r>
      <w:r w:rsidR="001B6BBA">
        <w:rPr>
          <w:rFonts w:ascii="Arial" w:hAnsi="Arial" w:cs="Arial"/>
        </w:rPr>
        <w:t>s</w:t>
      </w:r>
      <w:r>
        <w:rPr>
          <w:rFonts w:ascii="Arial" w:hAnsi="Arial" w:cs="Arial"/>
        </w:rPr>
        <w:t xml:space="preserve"> 1</w:t>
      </w:r>
      <w:r w:rsidR="00BC590E">
        <w:rPr>
          <w:rFonts w:ascii="Arial" w:hAnsi="Arial" w:cs="Arial"/>
        </w:rPr>
        <w:t xml:space="preserve">, </w:t>
      </w:r>
      <w:r w:rsidR="009F0C5D">
        <w:rPr>
          <w:rFonts w:ascii="Arial" w:hAnsi="Arial" w:cs="Arial"/>
        </w:rPr>
        <w:t>4 y 7, este cuaderno</w:t>
      </w:r>
      <w:r>
        <w:rPr>
          <w:rFonts w:ascii="Arial" w:hAnsi="Arial" w:cs="Arial"/>
        </w:rPr>
        <w:t>)</w:t>
      </w:r>
      <w:r w:rsidRPr="00AF753A">
        <w:rPr>
          <w:rFonts w:ascii="Arial" w:hAnsi="Arial" w:cs="Arial"/>
        </w:rPr>
        <w:t xml:space="preserve">. </w:t>
      </w:r>
    </w:p>
    <w:p w:rsidR="0099045D" w:rsidRPr="0017728F" w:rsidRDefault="0017728F"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17728F">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 xml:space="preserve">los derechos fundamentales </w:t>
      </w:r>
      <w:r w:rsidR="001F39EA">
        <w:rPr>
          <w:rFonts w:ascii="Arial" w:hAnsi="Arial" w:cs="Arial"/>
          <w:spacing w:val="-3"/>
          <w:lang w:val="es-ES_tradnl"/>
        </w:rPr>
        <w:t xml:space="preserve">a </w:t>
      </w:r>
      <w:r w:rsidR="001F39EA" w:rsidRPr="001F39EA">
        <w:rPr>
          <w:rFonts w:ascii="Arial" w:hAnsi="Arial" w:cs="Arial"/>
          <w:i/>
          <w:spacing w:val="-3"/>
          <w:sz w:val="22"/>
          <w:lang w:val="es-ES_tradnl"/>
        </w:rPr>
        <w:t>“(…) mis garantías</w:t>
      </w:r>
      <w:r w:rsidR="001F39EA" w:rsidRPr="001F39EA">
        <w:rPr>
          <w:rFonts w:ascii="Arial" w:hAnsi="Arial" w:cs="Arial"/>
          <w:i/>
          <w:spacing w:val="-3"/>
          <w:sz w:val="22"/>
          <w:lang w:val="es-CO"/>
        </w:rPr>
        <w:t xml:space="preserve"> procesales (…)”</w:t>
      </w:r>
      <w:r w:rsidR="001F39EA">
        <w:rPr>
          <w:rFonts w:ascii="Arial" w:hAnsi="Arial" w:cs="Arial"/>
          <w:spacing w:val="-3"/>
          <w:lang w:val="es-CO"/>
        </w:rPr>
        <w:t xml:space="preserve"> y al </w:t>
      </w:r>
      <w:r w:rsidR="00C8311A">
        <w:rPr>
          <w:rFonts w:ascii="Arial" w:hAnsi="Arial" w:cs="Arial"/>
          <w:spacing w:val="-3"/>
          <w:lang w:val="es-ES_tradnl"/>
        </w:rPr>
        <w:t>debido proceso</w:t>
      </w:r>
      <w:r w:rsidR="009C1B3A">
        <w:rPr>
          <w:rFonts w:ascii="Arial" w:hAnsi="Arial" w:cs="Arial"/>
          <w:spacing w:val="-3"/>
          <w:lang w:val="es-ES_tradnl"/>
        </w:rPr>
        <w:t xml:space="preserve"> </w:t>
      </w:r>
      <w:r w:rsidR="001B6BBA" w:rsidRPr="00AF753A">
        <w:rPr>
          <w:rFonts w:ascii="Arial" w:hAnsi="Arial" w:cs="Arial"/>
        </w:rPr>
        <w:t>(Folio</w:t>
      </w:r>
      <w:r w:rsidR="00BC590E">
        <w:rPr>
          <w:rFonts w:ascii="Arial" w:hAnsi="Arial" w:cs="Arial"/>
        </w:rPr>
        <w:t xml:space="preserve">s </w:t>
      </w:r>
      <w:r w:rsidR="001F39EA">
        <w:rPr>
          <w:rFonts w:ascii="Arial" w:hAnsi="Arial" w:cs="Arial"/>
        </w:rPr>
        <w:t>2, 5 y 8, este cuaderno</w:t>
      </w:r>
      <w:r w:rsidR="001B6BBA">
        <w:rPr>
          <w:rFonts w:ascii="Arial" w:hAnsi="Arial" w:cs="Arial"/>
        </w:rPr>
        <w:t>)</w:t>
      </w:r>
      <w:r w:rsidR="001B6BBA" w:rsidRPr="00AF753A">
        <w:rPr>
          <w:rFonts w:ascii="Arial" w:hAnsi="Arial" w:cs="Arial"/>
        </w:rPr>
        <w:t>.</w:t>
      </w:r>
    </w:p>
    <w:p w:rsidR="00300AB0" w:rsidRDefault="00300AB0"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17728F" w:rsidRDefault="0017728F"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petición de protección</w:t>
      </w:r>
    </w:p>
    <w:p w:rsidR="00BA69B4" w:rsidRPr="00E7150C" w:rsidRDefault="00BA69B4" w:rsidP="00BA69B4">
      <w:pPr>
        <w:pStyle w:val="Corpsdetexte"/>
        <w:spacing w:line="360" w:lineRule="auto"/>
        <w:ind w:left="360"/>
        <w:rPr>
          <w:rFonts w:ascii="Arial" w:hAnsi="Arial"/>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w:t>
      </w:r>
      <w:r w:rsidR="001F39EA">
        <w:rPr>
          <w:rFonts w:ascii="Arial" w:hAnsi="Arial" w:cs="Arial"/>
        </w:rPr>
        <w:t xml:space="preserve">Se </w:t>
      </w:r>
      <w:r w:rsidR="003F77C9">
        <w:rPr>
          <w:rFonts w:ascii="Arial" w:hAnsi="Arial" w:cs="Arial"/>
        </w:rPr>
        <w:t xml:space="preserve">ordene al accionado </w:t>
      </w:r>
      <w:r w:rsidR="001F39EA">
        <w:rPr>
          <w:rFonts w:ascii="Arial" w:hAnsi="Arial" w:cs="Arial"/>
        </w:rPr>
        <w:t>cumplir con los términos de ley y admita las acciones populares</w:t>
      </w:r>
      <w:r w:rsidR="003F77C9">
        <w:rPr>
          <w:rFonts w:ascii="Arial" w:hAnsi="Arial" w:cs="Arial"/>
        </w:rPr>
        <w:t>;</w:t>
      </w:r>
      <w:r w:rsidR="001F39EA">
        <w:rPr>
          <w:rFonts w:ascii="Arial" w:hAnsi="Arial" w:cs="Arial"/>
        </w:rPr>
        <w:t xml:space="preserve"> y,</w:t>
      </w:r>
      <w:r w:rsidR="003F77C9">
        <w:rPr>
          <w:rFonts w:ascii="Arial" w:hAnsi="Arial" w:cs="Arial"/>
        </w:rPr>
        <w:t xml:space="preserve"> </w:t>
      </w:r>
      <w:r w:rsidR="00AD5960">
        <w:rPr>
          <w:rFonts w:ascii="Arial" w:hAnsi="Arial" w:cs="Arial"/>
        </w:rPr>
        <w:t>(</w:t>
      </w:r>
      <w:r w:rsidR="001F39EA">
        <w:rPr>
          <w:rFonts w:ascii="Arial" w:hAnsi="Arial" w:cs="Arial"/>
        </w:rPr>
        <w:t>ii</w:t>
      </w:r>
      <w:r w:rsidR="00AD5960">
        <w:rPr>
          <w:rFonts w:ascii="Arial" w:hAnsi="Arial" w:cs="Arial"/>
        </w:rPr>
        <w:t xml:space="preserve">) </w:t>
      </w:r>
      <w:r w:rsidR="001F39EA">
        <w:rPr>
          <w:rFonts w:ascii="Arial" w:hAnsi="Arial" w:cs="Arial"/>
        </w:rPr>
        <w:t>Se requiera al Ministerio Público para que informe si ha garantizado las garantías procesales del accionante</w:t>
      </w:r>
      <w:r w:rsidR="00AD5960">
        <w:rPr>
          <w:rFonts w:ascii="Arial" w:hAnsi="Arial" w:cs="Arial"/>
        </w:rPr>
        <w:t xml:space="preserve"> </w:t>
      </w:r>
      <w:r w:rsidR="005C4386" w:rsidRPr="00AF753A">
        <w:rPr>
          <w:rFonts w:ascii="Arial" w:hAnsi="Arial" w:cs="Arial"/>
        </w:rPr>
        <w:t>(Folio</w:t>
      </w:r>
      <w:r w:rsidR="005C4386">
        <w:rPr>
          <w:rFonts w:ascii="Arial" w:hAnsi="Arial" w:cs="Arial"/>
        </w:rPr>
        <w:t>s 2, 5 y 8, este cuaderno</w:t>
      </w:r>
      <w:r w:rsidR="00006C6E">
        <w:rPr>
          <w:rFonts w:ascii="Arial" w:hAnsi="Arial" w:cs="Arial"/>
        </w:rPr>
        <w:t>)</w:t>
      </w:r>
      <w:r w:rsidR="00006C6E" w:rsidRPr="00AF753A">
        <w:rPr>
          <w:rFonts w:ascii="Arial" w:hAnsi="Arial" w:cs="Arial"/>
        </w:rPr>
        <w:t>.</w:t>
      </w:r>
    </w:p>
    <w:p w:rsidR="003A2CB1" w:rsidRPr="00E7150C" w:rsidRDefault="003A2CB1" w:rsidP="000145EA">
      <w:pPr>
        <w:pStyle w:val="Sansinterligne"/>
        <w:spacing w:line="360" w:lineRule="auto"/>
        <w:jc w:val="both"/>
        <w:rPr>
          <w:rFonts w:ascii="Arial" w:hAnsi="Arial" w:cs="Arial"/>
          <w:szCs w:val="24"/>
        </w:rPr>
      </w:pPr>
    </w:p>
    <w:p w:rsidR="0099045D" w:rsidRPr="0017728F" w:rsidRDefault="005C4386"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 xml:space="preserve">El resumen </w:t>
      </w:r>
      <w:r w:rsidR="0017728F" w:rsidRPr="0017728F">
        <w:rPr>
          <w:rFonts w:ascii="Arial" w:hAnsi="Arial"/>
          <w:smallCaps/>
          <w:sz w:val="28"/>
          <w:szCs w:val="28"/>
        </w:rPr>
        <w:t>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w:t>
      </w:r>
      <w:r w:rsidR="005C4386">
        <w:rPr>
          <w:rFonts w:ascii="Arial" w:hAnsi="Arial"/>
        </w:rPr>
        <w:t xml:space="preserve">04-04-2017 </w:t>
      </w:r>
      <w:r>
        <w:rPr>
          <w:rFonts w:ascii="Arial" w:hAnsi="Arial"/>
        </w:rPr>
        <w:t>correspondieron</w:t>
      </w:r>
      <w:r w:rsidRPr="00B74361">
        <w:rPr>
          <w:rFonts w:ascii="Arial" w:hAnsi="Arial"/>
        </w:rPr>
        <w:t xml:space="preserve"> a este Despacho</w:t>
      </w:r>
      <w:r>
        <w:rPr>
          <w:rFonts w:ascii="Arial" w:hAnsi="Arial"/>
        </w:rPr>
        <w:t xml:space="preserve"> las </w:t>
      </w:r>
      <w:r w:rsidR="005C4386">
        <w:rPr>
          <w:rFonts w:ascii="Arial" w:hAnsi="Arial"/>
        </w:rPr>
        <w:t xml:space="preserve">tres </w:t>
      </w:r>
      <w:r>
        <w:rPr>
          <w:rFonts w:ascii="Arial" w:hAnsi="Arial"/>
        </w:rPr>
        <w:t>(</w:t>
      </w:r>
      <w:r w:rsidR="005C4386">
        <w:rPr>
          <w:rFonts w:ascii="Arial" w:hAnsi="Arial"/>
        </w:rPr>
        <w:t>3</w:t>
      </w:r>
      <w:r>
        <w:rPr>
          <w:rFonts w:ascii="Arial" w:hAnsi="Arial"/>
        </w:rPr>
        <w:t xml:space="preserve">) tutelas aquí acumuladas </w:t>
      </w:r>
      <w:r w:rsidR="00444918">
        <w:rPr>
          <w:rFonts w:ascii="Arial" w:hAnsi="Arial"/>
        </w:rPr>
        <w:t xml:space="preserve">que </w:t>
      </w:r>
      <w:r w:rsidRPr="00B74361">
        <w:rPr>
          <w:rFonts w:ascii="Arial" w:hAnsi="Arial"/>
        </w:rPr>
        <w:t>con providencia</w:t>
      </w:r>
      <w:r w:rsidRPr="008E5A62">
        <w:rPr>
          <w:rFonts w:ascii="Arial" w:hAnsi="Arial"/>
        </w:rPr>
        <w:t xml:space="preserve"> de</w:t>
      </w:r>
      <w:r>
        <w:rPr>
          <w:rFonts w:ascii="Arial" w:hAnsi="Arial"/>
        </w:rPr>
        <w:t>l día</w:t>
      </w:r>
      <w:r w:rsidR="006155E4">
        <w:rPr>
          <w:rFonts w:ascii="Arial" w:hAnsi="Arial"/>
        </w:rPr>
        <w:t xml:space="preserve">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444918">
        <w:rPr>
          <w:rFonts w:ascii="Arial" w:hAnsi="Arial"/>
        </w:rPr>
        <w:t>11 y 12</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444918">
        <w:rPr>
          <w:rFonts w:ascii="Arial" w:hAnsi="Arial"/>
        </w:rPr>
        <w:t>13 y 14</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444918">
        <w:rPr>
          <w:rFonts w:ascii="Arial" w:hAnsi="Arial"/>
        </w:rPr>
        <w:t xml:space="preserve">la Procuraduría General de la Nación, Regional Risaralda (Folio 26, ibídem) y </w:t>
      </w:r>
      <w:r w:rsidR="0012749A" w:rsidRPr="00E859EA">
        <w:rPr>
          <w:rFonts w:ascii="Arial" w:hAnsi="Arial" w:cs="Arial"/>
          <w:spacing w:val="3"/>
        </w:rPr>
        <w:t xml:space="preserve">la </w:t>
      </w:r>
      <w:r w:rsidR="00006C6E">
        <w:rPr>
          <w:rFonts w:ascii="Arial" w:hAnsi="Arial" w:cs="Arial"/>
          <w:spacing w:val="3"/>
        </w:rPr>
        <w:t xml:space="preserve">Alcaldía de </w:t>
      </w:r>
      <w:r w:rsidR="00444918">
        <w:rPr>
          <w:rFonts w:ascii="Arial" w:hAnsi="Arial" w:cs="Arial"/>
          <w:spacing w:val="3"/>
        </w:rPr>
        <w:t xml:space="preserve">Pereira </w:t>
      </w:r>
      <w:r w:rsidR="00006C6E">
        <w:rPr>
          <w:rFonts w:ascii="Arial" w:hAnsi="Arial" w:cs="Arial"/>
          <w:spacing w:val="3"/>
        </w:rPr>
        <w:t xml:space="preserve">(Folios </w:t>
      </w:r>
      <w:r w:rsidR="00444918">
        <w:rPr>
          <w:rFonts w:ascii="Arial" w:hAnsi="Arial" w:cs="Arial"/>
          <w:spacing w:val="3"/>
        </w:rPr>
        <w:t>29 y 30</w:t>
      </w:r>
      <w:r w:rsidR="00006C6E">
        <w:rPr>
          <w:rFonts w:ascii="Arial" w:hAnsi="Arial" w:cs="Arial"/>
          <w:spacing w:val="3"/>
        </w:rPr>
        <w:t>, ib.)</w:t>
      </w:r>
      <w:r w:rsidR="00B758FE" w:rsidRPr="003B6DD2">
        <w:rPr>
          <w:rFonts w:ascii="Arial" w:hAnsi="Arial"/>
        </w:rPr>
        <w:t>.</w:t>
      </w:r>
      <w:r w:rsidR="00B758FE">
        <w:rPr>
          <w:rFonts w:ascii="Arial" w:hAnsi="Arial"/>
        </w:rPr>
        <w:t xml:space="preserve"> El </w:t>
      </w:r>
      <w:r w:rsidR="00DF42B6">
        <w:rPr>
          <w:rFonts w:ascii="Arial" w:hAnsi="Arial" w:cs="Arial"/>
          <w:spacing w:val="3"/>
        </w:rPr>
        <w:t xml:space="preserve">Juzgado accionado </w:t>
      </w:r>
      <w:r w:rsidR="00006C6E">
        <w:rPr>
          <w:rFonts w:ascii="Arial" w:hAnsi="Arial" w:cs="Arial"/>
          <w:spacing w:val="3"/>
        </w:rPr>
        <w:t xml:space="preserve">arrimó las copias requeridas </w:t>
      </w:r>
      <w:r w:rsidR="00DF42B6">
        <w:rPr>
          <w:rFonts w:ascii="Arial" w:hAnsi="Arial" w:cs="Arial"/>
          <w:spacing w:val="3"/>
        </w:rPr>
        <w:t xml:space="preserve">(Folios </w:t>
      </w:r>
      <w:r w:rsidR="00444918">
        <w:rPr>
          <w:rFonts w:ascii="Arial" w:hAnsi="Arial" w:cs="Arial"/>
          <w:spacing w:val="3"/>
        </w:rPr>
        <w:t>15 a 25</w:t>
      </w:r>
      <w:r w:rsidR="00006C6E">
        <w:rPr>
          <w:rFonts w:ascii="Arial" w:hAnsi="Arial" w:cs="Arial"/>
          <w:spacing w:val="3"/>
        </w:rPr>
        <w:t>,</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r w:rsidR="00BA24AF">
        <w:rPr>
          <w:rFonts w:ascii="Arial" w:hAnsi="Arial" w:cs="Arial"/>
          <w:spacing w:val="3"/>
        </w:rPr>
        <w:t xml:space="preserve"> </w:t>
      </w:r>
    </w:p>
    <w:p w:rsidR="003A2CB1" w:rsidRPr="00E7150C" w:rsidRDefault="003A2CB1" w:rsidP="00B50331">
      <w:pPr>
        <w:spacing w:line="360" w:lineRule="auto"/>
        <w:jc w:val="both"/>
        <w:rPr>
          <w:rFonts w:ascii="Arial" w:hAnsi="Arial"/>
        </w:rPr>
      </w:pPr>
    </w:p>
    <w:p w:rsidR="003A2CB1" w:rsidRPr="0017728F" w:rsidRDefault="0017728F"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17728F">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444918" w:rsidRDefault="00444918" w:rsidP="00444918">
      <w:pPr>
        <w:widowControl/>
        <w:spacing w:line="360" w:lineRule="auto"/>
        <w:jc w:val="both"/>
        <w:rPr>
          <w:rFonts w:ascii="Arial" w:hAnsi="Arial" w:cs="Arial"/>
        </w:rPr>
      </w:pPr>
      <w:r>
        <w:rPr>
          <w:rFonts w:ascii="Arial" w:hAnsi="Arial"/>
        </w:rPr>
        <w:t xml:space="preserve">La Procuraduría General de la Nación, Regional Risaralda y la Alcaldía de Pereira, indicaron que la situación alegada es ajena a sus funciones, </w:t>
      </w:r>
      <w:r w:rsidRPr="00134196">
        <w:rPr>
          <w:rFonts w:ascii="Arial" w:hAnsi="Arial"/>
        </w:rPr>
        <w:t>y que al Juzgado</w:t>
      </w:r>
      <w:r>
        <w:rPr>
          <w:rFonts w:ascii="Arial" w:hAnsi="Arial"/>
        </w:rPr>
        <w:t xml:space="preserve"> </w:t>
      </w:r>
      <w:r w:rsidRPr="00134196">
        <w:rPr>
          <w:rFonts w:ascii="Arial" w:hAnsi="Arial"/>
        </w:rPr>
        <w:t>accionado le co</w:t>
      </w:r>
      <w:r>
        <w:rPr>
          <w:rFonts w:ascii="Arial" w:hAnsi="Arial"/>
        </w:rPr>
        <w:t>rresponde</w:t>
      </w:r>
      <w:r w:rsidRPr="00134196">
        <w:rPr>
          <w:rFonts w:ascii="Arial" w:hAnsi="Arial"/>
        </w:rPr>
        <w:t xml:space="preserve"> tramitar la acci</w:t>
      </w:r>
      <w:r>
        <w:rPr>
          <w:rFonts w:ascii="Arial" w:hAnsi="Arial"/>
        </w:rPr>
        <w:t xml:space="preserve">ón </w:t>
      </w:r>
      <w:r w:rsidRPr="00134196">
        <w:rPr>
          <w:rFonts w:ascii="Arial" w:hAnsi="Arial"/>
        </w:rPr>
        <w:t>popular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sidRPr="00FD594D">
        <w:rPr>
          <w:rFonts w:ascii="Arial" w:hAnsi="Arial"/>
        </w:rPr>
        <w:t xml:space="preserve"> (Folio</w:t>
      </w:r>
      <w:r>
        <w:rPr>
          <w:rFonts w:ascii="Arial" w:hAnsi="Arial"/>
        </w:rPr>
        <w:t>s</w:t>
      </w:r>
      <w:r w:rsidRPr="00FD594D">
        <w:rPr>
          <w:rFonts w:ascii="Arial" w:hAnsi="Arial"/>
        </w:rPr>
        <w:t xml:space="preserve"> </w:t>
      </w:r>
      <w:r>
        <w:rPr>
          <w:rFonts w:ascii="Arial" w:hAnsi="Arial"/>
        </w:rPr>
        <w:t xml:space="preserve">26 y 29 a 30, </w:t>
      </w:r>
      <w:r w:rsidRPr="00FD594D">
        <w:rPr>
          <w:rFonts w:ascii="Arial" w:hAnsi="Arial"/>
        </w:rPr>
        <w:t>ib.).</w:t>
      </w:r>
      <w:r>
        <w:rPr>
          <w:rFonts w:ascii="Arial" w:hAnsi="Arial" w:cs="Arial"/>
        </w:rPr>
        <w:t xml:space="preserve"> </w:t>
      </w:r>
    </w:p>
    <w:p w:rsidR="00840071" w:rsidRDefault="00840071" w:rsidP="003A2CB1">
      <w:pPr>
        <w:spacing w:line="360" w:lineRule="auto"/>
        <w:jc w:val="both"/>
        <w:rPr>
          <w:rFonts w:ascii="Arial" w:hAnsi="Arial"/>
        </w:rPr>
      </w:pPr>
    </w:p>
    <w:p w:rsidR="00CF429F" w:rsidRPr="0017728F" w:rsidRDefault="0017728F"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fundamentación jurídica para decidir</w:t>
      </w:r>
    </w:p>
    <w:p w:rsidR="00F134D6" w:rsidRPr="00E7150C" w:rsidRDefault="00F134D6" w:rsidP="00F134D6">
      <w:pPr>
        <w:pStyle w:val="Corpsdetexte"/>
        <w:spacing w:line="360" w:lineRule="auto"/>
        <w:ind w:left="400"/>
        <w:rPr>
          <w:rFonts w:ascii="Arial" w:hAnsi="Arial"/>
          <w:szCs w:val="24"/>
          <w:lang w:val="es-CO"/>
        </w:rPr>
      </w:pPr>
    </w:p>
    <w:p w:rsidR="00CF429F" w:rsidRPr="00444918" w:rsidRDefault="0017728F" w:rsidP="00444918">
      <w:pPr>
        <w:pStyle w:val="Corpsdetexte"/>
        <w:numPr>
          <w:ilvl w:val="1"/>
          <w:numId w:val="18"/>
        </w:numPr>
        <w:spacing w:line="360" w:lineRule="auto"/>
        <w:rPr>
          <w:rFonts w:ascii="Arial" w:hAnsi="Arial" w:cs="Arial"/>
          <w:szCs w:val="24"/>
        </w:rPr>
      </w:pPr>
      <w:r w:rsidRPr="00444918">
        <w:rPr>
          <w:rFonts w:ascii="Arial" w:hAnsi="Arial"/>
          <w:smallCaps/>
          <w:sz w:val="26"/>
          <w:szCs w:val="26"/>
        </w:rPr>
        <w:t>L</w:t>
      </w:r>
      <w:r w:rsidR="00CF429F" w:rsidRPr="00444918">
        <w:rPr>
          <w:rFonts w:ascii="Arial" w:hAnsi="Arial"/>
          <w:smallCaps/>
          <w:sz w:val="26"/>
          <w:szCs w:val="26"/>
        </w:rPr>
        <w:t>a competencia</w:t>
      </w:r>
      <w:r w:rsidR="00444918" w:rsidRPr="00444918">
        <w:rPr>
          <w:rFonts w:ascii="Arial" w:hAnsi="Arial"/>
          <w:smallCaps/>
          <w:sz w:val="26"/>
          <w:szCs w:val="26"/>
        </w:rPr>
        <w:t>.</w:t>
      </w:r>
      <w:r w:rsidR="00444918">
        <w:rPr>
          <w:rFonts w:ascii="Arial" w:hAnsi="Arial"/>
          <w:smallCaps/>
          <w:sz w:val="26"/>
          <w:szCs w:val="26"/>
        </w:rPr>
        <w:t xml:space="preserve"> </w:t>
      </w:r>
      <w:r w:rsidR="005427D5" w:rsidRPr="00444918">
        <w:rPr>
          <w:rFonts w:ascii="Arial" w:hAnsi="Arial" w:cs="Arial"/>
          <w:szCs w:val="24"/>
        </w:rPr>
        <w:t xml:space="preserve">Este Tribunal es competente para conocer la acción en razón a que es el superior jerárquico del accionado, el Juzgado </w:t>
      </w:r>
      <w:r w:rsidR="00444918">
        <w:rPr>
          <w:rFonts w:ascii="Arial" w:hAnsi="Arial" w:cs="Arial"/>
          <w:szCs w:val="24"/>
        </w:rPr>
        <w:t>Promiscuo del Circuito de La Virginia, R.</w:t>
      </w:r>
    </w:p>
    <w:p w:rsidR="00A44325" w:rsidRDefault="00A44325" w:rsidP="00CF429F">
      <w:pPr>
        <w:pStyle w:val="Retraitcorpsdetexte2"/>
        <w:spacing w:after="0" w:line="360" w:lineRule="auto"/>
        <w:ind w:left="0"/>
        <w:jc w:val="both"/>
        <w:rPr>
          <w:rFonts w:ascii="Arial" w:hAnsi="Arial" w:cs="Arial"/>
          <w:sz w:val="24"/>
          <w:szCs w:val="24"/>
        </w:rPr>
      </w:pPr>
    </w:p>
    <w:p w:rsidR="00444918" w:rsidRPr="00444918" w:rsidRDefault="00444918" w:rsidP="00CE7E7D">
      <w:pPr>
        <w:pStyle w:val="Corpsdetexte"/>
        <w:numPr>
          <w:ilvl w:val="1"/>
          <w:numId w:val="18"/>
        </w:numPr>
        <w:spacing w:line="360" w:lineRule="auto"/>
        <w:rPr>
          <w:rFonts w:ascii="Arial" w:hAnsi="Arial" w:cs="Arial"/>
        </w:rPr>
      </w:pPr>
      <w:r w:rsidRPr="00444918">
        <w:rPr>
          <w:rFonts w:ascii="Arial" w:hAnsi="Arial"/>
          <w:smallCaps/>
          <w:sz w:val="26"/>
          <w:szCs w:val="26"/>
        </w:rPr>
        <w:lastRenderedPageBreak/>
        <w:t>El problema jurídico a resolver.</w:t>
      </w:r>
      <w:r>
        <w:rPr>
          <w:rFonts w:ascii="Arial" w:hAnsi="Arial"/>
          <w:smallCaps/>
          <w:sz w:val="26"/>
          <w:szCs w:val="26"/>
        </w:rPr>
        <w:t xml:space="preserve"> </w:t>
      </w:r>
      <w:r w:rsidRPr="00444918">
        <w:rPr>
          <w:rFonts w:ascii="Arial" w:hAnsi="Arial" w:cs="Arial"/>
        </w:rPr>
        <w:t xml:space="preserve">¿El Juzgado </w:t>
      </w:r>
      <w:r>
        <w:rPr>
          <w:rFonts w:ascii="Arial" w:hAnsi="Arial" w:cs="Arial"/>
        </w:rPr>
        <w:t xml:space="preserve">Promiscuo del Circuito de La Virginia, R. </w:t>
      </w:r>
      <w:r w:rsidRPr="00444918">
        <w:rPr>
          <w:rFonts w:ascii="Arial" w:hAnsi="Arial" w:cs="Arial"/>
        </w:rPr>
        <w:t>ha vulnerado o amenazado los derechos fundamentales del accionante, según lo expuesto en los escritos de tutela?</w:t>
      </w:r>
    </w:p>
    <w:p w:rsidR="00444918" w:rsidRDefault="00444918" w:rsidP="00CF429F">
      <w:pPr>
        <w:pStyle w:val="Retraitcorpsdetexte2"/>
        <w:spacing w:after="0" w:line="360" w:lineRule="auto"/>
        <w:ind w:left="0"/>
        <w:jc w:val="both"/>
        <w:rPr>
          <w:rFonts w:ascii="Arial" w:hAnsi="Arial" w:cs="Arial"/>
          <w:sz w:val="24"/>
          <w:szCs w:val="24"/>
        </w:rPr>
      </w:pPr>
    </w:p>
    <w:p w:rsidR="00B61999" w:rsidRDefault="00B61999" w:rsidP="00B61999">
      <w:pPr>
        <w:pStyle w:val="Corpsdetexte"/>
        <w:numPr>
          <w:ilvl w:val="1"/>
          <w:numId w:val="18"/>
        </w:numPr>
        <w:spacing w:line="360" w:lineRule="auto"/>
        <w:rPr>
          <w:rFonts w:ascii="Arial" w:hAnsi="Arial" w:cs="Arial"/>
          <w:lang w:val="es-CO"/>
        </w:rPr>
      </w:pPr>
      <w:r w:rsidRPr="00874959">
        <w:rPr>
          <w:rFonts w:ascii="Arial" w:hAnsi="Arial"/>
          <w:smallCaps/>
          <w:szCs w:val="24"/>
        </w:rPr>
        <w:t>Los presupuestos</w:t>
      </w:r>
      <w:r>
        <w:rPr>
          <w:rFonts w:ascii="Arial" w:hAnsi="Arial"/>
          <w:smallCaps/>
          <w:szCs w:val="24"/>
        </w:rPr>
        <w:t xml:space="preserve"> de procedencia de la acción</w:t>
      </w:r>
    </w:p>
    <w:p w:rsidR="00F938C5" w:rsidRPr="00AE73C7" w:rsidRDefault="00F938C5" w:rsidP="00CF429F">
      <w:pPr>
        <w:pStyle w:val="Retraitcorpsdetexte2"/>
        <w:spacing w:after="0" w:line="360" w:lineRule="auto"/>
        <w:ind w:left="0"/>
        <w:jc w:val="both"/>
        <w:rPr>
          <w:rFonts w:ascii="Arial" w:hAnsi="Arial" w:cs="Arial"/>
          <w:sz w:val="24"/>
          <w:szCs w:val="24"/>
        </w:rPr>
      </w:pPr>
    </w:p>
    <w:p w:rsidR="00CF429F" w:rsidRPr="0017728F" w:rsidRDefault="00CF429F" w:rsidP="00B61999">
      <w:pPr>
        <w:pStyle w:val="Corpsdetexte"/>
        <w:numPr>
          <w:ilvl w:val="2"/>
          <w:numId w:val="18"/>
        </w:numPr>
        <w:tabs>
          <w:tab w:val="clear" w:pos="0"/>
          <w:tab w:val="clear" w:pos="708"/>
          <w:tab w:val="clear" w:pos="1416"/>
          <w:tab w:val="left" w:pos="709"/>
        </w:tabs>
        <w:spacing w:line="360" w:lineRule="auto"/>
        <w:rPr>
          <w:rFonts w:ascii="Arial" w:hAnsi="Arial"/>
          <w:smallCaps/>
          <w:sz w:val="26"/>
          <w:szCs w:val="26"/>
        </w:rPr>
      </w:pPr>
      <w:r w:rsidRPr="00B61999">
        <w:rPr>
          <w:rFonts w:ascii="Arial" w:hAnsi="Arial"/>
          <w:smallCaps/>
          <w:szCs w:val="26"/>
        </w:rPr>
        <w:t>La legitimación en la causa</w:t>
      </w:r>
    </w:p>
    <w:p w:rsidR="00E7150C" w:rsidRDefault="00E7150C" w:rsidP="008F6968">
      <w:pPr>
        <w:pStyle w:val="Corpsdetexte"/>
        <w:spacing w:line="360" w:lineRule="auto"/>
        <w:rPr>
          <w:rFonts w:ascii="Arial" w:hAnsi="Arial" w:cs="Arial"/>
          <w:szCs w:val="24"/>
        </w:rPr>
      </w:pPr>
    </w:p>
    <w:p w:rsidR="00E7150C" w:rsidRDefault="008F6968" w:rsidP="008F6968">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00444918">
        <w:rPr>
          <w:rFonts w:ascii="Arial" w:hAnsi="Arial" w:cs="Arial"/>
          <w:szCs w:val="24"/>
        </w:rPr>
        <w:t xml:space="preserve"> promovió los asuntos populares </w:t>
      </w:r>
      <w:r>
        <w:rPr>
          <w:rFonts w:ascii="Arial" w:hAnsi="Arial" w:cs="Arial"/>
          <w:szCs w:val="24"/>
        </w:rPr>
        <w:t xml:space="preserve">en </w:t>
      </w:r>
    </w:p>
    <w:p w:rsidR="008F6968" w:rsidRDefault="008F6968" w:rsidP="008F6968">
      <w:pPr>
        <w:pStyle w:val="Corpsdetexte"/>
        <w:spacing w:line="360" w:lineRule="auto"/>
        <w:rPr>
          <w:rFonts w:ascii="Arial" w:hAnsi="Arial" w:cs="Arial"/>
          <w:szCs w:val="24"/>
        </w:rPr>
      </w:pPr>
      <w:proofErr w:type="gramStart"/>
      <w:r>
        <w:rPr>
          <w:rFonts w:ascii="Arial" w:hAnsi="Arial" w:cs="Arial"/>
          <w:szCs w:val="24"/>
        </w:rPr>
        <w:t>los</w:t>
      </w:r>
      <w:proofErr w:type="gramEnd"/>
      <w:r>
        <w:rPr>
          <w:rFonts w:ascii="Arial" w:hAnsi="Arial" w:cs="Arial"/>
          <w:szCs w:val="24"/>
        </w:rPr>
        <w:t xml:space="preserve">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444918">
        <w:rPr>
          <w:rFonts w:ascii="Arial" w:hAnsi="Arial" w:cs="Arial"/>
          <w:szCs w:val="24"/>
        </w:rPr>
        <w:t>accionado</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E7150C" w:rsidRDefault="00E7150C" w:rsidP="008F6968">
      <w:pPr>
        <w:pStyle w:val="Corpsdetexte"/>
        <w:spacing w:line="360" w:lineRule="auto"/>
        <w:rPr>
          <w:rFonts w:ascii="Arial" w:hAnsi="Arial" w:cs="Arial"/>
          <w:szCs w:val="24"/>
        </w:rPr>
      </w:pPr>
    </w:p>
    <w:p w:rsidR="00E7150C" w:rsidRDefault="00444918" w:rsidP="00444918">
      <w:pPr>
        <w:pStyle w:val="Corpsdetexte"/>
        <w:spacing w:line="360" w:lineRule="auto"/>
        <w:rPr>
          <w:rFonts w:ascii="Arial" w:hAnsi="Arial" w:cs="Arial"/>
          <w:szCs w:val="24"/>
        </w:rPr>
      </w:pPr>
      <w:r>
        <w:rPr>
          <w:rFonts w:ascii="Arial" w:hAnsi="Arial" w:cs="Arial"/>
          <w:szCs w:val="24"/>
        </w:rPr>
        <w:t>Diferente es respecto de la Procuraduría General de la Nación, Regional Risaralda, toda vez que no ha sido vinculada a la acción popular y el petitorio de tutela carece de prueba que acredite que se le haya solicitado por el accionante su intervención en procura de garantizar sus derechos procesales en dicho asunto.</w:t>
      </w:r>
    </w:p>
    <w:p w:rsidR="00E7150C" w:rsidRDefault="00E7150C" w:rsidP="00444918">
      <w:pPr>
        <w:pStyle w:val="Corpsdetexte"/>
        <w:spacing w:line="360" w:lineRule="auto"/>
        <w:rPr>
          <w:rFonts w:ascii="Arial" w:hAnsi="Arial" w:cs="Arial"/>
          <w:szCs w:val="24"/>
        </w:rPr>
      </w:pPr>
    </w:p>
    <w:p w:rsidR="00444918" w:rsidRDefault="00444918" w:rsidP="00444918">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444918" w:rsidRPr="00E7150C" w:rsidRDefault="00444918" w:rsidP="00444918">
      <w:pPr>
        <w:pStyle w:val="Corpsdetexte"/>
        <w:spacing w:line="360" w:lineRule="auto"/>
        <w:rPr>
          <w:rFonts w:ascii="Arial" w:hAnsi="Arial"/>
          <w:sz w:val="22"/>
          <w:szCs w:val="24"/>
        </w:rPr>
      </w:pPr>
    </w:p>
    <w:p w:rsidR="00444918" w:rsidRDefault="00444918" w:rsidP="00444918">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444918" w:rsidRDefault="00444918" w:rsidP="00444918">
      <w:pPr>
        <w:pStyle w:val="Corpsdetexte"/>
        <w:tabs>
          <w:tab w:val="clear" w:pos="0"/>
        </w:tabs>
        <w:spacing w:line="240" w:lineRule="auto"/>
        <w:ind w:left="567" w:right="618"/>
        <w:rPr>
          <w:rFonts w:ascii="Arial" w:hAnsi="Arial"/>
          <w:szCs w:val="24"/>
          <w:lang w:val="es-ES"/>
        </w:rPr>
      </w:pPr>
      <w:r>
        <w:rPr>
          <w:rFonts w:ascii="Arial" w:hAnsi="Arial"/>
          <w:szCs w:val="24"/>
        </w:rPr>
        <w:t> </w:t>
      </w:r>
    </w:p>
    <w:p w:rsidR="00444918" w:rsidRDefault="00444918" w:rsidP="00444918">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444918" w:rsidRPr="00E7150C" w:rsidRDefault="00444918" w:rsidP="00444918">
      <w:pPr>
        <w:pStyle w:val="Corpsdetexte"/>
        <w:spacing w:line="360" w:lineRule="auto"/>
        <w:rPr>
          <w:rFonts w:ascii="Arial" w:hAnsi="Arial" w:cs="Arial"/>
          <w:sz w:val="28"/>
          <w:szCs w:val="24"/>
          <w:lang w:val="es-CO"/>
        </w:rPr>
      </w:pPr>
    </w:p>
    <w:p w:rsidR="00444918" w:rsidRDefault="00444918" w:rsidP="00444918">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444918" w:rsidRPr="00E7150C" w:rsidRDefault="00444918" w:rsidP="001A531D">
      <w:pPr>
        <w:ind w:left="567" w:right="335"/>
        <w:jc w:val="both"/>
        <w:rPr>
          <w:rFonts w:ascii="Arial" w:hAnsi="Arial" w:cs="Arial"/>
          <w:sz w:val="28"/>
          <w:lang w:val="es-CO"/>
        </w:rPr>
      </w:pPr>
    </w:p>
    <w:p w:rsidR="00444918" w:rsidRDefault="00444918" w:rsidP="00444918">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1A531D" w:rsidRDefault="001A531D" w:rsidP="00444918">
      <w:pPr>
        <w:ind w:left="567" w:right="567"/>
        <w:jc w:val="both"/>
        <w:rPr>
          <w:rFonts w:ascii="Arial" w:hAnsi="Arial" w:cs="Arial"/>
          <w:lang w:val="es-CO"/>
        </w:rPr>
      </w:pPr>
    </w:p>
    <w:p w:rsidR="00444918" w:rsidRDefault="00444918" w:rsidP="00444918">
      <w:pPr>
        <w:ind w:left="567" w:right="567"/>
        <w:jc w:val="both"/>
        <w:rPr>
          <w:rFonts w:ascii="Arial" w:hAnsi="Arial" w:cs="Arial"/>
          <w:u w:val="single"/>
          <w:lang w:val="es-CO"/>
        </w:rPr>
      </w:pPr>
      <w:r>
        <w:rPr>
          <w:rFonts w:ascii="Arial" w:hAnsi="Arial" w:cs="Arial"/>
          <w:lang w:val="es-CO"/>
        </w:rPr>
        <w:lastRenderedPageBreak/>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444918" w:rsidRPr="00E7150C" w:rsidRDefault="00444918" w:rsidP="00444918">
      <w:pPr>
        <w:spacing w:line="360" w:lineRule="auto"/>
        <w:jc w:val="both"/>
        <w:rPr>
          <w:rFonts w:ascii="Arial" w:hAnsi="Arial" w:cs="Arial"/>
          <w:sz w:val="32"/>
          <w:lang w:val="es-ES_tradnl"/>
        </w:rPr>
      </w:pPr>
    </w:p>
    <w:p w:rsidR="00444918" w:rsidRPr="00DC53D1" w:rsidRDefault="00444918" w:rsidP="00444918">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w:t>
      </w:r>
      <w:r>
        <w:rPr>
          <w:rFonts w:ascii="Arial" w:hAnsi="Arial" w:cs="Arial"/>
          <w:lang w:val="es-ES_tradnl"/>
        </w:rPr>
        <w:t xml:space="preserve">por el actor </w:t>
      </w:r>
      <w:r w:rsidRPr="00DC53D1">
        <w:rPr>
          <w:rFonts w:ascii="Arial" w:hAnsi="Arial" w:cs="Arial"/>
          <w:lang w:val="es-ES_tradnl"/>
        </w:rPr>
        <w:t xml:space="preserve">y ni siquiera ha sido notificada de la existencia del trámite popular. </w:t>
      </w:r>
    </w:p>
    <w:p w:rsidR="00C86D1F" w:rsidRDefault="00C86D1F" w:rsidP="00C86D1F">
      <w:pPr>
        <w:pStyle w:val="Corpsdetexte"/>
        <w:spacing w:line="360" w:lineRule="auto"/>
        <w:rPr>
          <w:rFonts w:ascii="Arial" w:hAnsi="Arial" w:cs="Arial"/>
          <w:szCs w:val="24"/>
        </w:rPr>
      </w:pPr>
    </w:p>
    <w:p w:rsidR="00F938C5" w:rsidRPr="002A0C2A" w:rsidRDefault="00F938C5" w:rsidP="00B61999">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F938C5" w:rsidRPr="00AB5228" w:rsidRDefault="00F938C5" w:rsidP="00F938C5">
      <w:pPr>
        <w:pStyle w:val="Corpsdetexte"/>
        <w:spacing w:line="360" w:lineRule="auto"/>
        <w:rPr>
          <w:rFonts w:ascii="Arial" w:hAnsi="Arial" w:cs="Arial"/>
          <w:szCs w:val="24"/>
        </w:rPr>
      </w:pPr>
    </w:p>
    <w:p w:rsidR="00F938C5" w:rsidRDefault="00F938C5" w:rsidP="00F938C5">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F938C5" w:rsidRPr="00907C22" w:rsidRDefault="00F938C5" w:rsidP="00F938C5">
      <w:pPr>
        <w:pStyle w:val="Corpsdetexte"/>
        <w:spacing w:line="360" w:lineRule="auto"/>
        <w:rPr>
          <w:rFonts w:ascii="Arial" w:hAnsi="Arial" w:cs="Arial"/>
          <w:szCs w:val="24"/>
        </w:rPr>
      </w:pPr>
    </w:p>
    <w:p w:rsidR="00F938C5" w:rsidRPr="00907C22" w:rsidRDefault="00F938C5" w:rsidP="00F938C5">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F938C5" w:rsidRPr="00AB5228" w:rsidRDefault="00F938C5" w:rsidP="00F938C5">
      <w:pPr>
        <w:pStyle w:val="Corpsdetexte"/>
        <w:spacing w:line="360" w:lineRule="auto"/>
        <w:rPr>
          <w:rFonts w:ascii="Arial" w:hAnsi="Arial" w:cs="Arial"/>
          <w:szCs w:val="24"/>
        </w:rPr>
      </w:pPr>
    </w:p>
    <w:p w:rsidR="00F938C5" w:rsidRDefault="00F938C5" w:rsidP="00F938C5">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F938C5" w:rsidRDefault="00F938C5" w:rsidP="00F938C5">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F938C5" w:rsidRDefault="00F938C5" w:rsidP="00F938C5">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Pr>
          <w:rFonts w:ascii="Arial" w:hAnsi="Arial" w:cs="Arial"/>
          <w:szCs w:val="24"/>
        </w:rPr>
        <w:t xml:space="preserve">a de la Carta. </w:t>
      </w:r>
      <w:r w:rsidRPr="00907C22">
        <w:rPr>
          <w:rFonts w:ascii="Arial" w:hAnsi="Arial" w:cs="Arial"/>
          <w:szCs w:val="24"/>
        </w:rPr>
        <w:t xml:space="preserve">Un sistemático </w:t>
      </w:r>
      <w:r>
        <w:rPr>
          <w:rFonts w:ascii="Arial" w:hAnsi="Arial" w:cs="Arial"/>
          <w:szCs w:val="24"/>
        </w:rPr>
        <w:t xml:space="preserve"> </w:t>
      </w:r>
      <w:r w:rsidRPr="00907C22">
        <w:rPr>
          <w:rFonts w:ascii="Arial" w:hAnsi="Arial" w:cs="Arial"/>
          <w:szCs w:val="24"/>
        </w:rPr>
        <w:t xml:space="preserve">recuento </w:t>
      </w:r>
      <w:r>
        <w:rPr>
          <w:rFonts w:ascii="Arial" w:hAnsi="Arial" w:cs="Arial"/>
          <w:szCs w:val="24"/>
        </w:rPr>
        <w:t xml:space="preserve"> </w:t>
      </w:r>
      <w:r w:rsidRPr="00907C22">
        <w:rPr>
          <w:rFonts w:ascii="Arial" w:hAnsi="Arial" w:cs="Arial"/>
          <w:szCs w:val="24"/>
        </w:rPr>
        <w:t xml:space="preserve">puede </w:t>
      </w:r>
      <w:r>
        <w:rPr>
          <w:rFonts w:ascii="Arial" w:hAnsi="Arial" w:cs="Arial"/>
          <w:szCs w:val="24"/>
        </w:rPr>
        <w:t xml:space="preserve"> </w:t>
      </w:r>
      <w:r w:rsidRPr="00907C22">
        <w:rPr>
          <w:rFonts w:ascii="Arial" w:hAnsi="Arial" w:cs="Arial"/>
          <w:szCs w:val="24"/>
        </w:rPr>
        <w:t>leerse</w:t>
      </w:r>
      <w:r>
        <w:rPr>
          <w:rFonts w:ascii="Arial" w:hAnsi="Arial" w:cs="Arial"/>
          <w:szCs w:val="24"/>
        </w:rPr>
        <w:t xml:space="preserve"> </w:t>
      </w:r>
      <w:r w:rsidRPr="00907C22">
        <w:rPr>
          <w:rFonts w:ascii="Arial" w:hAnsi="Arial" w:cs="Arial"/>
          <w:szCs w:val="24"/>
        </w:rPr>
        <w:t xml:space="preserve"> en</w:t>
      </w:r>
      <w:r>
        <w:rPr>
          <w:rFonts w:ascii="Arial" w:hAnsi="Arial" w:cs="Arial"/>
          <w:szCs w:val="24"/>
        </w:rPr>
        <w:t xml:space="preserve"> </w:t>
      </w:r>
      <w:r w:rsidRPr="00907C22">
        <w:rPr>
          <w:rFonts w:ascii="Arial" w:hAnsi="Arial" w:cs="Arial"/>
          <w:szCs w:val="24"/>
        </w:rPr>
        <w:t xml:space="preserve"> la </w:t>
      </w:r>
      <w:r>
        <w:rPr>
          <w:rFonts w:ascii="Arial" w:hAnsi="Arial" w:cs="Arial"/>
          <w:szCs w:val="24"/>
        </w:rPr>
        <w:t xml:space="preserve"> </w:t>
      </w:r>
      <w:r w:rsidRPr="00907C22">
        <w:rPr>
          <w:rFonts w:ascii="Arial" w:hAnsi="Arial" w:cs="Arial"/>
          <w:szCs w:val="24"/>
        </w:rPr>
        <w:t>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1A531D" w:rsidRDefault="001A531D" w:rsidP="00F938C5">
      <w:pPr>
        <w:pStyle w:val="Corpsdetexte"/>
        <w:spacing w:line="360" w:lineRule="auto"/>
        <w:rPr>
          <w:rFonts w:ascii="Arial" w:hAnsi="Arial" w:cs="Arial"/>
          <w:szCs w:val="24"/>
        </w:rPr>
      </w:pPr>
    </w:p>
    <w:p w:rsidR="0084306F" w:rsidRPr="007A6772" w:rsidRDefault="0084306F" w:rsidP="007A6772">
      <w:pPr>
        <w:pStyle w:val="Paragraphedeliste"/>
        <w:numPr>
          <w:ilvl w:val="0"/>
          <w:numId w:val="30"/>
        </w:numPr>
        <w:spacing w:line="360" w:lineRule="auto"/>
        <w:jc w:val="both"/>
        <w:rPr>
          <w:rFonts w:ascii="Arial" w:hAnsi="Arial"/>
          <w:smallCaps/>
          <w:vanish/>
        </w:rPr>
      </w:pPr>
    </w:p>
    <w:p w:rsidR="009E4FCD" w:rsidRDefault="009E4FCD" w:rsidP="00B61999">
      <w:pPr>
        <w:pStyle w:val="Paragraphedeliste"/>
        <w:numPr>
          <w:ilvl w:val="0"/>
          <w:numId w:val="18"/>
        </w:numPr>
        <w:spacing w:line="360" w:lineRule="auto"/>
        <w:jc w:val="both"/>
        <w:rPr>
          <w:rFonts w:ascii="Arial" w:hAnsi="Arial"/>
          <w:smallCaps/>
          <w:sz w:val="28"/>
          <w:lang w:val="es-ES_tradnl"/>
        </w:rPr>
      </w:pPr>
      <w:r w:rsidRPr="00F938C5">
        <w:rPr>
          <w:rFonts w:ascii="Arial" w:hAnsi="Arial"/>
          <w:smallCaps/>
          <w:sz w:val="28"/>
        </w:rPr>
        <w:t>El</w:t>
      </w:r>
      <w:r w:rsidRPr="00F938C5">
        <w:rPr>
          <w:rFonts w:ascii="Arial" w:hAnsi="Arial"/>
          <w:smallCaps/>
          <w:sz w:val="28"/>
          <w:lang w:val="es-ES_tradnl"/>
        </w:rPr>
        <w:t xml:space="preserve"> análisis del caso en concreto</w:t>
      </w:r>
    </w:p>
    <w:p w:rsidR="00E7150C" w:rsidRPr="00F938C5" w:rsidRDefault="00E7150C" w:rsidP="00E7150C">
      <w:pPr>
        <w:pStyle w:val="Paragraphedeliste"/>
        <w:spacing w:line="360" w:lineRule="auto"/>
        <w:ind w:left="400"/>
        <w:jc w:val="both"/>
        <w:rPr>
          <w:rFonts w:ascii="Arial" w:hAnsi="Arial"/>
          <w:smallCaps/>
          <w:sz w:val="28"/>
          <w:lang w:val="es-ES_tradnl"/>
        </w:rPr>
      </w:pPr>
    </w:p>
    <w:p w:rsidR="00F938C5" w:rsidRDefault="00F938C5" w:rsidP="00F938C5">
      <w:pPr>
        <w:pStyle w:val="Corpsdetexte"/>
        <w:spacing w:line="360" w:lineRule="auto"/>
        <w:rPr>
          <w:rFonts w:ascii="Arial" w:hAnsi="Arial"/>
          <w:szCs w:val="24"/>
        </w:rPr>
      </w:pPr>
      <w:r>
        <w:rPr>
          <w:rFonts w:ascii="Arial" w:hAnsi="Arial"/>
          <w:szCs w:val="24"/>
        </w:rPr>
        <w:t>Pretendía el</w:t>
      </w:r>
      <w:r w:rsidRPr="008D792E">
        <w:rPr>
          <w:rFonts w:ascii="Arial" w:hAnsi="Arial"/>
          <w:szCs w:val="24"/>
        </w:rPr>
        <w:t xml:space="preserve"> ac</w:t>
      </w:r>
      <w:r>
        <w:rPr>
          <w:rFonts w:ascii="Arial" w:hAnsi="Arial"/>
          <w:szCs w:val="24"/>
        </w:rPr>
        <w:t xml:space="preserve">cionante que se le resolviera sobre la admisión de las acciones populares atrás referenciadas, pero advierte la Sala que la </w:t>
      </w:r>
      <w:r w:rsidRPr="00D069F0">
        <w:rPr>
          <w:rFonts w:ascii="Arial" w:hAnsi="Arial"/>
          <w:i/>
          <w:szCs w:val="24"/>
        </w:rPr>
        <w:t>a quo</w:t>
      </w:r>
      <w:r>
        <w:rPr>
          <w:rFonts w:ascii="Arial" w:hAnsi="Arial"/>
          <w:szCs w:val="24"/>
        </w:rPr>
        <w:t xml:space="preserve"> con decisión del 03-04-2017, notificada en el estado del día </w:t>
      </w:r>
      <w:r>
        <w:rPr>
          <w:rFonts w:ascii="Arial" w:hAnsi="Arial"/>
          <w:szCs w:val="24"/>
          <w:lang w:val="es-CO"/>
        </w:rPr>
        <w:t xml:space="preserve">04-04-2017 (Folios 17 vuelto y 18, 20 vuelto y 21 y 23 vuelto y 24, ib.), </w:t>
      </w:r>
      <w:r>
        <w:rPr>
          <w:rFonts w:ascii="Arial" w:hAnsi="Arial"/>
          <w:szCs w:val="24"/>
        </w:rPr>
        <w:t xml:space="preserve">previamente a que se presentaran los amparos, ya había proferido los autos </w:t>
      </w:r>
      <w:proofErr w:type="spellStart"/>
      <w:r>
        <w:rPr>
          <w:rFonts w:ascii="Arial" w:hAnsi="Arial"/>
          <w:szCs w:val="24"/>
        </w:rPr>
        <w:t>inadmisorios</w:t>
      </w:r>
      <w:proofErr w:type="spellEnd"/>
      <w:r>
        <w:rPr>
          <w:rFonts w:ascii="Arial" w:hAnsi="Arial"/>
          <w:szCs w:val="24"/>
        </w:rPr>
        <w:t>.</w:t>
      </w:r>
    </w:p>
    <w:p w:rsidR="00F938C5" w:rsidRDefault="00F938C5" w:rsidP="00F938C5">
      <w:pPr>
        <w:pStyle w:val="Corpsdetexte"/>
        <w:spacing w:line="360" w:lineRule="auto"/>
        <w:rPr>
          <w:rFonts w:ascii="Arial" w:hAnsi="Arial"/>
          <w:szCs w:val="24"/>
        </w:rPr>
      </w:pPr>
    </w:p>
    <w:p w:rsidR="00F938C5" w:rsidRDefault="00F938C5" w:rsidP="00F938C5">
      <w:pPr>
        <w:pStyle w:val="Corpsdetexte"/>
        <w:spacing w:line="360" w:lineRule="auto"/>
        <w:rPr>
          <w:rFonts w:ascii="Arial" w:hAnsi="Arial"/>
          <w:szCs w:val="24"/>
        </w:rPr>
      </w:pPr>
      <w:r>
        <w:rPr>
          <w:rFonts w:ascii="Arial" w:hAnsi="Arial"/>
          <w:szCs w:val="24"/>
        </w:rPr>
        <w:t xml:space="preserve">Si bien no lo hizo dentro de los plazos ley (Artículo 20 de la Ley 472), pues, las acciones fueron repartidas el 27-03-2017 (Folios 17, 20 y 23, ib.) y el término para decidir venció el día 30-03-2017, se observa que cesó la vulneración o amenazada al debido proceso. </w:t>
      </w:r>
    </w:p>
    <w:p w:rsidR="00F938C5" w:rsidRDefault="00F938C5" w:rsidP="00F938C5">
      <w:pPr>
        <w:pStyle w:val="Corpsdetexte"/>
        <w:spacing w:line="360" w:lineRule="auto"/>
        <w:rPr>
          <w:rFonts w:ascii="Arial" w:hAnsi="Arial"/>
          <w:szCs w:val="24"/>
        </w:rPr>
      </w:pPr>
    </w:p>
    <w:p w:rsidR="00F938C5" w:rsidRDefault="00F938C5" w:rsidP="00F938C5">
      <w:pPr>
        <w:pStyle w:val="Corpsdetexte"/>
        <w:spacing w:line="360" w:lineRule="auto"/>
        <w:rPr>
          <w:rFonts w:ascii="Arial" w:hAnsi="Arial"/>
          <w:szCs w:val="24"/>
        </w:rPr>
      </w:pPr>
      <w:r>
        <w:rPr>
          <w:rFonts w:ascii="Arial" w:hAnsi="Arial"/>
          <w:szCs w:val="24"/>
        </w:rPr>
        <w:t>En consecuencia</w:t>
      </w:r>
      <w:r>
        <w:rPr>
          <w:rFonts w:ascii="Arial" w:hAnsi="Arial" w:cs="Arial"/>
          <w:szCs w:val="24"/>
          <w:lang w:val="es-CO" w:eastAsia="es-CO"/>
        </w:rPr>
        <w:t>, estima esta Magistratura que</w:t>
      </w:r>
      <w:r>
        <w:rPr>
          <w:rFonts w:ascii="Arial" w:hAnsi="Arial" w:cs="Arial"/>
          <w:szCs w:val="24"/>
        </w:rPr>
        <w:t xml:space="preserve"> </w:t>
      </w:r>
      <w:r>
        <w:rPr>
          <w:rFonts w:ascii="Arial" w:hAnsi="Arial"/>
        </w:rPr>
        <w:t>luce evidente la inexistencia de vulneración o amenaza del derecho al debido proceso alegado por el actor, dado que el juzgado ya había decidido sobre su admisibilidad, de tal suerte que se negarán los presentes amparos.</w:t>
      </w:r>
      <w:r>
        <w:rPr>
          <w:rFonts w:ascii="Arial" w:hAnsi="Arial"/>
          <w:szCs w:val="24"/>
        </w:rPr>
        <w:t xml:space="preserve"> </w:t>
      </w:r>
    </w:p>
    <w:p w:rsidR="000B5596" w:rsidRDefault="000B5596" w:rsidP="00BC3C80">
      <w:pPr>
        <w:pStyle w:val="Textopredeterminado"/>
        <w:spacing w:line="360" w:lineRule="auto"/>
        <w:jc w:val="both"/>
        <w:rPr>
          <w:rFonts w:ascii="Arial" w:hAnsi="Arial"/>
          <w:szCs w:val="24"/>
        </w:rPr>
      </w:pPr>
    </w:p>
    <w:p w:rsidR="006E3281" w:rsidRPr="00BB12E8" w:rsidRDefault="0017728F" w:rsidP="00B61999">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mallCaps/>
          <w:sz w:val="28"/>
          <w:szCs w:val="28"/>
        </w:rPr>
        <w:t>L</w:t>
      </w:r>
      <w:r w:rsidRPr="0017728F">
        <w:rPr>
          <w:rFonts w:ascii="Arial" w:hAnsi="Arial" w:cs="Arial"/>
          <w:smallCaps/>
          <w:sz w:val="28"/>
          <w:szCs w:val="28"/>
        </w:rPr>
        <w:t>as conclusiones</w:t>
      </w:r>
      <w:r w:rsidRPr="00BB12E8">
        <w:rPr>
          <w:rFonts w:ascii="Arial" w:hAnsi="Arial" w:cs="Arial"/>
          <w:szCs w:val="24"/>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07BE1" w:rsidRPr="00A30437" w:rsidRDefault="006E3281" w:rsidP="00EB768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00B61999">
        <w:rPr>
          <w:rFonts w:ascii="Arial" w:hAnsi="Arial"/>
        </w:rPr>
        <w:t>negarán las tutelas presentadas contra el Juzgado Promiscuo del Circuito de La Virginia, R. por inexistencia de vulneración; y, (ii) Se declararán improcedentes frente a la Procuraduría General de la Nación, Regional Risaralda, por carecer de legitimación</w:t>
      </w:r>
      <w:r w:rsidR="00EB7683">
        <w:rPr>
          <w:rFonts w:ascii="Arial" w:hAnsi="Arial" w:cs="Arial"/>
        </w:rPr>
        <w:t>.</w:t>
      </w:r>
    </w:p>
    <w:p w:rsidR="006E3281" w:rsidRPr="00F04FAF"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1A531D" w:rsidRDefault="001A531D" w:rsidP="006E3281">
      <w:pPr>
        <w:pStyle w:val="Corpsdetexte"/>
        <w:spacing w:line="360" w:lineRule="auto"/>
        <w:jc w:val="center"/>
        <w:rPr>
          <w:rFonts w:ascii="Arial" w:hAnsi="Arial" w:cs="Arial"/>
          <w:bCs/>
          <w:smallCaps/>
          <w:szCs w:val="24"/>
        </w:rPr>
      </w:pPr>
    </w:p>
    <w:p w:rsidR="006E3281" w:rsidRPr="006E3281" w:rsidRDefault="006E3281" w:rsidP="006E3281">
      <w:pPr>
        <w:pStyle w:val="Corpsdetexte"/>
        <w:spacing w:line="360" w:lineRule="auto"/>
        <w:jc w:val="center"/>
        <w:rPr>
          <w:rFonts w:ascii="Arial" w:hAnsi="Arial" w:cs="Arial"/>
          <w:bCs/>
          <w:smallCaps/>
          <w:szCs w:val="24"/>
        </w:rPr>
      </w:pPr>
      <w:r w:rsidRPr="006E3281">
        <w:rPr>
          <w:rFonts w:ascii="Arial" w:hAnsi="Arial" w:cs="Arial"/>
          <w:bCs/>
          <w:smallCaps/>
          <w:szCs w:val="24"/>
        </w:rPr>
        <w:lastRenderedPageBreak/>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6E3281" w:rsidRDefault="006E3281" w:rsidP="006E3281">
      <w:pPr>
        <w:pStyle w:val="Corpsdetexte"/>
        <w:spacing w:line="360" w:lineRule="auto"/>
        <w:jc w:val="center"/>
        <w:rPr>
          <w:rFonts w:ascii="Arial" w:hAnsi="Arial" w:cs="Arial"/>
          <w:bCs/>
          <w:smallCaps/>
          <w:szCs w:val="24"/>
        </w:rPr>
      </w:pPr>
    </w:p>
    <w:p w:rsidR="006E3281" w:rsidRDefault="00B61999"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EB7683">
        <w:rPr>
          <w:rFonts w:ascii="Arial" w:hAnsi="Arial" w:cs="Arial"/>
        </w:rPr>
        <w:t xml:space="preserve">las acciones </w:t>
      </w:r>
      <w:r w:rsidR="00EB7683" w:rsidRPr="000C2EEA">
        <w:rPr>
          <w:rFonts w:ascii="Arial" w:hAnsi="Arial" w:cs="Arial"/>
        </w:rPr>
        <w:t>de tutela presentada</w:t>
      </w:r>
      <w:r w:rsidR="00EB7683">
        <w:rPr>
          <w:rFonts w:ascii="Arial" w:hAnsi="Arial" w:cs="Arial"/>
        </w:rPr>
        <w:t>s</w:t>
      </w:r>
      <w:r w:rsidR="00EB7683" w:rsidRPr="000C2EEA">
        <w:rPr>
          <w:rFonts w:ascii="Arial" w:hAnsi="Arial" w:cs="Arial"/>
        </w:rPr>
        <w:t xml:space="preserve"> por el señor </w:t>
      </w:r>
      <w:r w:rsidR="00EB7683">
        <w:rPr>
          <w:rFonts w:ascii="Arial" w:hAnsi="Arial" w:cs="Arial"/>
        </w:rPr>
        <w:t xml:space="preserve">Javier </w:t>
      </w:r>
      <w:r w:rsidR="00EB7683">
        <w:rPr>
          <w:rFonts w:ascii="Arial" w:hAnsi="Arial" w:cs="Arial"/>
          <w:lang w:val="es-CO"/>
        </w:rPr>
        <w:t xml:space="preserve">Elías Arias </w:t>
      </w:r>
      <w:proofErr w:type="spellStart"/>
      <w:r w:rsidR="00EB7683">
        <w:rPr>
          <w:rFonts w:ascii="Arial" w:hAnsi="Arial" w:cs="Arial"/>
          <w:lang w:val="es-CO"/>
        </w:rPr>
        <w:t>Idárraga</w:t>
      </w:r>
      <w:proofErr w:type="spellEnd"/>
      <w:r w:rsidR="00EB7683">
        <w:rPr>
          <w:rFonts w:ascii="Arial" w:hAnsi="Arial" w:cs="Arial"/>
          <w:lang w:val="es-CO"/>
        </w:rPr>
        <w:t xml:space="preserve"> contra el Juzgado </w:t>
      </w:r>
      <w:r>
        <w:rPr>
          <w:rFonts w:ascii="Arial" w:hAnsi="Arial" w:cs="Arial"/>
          <w:lang w:val="es-CO"/>
        </w:rPr>
        <w:t>Promiscuo del Circuito de La Virginia, R.</w:t>
      </w:r>
    </w:p>
    <w:p w:rsidR="00E33C71" w:rsidRDefault="00E33C71" w:rsidP="00E33C71">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76AB5" w:rsidRPr="00B61999" w:rsidRDefault="00E33C71" w:rsidP="000D7127">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B61999">
        <w:rPr>
          <w:rFonts w:ascii="Arial" w:hAnsi="Arial" w:cs="Arial"/>
        </w:rPr>
        <w:t xml:space="preserve">DECLARAR improcedentes </w:t>
      </w:r>
      <w:r w:rsidR="00B61999" w:rsidRPr="00B61999">
        <w:rPr>
          <w:rFonts w:ascii="Arial" w:hAnsi="Arial" w:cs="Arial"/>
        </w:rPr>
        <w:t xml:space="preserve">los amparos </w:t>
      </w:r>
      <w:r w:rsidRPr="00B61999">
        <w:rPr>
          <w:rFonts w:ascii="Arial" w:hAnsi="Arial" w:cs="Arial"/>
        </w:rPr>
        <w:t xml:space="preserve">constitucionales respecto </w:t>
      </w:r>
      <w:r w:rsidR="00B61999">
        <w:rPr>
          <w:rFonts w:ascii="Arial" w:hAnsi="Arial" w:cs="Arial"/>
        </w:rPr>
        <w:t xml:space="preserve">la </w:t>
      </w:r>
      <w:r w:rsidR="00B61999">
        <w:rPr>
          <w:rFonts w:ascii="Arial" w:hAnsi="Arial" w:cs="Arial"/>
          <w:spacing w:val="3"/>
        </w:rPr>
        <w:t>Procuraduría</w:t>
      </w:r>
      <w:r w:rsidR="000C2B70" w:rsidRPr="00B61999">
        <w:rPr>
          <w:rFonts w:ascii="Arial" w:hAnsi="Arial" w:cs="Arial"/>
          <w:spacing w:val="3"/>
        </w:rPr>
        <w:t xml:space="preserve"> </w:t>
      </w:r>
      <w:r w:rsidR="00B61999">
        <w:rPr>
          <w:rFonts w:ascii="Arial" w:hAnsi="Arial" w:cs="Arial"/>
          <w:spacing w:val="3"/>
        </w:rPr>
        <w:t xml:space="preserve">General de la Nación, </w:t>
      </w:r>
      <w:r w:rsidR="00EB7683" w:rsidRPr="00B61999">
        <w:rPr>
          <w:rFonts w:ascii="Arial" w:hAnsi="Arial" w:cs="Arial"/>
        </w:rPr>
        <w:t xml:space="preserve">Regional </w:t>
      </w:r>
      <w:r w:rsidR="00B61999">
        <w:rPr>
          <w:rFonts w:ascii="Arial" w:hAnsi="Arial" w:cs="Arial"/>
        </w:rPr>
        <w:t>Risaralda</w:t>
      </w:r>
      <w:r w:rsidR="00976AB5" w:rsidRPr="00B61999">
        <w:rPr>
          <w:rFonts w:ascii="Arial" w:hAnsi="Arial" w:cs="Arial"/>
        </w:rPr>
        <w:t>.</w:t>
      </w:r>
    </w:p>
    <w:p w:rsidR="000827E2" w:rsidRPr="00B61999" w:rsidRDefault="000827E2" w:rsidP="00F04FAF">
      <w:pPr>
        <w:rPr>
          <w:rFonts w:ascii="Arial" w:hAnsi="Arial" w:cs="Arial"/>
          <w:lang w:val="es-CO"/>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B61999"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aragraphedeliste"/>
        <w:rPr>
          <w:rFonts w:ascii="Arial" w:hAnsi="Arial"/>
          <w:spacing w:val="-3"/>
          <w:lang w:val="es-ES_tradnl"/>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Corpsdetexte"/>
        <w:spacing w:line="360" w:lineRule="auto"/>
        <w:jc w:val="center"/>
        <w:rPr>
          <w:rFonts w:ascii="Arial" w:hAnsi="Arial"/>
          <w:smallCaps/>
          <w:sz w:val="20"/>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EB7683" w:rsidRDefault="000006D6" w:rsidP="00017666">
      <w:pPr>
        <w:pStyle w:val="Corpsdetexte"/>
        <w:spacing w:line="360" w:lineRule="auto"/>
        <w:rPr>
          <w:rFonts w:ascii="Arial" w:hAnsi="Arial"/>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E33C71" w:rsidRDefault="00C16956" w:rsidP="00E33C7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E7150C">
        <w:rPr>
          <w:rFonts w:ascii="Arial" w:hAnsi="Arial"/>
          <w:w w:val="150"/>
          <w:sz w:val="8"/>
          <w:szCs w:val="10"/>
          <w:lang w:val="es-CO"/>
        </w:rPr>
        <w:t>2017</w:t>
      </w:r>
    </w:p>
    <w:sectPr w:rsidR="00B65814" w:rsidRPr="00E33C71" w:rsidSect="00EB34A6">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00" w:rsidRDefault="00453D00" w:rsidP="0099045D">
      <w:r>
        <w:separator/>
      </w:r>
    </w:p>
  </w:endnote>
  <w:endnote w:type="continuationSeparator" w:id="0">
    <w:p w:rsidR="00453D00" w:rsidRDefault="00453D0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00" w:rsidRDefault="00453D00" w:rsidP="0099045D">
      <w:r>
        <w:separator/>
      </w:r>
    </w:p>
  </w:footnote>
  <w:footnote w:type="continuationSeparator" w:id="0">
    <w:p w:rsidR="00453D00" w:rsidRDefault="00453D00" w:rsidP="0099045D">
      <w:r>
        <w:continuationSeparator/>
      </w:r>
    </w:p>
  </w:footnote>
  <w:footnote w:id="1">
    <w:p w:rsidR="00444918" w:rsidRPr="001A531D" w:rsidRDefault="00444918" w:rsidP="00444918">
      <w:pPr>
        <w:pStyle w:val="Notedebasdepage"/>
        <w:rPr>
          <w:rFonts w:ascii="Calibri" w:hAnsi="Calibri"/>
          <w:lang w:val="fr-FR"/>
        </w:rPr>
      </w:pPr>
      <w:r>
        <w:rPr>
          <w:rStyle w:val="Appelnotedebasdep"/>
          <w:rFonts w:ascii="Calibri" w:hAnsi="Calibri"/>
        </w:rPr>
        <w:footnoteRef/>
      </w:r>
      <w:r w:rsidRPr="001A531D">
        <w:rPr>
          <w:rFonts w:ascii="Calibri" w:hAnsi="Calibri"/>
          <w:lang w:val="fr-FR"/>
        </w:rPr>
        <w:t xml:space="preserve"> CC. T-382 de 2016</w:t>
      </w:r>
    </w:p>
  </w:footnote>
  <w:footnote w:id="2">
    <w:p w:rsidR="00444918" w:rsidRPr="001A531D" w:rsidRDefault="00444918" w:rsidP="00444918">
      <w:pPr>
        <w:pStyle w:val="Notedebasdepage"/>
        <w:rPr>
          <w:rFonts w:ascii="Calibri" w:hAnsi="Calibri"/>
          <w:lang w:val="fr-FR"/>
        </w:rPr>
      </w:pPr>
      <w:r>
        <w:rPr>
          <w:rStyle w:val="Appelnotedebasdep"/>
          <w:rFonts w:ascii="Calibri" w:hAnsi="Calibri"/>
        </w:rPr>
        <w:footnoteRef/>
      </w:r>
      <w:r w:rsidRPr="001A531D">
        <w:rPr>
          <w:rFonts w:ascii="Calibri" w:hAnsi="Calibri"/>
          <w:lang w:val="fr-FR"/>
        </w:rPr>
        <w:t xml:space="preserve"> CC. T–1191 de 2004 </w:t>
      </w:r>
    </w:p>
  </w:footnote>
  <w:footnote w:id="3">
    <w:p w:rsidR="00444918" w:rsidRDefault="00444918" w:rsidP="00444918">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F938C5" w:rsidRPr="00E17BD7" w:rsidRDefault="00F938C5" w:rsidP="00F938C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F938C5" w:rsidRPr="00E17BD7" w:rsidRDefault="00F938C5" w:rsidP="00F938C5">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F938C5" w:rsidRPr="001A531D" w:rsidRDefault="00F938C5" w:rsidP="00F938C5">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1A531D">
        <w:rPr>
          <w:rFonts w:asciiTheme="minorHAnsi" w:hAnsiTheme="minorHAnsi" w:cs="Calibri"/>
          <w:lang w:val="fr-FR"/>
        </w:rPr>
        <w:t xml:space="preserve"> CC. T-917 de 2011.</w:t>
      </w:r>
    </w:p>
  </w:footnote>
  <w:footnote w:id="7">
    <w:p w:rsidR="00F938C5" w:rsidRPr="001A531D" w:rsidRDefault="00F938C5" w:rsidP="00F938C5">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1A531D">
        <w:rPr>
          <w:rFonts w:asciiTheme="minorHAnsi" w:hAnsiTheme="minorHAnsi" w:cs="Calibri"/>
          <w:lang w:val="fr-FR"/>
        </w:rPr>
        <w:t xml:space="preserve"> CC. C-590 de 2005.</w:t>
      </w:r>
    </w:p>
  </w:footnote>
  <w:footnote w:id="8">
    <w:p w:rsidR="00F938C5" w:rsidRPr="001A531D" w:rsidRDefault="00F938C5" w:rsidP="00F938C5">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1A531D">
        <w:rPr>
          <w:rFonts w:asciiTheme="minorHAnsi" w:hAnsiTheme="minorHAnsi" w:cs="Calibri"/>
          <w:lang w:val="fr-FR"/>
        </w:rPr>
        <w:t xml:space="preserve"> CC. </w:t>
      </w:r>
      <w:r w:rsidRPr="001A531D">
        <w:rPr>
          <w:rFonts w:asciiTheme="minorHAnsi" w:hAnsiTheme="minorHAnsi" w:cs="Calibri"/>
          <w:bCs/>
          <w:lang w:val="fr-FR"/>
        </w:rPr>
        <w:t>SU-222 de 2016</w:t>
      </w:r>
      <w:r w:rsidRPr="001A531D">
        <w:rPr>
          <w:rFonts w:asciiTheme="minorHAnsi" w:hAnsiTheme="minorHAnsi" w:cs="Calibri"/>
          <w:lang w:val="fr-FR"/>
        </w:rPr>
        <w:t>.</w:t>
      </w:r>
    </w:p>
  </w:footnote>
  <w:footnote w:id="9">
    <w:p w:rsidR="00F938C5" w:rsidRPr="001A531D" w:rsidRDefault="00F938C5" w:rsidP="00F938C5">
      <w:pPr>
        <w:pStyle w:val="Notedebasdepage"/>
        <w:rPr>
          <w:rFonts w:asciiTheme="minorHAnsi" w:hAnsiTheme="minorHAnsi"/>
          <w:lang w:val="fr-FR"/>
        </w:rPr>
      </w:pPr>
      <w:r w:rsidRPr="00E17BD7">
        <w:rPr>
          <w:rStyle w:val="Appelnotedebasdep"/>
          <w:rFonts w:asciiTheme="minorHAnsi" w:hAnsiTheme="minorHAnsi"/>
        </w:rPr>
        <w:footnoteRef/>
      </w:r>
      <w:r w:rsidRPr="001A531D">
        <w:rPr>
          <w:rFonts w:asciiTheme="minorHAnsi" w:hAnsiTheme="minorHAnsi"/>
          <w:lang w:val="fr-FR"/>
        </w:rPr>
        <w:t xml:space="preserve"> </w:t>
      </w:r>
      <w:r w:rsidRPr="001A531D">
        <w:rPr>
          <w:rFonts w:asciiTheme="minorHAnsi" w:hAnsiTheme="minorHAnsi" w:cs="Calibri"/>
          <w:lang w:val="fr-FR"/>
        </w:rPr>
        <w:t>CC. T-307 de 2015.</w:t>
      </w:r>
    </w:p>
  </w:footnote>
  <w:footnote w:id="10">
    <w:p w:rsidR="00F938C5" w:rsidRPr="00E17BD7" w:rsidRDefault="00F938C5" w:rsidP="00F938C5">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F938C5" w:rsidRPr="00E17BD7" w:rsidRDefault="00F938C5" w:rsidP="00F938C5">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1A531D">
      <w:rPr>
        <w:rFonts w:ascii="Calibri" w:hAnsi="Calibri" w:cs="Calibri"/>
        <w:i/>
        <w:noProof/>
        <w:sz w:val="20"/>
      </w:rPr>
      <w:t>1</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9F0C5D">
      <w:rPr>
        <w:rFonts w:ascii="Calibri" w:hAnsi="Calibri" w:cs="Calibri"/>
        <w:i/>
        <w:sz w:val="20"/>
        <w:szCs w:val="22"/>
      </w:rPr>
      <w:t>2017-00326-00</w:t>
    </w:r>
    <w:r w:rsidR="00F7395A">
      <w:rPr>
        <w:rFonts w:ascii="Calibri" w:hAnsi="Calibri" w:cs="Calibri"/>
        <w:i/>
        <w:sz w:val="20"/>
        <w:szCs w:val="22"/>
      </w:rPr>
      <w:t xml:space="preserve"> ACUMULADAS </w:t>
    </w:r>
    <w:r w:rsidR="009F0C5D">
      <w:rPr>
        <w:rFonts w:ascii="Calibri" w:hAnsi="Calibri" w:cs="Calibri"/>
        <w:i/>
        <w:sz w:val="20"/>
        <w:szCs w:val="22"/>
      </w:rPr>
      <w:t xml:space="preserve">2 </w:t>
    </w:r>
    <w:r w:rsidR="00F7395A">
      <w:rPr>
        <w:rFonts w:ascii="Calibri" w:hAnsi="Calibri" w:cs="Calibri"/>
        <w:i/>
        <w:sz w:val="20"/>
        <w:szCs w:val="22"/>
      </w:rPr>
      <w:t xml:space="preserve">ACCIONES </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005"/>
    <w:multiLevelType w:val="multilevel"/>
    <w:tmpl w:val="937806BA"/>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5D3466A"/>
    <w:multiLevelType w:val="multilevel"/>
    <w:tmpl w:val="D3A0412A"/>
    <w:lvl w:ilvl="0">
      <w:start w:val="7"/>
      <w:numFmt w:val="decimal"/>
      <w:lvlText w:val="%1."/>
      <w:lvlJc w:val="left"/>
      <w:pPr>
        <w:ind w:left="400" w:hanging="400"/>
      </w:pPr>
      <w:rPr>
        <w:rFonts w:cs="Times New Roman" w:hint="default"/>
      </w:rPr>
    </w:lvl>
    <w:lvl w:ilvl="1">
      <w:start w:val="4"/>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5E87C83"/>
    <w:multiLevelType w:val="multilevel"/>
    <w:tmpl w:val="D3A0412A"/>
    <w:lvl w:ilvl="0">
      <w:start w:val="7"/>
      <w:numFmt w:val="decimal"/>
      <w:lvlText w:val="%1."/>
      <w:lvlJc w:val="left"/>
      <w:pPr>
        <w:ind w:left="400" w:hanging="400"/>
      </w:pPr>
      <w:rPr>
        <w:rFonts w:cs="Times New Roman" w:hint="default"/>
      </w:rPr>
    </w:lvl>
    <w:lvl w:ilvl="1">
      <w:start w:val="4"/>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4EDCAF9A"/>
    <w:lvl w:ilvl="0">
      <w:start w:val="6"/>
      <w:numFmt w:val="decimal"/>
      <w:lvlText w:val="%1."/>
      <w:lvlJc w:val="left"/>
      <w:pPr>
        <w:ind w:left="400" w:hanging="400"/>
      </w:pPr>
      <w:rPr>
        <w:rFonts w:cs="Times New Roman" w:hint="default"/>
        <w:sz w:val="28"/>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D530DE0"/>
    <w:multiLevelType w:val="multilevel"/>
    <w:tmpl w:val="83FCC3A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9D2DF6"/>
    <w:multiLevelType w:val="multilevel"/>
    <w:tmpl w:val="7F02DBFA"/>
    <w:lvl w:ilvl="0">
      <w:start w:val="7"/>
      <w:numFmt w:val="decimal"/>
      <w:lvlText w:val="%1."/>
      <w:lvlJc w:val="left"/>
      <w:pPr>
        <w:ind w:left="400" w:hanging="400"/>
      </w:pPr>
      <w:rPr>
        <w:rFonts w:cs="Times New Roman" w:hint="default"/>
      </w:rPr>
    </w:lvl>
    <w:lvl w:ilvl="1">
      <w:start w:val="5"/>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0D1763"/>
    <w:multiLevelType w:val="multilevel"/>
    <w:tmpl w:val="EDCC35C8"/>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5CEB706F"/>
    <w:multiLevelType w:val="multilevel"/>
    <w:tmpl w:val="1DD49A0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6"/>
  </w:num>
  <w:num w:numId="2">
    <w:abstractNumId w:val="21"/>
  </w:num>
  <w:num w:numId="3">
    <w:abstractNumId w:val="18"/>
  </w:num>
  <w:num w:numId="4">
    <w:abstractNumId w:val="3"/>
  </w:num>
  <w:num w:numId="5">
    <w:abstractNumId w:val="34"/>
  </w:num>
  <w:num w:numId="6">
    <w:abstractNumId w:val="1"/>
  </w:num>
  <w:num w:numId="7">
    <w:abstractNumId w:val="26"/>
  </w:num>
  <w:num w:numId="8">
    <w:abstractNumId w:val="2"/>
  </w:num>
  <w:num w:numId="9">
    <w:abstractNumId w:val="35"/>
  </w:num>
  <w:num w:numId="10">
    <w:abstractNumId w:val="27"/>
  </w:num>
  <w:num w:numId="11">
    <w:abstractNumId w:val="24"/>
  </w:num>
  <w:num w:numId="12">
    <w:abstractNumId w:val="31"/>
  </w:num>
  <w:num w:numId="13">
    <w:abstractNumId w:val="13"/>
  </w:num>
  <w:num w:numId="14">
    <w:abstractNumId w:val="14"/>
  </w:num>
  <w:num w:numId="15">
    <w:abstractNumId w:val="22"/>
  </w:num>
  <w:num w:numId="16">
    <w:abstractNumId w:val="5"/>
  </w:num>
  <w:num w:numId="17">
    <w:abstractNumId w:val="23"/>
  </w:num>
  <w:num w:numId="18">
    <w:abstractNumId w:val="10"/>
  </w:num>
  <w:num w:numId="19">
    <w:abstractNumId w:val="6"/>
  </w:num>
  <w:num w:numId="20">
    <w:abstractNumId w:val="15"/>
  </w:num>
  <w:num w:numId="21">
    <w:abstractNumId w:val="25"/>
  </w:num>
  <w:num w:numId="22">
    <w:abstractNumId w:val="30"/>
  </w:num>
  <w:num w:numId="23">
    <w:abstractNumId w:val="9"/>
  </w:num>
  <w:num w:numId="24">
    <w:abstractNumId w:val="28"/>
  </w:num>
  <w:num w:numId="25">
    <w:abstractNumId w:val="4"/>
  </w:num>
  <w:num w:numId="26">
    <w:abstractNumId w:val="16"/>
  </w:num>
  <w:num w:numId="27">
    <w:abstractNumId w:val="29"/>
  </w:num>
  <w:num w:numId="2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2"/>
  </w:num>
  <w:num w:numId="31">
    <w:abstractNumId w:val="7"/>
  </w:num>
  <w:num w:numId="32">
    <w:abstractNumId w:val="8"/>
  </w:num>
  <w:num w:numId="33">
    <w:abstractNumId w:val="17"/>
  </w:num>
  <w:num w:numId="34">
    <w:abstractNumId w:val="20"/>
  </w:num>
  <w:num w:numId="35">
    <w:abstractNumId w:val="19"/>
  </w:num>
  <w:num w:numId="36">
    <w:abstractNumId w:val="33"/>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299C"/>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A9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B70"/>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75"/>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B16"/>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28F"/>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C16"/>
    <w:rsid w:val="00193995"/>
    <w:rsid w:val="00193D37"/>
    <w:rsid w:val="0019525B"/>
    <w:rsid w:val="00195D5E"/>
    <w:rsid w:val="0019739B"/>
    <w:rsid w:val="00197941"/>
    <w:rsid w:val="001A07E8"/>
    <w:rsid w:val="001A0924"/>
    <w:rsid w:val="001A0973"/>
    <w:rsid w:val="001A0BC5"/>
    <w:rsid w:val="001A122A"/>
    <w:rsid w:val="001A143F"/>
    <w:rsid w:val="001A1B54"/>
    <w:rsid w:val="001A1CE0"/>
    <w:rsid w:val="001A1EA0"/>
    <w:rsid w:val="001A1F48"/>
    <w:rsid w:val="001A2A8F"/>
    <w:rsid w:val="001A52A7"/>
    <w:rsid w:val="001A531D"/>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EA"/>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0AB0"/>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F5D"/>
    <w:rsid w:val="00316088"/>
    <w:rsid w:val="00316ABE"/>
    <w:rsid w:val="00316CAE"/>
    <w:rsid w:val="0031797D"/>
    <w:rsid w:val="0032018C"/>
    <w:rsid w:val="00320355"/>
    <w:rsid w:val="00320C23"/>
    <w:rsid w:val="00321495"/>
    <w:rsid w:val="0032165A"/>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D91"/>
    <w:rsid w:val="00383E2F"/>
    <w:rsid w:val="00384827"/>
    <w:rsid w:val="00384DBF"/>
    <w:rsid w:val="00384EE7"/>
    <w:rsid w:val="003857BC"/>
    <w:rsid w:val="00385E43"/>
    <w:rsid w:val="003860A0"/>
    <w:rsid w:val="00386A62"/>
    <w:rsid w:val="0038712D"/>
    <w:rsid w:val="003879F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348"/>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91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D00"/>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30F"/>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319D"/>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D09"/>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CB"/>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0CB"/>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4386"/>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9B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5E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42D"/>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747"/>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772"/>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1A7E"/>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7C"/>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770"/>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19"/>
    <w:rsid w:val="009155CD"/>
    <w:rsid w:val="009161AF"/>
    <w:rsid w:val="00916382"/>
    <w:rsid w:val="00920533"/>
    <w:rsid w:val="00920BD9"/>
    <w:rsid w:val="009217C1"/>
    <w:rsid w:val="00921879"/>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0C5D"/>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7E"/>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AC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4B1"/>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960"/>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CB4"/>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0916"/>
    <w:rsid w:val="00B013CA"/>
    <w:rsid w:val="00B01CA9"/>
    <w:rsid w:val="00B01EBF"/>
    <w:rsid w:val="00B02C05"/>
    <w:rsid w:val="00B03045"/>
    <w:rsid w:val="00B05CA6"/>
    <w:rsid w:val="00B05F38"/>
    <w:rsid w:val="00B06A13"/>
    <w:rsid w:val="00B06BAF"/>
    <w:rsid w:val="00B0777E"/>
    <w:rsid w:val="00B07948"/>
    <w:rsid w:val="00B07E5C"/>
    <w:rsid w:val="00B108D7"/>
    <w:rsid w:val="00B10D4D"/>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199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8FE"/>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4AF"/>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90E"/>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26E"/>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1F"/>
    <w:rsid w:val="00C86DA6"/>
    <w:rsid w:val="00C870E2"/>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64A7"/>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5FFB"/>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C71"/>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150C"/>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4A6"/>
    <w:rsid w:val="00EB3D45"/>
    <w:rsid w:val="00EB3F66"/>
    <w:rsid w:val="00EB448D"/>
    <w:rsid w:val="00EB46DC"/>
    <w:rsid w:val="00EB4C2C"/>
    <w:rsid w:val="00EB5036"/>
    <w:rsid w:val="00EB6A69"/>
    <w:rsid w:val="00EB7683"/>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5924"/>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38C5"/>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13679516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FE71-0FD5-483A-8031-299A94CC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2017-04-24T20:12:00Z</cp:lastPrinted>
  <dcterms:created xsi:type="dcterms:W3CDTF">2017-04-24T13:13:00Z</dcterms:created>
  <dcterms:modified xsi:type="dcterms:W3CDTF">2017-06-21T04:18:00Z</dcterms:modified>
</cp:coreProperties>
</file>