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3C3" w:rsidRDefault="005653C3" w:rsidP="005653C3">
      <w:pPr>
        <w:shd w:val="clear" w:color="auto" w:fill="FFFFFF"/>
        <w:tabs>
          <w:tab w:val="left" w:pos="2024"/>
        </w:tabs>
        <w:rPr>
          <w:rFonts w:ascii="Calibri" w:eastAsia="Calibri" w:hAnsi="Calibri" w:cs="Calibri"/>
          <w:color w:val="222222"/>
          <w:sz w:val="18"/>
          <w:szCs w:val="18"/>
          <w:lang w:val="es-MX" w:eastAsia="fr-FR"/>
        </w:rPr>
      </w:pPr>
      <w:bookmarkStart w:id="0" w:name="_GoBack"/>
      <w:bookmarkEnd w:id="0"/>
    </w:p>
    <w:p w:rsidR="005653C3" w:rsidRPr="006E4540" w:rsidRDefault="005653C3" w:rsidP="005653C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Pr="007D3EFE"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5653C3">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5653C3">
        <w:rPr>
          <w:rFonts w:ascii="Arial" w:eastAsia="Arial" w:hAnsi="Arial" w:cs="Arial"/>
          <w:sz w:val="22"/>
          <w:szCs w:val="22"/>
        </w:rPr>
        <w:t>– 1ª instancia – 26 de abril de 2017</w:t>
      </w:r>
    </w:p>
    <w:p w:rsidR="005653C3" w:rsidRDefault="005653C3"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Acción de Tutela – Niega el amparo solicitado</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4A5FA5" w:rsidRPr="007D3EFE">
        <w:rPr>
          <w:rFonts w:ascii="Arial" w:eastAsia="Arial" w:hAnsi="Arial" w:cs="Arial"/>
          <w:sz w:val="22"/>
          <w:szCs w:val="22"/>
        </w:rPr>
        <w:t xml:space="preserve">Juzgado </w:t>
      </w:r>
      <w:r w:rsidR="001C24F2">
        <w:rPr>
          <w:rFonts w:ascii="Arial" w:eastAsia="Arial" w:hAnsi="Arial" w:cs="Arial"/>
          <w:sz w:val="22"/>
          <w:szCs w:val="22"/>
        </w:rPr>
        <w:t xml:space="preserve">Segundo Civil del Circuito de Pereira </w:t>
      </w:r>
      <w:r w:rsidR="00E4392F">
        <w:rPr>
          <w:rFonts w:ascii="Arial" w:eastAsia="Arial" w:hAnsi="Arial" w:cs="Arial"/>
          <w:sz w:val="22"/>
          <w:szCs w:val="22"/>
        </w:rPr>
        <w:t xml:space="preserve">y </w:t>
      </w:r>
      <w:r w:rsidR="001C24F2">
        <w:rPr>
          <w:rFonts w:ascii="Arial" w:eastAsia="Arial" w:hAnsi="Arial" w:cs="Arial"/>
          <w:sz w:val="22"/>
          <w:szCs w:val="22"/>
        </w:rPr>
        <w:t>otra</w:t>
      </w:r>
    </w:p>
    <w:p w:rsidR="00DA64CA" w:rsidRPr="0059534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Litisconsorte (s)</w:t>
      </w:r>
      <w:r>
        <w:rPr>
          <w:rFonts w:ascii="Arial" w:eastAsia="Arial" w:hAnsi="Arial" w:cs="Arial"/>
          <w:sz w:val="22"/>
          <w:szCs w:val="22"/>
        </w:rPr>
        <w:tab/>
        <w:t xml:space="preserve">: </w:t>
      </w:r>
      <w:r w:rsidR="00D36D2F">
        <w:rPr>
          <w:rFonts w:ascii="Arial" w:eastAsia="Arial" w:hAnsi="Arial" w:cs="Arial"/>
          <w:sz w:val="22"/>
          <w:szCs w:val="22"/>
        </w:rPr>
        <w:t xml:space="preserve">Defensoría del Pueblo, Regional </w:t>
      </w:r>
      <w:r w:rsidR="001C24F2">
        <w:rPr>
          <w:rFonts w:ascii="Arial" w:eastAsia="Arial" w:hAnsi="Arial" w:cs="Arial"/>
          <w:sz w:val="22"/>
          <w:szCs w:val="22"/>
        </w:rPr>
        <w:t xml:space="preserve">Huila </w:t>
      </w:r>
      <w:r w:rsidR="00D36D2F">
        <w:rPr>
          <w:rFonts w:ascii="Arial" w:eastAsia="Arial" w:hAnsi="Arial" w:cs="Arial"/>
          <w:sz w:val="22"/>
          <w:szCs w:val="22"/>
        </w:rPr>
        <w:t>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1C24F2">
        <w:rPr>
          <w:rFonts w:ascii="Arial" w:eastAsia="Arial" w:hAnsi="Arial" w:cs="Arial"/>
          <w:sz w:val="22"/>
          <w:szCs w:val="22"/>
        </w:rPr>
        <w:t>00359</w:t>
      </w:r>
      <w:r w:rsidR="004A5FA5" w:rsidRPr="007D3EFE">
        <w:rPr>
          <w:rFonts w:ascii="Arial" w:eastAsia="Arial" w:hAnsi="Arial" w:cs="Arial"/>
          <w:sz w:val="22"/>
          <w:szCs w:val="22"/>
        </w:rPr>
        <w:t>-00</w:t>
      </w:r>
      <w:r w:rsidR="00595344">
        <w:rPr>
          <w:rFonts w:ascii="Arial" w:eastAsia="Arial" w:hAnsi="Arial" w:cs="Arial"/>
          <w:sz w:val="22"/>
          <w:szCs w:val="22"/>
        </w:rPr>
        <w:t xml:space="preserve"> (Interna No.</w:t>
      </w:r>
      <w:r w:rsidR="001C24F2">
        <w:rPr>
          <w:rFonts w:ascii="Arial" w:eastAsia="Arial" w:hAnsi="Arial" w:cs="Arial"/>
          <w:sz w:val="22"/>
          <w:szCs w:val="22"/>
        </w:rPr>
        <w:t>359</w:t>
      </w:r>
      <w:r w:rsidR="00595344">
        <w:rPr>
          <w:rFonts w:ascii="Arial" w:eastAsia="Arial" w:hAnsi="Arial" w:cs="Arial"/>
          <w:sz w:val="22"/>
          <w:szCs w:val="22"/>
        </w:rPr>
        <w:t>)</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987F59" w:rsidRDefault="00987F59" w:rsidP="00987F59">
      <w:pPr>
        <w:spacing w:line="360" w:lineRule="auto"/>
        <w:ind w:left="708" w:firstLine="708"/>
        <w:rPr>
          <w:rFonts w:ascii="Arial" w:hAnsi="Arial"/>
          <w:sz w:val="22"/>
          <w:szCs w:val="22"/>
        </w:rPr>
      </w:pPr>
      <w:r>
        <w:rPr>
          <w:rFonts w:ascii="Arial" w:hAnsi="Arial" w:cs="Arial"/>
          <w:sz w:val="22"/>
          <w:szCs w:val="22"/>
        </w:rPr>
        <w:tab/>
      </w: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211 de 26-04-2017</w:t>
      </w:r>
    </w:p>
    <w:p w:rsidR="005653C3" w:rsidRPr="005653C3" w:rsidRDefault="005653C3" w:rsidP="005653C3">
      <w:pPr>
        <w:ind w:left="708" w:firstLine="708"/>
        <w:rPr>
          <w:rFonts w:ascii="Arial" w:hAnsi="Arial"/>
          <w:sz w:val="16"/>
          <w:szCs w:val="16"/>
        </w:rPr>
      </w:pPr>
    </w:p>
    <w:p w:rsidR="005653C3" w:rsidRPr="005653C3" w:rsidRDefault="005653C3" w:rsidP="005653C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eastAsia="Arial" w:hAnsi="Arial" w:cs="Arial"/>
          <w:b/>
          <w:sz w:val="22"/>
          <w:szCs w:val="22"/>
        </w:rPr>
      </w:pPr>
      <w:r w:rsidRPr="007D3EFE">
        <w:rPr>
          <w:rFonts w:ascii="Arial" w:eastAsia="Arial" w:hAnsi="Arial" w:cs="Arial"/>
          <w:sz w:val="22"/>
          <w:szCs w:val="22"/>
        </w:rPr>
        <w:tab/>
        <w:t xml:space="preserve"> </w:t>
      </w:r>
      <w:r w:rsidRPr="007D3EFE">
        <w:rPr>
          <w:rFonts w:ascii="Arial" w:eastAsia="Arial" w:hAnsi="Arial" w:cs="Arial"/>
          <w:sz w:val="22"/>
          <w:szCs w:val="22"/>
        </w:rPr>
        <w:tab/>
      </w:r>
      <w:r w:rsidRPr="007D3EFE">
        <w:rPr>
          <w:rFonts w:ascii="Arial" w:eastAsia="Arial" w:hAnsi="Arial" w:cs="Arial"/>
          <w:sz w:val="22"/>
          <w:szCs w:val="22"/>
        </w:rPr>
        <w:tab/>
      </w:r>
      <w:r>
        <w:rPr>
          <w:rFonts w:ascii="Arial" w:eastAsia="Arial" w:hAnsi="Arial" w:cs="Arial"/>
          <w:b/>
          <w:sz w:val="22"/>
          <w:szCs w:val="22"/>
        </w:rPr>
        <w:t>TEMAS</w:t>
      </w:r>
      <w:r>
        <w:rPr>
          <w:rFonts w:ascii="Arial" w:eastAsia="Arial" w:hAnsi="Arial" w:cs="Arial"/>
          <w:b/>
          <w:sz w:val="22"/>
          <w:szCs w:val="22"/>
        </w:rPr>
        <w:tab/>
      </w:r>
      <w:r>
        <w:rPr>
          <w:rFonts w:ascii="Arial" w:eastAsia="Arial" w:hAnsi="Arial" w:cs="Arial"/>
          <w:b/>
          <w:sz w:val="22"/>
          <w:szCs w:val="22"/>
        </w:rPr>
        <w:tab/>
      </w:r>
      <w:r w:rsidRPr="005653C3">
        <w:rPr>
          <w:rFonts w:ascii="Arial" w:eastAsia="Arial" w:hAnsi="Arial" w:cs="Arial"/>
          <w:b/>
          <w:sz w:val="22"/>
          <w:szCs w:val="22"/>
        </w:rPr>
        <w:t>: LEGITIMACIÓN – INEXISTENCIA DE HECHOS</w:t>
      </w:r>
      <w:r>
        <w:rPr>
          <w:rFonts w:ascii="Arial" w:eastAsia="Arial" w:hAnsi="Arial" w:cs="Arial"/>
          <w:b/>
          <w:sz w:val="22"/>
          <w:szCs w:val="22"/>
        </w:rPr>
        <w:t xml:space="preserve">. </w:t>
      </w:r>
      <w:r w:rsidRPr="005653C3">
        <w:rPr>
          <w:rFonts w:ascii="Arial" w:eastAsia="Arial" w:hAnsi="Arial" w:cs="Arial"/>
          <w:sz w:val="22"/>
          <w:szCs w:val="22"/>
        </w:rPr>
        <w:t>“[R]</w:t>
      </w:r>
      <w:proofErr w:type="spellStart"/>
      <w:r w:rsidRPr="005653C3">
        <w:rPr>
          <w:rFonts w:ascii="Arial" w:eastAsia="Arial" w:hAnsi="Arial" w:cs="Arial"/>
          <w:sz w:val="22"/>
          <w:szCs w:val="22"/>
        </w:rPr>
        <w:t>evisado</w:t>
      </w:r>
      <w:proofErr w:type="spellEnd"/>
      <w:r w:rsidRPr="005653C3">
        <w:rPr>
          <w:rFonts w:ascii="Arial" w:eastAsia="Arial" w:hAnsi="Arial" w:cs="Arial"/>
          <w:sz w:val="22"/>
          <w:szCs w:val="22"/>
        </w:rPr>
        <w:t xml:space="preserve"> el acervo probatorio se tiene que el despacho judicial accionado con providencia del 23-11-2016 rechazó la acción popular porque no se subsanaron las inconsistencias señaladas en el auto </w:t>
      </w:r>
      <w:proofErr w:type="spellStart"/>
      <w:r w:rsidRPr="005653C3">
        <w:rPr>
          <w:rFonts w:ascii="Arial" w:eastAsia="Arial" w:hAnsi="Arial" w:cs="Arial"/>
          <w:sz w:val="22"/>
          <w:szCs w:val="22"/>
        </w:rPr>
        <w:t>inadmisorio</w:t>
      </w:r>
      <w:proofErr w:type="spellEnd"/>
      <w:r w:rsidRPr="005653C3">
        <w:rPr>
          <w:rFonts w:ascii="Arial" w:eastAsia="Arial" w:hAnsi="Arial" w:cs="Arial"/>
          <w:sz w:val="22"/>
          <w:szCs w:val="22"/>
        </w:rPr>
        <w:t>, decisión notificada en el estado del día 24-11-2016 y no fue recurrida (Folios 19 vuelto y 21, ib.</w:t>
      </w:r>
      <w:r w:rsidRPr="005653C3">
        <w:rPr>
          <w:rFonts w:ascii="Arial" w:eastAsia="Arial" w:hAnsi="Arial" w:cs="Arial"/>
          <w:sz w:val="22"/>
          <w:szCs w:val="22"/>
          <w:lang w:val="es-CO"/>
        </w:rPr>
        <w:t xml:space="preserve">). </w:t>
      </w:r>
      <w:r w:rsidRPr="005653C3">
        <w:rPr>
          <w:rFonts w:ascii="Arial" w:eastAsia="Arial" w:hAnsi="Arial" w:cs="Arial"/>
          <w:sz w:val="22"/>
          <w:szCs w:val="22"/>
        </w:rPr>
        <w:t>Así las cosas, se tiene que el accionante nunca presentó escrito de apelación contra la aludida decisión, de tal suerte, que es inviable endilgar acción alguna al juzgado cuando ni siquiera fue presentado el aludido memorial; es así, que el asunto carece de la supuesta negativa en la concesión de la alzada que se alega, en consecuencia, como inexisten los hechos expuestos en el petitorio, se negará la tutela.”.</w:t>
      </w:r>
    </w:p>
    <w:p w:rsidR="00987F59" w:rsidRPr="00987F59" w:rsidRDefault="00987F59" w:rsidP="00987F59">
      <w:pPr>
        <w:pBdr>
          <w:bottom w:val="double" w:sz="6" w:space="1" w:color="auto"/>
        </w:pBdr>
        <w:spacing w:line="360" w:lineRule="auto"/>
        <w:jc w:val="center"/>
        <w:rPr>
          <w:rFonts w:ascii="Arial" w:hAnsi="Arial" w:cs="Arial"/>
          <w:b/>
          <w:bCs/>
          <w:sz w:val="14"/>
          <w:szCs w:val="22"/>
        </w:rPr>
      </w:pPr>
    </w:p>
    <w:p w:rsidR="00987F59" w:rsidRDefault="00987F59" w:rsidP="00987F59">
      <w:pPr>
        <w:spacing w:line="360" w:lineRule="auto"/>
        <w:jc w:val="center"/>
        <w:rPr>
          <w:rFonts w:ascii="Arial" w:hAnsi="Arial" w:cs="Arial"/>
          <w:b/>
          <w:bCs/>
          <w:sz w:val="22"/>
          <w:szCs w:val="22"/>
        </w:rPr>
      </w:pPr>
    </w:p>
    <w:p w:rsidR="00987F59" w:rsidRPr="00303E85" w:rsidRDefault="00987F59" w:rsidP="00987F59">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Pr>
          <w:rFonts w:ascii="Arial" w:hAnsi="Arial" w:cs="Arial"/>
          <w:iCs/>
          <w:smallCaps/>
          <w:sz w:val="28"/>
          <w:szCs w:val="28"/>
          <w:lang w:val="es-CO"/>
        </w:rPr>
        <w:t xml:space="preserve">veintiséis </w:t>
      </w:r>
      <w:r w:rsidRPr="00303E85">
        <w:rPr>
          <w:rFonts w:ascii="Arial" w:hAnsi="Arial" w:cs="Arial"/>
          <w:iCs/>
          <w:smallCaps/>
          <w:sz w:val="28"/>
          <w:szCs w:val="28"/>
          <w:lang w:val="es-CO"/>
        </w:rPr>
        <w:t>(</w:t>
      </w:r>
      <w:r>
        <w:rPr>
          <w:rFonts w:ascii="Arial" w:hAnsi="Arial" w:cs="Arial"/>
          <w:iCs/>
          <w:smallCaps/>
          <w:sz w:val="28"/>
          <w:szCs w:val="28"/>
          <w:lang w:val="es-CO"/>
        </w:rPr>
        <w:t>26</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abril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884B0F" w:rsidRPr="00595344" w:rsidRDefault="00884B0F" w:rsidP="00987F59">
      <w:pPr>
        <w:tabs>
          <w:tab w:val="left" w:pos="851"/>
          <w:tab w:val="left" w:pos="1416"/>
        </w:tabs>
        <w:spacing w:line="360" w:lineRule="auto"/>
        <w:rPr>
          <w:rFonts w:ascii="Arial" w:hAnsi="Arial" w:cs="Arial"/>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El asunto por decidir</w:t>
      </w:r>
    </w:p>
    <w:p w:rsidR="00884B0F" w:rsidRPr="00696EF1" w:rsidRDefault="00884B0F" w:rsidP="00962082">
      <w:pPr>
        <w:pStyle w:val="Sansinterligne"/>
        <w:spacing w:line="360" w:lineRule="auto"/>
        <w:rPr>
          <w:rFonts w:ascii="Arial" w:hAnsi="Arial" w:cs="Arial"/>
          <w:sz w:val="22"/>
          <w:szCs w:val="24"/>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696EF1" w:rsidRDefault="00884B0F" w:rsidP="00962082">
      <w:pPr>
        <w:pStyle w:val="Sansinterligne"/>
        <w:spacing w:line="360" w:lineRule="auto"/>
        <w:rPr>
          <w:rFonts w:ascii="Arial" w:hAnsi="Arial" w:cs="Arial"/>
          <w:sz w:val="22"/>
          <w:szCs w:val="24"/>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La síntesis de los supuestos fácticos relevantes</w:t>
      </w:r>
    </w:p>
    <w:p w:rsidR="00F855C3" w:rsidRPr="00696EF1" w:rsidRDefault="00F855C3" w:rsidP="00962082">
      <w:pPr>
        <w:spacing w:line="360" w:lineRule="auto"/>
        <w:jc w:val="both"/>
        <w:rPr>
          <w:rFonts w:ascii="Arial" w:hAnsi="Arial" w:cs="Arial"/>
          <w:sz w:val="22"/>
        </w:rPr>
      </w:pPr>
    </w:p>
    <w:p w:rsidR="00E4392F" w:rsidRDefault="00E4392F" w:rsidP="00E4392F">
      <w:pPr>
        <w:spacing w:line="360" w:lineRule="auto"/>
        <w:jc w:val="both"/>
        <w:rPr>
          <w:rFonts w:ascii="Arial" w:hAnsi="Arial" w:cs="Arial"/>
        </w:rPr>
      </w:pPr>
      <w:r>
        <w:rPr>
          <w:rFonts w:ascii="Arial" w:hAnsi="Arial" w:cs="Arial"/>
        </w:rPr>
        <w:t xml:space="preserve">Indicó el </w:t>
      </w:r>
      <w:r w:rsidR="001C24F2">
        <w:rPr>
          <w:rFonts w:ascii="Arial" w:hAnsi="Arial" w:cs="Arial"/>
        </w:rPr>
        <w:t xml:space="preserve">actor que el Juzgado accionado se negó a conceder la apelación que presentó contra el auto que rechazó </w:t>
      </w:r>
      <w:r>
        <w:rPr>
          <w:rFonts w:ascii="Arial" w:hAnsi="Arial" w:cs="Arial"/>
        </w:rPr>
        <w:t>la acción popular No.</w:t>
      </w:r>
      <w:r w:rsidR="001C24F2">
        <w:rPr>
          <w:rFonts w:ascii="Arial" w:hAnsi="Arial" w:cs="Arial"/>
        </w:rPr>
        <w:t xml:space="preserve">2016-00409-00, pese a que se trata de un trámite de doble </w:t>
      </w:r>
      <w:r w:rsidR="00987F59">
        <w:rPr>
          <w:rFonts w:ascii="Arial" w:hAnsi="Arial" w:cs="Arial"/>
        </w:rPr>
        <w:t xml:space="preserve">instancia </w:t>
      </w:r>
      <w:r w:rsidR="001C24F2">
        <w:rPr>
          <w:rFonts w:ascii="Arial" w:hAnsi="Arial" w:cs="Arial"/>
        </w:rPr>
        <w:t>(Folio</w:t>
      </w:r>
      <w:r>
        <w:rPr>
          <w:rFonts w:ascii="Arial" w:hAnsi="Arial" w:cs="Arial"/>
        </w:rPr>
        <w:t xml:space="preserve"> </w:t>
      </w:r>
      <w:r w:rsidR="001C24F2">
        <w:rPr>
          <w:rFonts w:ascii="Arial" w:hAnsi="Arial" w:cs="Arial"/>
        </w:rPr>
        <w:t>1</w:t>
      </w:r>
      <w:r>
        <w:rPr>
          <w:rFonts w:ascii="Arial" w:hAnsi="Arial" w:cs="Arial"/>
        </w:rPr>
        <w:t>, este cuaderno).</w:t>
      </w:r>
    </w:p>
    <w:p w:rsidR="00CC2570" w:rsidRPr="00696EF1" w:rsidRDefault="00CC2570" w:rsidP="00962082">
      <w:pPr>
        <w:spacing w:line="360" w:lineRule="auto"/>
        <w:jc w:val="both"/>
        <w:rPr>
          <w:rFonts w:ascii="Arial" w:hAnsi="Arial" w:cs="Arial"/>
          <w:sz w:val="22"/>
        </w:rPr>
      </w:pPr>
    </w:p>
    <w:p w:rsidR="00A8313B" w:rsidRDefault="006A66DA" w:rsidP="00A8313B">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lastRenderedPageBreak/>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5653C3" w:rsidRDefault="00A8313B" w:rsidP="005653C3">
      <w:pPr>
        <w:pStyle w:val="Corpsdetexte"/>
        <w:spacing w:line="240" w:lineRule="auto"/>
        <w:rPr>
          <w:rFonts w:ascii="Arial" w:hAnsi="Arial" w:cs="Arial"/>
          <w:smallCaps/>
          <w:sz w:val="16"/>
          <w:szCs w:val="16"/>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w:t>
      </w:r>
      <w:r w:rsidR="00DA64CA">
        <w:rPr>
          <w:rFonts w:ascii="Arial" w:hAnsi="Arial" w:cs="Arial"/>
          <w:spacing w:val="-3"/>
          <w:lang w:val="es-ES_tradnl"/>
        </w:rPr>
        <w:t xml:space="preserve">a </w:t>
      </w:r>
      <w:r w:rsidR="00DA64CA" w:rsidRPr="001C24F2">
        <w:rPr>
          <w:rFonts w:ascii="Arial" w:hAnsi="Arial" w:cs="Arial"/>
          <w:i/>
          <w:spacing w:val="-3"/>
          <w:sz w:val="22"/>
          <w:lang w:val="es-ES_tradnl"/>
        </w:rPr>
        <w:t>“(…) mis garantías procesales (…)”</w:t>
      </w:r>
      <w:r w:rsidR="001C24F2">
        <w:rPr>
          <w:rFonts w:ascii="Arial" w:hAnsi="Arial" w:cs="Arial"/>
          <w:i/>
          <w:spacing w:val="-3"/>
          <w:sz w:val="22"/>
          <w:lang w:val="es-ES_tradnl"/>
        </w:rPr>
        <w:t xml:space="preserve"> </w:t>
      </w:r>
      <w:r w:rsidR="001C24F2" w:rsidRPr="001C24F2">
        <w:rPr>
          <w:rFonts w:ascii="Arial" w:hAnsi="Arial" w:cs="Arial"/>
          <w:spacing w:val="-3"/>
          <w:lang w:val="es-ES_tradnl"/>
        </w:rPr>
        <w:t>y al</w:t>
      </w:r>
      <w:r w:rsidR="00D42A85">
        <w:rPr>
          <w:rFonts w:ascii="Arial" w:hAnsi="Arial" w:cs="Arial"/>
          <w:spacing w:val="-3"/>
          <w:lang w:val="es-ES_tradnl"/>
        </w:rPr>
        <w:t xml:space="preserve"> </w:t>
      </w:r>
      <w:r w:rsidR="00D36D2F" w:rsidRPr="00D36D2F">
        <w:rPr>
          <w:rFonts w:ascii="Arial" w:hAnsi="Arial" w:cs="Arial"/>
          <w:spacing w:val="-3"/>
          <w:lang w:val="es-ES_tradnl"/>
        </w:rPr>
        <w:t xml:space="preserve">debido proceso </w:t>
      </w:r>
      <w:r w:rsidR="00303747" w:rsidRPr="00595344">
        <w:rPr>
          <w:rFonts w:ascii="Arial" w:hAnsi="Arial" w:cs="Arial"/>
        </w:rPr>
        <w:t>(Folio</w:t>
      </w:r>
      <w:r w:rsidR="000708F5" w:rsidRPr="00595344">
        <w:rPr>
          <w:rFonts w:ascii="Arial" w:hAnsi="Arial" w:cs="Arial"/>
        </w:rPr>
        <w:t xml:space="preserve"> </w:t>
      </w:r>
      <w:r w:rsidR="00DA64CA">
        <w:rPr>
          <w:rFonts w:ascii="Arial" w:hAnsi="Arial" w:cs="Arial"/>
        </w:rPr>
        <w:t xml:space="preserve">2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696EF1" w:rsidRDefault="00303747" w:rsidP="005653C3">
      <w:pPr>
        <w:pStyle w:val="Sansinterligne"/>
        <w:rPr>
          <w:rFonts w:ascii="Arial" w:hAnsi="Arial" w:cs="Arial"/>
          <w:sz w:val="22"/>
          <w:szCs w:val="24"/>
          <w:lang w:val="es-ES_tradnl"/>
        </w:rPr>
      </w:pPr>
    </w:p>
    <w:p w:rsidR="00303747" w:rsidRPr="00595344" w:rsidRDefault="00303747"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5653C3" w:rsidRDefault="00303747" w:rsidP="005653C3">
      <w:pPr>
        <w:pStyle w:val="Sansinterligne"/>
        <w:rPr>
          <w:rFonts w:ascii="Arial" w:hAnsi="Arial" w:cs="Arial"/>
          <w:sz w:val="16"/>
          <w:szCs w:val="16"/>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D36D2F">
        <w:rPr>
          <w:rFonts w:ascii="Arial" w:hAnsi="Arial" w:cs="Arial"/>
        </w:rPr>
        <w:t xml:space="preserve">: (i) </w:t>
      </w:r>
      <w:r w:rsidR="00D42A85">
        <w:rPr>
          <w:rFonts w:ascii="Arial" w:hAnsi="Arial" w:cs="Arial"/>
        </w:rPr>
        <w:t xml:space="preserve">Se ordene </w:t>
      </w:r>
      <w:r w:rsidR="001C24F2">
        <w:rPr>
          <w:rFonts w:ascii="Arial" w:hAnsi="Arial" w:cs="Arial"/>
        </w:rPr>
        <w:t>al Juzgado accionado conceder la alzada presentada</w:t>
      </w:r>
      <w:r w:rsidR="00D42A85">
        <w:rPr>
          <w:rFonts w:ascii="Arial" w:hAnsi="Arial" w:cs="Arial"/>
        </w:rPr>
        <w:t xml:space="preserve">; </w:t>
      </w:r>
      <w:r w:rsidR="001C24F2">
        <w:rPr>
          <w:rFonts w:ascii="Arial" w:hAnsi="Arial" w:cs="Arial"/>
        </w:rPr>
        <w:t xml:space="preserve">y, </w:t>
      </w:r>
      <w:r w:rsidR="00D42A85">
        <w:rPr>
          <w:rFonts w:ascii="Arial" w:hAnsi="Arial" w:cs="Arial"/>
        </w:rPr>
        <w:t xml:space="preserve">(ii) Se disponga </w:t>
      </w:r>
      <w:r w:rsidR="001C24F2">
        <w:rPr>
          <w:rFonts w:ascii="Arial" w:hAnsi="Arial" w:cs="Arial"/>
        </w:rPr>
        <w:t>que el Procurador delegado refiera las actividades que ha realizado en procura de sus garantías procesales</w:t>
      </w:r>
      <w:r w:rsidR="00D42A85">
        <w:rPr>
          <w:rFonts w:ascii="Arial" w:hAnsi="Arial" w:cs="Arial"/>
          <w:lang w:val="es-CO"/>
        </w:rPr>
        <w:t xml:space="preserve"> </w:t>
      </w:r>
      <w:r w:rsidRPr="00595344">
        <w:rPr>
          <w:rFonts w:ascii="Arial" w:hAnsi="Arial" w:cs="Arial"/>
        </w:rPr>
        <w:t>(Folio</w:t>
      </w:r>
      <w:r w:rsidR="00AA2779" w:rsidRPr="00595344">
        <w:rPr>
          <w:rFonts w:ascii="Arial" w:hAnsi="Arial" w:cs="Arial"/>
        </w:rPr>
        <w:t xml:space="preserve"> </w:t>
      </w:r>
      <w:r w:rsidR="00DA64CA">
        <w:rPr>
          <w:rFonts w:ascii="Arial" w:hAnsi="Arial" w:cs="Arial"/>
        </w:rPr>
        <w:t xml:space="preserve">2 </w:t>
      </w:r>
      <w:r w:rsidR="00AA2779" w:rsidRPr="00595344">
        <w:rPr>
          <w:rFonts w:ascii="Arial" w:hAnsi="Arial" w:cs="Arial"/>
        </w:rPr>
        <w:t xml:space="preserve">de </w:t>
      </w:r>
      <w:r w:rsidRPr="00595344">
        <w:rPr>
          <w:rFonts w:ascii="Arial" w:hAnsi="Arial" w:cs="Arial"/>
        </w:rPr>
        <w:t>este cuaderno).</w:t>
      </w:r>
    </w:p>
    <w:p w:rsidR="005653C3" w:rsidRPr="005653C3" w:rsidRDefault="005653C3" w:rsidP="005653C3">
      <w:pPr>
        <w:jc w:val="both"/>
        <w:rPr>
          <w:rFonts w:ascii="Arial" w:hAnsi="Arial" w:cs="Arial"/>
          <w:sz w:val="16"/>
          <w:szCs w:val="16"/>
        </w:rPr>
      </w:pPr>
    </w:p>
    <w:p w:rsidR="00303747" w:rsidRPr="007D3EFE" w:rsidRDefault="00303747" w:rsidP="00962082">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t>La síntesis de la crónica procesal</w:t>
      </w:r>
    </w:p>
    <w:p w:rsidR="00303747" w:rsidRPr="00696EF1" w:rsidRDefault="00303747" w:rsidP="005653C3">
      <w:pPr>
        <w:pStyle w:val="Sansinterligne"/>
        <w:rPr>
          <w:rFonts w:ascii="Arial" w:hAnsi="Arial" w:cs="Arial"/>
          <w:sz w:val="22"/>
        </w:rPr>
      </w:pPr>
    </w:p>
    <w:p w:rsidR="00CE096B"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1C24F2">
        <w:rPr>
          <w:rFonts w:ascii="Arial" w:hAnsi="Arial" w:cs="Arial"/>
        </w:rPr>
        <w:t xml:space="preserve">06-04-2017 </w:t>
      </w:r>
      <w:r w:rsidR="00E820BC" w:rsidRPr="007D3EFE">
        <w:rPr>
          <w:rFonts w:ascii="Arial" w:hAnsi="Arial" w:cs="Arial"/>
        </w:rPr>
        <w:t>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DA64CA">
        <w:rPr>
          <w:rFonts w:ascii="Arial" w:hAnsi="Arial" w:cs="Arial"/>
        </w:rPr>
        <w:t>5</w:t>
      </w:r>
      <w:r w:rsidR="00D36D2F">
        <w:rPr>
          <w:rFonts w:ascii="Arial" w:hAnsi="Arial" w:cs="Arial"/>
        </w:rPr>
        <w:t xml:space="preserve"> y 6</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 </w:t>
      </w:r>
      <w:r w:rsidR="00595344">
        <w:rPr>
          <w:rFonts w:ascii="Arial" w:hAnsi="Arial" w:cs="Arial"/>
        </w:rPr>
        <w:t>7</w:t>
      </w:r>
      <w:r w:rsidR="00D36D2F">
        <w:rPr>
          <w:rFonts w:ascii="Arial" w:hAnsi="Arial" w:cs="Arial"/>
        </w:rPr>
        <w:t>,</w:t>
      </w:r>
      <w:r w:rsidR="00303747" w:rsidRPr="007D3EFE">
        <w:rPr>
          <w:rFonts w:ascii="Arial" w:hAnsi="Arial" w:cs="Arial"/>
        </w:rPr>
        <w:t xml:space="preserve"> ib</w:t>
      </w:r>
      <w:r w:rsidR="00D36D2F">
        <w:rPr>
          <w:rFonts w:ascii="Arial" w:hAnsi="Arial" w:cs="Arial"/>
        </w:rPr>
        <w:t xml:space="preserve">.). </w:t>
      </w:r>
      <w:r w:rsidR="001C24F2">
        <w:rPr>
          <w:rFonts w:ascii="Arial" w:hAnsi="Arial" w:cs="Arial"/>
        </w:rPr>
        <w:t>Contestó la Defensoría del Pueblo, Regional Huila (Folios 8 y 9, ibídem)</w:t>
      </w:r>
      <w:r w:rsidR="00CE096B">
        <w:rPr>
          <w:rFonts w:ascii="Arial" w:hAnsi="Arial" w:cs="Arial"/>
          <w:spacing w:val="3"/>
        </w:rPr>
        <w:t>. E</w:t>
      </w:r>
      <w:r w:rsidR="00595344">
        <w:rPr>
          <w:rFonts w:ascii="Arial" w:hAnsi="Arial" w:cs="Arial"/>
          <w:spacing w:val="3"/>
        </w:rPr>
        <w:t xml:space="preserve">l Juzgado accionado </w:t>
      </w:r>
      <w:r w:rsidR="00CE096B">
        <w:rPr>
          <w:rFonts w:ascii="Arial" w:hAnsi="Arial" w:cs="Arial"/>
          <w:spacing w:val="3"/>
        </w:rPr>
        <w:t xml:space="preserve">arrimó las copias requeridas </w:t>
      </w:r>
      <w:r w:rsidR="00E24A8D" w:rsidRPr="007D3EFE">
        <w:rPr>
          <w:rFonts w:ascii="Arial" w:hAnsi="Arial" w:cs="Arial"/>
          <w:spacing w:val="3"/>
        </w:rPr>
        <w:t>(</w:t>
      </w:r>
      <w:r w:rsidR="00BB4F44" w:rsidRPr="007D3EFE">
        <w:rPr>
          <w:rFonts w:ascii="Arial" w:hAnsi="Arial" w:cs="Arial"/>
          <w:spacing w:val="3"/>
        </w:rPr>
        <w:t xml:space="preserve">Folio </w:t>
      </w:r>
      <w:r w:rsidR="001C24F2">
        <w:rPr>
          <w:rFonts w:ascii="Arial" w:hAnsi="Arial" w:cs="Arial"/>
          <w:spacing w:val="3"/>
        </w:rPr>
        <w:t>13 a 21</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r w:rsidR="00CE096B">
        <w:rPr>
          <w:rFonts w:ascii="Arial" w:hAnsi="Arial" w:cs="Arial"/>
          <w:lang w:val="es-CO"/>
        </w:rPr>
        <w:t xml:space="preserve"> </w:t>
      </w:r>
    </w:p>
    <w:p w:rsidR="00CE096B" w:rsidRPr="00696EF1" w:rsidRDefault="00CE096B" w:rsidP="005653C3">
      <w:pPr>
        <w:jc w:val="both"/>
        <w:rPr>
          <w:rFonts w:ascii="Arial" w:hAnsi="Arial" w:cs="Arial"/>
          <w:sz w:val="22"/>
          <w:lang w:val="es-CO"/>
        </w:rPr>
      </w:pPr>
    </w:p>
    <w:p w:rsidR="00303747" w:rsidRPr="007D3EFE" w:rsidRDefault="00303747" w:rsidP="00962082">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696EF1" w:rsidRDefault="009E3845" w:rsidP="005653C3">
      <w:pPr>
        <w:jc w:val="both"/>
        <w:rPr>
          <w:rFonts w:ascii="Arial" w:hAnsi="Arial" w:cs="Arial"/>
          <w:sz w:val="22"/>
        </w:rPr>
      </w:pPr>
      <w:r w:rsidRPr="007D3EFE">
        <w:rPr>
          <w:rFonts w:ascii="Arial" w:hAnsi="Arial" w:cs="Arial"/>
        </w:rPr>
        <w:t xml:space="preserve"> </w:t>
      </w:r>
    </w:p>
    <w:p w:rsidR="003A25D0" w:rsidRPr="00D42A85" w:rsidRDefault="00EB7029" w:rsidP="00CE096B">
      <w:pPr>
        <w:spacing w:line="360" w:lineRule="auto"/>
        <w:jc w:val="both"/>
        <w:rPr>
          <w:rFonts w:ascii="Arial" w:hAnsi="Arial"/>
        </w:rPr>
      </w:pPr>
      <w:r>
        <w:rPr>
          <w:rFonts w:ascii="Arial" w:hAnsi="Arial" w:cs="Arial"/>
        </w:rPr>
        <w:t xml:space="preserve">La Defensoría del Pueblo, Regional Huila, hizo un recuento del trámite popular y concluyó </w:t>
      </w:r>
      <w:r w:rsidR="001C24F2">
        <w:rPr>
          <w:rFonts w:ascii="Arial" w:hAnsi="Arial" w:cs="Arial"/>
        </w:rPr>
        <w:t xml:space="preserve">que el despacho judicial accionado no ha vulnerado </w:t>
      </w:r>
      <w:r>
        <w:rPr>
          <w:rFonts w:ascii="Arial" w:hAnsi="Arial" w:cs="Arial"/>
        </w:rPr>
        <w:t xml:space="preserve">los </w:t>
      </w:r>
      <w:r w:rsidR="001C24F2">
        <w:rPr>
          <w:rFonts w:ascii="Arial" w:hAnsi="Arial" w:cs="Arial"/>
        </w:rPr>
        <w:t>derechos fundamentales del actor</w:t>
      </w:r>
      <w:r>
        <w:rPr>
          <w:rFonts w:ascii="Arial" w:hAnsi="Arial" w:cs="Arial"/>
        </w:rPr>
        <w:t>. Pidió su desvinculación (Folios 8 y 9, ib.)</w:t>
      </w:r>
      <w:r w:rsidR="00CE096B" w:rsidRPr="007D3EFE">
        <w:rPr>
          <w:rFonts w:ascii="Arial" w:hAnsi="Arial" w:cs="Arial"/>
        </w:rPr>
        <w:t>.</w:t>
      </w:r>
    </w:p>
    <w:p w:rsidR="00303747" w:rsidRPr="00696EF1" w:rsidRDefault="00303747" w:rsidP="00962082">
      <w:pPr>
        <w:pStyle w:val="Sansinterligne"/>
        <w:spacing w:line="360" w:lineRule="auto"/>
        <w:rPr>
          <w:rFonts w:ascii="Arial" w:hAnsi="Arial" w:cs="Arial"/>
          <w:sz w:val="22"/>
        </w:rPr>
      </w:pPr>
    </w:p>
    <w:p w:rsidR="00303747"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8E0AB5" w:rsidRPr="00696EF1" w:rsidRDefault="008E0AB5" w:rsidP="008E0AB5">
      <w:pPr>
        <w:pStyle w:val="Corpsdetexte"/>
        <w:spacing w:line="360" w:lineRule="auto"/>
        <w:ind w:left="400"/>
        <w:rPr>
          <w:rFonts w:ascii="Arial" w:hAnsi="Arial" w:cs="Arial"/>
          <w:smallCaps/>
          <w:sz w:val="18"/>
          <w:szCs w:val="28"/>
        </w:rPr>
      </w:pPr>
    </w:p>
    <w:p w:rsidR="00303747" w:rsidRPr="007D3EFE" w:rsidRDefault="00303747" w:rsidP="00962082">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CD67DF" w:rsidRPr="00696EF1" w:rsidRDefault="00CD67DF" w:rsidP="00962082">
      <w:pPr>
        <w:pStyle w:val="Corpsdetexte"/>
        <w:tabs>
          <w:tab w:val="clear" w:pos="0"/>
          <w:tab w:val="clear" w:pos="708"/>
          <w:tab w:val="clear" w:pos="1416"/>
          <w:tab w:val="left" w:pos="709"/>
        </w:tabs>
        <w:spacing w:line="360" w:lineRule="auto"/>
        <w:ind w:left="720"/>
        <w:rPr>
          <w:rFonts w:ascii="Arial" w:hAnsi="Arial" w:cs="Arial"/>
          <w:smallCaps/>
          <w:sz w:val="20"/>
          <w:szCs w:val="24"/>
        </w:rPr>
      </w:pPr>
    </w:p>
    <w:p w:rsidR="00EB7029" w:rsidRPr="00E3591B" w:rsidRDefault="00EB7029" w:rsidP="00EB7029">
      <w:pPr>
        <w:pStyle w:val="Textopredeterminado"/>
        <w:numPr>
          <w:ilvl w:val="1"/>
          <w:numId w:val="7"/>
        </w:numPr>
        <w:spacing w:line="360" w:lineRule="auto"/>
        <w:jc w:val="both"/>
        <w:rPr>
          <w:rFonts w:ascii="Arial" w:hAnsi="Arial" w:cs="Arial"/>
          <w:spacing w:val="3"/>
        </w:rPr>
      </w:pPr>
      <w:r w:rsidRPr="000703DD">
        <w:rPr>
          <w:rFonts w:ascii="Arial" w:hAnsi="Arial" w:cs="Arial"/>
          <w:smallCaps/>
          <w:sz w:val="26"/>
          <w:szCs w:val="26"/>
        </w:rPr>
        <w:t xml:space="preserve">El problema jurídico a resolver.  </w:t>
      </w:r>
      <w:r w:rsidRPr="000703DD">
        <w:rPr>
          <w:rFonts w:ascii="Arial" w:hAnsi="Arial" w:cs="Arial"/>
        </w:rPr>
        <w:t>¿El Juzgado accionado</w:t>
      </w:r>
      <w:r>
        <w:rPr>
          <w:rFonts w:ascii="Arial" w:hAnsi="Arial" w:cs="Arial"/>
          <w:szCs w:val="24"/>
        </w:rPr>
        <w:t xml:space="preserve"> </w:t>
      </w:r>
      <w:r>
        <w:rPr>
          <w:rFonts w:ascii="Arial" w:hAnsi="Arial" w:cs="Arial"/>
        </w:rPr>
        <w:t xml:space="preserve">y la Procuraduría General de la Nación, Regional Huila </w:t>
      </w:r>
      <w:r w:rsidRPr="000703DD">
        <w:rPr>
          <w:rFonts w:ascii="Arial" w:hAnsi="Arial" w:cs="Arial"/>
        </w:rPr>
        <w:t>ha</w:t>
      </w:r>
      <w:r>
        <w:rPr>
          <w:rFonts w:ascii="Arial" w:hAnsi="Arial" w:cs="Arial"/>
        </w:rPr>
        <w:t>n</w:t>
      </w:r>
      <w:r w:rsidRPr="000703DD">
        <w:rPr>
          <w:rFonts w:ascii="Arial" w:hAnsi="Arial" w:cs="Arial"/>
        </w:rPr>
        <w:t xml:space="preserve"> vulnerado o</w:t>
      </w:r>
      <w:r>
        <w:rPr>
          <w:rFonts w:ascii="Arial" w:hAnsi="Arial" w:cs="Arial"/>
        </w:rPr>
        <w:t xml:space="preserve"> </w:t>
      </w:r>
      <w:r w:rsidRPr="000703DD">
        <w:rPr>
          <w:rFonts w:ascii="Arial" w:hAnsi="Arial" w:cs="Arial"/>
        </w:rPr>
        <w:t>amenazado los derechos fundamentales del accionante</w:t>
      </w:r>
      <w:r>
        <w:rPr>
          <w:rFonts w:ascii="Arial" w:hAnsi="Arial" w:cs="Arial"/>
        </w:rPr>
        <w:t>,</w:t>
      </w:r>
      <w:r w:rsidRPr="000703DD">
        <w:rPr>
          <w:rFonts w:ascii="Arial" w:hAnsi="Arial" w:cs="Arial"/>
        </w:rPr>
        <w:t xml:space="preserve"> </w:t>
      </w:r>
      <w:r>
        <w:rPr>
          <w:rFonts w:ascii="Arial" w:hAnsi="Arial" w:cs="Arial"/>
        </w:rPr>
        <w:t xml:space="preserve">según </w:t>
      </w:r>
      <w:r w:rsidRPr="000703DD">
        <w:rPr>
          <w:rFonts w:ascii="Arial" w:hAnsi="Arial" w:cs="Arial"/>
        </w:rPr>
        <w:t>lo expuesto en el petitorio de tutela?</w:t>
      </w:r>
    </w:p>
    <w:p w:rsidR="00EB7029" w:rsidRPr="00696EF1" w:rsidRDefault="00EB7029" w:rsidP="00962082">
      <w:pPr>
        <w:pStyle w:val="Corpsdetexte"/>
        <w:tabs>
          <w:tab w:val="clear" w:pos="0"/>
          <w:tab w:val="clear" w:pos="708"/>
          <w:tab w:val="clear" w:pos="1416"/>
          <w:tab w:val="left" w:pos="709"/>
        </w:tabs>
        <w:spacing w:line="360" w:lineRule="auto"/>
        <w:ind w:left="720"/>
        <w:rPr>
          <w:rFonts w:ascii="Arial" w:hAnsi="Arial" w:cs="Arial"/>
          <w:smallCaps/>
          <w:sz w:val="20"/>
          <w:szCs w:val="24"/>
        </w:rPr>
      </w:pPr>
    </w:p>
    <w:p w:rsidR="00EB7029" w:rsidRPr="00EB7029" w:rsidRDefault="00EB7029" w:rsidP="00A8313B">
      <w:pPr>
        <w:pStyle w:val="Textopredeterminado"/>
        <w:numPr>
          <w:ilvl w:val="1"/>
          <w:numId w:val="7"/>
        </w:numPr>
        <w:spacing w:line="360" w:lineRule="auto"/>
        <w:jc w:val="both"/>
        <w:rPr>
          <w:rFonts w:ascii="Arial" w:hAnsi="Arial" w:cs="Arial"/>
          <w:smallCaps/>
          <w:spacing w:val="3"/>
        </w:rPr>
      </w:pPr>
      <w:r w:rsidRPr="00EB7029">
        <w:rPr>
          <w:rFonts w:ascii="Arial" w:hAnsi="Arial" w:cs="Arial"/>
          <w:smallCaps/>
          <w:spacing w:val="3"/>
        </w:rPr>
        <w:t xml:space="preserve">Los presupuestos generales de procedencia </w:t>
      </w:r>
    </w:p>
    <w:p w:rsidR="00EB7029" w:rsidRPr="00696EF1" w:rsidRDefault="00EB7029" w:rsidP="00EB7029">
      <w:pPr>
        <w:pStyle w:val="Paragraphedeliste"/>
        <w:rPr>
          <w:rFonts w:ascii="Arial" w:hAnsi="Arial" w:cs="Arial"/>
          <w:smallCaps/>
        </w:rPr>
      </w:pPr>
    </w:p>
    <w:p w:rsidR="00EB7029" w:rsidRPr="00EB7029" w:rsidRDefault="00CD67DF" w:rsidP="00EB7029">
      <w:pPr>
        <w:pStyle w:val="Textopredeterminado"/>
        <w:numPr>
          <w:ilvl w:val="2"/>
          <w:numId w:val="7"/>
        </w:numPr>
        <w:spacing w:line="360" w:lineRule="auto"/>
        <w:jc w:val="both"/>
        <w:rPr>
          <w:rFonts w:ascii="Arial" w:hAnsi="Arial" w:cs="Arial"/>
          <w:spacing w:val="3"/>
        </w:rPr>
      </w:pPr>
      <w:r w:rsidRPr="00EB7029">
        <w:rPr>
          <w:rFonts w:ascii="Arial" w:hAnsi="Arial" w:cs="Arial"/>
          <w:smallCaps/>
          <w:sz w:val="22"/>
          <w:szCs w:val="24"/>
        </w:rPr>
        <w:t xml:space="preserve">La legitimación en la causa. </w:t>
      </w:r>
    </w:p>
    <w:p w:rsidR="00EB7029" w:rsidRPr="00696EF1" w:rsidRDefault="00EB7029" w:rsidP="00EB7029">
      <w:pPr>
        <w:pStyle w:val="Paragraphedeliste"/>
        <w:rPr>
          <w:rFonts w:ascii="Arial" w:hAnsi="Arial" w:cs="Arial"/>
        </w:rPr>
      </w:pPr>
    </w:p>
    <w:p w:rsidR="00CB087F" w:rsidRPr="008E0AB5" w:rsidRDefault="00CD67DF" w:rsidP="00EB7029">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sidR="00EB7029">
        <w:rPr>
          <w:rFonts w:ascii="Arial" w:hAnsi="Arial" w:cs="Arial"/>
          <w:szCs w:val="24"/>
        </w:rPr>
        <w:t xml:space="preserve">presentó el asunto </w:t>
      </w:r>
      <w:r w:rsidRPr="00CD67DF">
        <w:rPr>
          <w:rFonts w:ascii="Arial" w:hAnsi="Arial" w:cs="Arial"/>
          <w:szCs w:val="24"/>
        </w:rPr>
        <w:t xml:space="preserve">popular </w:t>
      </w:r>
      <w:r w:rsidR="00EB7029">
        <w:rPr>
          <w:rFonts w:ascii="Arial" w:hAnsi="Arial" w:cs="Arial"/>
          <w:szCs w:val="24"/>
        </w:rPr>
        <w:t xml:space="preserve">en el que </w:t>
      </w:r>
      <w:r w:rsidRPr="00CD67DF">
        <w:rPr>
          <w:rFonts w:ascii="Arial" w:hAnsi="Arial" w:cs="Arial"/>
          <w:szCs w:val="24"/>
        </w:rPr>
        <w:t xml:space="preserve">se reprocha la falta al debido proceso. Y por pasiva, lo es el Juzgado </w:t>
      </w:r>
      <w:r w:rsidR="00EB7029">
        <w:rPr>
          <w:rFonts w:ascii="Arial" w:hAnsi="Arial" w:cs="Arial"/>
          <w:szCs w:val="24"/>
        </w:rPr>
        <w:t>Segundo Civil del Circuito de Pereira</w:t>
      </w:r>
      <w:r w:rsidRPr="00CD67DF">
        <w:rPr>
          <w:rFonts w:ascii="Arial" w:hAnsi="Arial" w:cs="Arial"/>
          <w:szCs w:val="24"/>
        </w:rPr>
        <w:t>, al ser la autoridad judicial que conoce la actuación</w:t>
      </w:r>
      <w:r w:rsidR="00962082" w:rsidRPr="00E17BC5">
        <w:rPr>
          <w:rFonts w:ascii="Arial" w:hAnsi="Arial" w:cs="Arial"/>
        </w:rPr>
        <w:t>.</w:t>
      </w:r>
    </w:p>
    <w:p w:rsidR="008E0AB5" w:rsidRDefault="008E0AB5" w:rsidP="008E0AB5">
      <w:pPr>
        <w:pStyle w:val="Corpsdetexte"/>
        <w:spacing w:line="360" w:lineRule="auto"/>
        <w:rPr>
          <w:rFonts w:ascii="Arial" w:hAnsi="Arial" w:cs="Arial"/>
          <w:szCs w:val="24"/>
        </w:rPr>
      </w:pPr>
      <w:r>
        <w:rPr>
          <w:rFonts w:ascii="Arial" w:hAnsi="Arial" w:cs="Arial"/>
          <w:szCs w:val="24"/>
        </w:rPr>
        <w:lastRenderedPageBreak/>
        <w:t xml:space="preserve">Diferente es respecto de la Procuraduría General de la Nación, Regional </w:t>
      </w:r>
      <w:r w:rsidR="00EB7029">
        <w:rPr>
          <w:rFonts w:ascii="Arial" w:hAnsi="Arial" w:cs="Arial"/>
          <w:szCs w:val="24"/>
        </w:rPr>
        <w:t>Huila</w:t>
      </w:r>
      <w:r>
        <w:rPr>
          <w:rFonts w:ascii="Arial" w:hAnsi="Arial" w:cs="Arial"/>
          <w:szCs w:val="24"/>
        </w:rPr>
        <w:t xml:space="preserve">, toda vez que no ha sido vinculada a la acción popular y el petitorio de tutela carece de prueba que acredite que se le haya solicitado su intervención en procura de garantizar </w:t>
      </w:r>
      <w:r w:rsidR="00EB7029">
        <w:rPr>
          <w:rFonts w:ascii="Arial" w:hAnsi="Arial" w:cs="Arial"/>
          <w:szCs w:val="24"/>
        </w:rPr>
        <w:t xml:space="preserve">los </w:t>
      </w:r>
      <w:r>
        <w:rPr>
          <w:rFonts w:ascii="Arial" w:hAnsi="Arial" w:cs="Arial"/>
          <w:szCs w:val="24"/>
        </w:rPr>
        <w:t xml:space="preserve">derechos procesales </w:t>
      </w:r>
      <w:r w:rsidR="00EB7029">
        <w:rPr>
          <w:rFonts w:ascii="Arial" w:hAnsi="Arial" w:cs="Arial"/>
          <w:szCs w:val="24"/>
        </w:rPr>
        <w:t>del accionante</w:t>
      </w:r>
      <w:r>
        <w:rPr>
          <w:rFonts w:ascii="Arial" w:hAnsi="Arial" w:cs="Arial"/>
          <w:szCs w:val="24"/>
        </w:rPr>
        <w:t xml:space="preserve">. </w:t>
      </w:r>
    </w:p>
    <w:p w:rsidR="00696EF1" w:rsidRPr="00696EF1" w:rsidRDefault="00696EF1" w:rsidP="008E0AB5">
      <w:pPr>
        <w:pStyle w:val="Corpsdetexte"/>
        <w:spacing w:line="360" w:lineRule="auto"/>
        <w:rPr>
          <w:rFonts w:ascii="Arial" w:hAnsi="Arial" w:cs="Arial"/>
          <w:sz w:val="22"/>
          <w:szCs w:val="24"/>
        </w:rPr>
      </w:pPr>
    </w:p>
    <w:p w:rsidR="008E0AB5" w:rsidRDefault="008E0AB5" w:rsidP="008E0AB5">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w:t>
      </w:r>
    </w:p>
    <w:p w:rsidR="008E0AB5" w:rsidRDefault="008E0AB5" w:rsidP="008E0AB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8E0AB5" w:rsidRPr="00696EF1" w:rsidRDefault="008E0AB5" w:rsidP="008E0AB5">
      <w:pPr>
        <w:pStyle w:val="Corpsdetexte"/>
        <w:spacing w:line="360" w:lineRule="auto"/>
        <w:rPr>
          <w:rFonts w:ascii="Arial" w:hAnsi="Arial" w:cs="Arial"/>
          <w:sz w:val="28"/>
          <w:szCs w:val="24"/>
          <w:lang w:val="es-CO"/>
        </w:rPr>
      </w:pPr>
    </w:p>
    <w:p w:rsidR="008E0AB5" w:rsidRDefault="008E0AB5" w:rsidP="008E0AB5">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8E0AB5" w:rsidRPr="00AB5228" w:rsidRDefault="008E0AB5" w:rsidP="008E0AB5">
      <w:pPr>
        <w:spacing w:line="360" w:lineRule="auto"/>
        <w:ind w:left="567" w:right="335"/>
        <w:jc w:val="both"/>
        <w:rPr>
          <w:rFonts w:ascii="Arial" w:hAnsi="Arial" w:cs="Arial"/>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8E0AB5" w:rsidRDefault="008E0AB5" w:rsidP="008E0AB5">
      <w:pPr>
        <w:ind w:left="567" w:right="567"/>
        <w:jc w:val="both"/>
        <w:rPr>
          <w:rFonts w:ascii="Arial" w:hAnsi="Arial" w:cs="Arial"/>
          <w:sz w:val="28"/>
          <w:u w:val="single"/>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E0AB5" w:rsidRPr="00696EF1" w:rsidRDefault="008E0AB5" w:rsidP="008E0AB5">
      <w:pPr>
        <w:spacing w:line="360" w:lineRule="auto"/>
        <w:jc w:val="both"/>
        <w:rPr>
          <w:rFonts w:ascii="Arial" w:hAnsi="Arial" w:cs="Arial"/>
          <w:sz w:val="28"/>
          <w:lang w:val="es-ES_tradnl"/>
        </w:rPr>
      </w:pPr>
    </w:p>
    <w:p w:rsidR="008E0AB5" w:rsidRPr="00DC53D1" w:rsidRDefault="008E0AB5" w:rsidP="008E0AB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y ni siquiera </w:t>
      </w:r>
      <w:r w:rsidR="00EB7029">
        <w:rPr>
          <w:rFonts w:ascii="Arial" w:hAnsi="Arial" w:cs="Arial"/>
          <w:lang w:val="es-ES_tradnl"/>
        </w:rPr>
        <w:t xml:space="preserve">fue </w:t>
      </w:r>
      <w:r w:rsidRPr="00DC53D1">
        <w:rPr>
          <w:rFonts w:ascii="Arial" w:hAnsi="Arial" w:cs="Arial"/>
          <w:lang w:val="es-ES_tradnl"/>
        </w:rPr>
        <w:t xml:space="preserve">notificada de la existencia del trámite popular. </w:t>
      </w:r>
    </w:p>
    <w:p w:rsidR="00CB087F" w:rsidRPr="00696EF1" w:rsidRDefault="00CB087F" w:rsidP="00A8313B">
      <w:pPr>
        <w:pStyle w:val="Paragraphedeliste"/>
        <w:spacing w:line="360" w:lineRule="auto"/>
        <w:rPr>
          <w:rFonts w:ascii="Arial" w:hAnsi="Arial" w:cs="Arial"/>
          <w:smallCaps/>
          <w:sz w:val="22"/>
          <w:szCs w:val="26"/>
        </w:rPr>
      </w:pPr>
    </w:p>
    <w:p w:rsidR="00CC52C2" w:rsidRPr="002A0C2A" w:rsidRDefault="00CC52C2" w:rsidP="00EB7029">
      <w:pPr>
        <w:pStyle w:val="Corpsdetexte"/>
        <w:numPr>
          <w:ilvl w:val="2"/>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CC52C2" w:rsidRPr="00696EF1" w:rsidRDefault="00CC52C2" w:rsidP="00CC52C2">
      <w:pPr>
        <w:pStyle w:val="Corpsdetexte"/>
        <w:spacing w:line="360" w:lineRule="auto"/>
        <w:rPr>
          <w:rFonts w:ascii="Arial" w:hAnsi="Arial" w:cs="Arial"/>
          <w:sz w:val="22"/>
          <w:szCs w:val="24"/>
        </w:rPr>
      </w:pPr>
    </w:p>
    <w:p w:rsidR="00CC52C2" w:rsidRDefault="00CC52C2" w:rsidP="00CC52C2">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 xml:space="preserve">que examinó en constitucionalidad, los artículos 11, 12 y 40 del Decreto 2591 de 1991, declarados ajustados a la Carta, inicia la línea </w:t>
      </w:r>
      <w:r w:rsidRPr="00DC6BEA">
        <w:rPr>
          <w:rFonts w:ascii="Arial" w:hAnsi="Arial" w:cs="Arial"/>
          <w:szCs w:val="24"/>
        </w:rPr>
        <w:lastRenderedPageBreak/>
        <w:t>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básicamente sustituyó la expresión “vías de</w:t>
      </w:r>
      <w:r w:rsidR="00696EF1">
        <w:rPr>
          <w:rFonts w:ascii="Arial" w:hAnsi="Arial" w:cs="Arial"/>
          <w:szCs w:val="24"/>
        </w:rPr>
        <w:t xml:space="preserve"> </w:t>
      </w:r>
      <w:r w:rsidRPr="00DC6BEA">
        <w:rPr>
          <w:rFonts w:ascii="Arial" w:hAnsi="Arial" w:cs="Arial"/>
          <w:szCs w:val="24"/>
        </w:rPr>
        <w:t>hecho” por la de “causales genéricas de procedibilidad” y ensanchó las causales especiales, pasando de cuatro (4) a ocho (8).  En el mismo sentido Quiroga N</w:t>
      </w:r>
      <w:r w:rsidR="00696EF1">
        <w:rPr>
          <w:rFonts w:ascii="Arial" w:hAnsi="Arial" w:cs="Arial"/>
          <w:szCs w:val="24"/>
        </w:rPr>
        <w:t>.</w:t>
      </w:r>
      <w:r w:rsidRPr="00DC6BEA">
        <w:rPr>
          <w:rStyle w:val="Appelnotedebasdep"/>
          <w:rFonts w:ascii="Arial" w:hAnsi="Arial"/>
          <w:szCs w:val="24"/>
        </w:rPr>
        <w:footnoteReference w:id="5"/>
      </w:r>
      <w:r w:rsidRPr="00DC6BEA">
        <w:rPr>
          <w:rFonts w:ascii="Arial" w:hAnsi="Arial" w:cs="Arial"/>
          <w:szCs w:val="24"/>
        </w:rPr>
        <w:t>.</w:t>
      </w:r>
    </w:p>
    <w:p w:rsidR="003009A9" w:rsidRPr="00696EF1" w:rsidRDefault="003009A9" w:rsidP="00CC52C2">
      <w:pPr>
        <w:pStyle w:val="Corpsdetexte"/>
        <w:spacing w:line="360" w:lineRule="auto"/>
        <w:rPr>
          <w:rFonts w:ascii="Arial" w:hAnsi="Arial" w:cs="Arial"/>
          <w:sz w:val="22"/>
          <w:szCs w:val="24"/>
        </w:rPr>
      </w:pPr>
    </w:p>
    <w:p w:rsidR="00CC52C2" w:rsidRPr="00907C22" w:rsidRDefault="00CC52C2" w:rsidP="00CC52C2">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C52C2" w:rsidRPr="00696EF1" w:rsidRDefault="00CC52C2" w:rsidP="00CC52C2">
      <w:pPr>
        <w:pStyle w:val="Corpsdetexte"/>
        <w:spacing w:line="360" w:lineRule="auto"/>
        <w:rPr>
          <w:rFonts w:ascii="Arial" w:hAnsi="Arial" w:cs="Arial"/>
          <w:sz w:val="22"/>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101C44" w:rsidRPr="00696EF1" w:rsidRDefault="00101C44" w:rsidP="00CC52C2">
      <w:pPr>
        <w:pStyle w:val="Corpsdetexte"/>
        <w:spacing w:line="360" w:lineRule="auto"/>
        <w:rPr>
          <w:rFonts w:ascii="Arial" w:hAnsi="Arial" w:cs="Arial"/>
          <w:sz w:val="22"/>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C52C2" w:rsidRDefault="00CC52C2" w:rsidP="00CC52C2">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sidR="00A8313B">
        <w:rPr>
          <w:rFonts w:ascii="Arial" w:hAnsi="Arial" w:cs="Arial"/>
          <w:szCs w:val="24"/>
        </w:rPr>
        <w:t xml:space="preserve">a de la Carta. </w:t>
      </w:r>
      <w:r w:rsidRPr="00907C22">
        <w:rPr>
          <w:rFonts w:ascii="Arial" w:hAnsi="Arial" w:cs="Arial"/>
          <w:szCs w:val="24"/>
        </w:rPr>
        <w:t xml:space="preserve">Un sistemático </w:t>
      </w:r>
      <w:r w:rsidR="00A8313B">
        <w:rPr>
          <w:rFonts w:ascii="Arial" w:hAnsi="Arial" w:cs="Arial"/>
          <w:szCs w:val="24"/>
        </w:rPr>
        <w:t xml:space="preserve"> </w:t>
      </w:r>
      <w:r w:rsidRPr="00907C22">
        <w:rPr>
          <w:rFonts w:ascii="Arial" w:hAnsi="Arial" w:cs="Arial"/>
          <w:szCs w:val="24"/>
        </w:rPr>
        <w:t xml:space="preserve">recuento </w:t>
      </w:r>
      <w:r w:rsidR="00A8313B">
        <w:rPr>
          <w:rFonts w:ascii="Arial" w:hAnsi="Arial" w:cs="Arial"/>
          <w:szCs w:val="24"/>
        </w:rPr>
        <w:t xml:space="preserve"> </w:t>
      </w:r>
      <w:r w:rsidRPr="00907C22">
        <w:rPr>
          <w:rFonts w:ascii="Arial" w:hAnsi="Arial" w:cs="Arial"/>
          <w:szCs w:val="24"/>
        </w:rPr>
        <w:t xml:space="preserve">puede </w:t>
      </w:r>
      <w:r w:rsidR="00A8313B">
        <w:rPr>
          <w:rFonts w:ascii="Arial" w:hAnsi="Arial" w:cs="Arial"/>
          <w:szCs w:val="24"/>
        </w:rPr>
        <w:t xml:space="preserve"> </w:t>
      </w:r>
      <w:r w:rsidRPr="00907C22">
        <w:rPr>
          <w:rFonts w:ascii="Arial" w:hAnsi="Arial" w:cs="Arial"/>
          <w:szCs w:val="24"/>
        </w:rPr>
        <w:t>leerse</w:t>
      </w:r>
      <w:r w:rsidR="00A8313B">
        <w:rPr>
          <w:rFonts w:ascii="Arial" w:hAnsi="Arial" w:cs="Arial"/>
          <w:szCs w:val="24"/>
        </w:rPr>
        <w:t xml:space="preserve"> </w:t>
      </w:r>
      <w:r w:rsidRPr="00907C22">
        <w:rPr>
          <w:rFonts w:ascii="Arial" w:hAnsi="Arial" w:cs="Arial"/>
          <w:szCs w:val="24"/>
        </w:rPr>
        <w:t xml:space="preserve"> en</w:t>
      </w:r>
      <w:r w:rsidR="00A8313B">
        <w:rPr>
          <w:rFonts w:ascii="Arial" w:hAnsi="Arial" w:cs="Arial"/>
          <w:szCs w:val="24"/>
        </w:rPr>
        <w:t xml:space="preserve"> </w:t>
      </w:r>
      <w:r w:rsidRPr="00907C22">
        <w:rPr>
          <w:rFonts w:ascii="Arial" w:hAnsi="Arial" w:cs="Arial"/>
          <w:szCs w:val="24"/>
        </w:rPr>
        <w:t xml:space="preserve"> la </w:t>
      </w:r>
      <w:r w:rsidR="00A8313B">
        <w:rPr>
          <w:rFonts w:ascii="Arial" w:hAnsi="Arial" w:cs="Arial"/>
          <w:szCs w:val="24"/>
        </w:rPr>
        <w:t xml:space="preserve"> </w:t>
      </w:r>
      <w:r w:rsidRPr="00907C22">
        <w:rPr>
          <w:rFonts w:ascii="Arial" w:hAnsi="Arial" w:cs="Arial"/>
          <w:szCs w:val="24"/>
        </w:rPr>
        <w:t>obra de los doctores Catalina Botero M</w:t>
      </w:r>
      <w:r w:rsidR="00696EF1">
        <w:rPr>
          <w:rFonts w:ascii="Arial" w:hAnsi="Arial" w:cs="Arial"/>
          <w:szCs w:val="24"/>
        </w:rPr>
        <w:t>.</w:t>
      </w:r>
      <w:r w:rsidRPr="00907C22">
        <w:rPr>
          <w:rFonts w:ascii="Arial" w:hAnsi="Arial" w:cs="Arial"/>
          <w:szCs w:val="24"/>
          <w:vertAlign w:val="superscript"/>
        </w:rPr>
        <w:footnoteReference w:id="10"/>
      </w:r>
      <w:r w:rsidRPr="00907C22">
        <w:rPr>
          <w:rFonts w:ascii="Arial" w:hAnsi="Arial" w:cs="Arial"/>
          <w:szCs w:val="24"/>
        </w:rPr>
        <w:t xml:space="preserve"> y Quinche R</w:t>
      </w:r>
      <w:r w:rsidR="00696EF1">
        <w:rPr>
          <w:rFonts w:ascii="Arial" w:hAnsi="Arial" w:cs="Arial"/>
          <w:szCs w:val="24"/>
        </w:rPr>
        <w:t>.</w:t>
      </w:r>
      <w:r w:rsidRPr="00907C22">
        <w:rPr>
          <w:rStyle w:val="Appelnotedebasdep"/>
          <w:rFonts w:ascii="Arial" w:hAnsi="Arial" w:cs="Arial"/>
          <w:szCs w:val="24"/>
        </w:rPr>
        <w:footnoteReference w:id="11"/>
      </w:r>
      <w:r w:rsidRPr="00907C22">
        <w:rPr>
          <w:rFonts w:ascii="Arial" w:hAnsi="Arial" w:cs="Arial"/>
          <w:szCs w:val="24"/>
        </w:rPr>
        <w:t>.</w:t>
      </w:r>
    </w:p>
    <w:p w:rsidR="00EB7029" w:rsidRPr="00696EF1" w:rsidRDefault="00EB7029" w:rsidP="00CC52C2">
      <w:pPr>
        <w:pStyle w:val="Corpsdetexte"/>
        <w:spacing w:line="360" w:lineRule="auto"/>
        <w:rPr>
          <w:rFonts w:ascii="Arial" w:hAnsi="Arial" w:cs="Arial"/>
          <w:sz w:val="22"/>
          <w:szCs w:val="24"/>
        </w:rPr>
      </w:pPr>
    </w:p>
    <w:p w:rsidR="00303747"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0703DD" w:rsidRPr="00696EF1" w:rsidRDefault="000703DD" w:rsidP="005653C3">
      <w:pPr>
        <w:pStyle w:val="Corpsdetexte"/>
        <w:spacing w:line="240" w:lineRule="auto"/>
        <w:rPr>
          <w:rFonts w:ascii="Arial" w:hAnsi="Arial" w:cs="Arial"/>
          <w:smallCaps/>
          <w:sz w:val="22"/>
          <w:szCs w:val="28"/>
        </w:rPr>
      </w:pPr>
    </w:p>
    <w:p w:rsidR="00CC52C2" w:rsidRDefault="00CC52C2" w:rsidP="00CC52C2">
      <w:pPr>
        <w:widowControl/>
        <w:spacing w:line="360" w:lineRule="auto"/>
        <w:jc w:val="both"/>
        <w:rPr>
          <w:rFonts w:ascii="Arial" w:hAnsi="Arial" w:cs="Arial"/>
        </w:rPr>
      </w:pPr>
      <w:r>
        <w:rPr>
          <w:rFonts w:ascii="Arial" w:hAnsi="Arial" w:cs="Arial"/>
        </w:rPr>
        <w:t xml:space="preserve">El actor se duele porque el Juzgado accionado no </w:t>
      </w:r>
      <w:r w:rsidR="00EB7029">
        <w:rPr>
          <w:rFonts w:ascii="Arial" w:hAnsi="Arial" w:cs="Arial"/>
        </w:rPr>
        <w:t>concedió la apelación que presentó contra el auto que rechazó la acción popular radicada al No.2016-00409-00</w:t>
      </w:r>
      <w:r>
        <w:rPr>
          <w:rFonts w:ascii="Arial" w:hAnsi="Arial" w:cs="Arial"/>
        </w:rPr>
        <w:t>.</w:t>
      </w:r>
      <w:r w:rsidR="00EB7029">
        <w:rPr>
          <w:rFonts w:ascii="Arial" w:hAnsi="Arial" w:cs="Arial"/>
        </w:rPr>
        <w:t xml:space="preserve"> Sin que </w:t>
      </w:r>
      <w:r w:rsidR="00EB7029">
        <w:rPr>
          <w:rFonts w:ascii="Arial" w:hAnsi="Arial" w:cs="Arial"/>
        </w:rPr>
        <w:lastRenderedPageBreak/>
        <w:t>sea necesario ahondar en el asunto, advierte la Sala que el amparo debe negarse por virtud de la inexistencia de los supuestos hechos amenazantes o vulneradores de los derechos fundamentales invocados.</w:t>
      </w:r>
    </w:p>
    <w:p w:rsidR="00CC52C2" w:rsidRPr="00696EF1" w:rsidRDefault="00CC52C2" w:rsidP="00CC52C2">
      <w:pPr>
        <w:widowControl/>
        <w:spacing w:line="360" w:lineRule="auto"/>
        <w:jc w:val="both"/>
        <w:rPr>
          <w:rFonts w:ascii="Arial" w:hAnsi="Arial" w:cs="Arial"/>
          <w:sz w:val="22"/>
        </w:rPr>
      </w:pPr>
    </w:p>
    <w:p w:rsidR="00CC52C2" w:rsidRDefault="00EB7029" w:rsidP="00CC52C2">
      <w:pPr>
        <w:widowControl/>
        <w:spacing w:line="360" w:lineRule="auto"/>
        <w:jc w:val="both"/>
        <w:rPr>
          <w:rFonts w:ascii="Arial" w:hAnsi="Arial"/>
          <w:lang w:val="es-CO"/>
        </w:rPr>
      </w:pPr>
      <w:r>
        <w:rPr>
          <w:rFonts w:ascii="Arial" w:hAnsi="Arial" w:cs="Arial"/>
        </w:rPr>
        <w:t xml:space="preserve">En efecto, revisado el </w:t>
      </w:r>
      <w:r w:rsidR="00CC52C2" w:rsidRPr="003E0E8A">
        <w:rPr>
          <w:rFonts w:ascii="Arial" w:hAnsi="Arial" w:cs="Arial"/>
        </w:rPr>
        <w:t xml:space="preserve">acervo probatorio </w:t>
      </w:r>
      <w:r>
        <w:rPr>
          <w:rFonts w:ascii="Arial" w:hAnsi="Arial" w:cs="Arial"/>
        </w:rPr>
        <w:t xml:space="preserve">se tiene que el despacho judicial accionado con providencia del 23-11-2016 rechazó la acción popular porque no </w:t>
      </w:r>
      <w:r w:rsidR="00334635">
        <w:rPr>
          <w:rFonts w:ascii="Arial" w:hAnsi="Arial" w:cs="Arial"/>
        </w:rPr>
        <w:t>se subsanaron</w:t>
      </w:r>
      <w:r>
        <w:rPr>
          <w:rFonts w:ascii="Arial" w:hAnsi="Arial" w:cs="Arial"/>
        </w:rPr>
        <w:t xml:space="preserve"> las inconsistencias señaladas en el auto </w:t>
      </w:r>
      <w:proofErr w:type="spellStart"/>
      <w:r>
        <w:rPr>
          <w:rFonts w:ascii="Arial" w:hAnsi="Arial" w:cs="Arial"/>
        </w:rPr>
        <w:t>inadmisorio</w:t>
      </w:r>
      <w:proofErr w:type="spellEnd"/>
      <w:r>
        <w:rPr>
          <w:rFonts w:ascii="Arial" w:hAnsi="Arial" w:cs="Arial"/>
        </w:rPr>
        <w:t xml:space="preserve">, decisión notificada en el estado del </w:t>
      </w:r>
      <w:r w:rsidR="00334635">
        <w:rPr>
          <w:rFonts w:ascii="Arial" w:hAnsi="Arial" w:cs="Arial"/>
        </w:rPr>
        <w:t>día</w:t>
      </w:r>
      <w:r>
        <w:rPr>
          <w:rFonts w:ascii="Arial" w:hAnsi="Arial" w:cs="Arial"/>
        </w:rPr>
        <w:t xml:space="preserve"> 24-11-2016</w:t>
      </w:r>
      <w:r w:rsidR="00334635">
        <w:rPr>
          <w:rFonts w:ascii="Arial" w:hAnsi="Arial" w:cs="Arial"/>
        </w:rPr>
        <w:t xml:space="preserve"> y no fue </w:t>
      </w:r>
      <w:r>
        <w:rPr>
          <w:rFonts w:ascii="Arial" w:hAnsi="Arial" w:cs="Arial"/>
        </w:rPr>
        <w:t xml:space="preserve">recurrida </w:t>
      </w:r>
      <w:r w:rsidR="00334635">
        <w:rPr>
          <w:rFonts w:ascii="Arial" w:hAnsi="Arial" w:cs="Arial"/>
        </w:rPr>
        <w:t>(Folios 19 vuelto y 21, ib.</w:t>
      </w:r>
      <w:r w:rsidR="00334635">
        <w:rPr>
          <w:rFonts w:ascii="Arial" w:hAnsi="Arial" w:cs="Arial"/>
          <w:lang w:val="es-CO"/>
        </w:rPr>
        <w:t>).</w:t>
      </w:r>
      <w:r w:rsidR="00CC52C2">
        <w:rPr>
          <w:rFonts w:ascii="Arial" w:hAnsi="Arial"/>
          <w:lang w:val="es-CO"/>
        </w:rPr>
        <w:t xml:space="preserve">  </w:t>
      </w:r>
    </w:p>
    <w:p w:rsidR="00CC52C2" w:rsidRPr="00696EF1" w:rsidRDefault="00CC52C2" w:rsidP="00CC52C2">
      <w:pPr>
        <w:widowControl/>
        <w:spacing w:line="360" w:lineRule="auto"/>
        <w:jc w:val="both"/>
        <w:rPr>
          <w:rFonts w:ascii="Arial" w:hAnsi="Arial"/>
          <w:sz w:val="22"/>
          <w:lang w:val="es-CO"/>
        </w:rPr>
      </w:pPr>
    </w:p>
    <w:p w:rsidR="00D358B2" w:rsidRDefault="00CC52C2" w:rsidP="00334635">
      <w:pPr>
        <w:spacing w:line="360" w:lineRule="auto"/>
        <w:jc w:val="both"/>
        <w:rPr>
          <w:rFonts w:ascii="Arial" w:hAnsi="Arial" w:cs="Arial"/>
          <w:b/>
          <w:spacing w:val="3"/>
        </w:rPr>
      </w:pPr>
      <w:r>
        <w:rPr>
          <w:rFonts w:ascii="Arial" w:hAnsi="Arial" w:cs="Arial"/>
        </w:rPr>
        <w:t xml:space="preserve">Así las cosas, </w:t>
      </w:r>
      <w:r w:rsidR="00BB24D1">
        <w:rPr>
          <w:rFonts w:ascii="Arial" w:hAnsi="Arial" w:cs="Arial"/>
        </w:rPr>
        <w:t xml:space="preserve">se tiene que el accionante </w:t>
      </w:r>
      <w:r w:rsidR="00334635">
        <w:rPr>
          <w:rFonts w:ascii="Arial" w:hAnsi="Arial" w:cs="Arial"/>
        </w:rPr>
        <w:t>nunca presentó escrito de apelación contra la aludida decisión, de tal suerte, que es inviable endilgar acción alguna al juzgado cuando ni siquiera fue presentado el aludido memorial; es así, que el asunto carece de la supuesta negativa en la concesión de la alzada que se alega, en consecuencia, como inexisten los hechos expuestos en el petitorio, se negará la tutela</w:t>
      </w:r>
      <w:r w:rsidR="00D358B2">
        <w:rPr>
          <w:rFonts w:ascii="Arial" w:hAnsi="Arial" w:cs="Arial"/>
          <w:spacing w:val="3"/>
        </w:rPr>
        <w:t>.</w:t>
      </w:r>
    </w:p>
    <w:p w:rsidR="000703DD" w:rsidRPr="00696EF1" w:rsidRDefault="000703DD" w:rsidP="00313406">
      <w:pPr>
        <w:spacing w:line="360" w:lineRule="auto"/>
        <w:ind w:right="51"/>
        <w:jc w:val="both"/>
        <w:rPr>
          <w:rFonts w:ascii="Arial" w:hAnsi="Arial"/>
          <w:sz w:val="22"/>
        </w:rPr>
      </w:pPr>
    </w:p>
    <w:p w:rsidR="00DF2C95" w:rsidRDefault="00DF2C95" w:rsidP="00962082">
      <w:pPr>
        <w:pStyle w:val="Sansinterligne"/>
        <w:spacing w:line="360" w:lineRule="auto"/>
        <w:rPr>
          <w:rFonts w:ascii="Arial" w:hAnsi="Arial" w:cs="Arial"/>
          <w:sz w:val="2"/>
        </w:rPr>
      </w:pPr>
    </w:p>
    <w:p w:rsidR="00303747" w:rsidRDefault="00303747" w:rsidP="00D358B2">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0703DD" w:rsidRPr="00696EF1" w:rsidRDefault="000703DD" w:rsidP="000703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2"/>
          <w:szCs w:val="28"/>
        </w:rPr>
      </w:pPr>
    </w:p>
    <w:p w:rsidR="006715E2"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334635">
        <w:rPr>
          <w:rFonts w:ascii="Arial" w:hAnsi="Arial" w:cs="Arial"/>
        </w:rPr>
        <w:t xml:space="preserve">: (i) Se negará la tutela contra el Juzgado Segundo Civil del Circuito de Pereira, por inexistencia de los hechos amenazantes o vulneradores de los derechos invocados; y, (ii) Se </w:t>
      </w:r>
      <w:r w:rsidRPr="007D3EFE">
        <w:rPr>
          <w:rFonts w:ascii="Arial" w:hAnsi="Arial" w:cs="Arial"/>
        </w:rPr>
        <w:t xml:space="preserve">declarará improcedente </w:t>
      </w:r>
      <w:r w:rsidR="006715E2">
        <w:rPr>
          <w:rFonts w:ascii="Arial" w:hAnsi="Arial" w:cs="Arial"/>
        </w:rPr>
        <w:t xml:space="preserve">frente a la Procuraduría General de la Nación, Regional </w:t>
      </w:r>
      <w:r w:rsidR="00334635">
        <w:rPr>
          <w:rFonts w:ascii="Arial" w:hAnsi="Arial" w:cs="Arial"/>
        </w:rPr>
        <w:t>Huila, por carecer de legitimación</w:t>
      </w:r>
      <w:r w:rsidR="006715E2">
        <w:rPr>
          <w:rFonts w:ascii="Arial" w:hAnsi="Arial" w:cs="Arial"/>
        </w:rPr>
        <w:t>.</w:t>
      </w:r>
    </w:p>
    <w:p w:rsidR="00303747" w:rsidRPr="007D3EFE" w:rsidRDefault="00303747" w:rsidP="00962082">
      <w:pPr>
        <w:pStyle w:val="Sansinterligne"/>
        <w:spacing w:line="360" w:lineRule="auto"/>
        <w:rPr>
          <w:rFonts w:ascii="Arial" w:hAnsi="Arial" w:cs="Arial"/>
          <w:sz w:val="2"/>
        </w:rPr>
      </w:pPr>
    </w:p>
    <w:p w:rsidR="002A30C4" w:rsidRPr="00696EF1" w:rsidRDefault="002A30C4" w:rsidP="00962082">
      <w:pPr>
        <w:tabs>
          <w:tab w:val="left" w:pos="-720"/>
        </w:tabs>
        <w:suppressAutoHyphens/>
        <w:spacing w:line="360" w:lineRule="auto"/>
        <w:jc w:val="both"/>
        <w:rPr>
          <w:rFonts w:ascii="Arial" w:hAnsi="Arial" w:cs="Arial"/>
          <w:sz w:val="22"/>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3009A9" w:rsidRPr="00696EF1" w:rsidRDefault="003009A9" w:rsidP="00962082">
      <w:pPr>
        <w:pStyle w:val="Corpsdetexte"/>
        <w:spacing w:line="360" w:lineRule="auto"/>
        <w:jc w:val="center"/>
        <w:rPr>
          <w:rFonts w:ascii="Arial" w:hAnsi="Arial" w:cs="Arial"/>
          <w:bCs/>
          <w:smallCaps/>
          <w:sz w:val="22"/>
          <w:szCs w:val="24"/>
        </w:rPr>
      </w:pPr>
    </w:p>
    <w:p w:rsidR="00334635" w:rsidRDefault="00334635"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Pr>
          <w:rFonts w:ascii="Arial" w:hAnsi="Arial" w:cs="Arial"/>
        </w:rPr>
        <w:t xml:space="preserve">NEGAR </w:t>
      </w:r>
      <w:r w:rsidR="00D65216" w:rsidRPr="006E048E">
        <w:rPr>
          <w:rFonts w:ascii="Arial" w:hAnsi="Arial" w:cs="Arial"/>
        </w:rPr>
        <w:t xml:space="preserve">la tutela propuesta por el señor Javier Elías Arias </w:t>
      </w:r>
      <w:proofErr w:type="spellStart"/>
      <w:r w:rsidR="00D65216" w:rsidRPr="006E048E">
        <w:rPr>
          <w:rFonts w:ascii="Arial" w:hAnsi="Arial" w:cs="Arial"/>
        </w:rPr>
        <w:t>Idárraga</w:t>
      </w:r>
      <w:proofErr w:type="spellEnd"/>
      <w:r w:rsidR="00D65216" w:rsidRPr="006E048E">
        <w:rPr>
          <w:rFonts w:ascii="Arial" w:hAnsi="Arial" w:cs="Arial"/>
        </w:rPr>
        <w:t xml:space="preserve"> contra el Juzgado </w:t>
      </w:r>
      <w:r>
        <w:rPr>
          <w:rFonts w:ascii="Arial" w:hAnsi="Arial" w:cs="Arial"/>
        </w:rPr>
        <w:t>Segundo Civil del Circuito de Pereira.</w:t>
      </w:r>
    </w:p>
    <w:p w:rsidR="00334635" w:rsidRPr="00696EF1" w:rsidRDefault="00334635" w:rsidP="0033463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sz w:val="22"/>
        </w:rPr>
      </w:pPr>
    </w:p>
    <w:p w:rsidR="002D09F9" w:rsidRDefault="00334635"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Pr>
          <w:rFonts w:ascii="Arial" w:hAnsi="Arial" w:cs="Arial"/>
          <w:lang w:val="es-CO"/>
        </w:rPr>
        <w:t>DECLARAR IMPROCEDENTE el amparo frente a</w:t>
      </w:r>
      <w:r>
        <w:rPr>
          <w:rFonts w:ascii="Arial" w:hAnsi="Arial" w:cs="Arial"/>
        </w:rPr>
        <w:t xml:space="preserve"> </w:t>
      </w:r>
      <w:r w:rsidR="008E0AB5">
        <w:rPr>
          <w:rFonts w:ascii="Arial" w:hAnsi="Arial" w:cs="Arial"/>
        </w:rPr>
        <w:t xml:space="preserve">la Procuraduría General de la Nación, Regional </w:t>
      </w:r>
      <w:r>
        <w:rPr>
          <w:rFonts w:ascii="Arial" w:hAnsi="Arial" w:cs="Arial"/>
        </w:rPr>
        <w:t>Huila</w:t>
      </w:r>
      <w:r w:rsidR="008E0AB5">
        <w:rPr>
          <w:rFonts w:ascii="Arial" w:hAnsi="Arial" w:cs="Arial"/>
        </w:rPr>
        <w:t>.</w:t>
      </w:r>
    </w:p>
    <w:p w:rsidR="003009A9" w:rsidRPr="00696EF1" w:rsidRDefault="003009A9" w:rsidP="003009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sz w:val="22"/>
        </w:rPr>
      </w:pPr>
    </w:p>
    <w:p w:rsidR="00D65216" w:rsidRDefault="00D65216" w:rsidP="00AB5228">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spacing w:val="-3"/>
          <w:lang w:val="es-ES_tradnl"/>
        </w:rPr>
        <w:t>NOTIFICAR esta decisión a todas las partes, por el medio más expedito y eficaz.</w:t>
      </w:r>
    </w:p>
    <w:p w:rsidR="003009A9" w:rsidRPr="00696EF1" w:rsidRDefault="003009A9" w:rsidP="00AB5228">
      <w:pPr>
        <w:pStyle w:val="Paragraphedeliste"/>
        <w:spacing w:line="360" w:lineRule="auto"/>
        <w:rPr>
          <w:rFonts w:ascii="Arial" w:hAnsi="Arial" w:cs="Arial"/>
          <w:spacing w:val="-3"/>
          <w:sz w:val="22"/>
          <w:lang w:val="es-ES_tradnl"/>
        </w:rPr>
      </w:pPr>
    </w:p>
    <w:p w:rsidR="00654381" w:rsidRDefault="00D65216" w:rsidP="00AB5228">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w:t>
      </w:r>
      <w:r w:rsidR="00987F59">
        <w:rPr>
          <w:rFonts w:ascii="Arial" w:hAnsi="Arial" w:cs="Arial"/>
          <w:spacing w:val="-3"/>
          <w:lang w:val="es-ES_tradnl"/>
        </w:rPr>
        <w:t xml:space="preserve">CC </w:t>
      </w:r>
      <w:r w:rsidRPr="007D3EFE">
        <w:rPr>
          <w:rFonts w:ascii="Arial" w:hAnsi="Arial" w:cs="Arial"/>
          <w:spacing w:val="-3"/>
          <w:lang w:val="es-ES_tradnl"/>
        </w:rPr>
        <w:t xml:space="preserve">para su eventual revisión, </w:t>
      </w:r>
      <w:r w:rsidRPr="007D3EFE">
        <w:rPr>
          <w:rFonts w:ascii="Arial" w:hAnsi="Arial" w:cs="Arial"/>
        </w:rPr>
        <w:t>de no ser impugnada</w:t>
      </w:r>
      <w:r w:rsidRPr="007D3EFE">
        <w:rPr>
          <w:rFonts w:ascii="Arial" w:hAnsi="Arial" w:cs="Arial"/>
          <w:spacing w:val="-3"/>
          <w:lang w:val="es-ES_tradnl"/>
        </w:rPr>
        <w:t>.</w:t>
      </w:r>
    </w:p>
    <w:p w:rsidR="00AB5228" w:rsidRPr="00696EF1" w:rsidRDefault="00AB5228" w:rsidP="00AB5228">
      <w:pPr>
        <w:pStyle w:val="Paragraphedeliste"/>
        <w:rPr>
          <w:rFonts w:ascii="Arial" w:hAnsi="Arial" w:cs="Arial"/>
          <w:spacing w:val="-3"/>
          <w:sz w:val="28"/>
          <w:lang w:val="es-CO"/>
        </w:rPr>
      </w:pPr>
    </w:p>
    <w:p w:rsidR="00D65216" w:rsidRDefault="00D65216" w:rsidP="00AB5228">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696EF1" w:rsidRDefault="00D65216" w:rsidP="00AB5228">
      <w:pPr>
        <w:pStyle w:val="Corpsdetexte"/>
        <w:spacing w:line="360" w:lineRule="auto"/>
        <w:rPr>
          <w:rFonts w:ascii="Arial" w:hAnsi="Arial" w:cs="Arial"/>
          <w:smallCaps/>
          <w:sz w:val="12"/>
          <w:szCs w:val="24"/>
          <w:lang w:val="es-ES"/>
        </w:rPr>
      </w:pPr>
    </w:p>
    <w:p w:rsidR="00D65216" w:rsidRDefault="00D65216" w:rsidP="00962082">
      <w:pPr>
        <w:pStyle w:val="Corpsdetex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lastRenderedPageBreak/>
        <w:t>Notifíquese</w:t>
      </w:r>
      <w:proofErr w:type="spellEnd"/>
      <w:r w:rsidRPr="006715E2">
        <w:rPr>
          <w:rFonts w:ascii="Arial" w:hAnsi="Arial" w:cs="Arial"/>
          <w:smallCaps/>
          <w:sz w:val="28"/>
          <w:szCs w:val="24"/>
          <w:lang w:val="en-US"/>
        </w:rPr>
        <w:t>,</w:t>
      </w: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lang w:val="en-US"/>
        </w:rPr>
      </w:pP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4"/>
          <w:lang w:val="en-US"/>
        </w:rPr>
      </w:pP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654381" w:rsidRDefault="00D65216" w:rsidP="00696EF1">
      <w:pPr>
        <w:pStyle w:val="Sansinterligne"/>
        <w:spacing w:line="360" w:lineRule="auto"/>
        <w:rPr>
          <w:rFonts w:ascii="Arial" w:hAnsi="Arial" w:cs="Arial"/>
          <w:i/>
          <w:spacing w:val="-3"/>
          <w:w w:val="150"/>
          <w:sz w:val="18"/>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lang w:val="en-US"/>
        </w:rPr>
      </w:pP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lang w:val="en-US"/>
        </w:rPr>
      </w:pPr>
    </w:p>
    <w:p w:rsidR="00696EF1" w:rsidRPr="003009A9" w:rsidRDefault="00696EF1"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5653C3" w:rsidRDefault="003009A9" w:rsidP="003009A9">
      <w:pPr>
        <w:pStyle w:val="Sansinterligne"/>
        <w:rPr>
          <w:rFonts w:ascii="Arial" w:hAnsi="Arial" w:cs="Arial"/>
          <w:spacing w:val="-3"/>
          <w:w w:val="150"/>
          <w:sz w:val="2"/>
          <w:lang w:val="en-GB"/>
        </w:rPr>
      </w:pPr>
    </w:p>
    <w:p w:rsidR="00365C8E" w:rsidRPr="0050729D"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
          <w:szCs w:val="18"/>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00987F59">
        <w:rPr>
          <w:rFonts w:ascii="Arial" w:hAnsi="Arial" w:cs="Arial"/>
          <w:i/>
          <w:w w:val="150"/>
          <w:sz w:val="28"/>
          <w:szCs w:val="18"/>
          <w:lang w:val="en-US"/>
        </w:rPr>
        <w:t xml:space="preserve">   </w:t>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Pr="005653C3"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6"/>
          <w:szCs w:val="16"/>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00987F59">
        <w:rPr>
          <w:rFonts w:ascii="Arial" w:hAnsi="Arial" w:cs="Arial"/>
          <w:i/>
          <w:w w:val="150"/>
          <w:sz w:val="18"/>
          <w:lang w:val="en-GB"/>
        </w:rPr>
        <w:t xml:space="preserve">             </w:t>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sectPr w:rsidR="007D3EFE" w:rsidRPr="005653C3" w:rsidSect="007335EB">
      <w:headerReference w:type="default" r:id="rId10"/>
      <w:footerReference w:type="default" r:id="rId11"/>
      <w:pgSz w:w="12242" w:h="18722" w:code="14"/>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CE" w:rsidRDefault="000E51CE">
      <w:r>
        <w:separator/>
      </w:r>
    </w:p>
  </w:endnote>
  <w:endnote w:type="continuationSeparator" w:id="0">
    <w:p w:rsidR="000E51CE" w:rsidRDefault="000E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CE" w:rsidRDefault="000E51CE">
      <w:r>
        <w:separator/>
      </w:r>
    </w:p>
  </w:footnote>
  <w:footnote w:type="continuationSeparator" w:id="0">
    <w:p w:rsidR="000E51CE" w:rsidRDefault="000E51CE">
      <w:r>
        <w:continuationSeparator/>
      </w:r>
    </w:p>
  </w:footnote>
  <w:footnote w:id="1">
    <w:p w:rsidR="008E0AB5" w:rsidRPr="005653C3" w:rsidRDefault="008E0AB5" w:rsidP="008E0AB5">
      <w:pPr>
        <w:pStyle w:val="Notedebasdepage"/>
        <w:rPr>
          <w:rFonts w:ascii="Calibri" w:hAnsi="Calibri"/>
          <w:lang w:val="fr-FR"/>
        </w:rPr>
      </w:pPr>
      <w:r>
        <w:rPr>
          <w:rStyle w:val="Appelnotedebasdep"/>
          <w:rFonts w:ascii="Calibri" w:hAnsi="Calibri"/>
        </w:rPr>
        <w:footnoteRef/>
      </w:r>
      <w:r w:rsidRPr="005653C3">
        <w:rPr>
          <w:rFonts w:ascii="Calibri" w:hAnsi="Calibri"/>
          <w:lang w:val="fr-FR"/>
        </w:rPr>
        <w:t xml:space="preserve"> CC. T-382 de 2016</w:t>
      </w:r>
    </w:p>
  </w:footnote>
  <w:footnote w:id="2">
    <w:p w:rsidR="008E0AB5" w:rsidRPr="005653C3" w:rsidRDefault="008E0AB5" w:rsidP="008E0AB5">
      <w:pPr>
        <w:pStyle w:val="Notedebasdepage"/>
        <w:rPr>
          <w:rFonts w:ascii="Calibri" w:hAnsi="Calibri"/>
          <w:lang w:val="fr-FR"/>
        </w:rPr>
      </w:pPr>
      <w:r>
        <w:rPr>
          <w:rStyle w:val="Appelnotedebasdep"/>
          <w:rFonts w:ascii="Calibri" w:hAnsi="Calibri"/>
        </w:rPr>
        <w:footnoteRef/>
      </w:r>
      <w:r w:rsidRPr="005653C3">
        <w:rPr>
          <w:rFonts w:ascii="Calibri" w:hAnsi="Calibri"/>
          <w:lang w:val="fr-FR"/>
        </w:rPr>
        <w:t xml:space="preserve"> CC. T–1191 de 2004 </w:t>
      </w:r>
    </w:p>
  </w:footnote>
  <w:footnote w:id="3">
    <w:p w:rsidR="008E0AB5" w:rsidRDefault="008E0AB5" w:rsidP="008E0AB5">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C52C2" w:rsidRPr="005653C3" w:rsidRDefault="00CC52C2" w:rsidP="00CC52C2">
      <w:pPr>
        <w:pStyle w:val="Notedebasdepage"/>
        <w:jc w:val="both"/>
        <w:rPr>
          <w:rFonts w:asciiTheme="minorHAnsi" w:hAnsiTheme="minorHAnsi"/>
          <w:spacing w:val="-20"/>
        </w:rPr>
      </w:pPr>
      <w:r w:rsidRPr="005653C3">
        <w:rPr>
          <w:rStyle w:val="Appelnotedebasdep"/>
          <w:rFonts w:asciiTheme="minorHAnsi" w:hAnsiTheme="minorHAnsi" w:cs="Calibri"/>
          <w:spacing w:val="-20"/>
        </w:rPr>
        <w:footnoteRef/>
      </w:r>
      <w:r w:rsidRPr="005653C3">
        <w:rPr>
          <w:rFonts w:asciiTheme="minorHAnsi" w:hAnsiTheme="minorHAnsi" w:cs="Calibri"/>
          <w:spacing w:val="-20"/>
        </w:rPr>
        <w:t xml:space="preserve"> QUINCHE R., Manuel F. Vías de hecho, acción de tutela contra providencias, Editorial Temis SA, Bogotá, 2013, p.103.</w:t>
      </w:r>
    </w:p>
  </w:footnote>
  <w:footnote w:id="5">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C52C2" w:rsidRPr="005653C3"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653C3">
        <w:rPr>
          <w:rFonts w:asciiTheme="minorHAnsi" w:hAnsiTheme="minorHAnsi" w:cs="Calibri"/>
          <w:lang w:val="fr-FR"/>
        </w:rPr>
        <w:t xml:space="preserve"> CC. T-917 de 2011.</w:t>
      </w:r>
    </w:p>
  </w:footnote>
  <w:footnote w:id="7">
    <w:p w:rsidR="00CC52C2" w:rsidRPr="005653C3"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653C3">
        <w:rPr>
          <w:rFonts w:asciiTheme="minorHAnsi" w:hAnsiTheme="minorHAnsi" w:cs="Calibri"/>
          <w:lang w:val="fr-FR"/>
        </w:rPr>
        <w:t xml:space="preserve"> CC. C-590 de 2005.</w:t>
      </w:r>
    </w:p>
  </w:footnote>
  <w:footnote w:id="8">
    <w:p w:rsidR="00CC52C2" w:rsidRPr="005653C3" w:rsidRDefault="00CC52C2" w:rsidP="00CC52C2">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5653C3">
        <w:rPr>
          <w:rFonts w:asciiTheme="minorHAnsi" w:hAnsiTheme="minorHAnsi" w:cs="Calibri"/>
          <w:lang w:val="fr-FR"/>
        </w:rPr>
        <w:t xml:space="preserve"> CC. </w:t>
      </w:r>
      <w:proofErr w:type="spellStart"/>
      <w:r w:rsidRPr="005653C3">
        <w:rPr>
          <w:rFonts w:asciiTheme="minorHAnsi" w:hAnsiTheme="minorHAnsi" w:cs="Calibri"/>
          <w:bCs/>
          <w:lang w:val="fr-FR"/>
        </w:rPr>
        <w:t>SU-222</w:t>
      </w:r>
      <w:proofErr w:type="spellEnd"/>
      <w:r w:rsidRPr="005653C3">
        <w:rPr>
          <w:rFonts w:asciiTheme="minorHAnsi" w:hAnsiTheme="minorHAnsi" w:cs="Calibri"/>
          <w:bCs/>
          <w:lang w:val="fr-FR"/>
        </w:rPr>
        <w:t xml:space="preserve"> de 2016</w:t>
      </w:r>
      <w:r w:rsidRPr="005653C3">
        <w:rPr>
          <w:rFonts w:asciiTheme="minorHAnsi" w:hAnsiTheme="minorHAnsi" w:cs="Calibri"/>
          <w:lang w:val="fr-FR"/>
        </w:rPr>
        <w:t>.</w:t>
      </w:r>
    </w:p>
  </w:footnote>
  <w:footnote w:id="9">
    <w:p w:rsidR="00CC52C2" w:rsidRPr="005653C3" w:rsidRDefault="00CC52C2" w:rsidP="00CC52C2">
      <w:pPr>
        <w:pStyle w:val="Notedebasdepage"/>
        <w:rPr>
          <w:rFonts w:asciiTheme="minorHAnsi" w:hAnsiTheme="minorHAnsi"/>
          <w:lang w:val="fr-FR"/>
        </w:rPr>
      </w:pPr>
      <w:r w:rsidRPr="00E17BD7">
        <w:rPr>
          <w:rStyle w:val="Appelnotedebasdep"/>
          <w:rFonts w:asciiTheme="minorHAnsi" w:hAnsiTheme="minorHAnsi"/>
        </w:rPr>
        <w:footnoteRef/>
      </w:r>
      <w:r w:rsidRPr="005653C3">
        <w:rPr>
          <w:rFonts w:asciiTheme="minorHAnsi" w:hAnsiTheme="minorHAnsi"/>
          <w:lang w:val="fr-FR"/>
        </w:rPr>
        <w:t xml:space="preserve"> </w:t>
      </w:r>
      <w:r w:rsidRPr="005653C3">
        <w:rPr>
          <w:rFonts w:asciiTheme="minorHAnsi" w:hAnsiTheme="minorHAnsi" w:cs="Calibri"/>
          <w:lang w:val="fr-FR"/>
        </w:rPr>
        <w:t>CC. T-307 de 2015.</w:t>
      </w:r>
    </w:p>
  </w:footnote>
  <w:footnote w:id="10">
    <w:p w:rsidR="00CC52C2" w:rsidRPr="00E17BD7" w:rsidRDefault="00CC52C2" w:rsidP="00CC52C2">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653C3">
      <w:rPr>
        <w:rFonts w:ascii="Calibri" w:hAnsi="Calibri" w:cs="Calibri"/>
        <w:i/>
        <w:noProof/>
        <w:sz w:val="20"/>
      </w:rPr>
      <w:t>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1C24F2">
      <w:rPr>
        <w:rFonts w:ascii="Calibri" w:eastAsia="Calibri" w:hAnsi="Calibri" w:cs="Calibri"/>
        <w:i/>
        <w:smallCaps/>
        <w:sz w:val="20"/>
        <w:szCs w:val="20"/>
      </w:rPr>
      <w:t>00359</w:t>
    </w:r>
    <w:r w:rsidR="00DA64CA">
      <w:rPr>
        <w:rFonts w:ascii="Calibri" w:eastAsia="Calibri" w:hAnsi="Calibri" w:cs="Calibri"/>
        <w:i/>
        <w:smallCaps/>
        <w:sz w:val="20"/>
        <w:szCs w:val="20"/>
      </w:rPr>
      <w:t>-</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33AB6"/>
    <w:rsid w:val="00046A8F"/>
    <w:rsid w:val="000608CF"/>
    <w:rsid w:val="00067852"/>
    <w:rsid w:val="000703DD"/>
    <w:rsid w:val="000708F5"/>
    <w:rsid w:val="000730FB"/>
    <w:rsid w:val="00077963"/>
    <w:rsid w:val="00096759"/>
    <w:rsid w:val="000A48D2"/>
    <w:rsid w:val="000B1860"/>
    <w:rsid w:val="000B2213"/>
    <w:rsid w:val="000D3D4E"/>
    <w:rsid w:val="000E51CE"/>
    <w:rsid w:val="000E6C61"/>
    <w:rsid w:val="000F001B"/>
    <w:rsid w:val="000F3260"/>
    <w:rsid w:val="000F4C76"/>
    <w:rsid w:val="00101C44"/>
    <w:rsid w:val="00102C5F"/>
    <w:rsid w:val="00114DB4"/>
    <w:rsid w:val="00120192"/>
    <w:rsid w:val="0012361A"/>
    <w:rsid w:val="001456BE"/>
    <w:rsid w:val="00172E29"/>
    <w:rsid w:val="0017516C"/>
    <w:rsid w:val="00191AC0"/>
    <w:rsid w:val="001B5701"/>
    <w:rsid w:val="001C24F2"/>
    <w:rsid w:val="001D3ED1"/>
    <w:rsid w:val="001F076E"/>
    <w:rsid w:val="001F471E"/>
    <w:rsid w:val="001F4752"/>
    <w:rsid w:val="002006BE"/>
    <w:rsid w:val="002117CF"/>
    <w:rsid w:val="00214FFF"/>
    <w:rsid w:val="002307A9"/>
    <w:rsid w:val="0023125B"/>
    <w:rsid w:val="0024766E"/>
    <w:rsid w:val="00251244"/>
    <w:rsid w:val="002750F9"/>
    <w:rsid w:val="002834FB"/>
    <w:rsid w:val="00287D76"/>
    <w:rsid w:val="002A30C4"/>
    <w:rsid w:val="002A476E"/>
    <w:rsid w:val="002C2D59"/>
    <w:rsid w:val="002C2EB4"/>
    <w:rsid w:val="002D09F9"/>
    <w:rsid w:val="002E4759"/>
    <w:rsid w:val="002E669B"/>
    <w:rsid w:val="002F1A26"/>
    <w:rsid w:val="002F6122"/>
    <w:rsid w:val="003009A9"/>
    <w:rsid w:val="00303747"/>
    <w:rsid w:val="00313406"/>
    <w:rsid w:val="003233EF"/>
    <w:rsid w:val="00325ADE"/>
    <w:rsid w:val="00334635"/>
    <w:rsid w:val="00341198"/>
    <w:rsid w:val="00346052"/>
    <w:rsid w:val="00346CD6"/>
    <w:rsid w:val="00352333"/>
    <w:rsid w:val="00365C8E"/>
    <w:rsid w:val="003A25D0"/>
    <w:rsid w:val="003A4906"/>
    <w:rsid w:val="003B78D6"/>
    <w:rsid w:val="003E738E"/>
    <w:rsid w:val="003F111B"/>
    <w:rsid w:val="00412621"/>
    <w:rsid w:val="00423A33"/>
    <w:rsid w:val="004256BD"/>
    <w:rsid w:val="004469D0"/>
    <w:rsid w:val="00495981"/>
    <w:rsid w:val="004A5FA5"/>
    <w:rsid w:val="004B78EE"/>
    <w:rsid w:val="004F2B25"/>
    <w:rsid w:val="0050729D"/>
    <w:rsid w:val="00534AAF"/>
    <w:rsid w:val="00550C1D"/>
    <w:rsid w:val="005653C3"/>
    <w:rsid w:val="00570EE5"/>
    <w:rsid w:val="00595344"/>
    <w:rsid w:val="005A741F"/>
    <w:rsid w:val="005B5624"/>
    <w:rsid w:val="005C3774"/>
    <w:rsid w:val="005C6E4A"/>
    <w:rsid w:val="005D3E67"/>
    <w:rsid w:val="005E0ADE"/>
    <w:rsid w:val="005E60B3"/>
    <w:rsid w:val="00626C0F"/>
    <w:rsid w:val="00627782"/>
    <w:rsid w:val="00654381"/>
    <w:rsid w:val="00661CB6"/>
    <w:rsid w:val="006715E2"/>
    <w:rsid w:val="00696EF1"/>
    <w:rsid w:val="006971C4"/>
    <w:rsid w:val="006A513E"/>
    <w:rsid w:val="006A66DA"/>
    <w:rsid w:val="006B7DBE"/>
    <w:rsid w:val="006C4187"/>
    <w:rsid w:val="006D0F53"/>
    <w:rsid w:val="006D655D"/>
    <w:rsid w:val="006E048E"/>
    <w:rsid w:val="006F6AC8"/>
    <w:rsid w:val="00700B79"/>
    <w:rsid w:val="00706484"/>
    <w:rsid w:val="0071357E"/>
    <w:rsid w:val="00724738"/>
    <w:rsid w:val="00726230"/>
    <w:rsid w:val="00731A37"/>
    <w:rsid w:val="007335EB"/>
    <w:rsid w:val="00747E7B"/>
    <w:rsid w:val="00761D97"/>
    <w:rsid w:val="00771556"/>
    <w:rsid w:val="0077283E"/>
    <w:rsid w:val="00791391"/>
    <w:rsid w:val="00793292"/>
    <w:rsid w:val="00794961"/>
    <w:rsid w:val="0079778F"/>
    <w:rsid w:val="007A2A0D"/>
    <w:rsid w:val="007A4953"/>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62082"/>
    <w:rsid w:val="00964A8E"/>
    <w:rsid w:val="00973498"/>
    <w:rsid w:val="00987F59"/>
    <w:rsid w:val="00997E8D"/>
    <w:rsid w:val="009C06FE"/>
    <w:rsid w:val="009C4613"/>
    <w:rsid w:val="009D0EF6"/>
    <w:rsid w:val="009D25C7"/>
    <w:rsid w:val="009E3845"/>
    <w:rsid w:val="009E4160"/>
    <w:rsid w:val="00A04FBD"/>
    <w:rsid w:val="00A17865"/>
    <w:rsid w:val="00A31ADF"/>
    <w:rsid w:val="00A347AB"/>
    <w:rsid w:val="00A615F0"/>
    <w:rsid w:val="00A7168E"/>
    <w:rsid w:val="00A71F08"/>
    <w:rsid w:val="00A7287E"/>
    <w:rsid w:val="00A74F11"/>
    <w:rsid w:val="00A8313B"/>
    <w:rsid w:val="00AA2779"/>
    <w:rsid w:val="00AA422F"/>
    <w:rsid w:val="00AB1101"/>
    <w:rsid w:val="00AB5228"/>
    <w:rsid w:val="00AB6155"/>
    <w:rsid w:val="00AE4DB5"/>
    <w:rsid w:val="00AF58C4"/>
    <w:rsid w:val="00B02350"/>
    <w:rsid w:val="00B05B11"/>
    <w:rsid w:val="00B436FD"/>
    <w:rsid w:val="00B47C81"/>
    <w:rsid w:val="00B55D28"/>
    <w:rsid w:val="00B76475"/>
    <w:rsid w:val="00B8227E"/>
    <w:rsid w:val="00B91B17"/>
    <w:rsid w:val="00BA5C67"/>
    <w:rsid w:val="00BA5DD2"/>
    <w:rsid w:val="00BB07D7"/>
    <w:rsid w:val="00BB24D1"/>
    <w:rsid w:val="00BB4ED4"/>
    <w:rsid w:val="00BB4F44"/>
    <w:rsid w:val="00BB7FD9"/>
    <w:rsid w:val="00BE0930"/>
    <w:rsid w:val="00BF5813"/>
    <w:rsid w:val="00C338BA"/>
    <w:rsid w:val="00C53BA8"/>
    <w:rsid w:val="00C55379"/>
    <w:rsid w:val="00C5718D"/>
    <w:rsid w:val="00C60521"/>
    <w:rsid w:val="00C73052"/>
    <w:rsid w:val="00C74D62"/>
    <w:rsid w:val="00C965FD"/>
    <w:rsid w:val="00CB087F"/>
    <w:rsid w:val="00CB2FD9"/>
    <w:rsid w:val="00CB4A88"/>
    <w:rsid w:val="00CC2570"/>
    <w:rsid w:val="00CC304E"/>
    <w:rsid w:val="00CC52C2"/>
    <w:rsid w:val="00CC5DA9"/>
    <w:rsid w:val="00CD67DF"/>
    <w:rsid w:val="00CD746A"/>
    <w:rsid w:val="00CE096B"/>
    <w:rsid w:val="00CE5584"/>
    <w:rsid w:val="00CF7F72"/>
    <w:rsid w:val="00D027C4"/>
    <w:rsid w:val="00D120C3"/>
    <w:rsid w:val="00D143D4"/>
    <w:rsid w:val="00D358B2"/>
    <w:rsid w:val="00D36D2F"/>
    <w:rsid w:val="00D42174"/>
    <w:rsid w:val="00D42A85"/>
    <w:rsid w:val="00D45823"/>
    <w:rsid w:val="00D47533"/>
    <w:rsid w:val="00D51CFD"/>
    <w:rsid w:val="00D5414A"/>
    <w:rsid w:val="00D64C4B"/>
    <w:rsid w:val="00D65216"/>
    <w:rsid w:val="00D94A81"/>
    <w:rsid w:val="00D95174"/>
    <w:rsid w:val="00DA17EB"/>
    <w:rsid w:val="00DA56CB"/>
    <w:rsid w:val="00DA64CA"/>
    <w:rsid w:val="00DC0250"/>
    <w:rsid w:val="00DE459F"/>
    <w:rsid w:val="00DF2C95"/>
    <w:rsid w:val="00DF3C5E"/>
    <w:rsid w:val="00E24A8D"/>
    <w:rsid w:val="00E3591B"/>
    <w:rsid w:val="00E366DB"/>
    <w:rsid w:val="00E42724"/>
    <w:rsid w:val="00E431A4"/>
    <w:rsid w:val="00E4392F"/>
    <w:rsid w:val="00E57A1C"/>
    <w:rsid w:val="00E60B9C"/>
    <w:rsid w:val="00E616DE"/>
    <w:rsid w:val="00E7774C"/>
    <w:rsid w:val="00E80395"/>
    <w:rsid w:val="00E820BC"/>
    <w:rsid w:val="00E86310"/>
    <w:rsid w:val="00EA53EB"/>
    <w:rsid w:val="00EB7029"/>
    <w:rsid w:val="00EC6040"/>
    <w:rsid w:val="00EE3FBB"/>
    <w:rsid w:val="00EF677D"/>
    <w:rsid w:val="00F02B91"/>
    <w:rsid w:val="00F05B8B"/>
    <w:rsid w:val="00F12784"/>
    <w:rsid w:val="00F33311"/>
    <w:rsid w:val="00F70CC9"/>
    <w:rsid w:val="00F855C3"/>
    <w:rsid w:val="00F87AB3"/>
    <w:rsid w:val="00F90F3D"/>
    <w:rsid w:val="00FA07B4"/>
    <w:rsid w:val="00FA1B75"/>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CA35-2C9F-441C-A01D-14F9F071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7</cp:revision>
  <cp:lastPrinted>2017-04-24T18:43:00Z</cp:lastPrinted>
  <dcterms:created xsi:type="dcterms:W3CDTF">2017-04-24T18:07:00Z</dcterms:created>
  <dcterms:modified xsi:type="dcterms:W3CDTF">2017-06-21T04:32:00Z</dcterms:modified>
</cp:coreProperties>
</file>