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66" w:rsidRDefault="00EA4E66" w:rsidP="00EA4E66">
      <w:pPr>
        <w:shd w:val="clear" w:color="auto" w:fill="FFFFFF"/>
        <w:tabs>
          <w:tab w:val="left" w:pos="2024"/>
        </w:tabs>
        <w:rPr>
          <w:rFonts w:ascii="Calibri" w:eastAsia="Calibri" w:hAnsi="Calibri" w:cs="Calibri"/>
          <w:color w:val="222222"/>
          <w:sz w:val="18"/>
          <w:szCs w:val="18"/>
          <w:lang w:val="es-MX" w:eastAsia="fr-FR"/>
        </w:rPr>
      </w:pPr>
    </w:p>
    <w:p w:rsidR="00EA4E66" w:rsidRPr="006E4540" w:rsidRDefault="00EA4E66" w:rsidP="00EA4E6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Pr>
          <w:noProof/>
          <w:lang w:val="fr-FR" w:eastAsia="fr-FR"/>
        </w:rPr>
        <w:drawing>
          <wp:anchor distT="0" distB="0" distL="114300" distR="114300" simplePos="0" relativeHeight="251658240" behindDoc="0" locked="0" layoutInCell="1" allowOverlap="1" wp14:anchorId="26C0BD81" wp14:editId="4B32CB44">
            <wp:simplePos x="0" y="0"/>
            <wp:positionH relativeFrom="column">
              <wp:posOffset>2729865</wp:posOffset>
            </wp:positionH>
            <wp:positionV relativeFrom="paragraph">
              <wp:posOffset>354965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13E3" w:rsidRDefault="003913E3" w:rsidP="00F839CE">
      <w:pPr>
        <w:pStyle w:val="Sansinterligne"/>
        <w:spacing w:line="360" w:lineRule="auto"/>
        <w:rPr>
          <w:rFonts w:ascii="Arial" w:hAnsi="Arial" w:cs="Arial"/>
          <w:w w:val="140"/>
        </w:rPr>
      </w:pP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23846" w:rsidRPr="007860C0" w:rsidRDefault="00E23846" w:rsidP="00E23846">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07025" w:rsidRDefault="003913E3" w:rsidP="005050E8">
      <w:pPr>
        <w:spacing w:line="360" w:lineRule="auto"/>
        <w:ind w:left="708" w:hanging="708"/>
        <w:jc w:val="center"/>
        <w:rPr>
          <w:rFonts w:ascii="Arial" w:hAnsi="Arial" w:cs="Arial"/>
          <w:b/>
          <w:bCs/>
          <w:szCs w:val="26"/>
        </w:rPr>
      </w:pPr>
    </w:p>
    <w:p w:rsidR="003913E3" w:rsidRDefault="00EA4E66" w:rsidP="00C55802">
      <w:pPr>
        <w:pStyle w:val="Corpsdetexte"/>
        <w:spacing w:line="360" w:lineRule="auto"/>
        <w:ind w:left="1416"/>
        <w:rPr>
          <w:rFonts w:ascii="Arial" w:hAnsi="Arial"/>
          <w:sz w:val="22"/>
          <w:szCs w:val="22"/>
        </w:rPr>
      </w:pPr>
      <w:r>
        <w:rPr>
          <w:rFonts w:ascii="Arial" w:hAnsi="Arial"/>
          <w:sz w:val="22"/>
          <w:szCs w:val="22"/>
        </w:rPr>
        <w:t>Providencia</w:t>
      </w:r>
      <w:r w:rsidR="003913E3" w:rsidRPr="009B6DC4">
        <w:rPr>
          <w:rFonts w:ascii="Arial" w:hAnsi="Arial"/>
          <w:sz w:val="22"/>
          <w:szCs w:val="22"/>
        </w:rPr>
        <w:tab/>
      </w:r>
      <w:r w:rsidR="003913E3" w:rsidRPr="009B6DC4">
        <w:rPr>
          <w:rFonts w:ascii="Arial" w:hAnsi="Arial"/>
          <w:sz w:val="22"/>
          <w:szCs w:val="22"/>
        </w:rPr>
        <w:tab/>
        <w:t xml:space="preserve">: Sentencia </w:t>
      </w:r>
      <w:r>
        <w:rPr>
          <w:rFonts w:ascii="Arial" w:hAnsi="Arial"/>
          <w:sz w:val="22"/>
          <w:szCs w:val="22"/>
        </w:rPr>
        <w:t>– 2ª instancia – 03 de abril de 2017</w:t>
      </w:r>
    </w:p>
    <w:p w:rsidR="00EA4E66" w:rsidRDefault="00EA4E66" w:rsidP="00586A21">
      <w:pPr>
        <w:pStyle w:val="Corpsdetexte"/>
        <w:spacing w:line="360" w:lineRule="auto"/>
        <w:ind w:left="1416"/>
        <w:rPr>
          <w:rFonts w:ascii="Arial" w:hAnsi="Arial"/>
          <w:sz w:val="22"/>
          <w:szCs w:val="22"/>
        </w:rPr>
      </w:pPr>
      <w:r>
        <w:rPr>
          <w:rFonts w:ascii="Arial" w:hAnsi="Arial"/>
          <w:sz w:val="22"/>
          <w:szCs w:val="22"/>
        </w:rPr>
        <w:t>Proceso</w:t>
      </w:r>
      <w:r>
        <w:rPr>
          <w:rFonts w:ascii="Arial" w:hAnsi="Arial"/>
          <w:sz w:val="22"/>
          <w:szCs w:val="22"/>
        </w:rPr>
        <w:tab/>
      </w:r>
      <w:r>
        <w:rPr>
          <w:rFonts w:ascii="Arial" w:hAnsi="Arial"/>
          <w:sz w:val="22"/>
          <w:szCs w:val="22"/>
        </w:rPr>
        <w:tab/>
        <w:t>: Acción de Tutela – Confirma improcedencia de la acción</w:t>
      </w:r>
    </w:p>
    <w:p w:rsidR="00586A21"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009F023C">
        <w:rPr>
          <w:rFonts w:ascii="Arial" w:hAnsi="Arial" w:cs="Arial"/>
          <w:sz w:val="22"/>
          <w:szCs w:val="22"/>
        </w:rPr>
        <w:t xml:space="preserve"> (s)</w:t>
      </w:r>
      <w:r w:rsidRPr="00594392">
        <w:rPr>
          <w:rFonts w:ascii="Arial" w:hAnsi="Arial" w:cs="Arial"/>
          <w:sz w:val="22"/>
          <w:szCs w:val="22"/>
        </w:rPr>
        <w:tab/>
      </w:r>
      <w:r w:rsidRPr="00594392">
        <w:rPr>
          <w:rFonts w:ascii="Arial" w:hAnsi="Arial" w:cs="Arial"/>
          <w:sz w:val="22"/>
          <w:szCs w:val="22"/>
        </w:rPr>
        <w:tab/>
        <w:t xml:space="preserve">: </w:t>
      </w:r>
      <w:r w:rsidR="000B4F20">
        <w:rPr>
          <w:rFonts w:ascii="Arial" w:hAnsi="Arial" w:cs="Arial"/>
          <w:sz w:val="22"/>
          <w:szCs w:val="22"/>
        </w:rPr>
        <w:t>Jairo Antonio Montoya Mejía</w:t>
      </w:r>
    </w:p>
    <w:p w:rsidR="000B4F20" w:rsidRPr="00594392" w:rsidRDefault="000B4F20" w:rsidP="00586A21">
      <w:pPr>
        <w:pStyle w:val="Corpsdetexte"/>
        <w:spacing w:line="360" w:lineRule="auto"/>
        <w:ind w:left="1416"/>
        <w:rPr>
          <w:rFonts w:ascii="Arial" w:hAnsi="Arial" w:cs="Arial"/>
          <w:sz w:val="22"/>
          <w:szCs w:val="22"/>
        </w:rPr>
      </w:pPr>
      <w:r>
        <w:rPr>
          <w:rFonts w:ascii="Arial" w:hAnsi="Arial" w:cs="Arial"/>
          <w:sz w:val="22"/>
          <w:szCs w:val="22"/>
        </w:rPr>
        <w:t>Agente oficiosa</w:t>
      </w:r>
      <w:r>
        <w:rPr>
          <w:rFonts w:ascii="Arial" w:hAnsi="Arial" w:cs="Arial"/>
          <w:sz w:val="22"/>
          <w:szCs w:val="22"/>
        </w:rPr>
        <w:tab/>
        <w:t>: Mariela Mejía de Montoya</w:t>
      </w:r>
    </w:p>
    <w:p w:rsidR="00586A21" w:rsidRDefault="00586A21" w:rsidP="000B4F20">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0B4F20">
        <w:rPr>
          <w:rFonts w:ascii="Arial" w:hAnsi="Arial" w:cs="Arial"/>
          <w:sz w:val="22"/>
          <w:szCs w:val="22"/>
        </w:rPr>
        <w:t xml:space="preserve"> </w:t>
      </w:r>
      <w:r w:rsidR="000B4F20">
        <w:rPr>
          <w:rFonts w:ascii="Arial" w:hAnsi="Arial" w:cs="Arial"/>
          <w:sz w:val="22"/>
          <w:szCs w:val="22"/>
        </w:rPr>
        <w:tab/>
      </w:r>
      <w:r w:rsidRPr="00594392">
        <w:rPr>
          <w:rFonts w:ascii="Arial" w:hAnsi="Arial" w:cs="Arial"/>
          <w:sz w:val="22"/>
          <w:szCs w:val="22"/>
        </w:rPr>
        <w:tab/>
        <w:t xml:space="preserve">: </w:t>
      </w:r>
      <w:r w:rsidR="000B4F20">
        <w:rPr>
          <w:rFonts w:ascii="Arial" w:hAnsi="Arial" w:cs="Arial"/>
          <w:sz w:val="22"/>
          <w:szCs w:val="22"/>
        </w:rPr>
        <w:t>Gobernación de Risaralda</w:t>
      </w:r>
    </w:p>
    <w:p w:rsidR="000B4F20" w:rsidRDefault="000B4F20" w:rsidP="000B4F20">
      <w:pPr>
        <w:pStyle w:val="Corpsdetexte"/>
        <w:spacing w:line="360" w:lineRule="auto"/>
        <w:ind w:left="1416"/>
        <w:rPr>
          <w:rFonts w:ascii="Arial" w:hAnsi="Arial" w:cs="Arial"/>
          <w:sz w:val="22"/>
          <w:szCs w:val="22"/>
        </w:rPr>
      </w:pPr>
      <w:r>
        <w:rPr>
          <w:rFonts w:ascii="Arial" w:hAnsi="Arial" w:cs="Arial"/>
          <w:sz w:val="22"/>
          <w:szCs w:val="22"/>
        </w:rPr>
        <w:t>Litisconsorte (s)</w:t>
      </w:r>
      <w:r>
        <w:rPr>
          <w:rFonts w:ascii="Arial" w:hAnsi="Arial" w:cs="Arial"/>
          <w:sz w:val="22"/>
          <w:szCs w:val="22"/>
        </w:rPr>
        <w:tab/>
        <w:t>: Institución Pedro Pablo Bello de La Virginia y otros</w:t>
      </w:r>
    </w:p>
    <w:p w:rsidR="00586A21" w:rsidRPr="00594392" w:rsidRDefault="00586A21" w:rsidP="009F023C">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0B4F20">
        <w:rPr>
          <w:rFonts w:ascii="Arial" w:hAnsi="Arial" w:cs="Arial"/>
          <w:sz w:val="22"/>
          <w:szCs w:val="22"/>
        </w:rPr>
        <w:t>Cuarto Civil del Circuito de Pereira</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2016-</w:t>
      </w:r>
      <w:r w:rsidR="000B4F20">
        <w:rPr>
          <w:rFonts w:ascii="Arial" w:hAnsi="Arial" w:cs="Arial"/>
          <w:sz w:val="22"/>
          <w:szCs w:val="22"/>
        </w:rPr>
        <w:t>00360-0</w:t>
      </w:r>
      <w:r w:rsidR="001C5E99">
        <w:rPr>
          <w:rFonts w:ascii="Arial" w:hAnsi="Arial" w:cs="Arial"/>
          <w:sz w:val="22"/>
          <w:szCs w:val="22"/>
        </w:rPr>
        <w:t>3</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1C5E99" w:rsidRDefault="001C5E99" w:rsidP="001C5E99">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175 de 03-04-2017</w:t>
      </w:r>
    </w:p>
    <w:p w:rsidR="00EA4E66" w:rsidRPr="00EA4E66" w:rsidRDefault="00EA4E66" w:rsidP="001C5E99">
      <w:pPr>
        <w:spacing w:line="360" w:lineRule="auto"/>
        <w:ind w:left="708" w:firstLine="708"/>
        <w:rPr>
          <w:rFonts w:ascii="Arial" w:hAnsi="Arial"/>
          <w:sz w:val="10"/>
          <w:szCs w:val="10"/>
        </w:rPr>
      </w:pPr>
    </w:p>
    <w:p w:rsidR="00EA4E66" w:rsidRDefault="00EA4E66" w:rsidP="00EA4E66">
      <w:pPr>
        <w:shd w:val="clear" w:color="auto" w:fill="FFFFFF"/>
        <w:tabs>
          <w:tab w:val="left" w:pos="1416"/>
          <w:tab w:val="left" w:pos="2078"/>
          <w:tab w:val="left" w:pos="2106"/>
        </w:tabs>
        <w:ind w:left="1416" w:hanging="1416"/>
        <w:jc w:val="both"/>
        <w:rPr>
          <w:rFonts w:ascii="Arial" w:hAnsi="Arial" w:cs="Arial"/>
          <w:b/>
          <w:bCs/>
          <w:sz w:val="22"/>
          <w:szCs w:val="22"/>
        </w:rPr>
      </w:pPr>
      <w:r w:rsidRPr="00F86DCE">
        <w:rPr>
          <w:rFonts w:ascii="Arial" w:hAnsi="Arial"/>
          <w:sz w:val="22"/>
          <w:szCs w:val="22"/>
        </w:rPr>
        <w:tab/>
      </w:r>
      <w:r w:rsidRPr="00EA4E66">
        <w:rPr>
          <w:rFonts w:ascii="Arial" w:hAnsi="Arial"/>
          <w:b/>
          <w:sz w:val="22"/>
          <w:szCs w:val="22"/>
        </w:rPr>
        <w:t>TEMAS</w:t>
      </w:r>
      <w:r w:rsidRPr="00EA4E66">
        <w:rPr>
          <w:rFonts w:ascii="Arial" w:hAnsi="Arial"/>
          <w:b/>
          <w:sz w:val="22"/>
          <w:szCs w:val="22"/>
        </w:rPr>
        <w:tab/>
      </w:r>
      <w:r w:rsidRPr="00EA4E66">
        <w:rPr>
          <w:rFonts w:ascii="Arial" w:hAnsi="Arial"/>
          <w:b/>
          <w:sz w:val="22"/>
          <w:szCs w:val="22"/>
        </w:rPr>
        <w:tab/>
        <w:t xml:space="preserve">: PERJUICIO IRREMEDIABLE - </w:t>
      </w:r>
      <w:r w:rsidRPr="00EA4E66">
        <w:rPr>
          <w:rFonts w:ascii="Arial" w:hAnsi="Arial" w:cs="Arial"/>
          <w:b/>
          <w:sz w:val="22"/>
        </w:rPr>
        <w:t>INMEDIATEZ – SUBSIDIARIEDAD</w:t>
      </w:r>
      <w:r>
        <w:rPr>
          <w:rFonts w:ascii="Arial" w:hAnsi="Arial" w:cs="Arial"/>
          <w:b/>
          <w:sz w:val="22"/>
        </w:rPr>
        <w:t>.</w:t>
      </w:r>
      <w:r w:rsidRPr="00EA4E66">
        <w:rPr>
          <w:rFonts w:ascii="Arial" w:hAnsi="Arial" w:cs="Arial"/>
          <w:b/>
          <w:sz w:val="22"/>
          <w:szCs w:val="22"/>
        </w:rPr>
        <w:t xml:space="preserve"> </w:t>
      </w:r>
      <w:r w:rsidRPr="00EA4E66">
        <w:rPr>
          <w:rFonts w:ascii="Arial" w:eastAsia="Calibri" w:hAnsi="Arial" w:cs="Arial"/>
          <w:color w:val="222222"/>
          <w:sz w:val="22"/>
          <w:szCs w:val="22"/>
          <w:lang w:val="es-MX" w:eastAsia="fr-FR"/>
        </w:rPr>
        <w:t>“</w:t>
      </w:r>
      <w:r w:rsidRPr="00EA4E66">
        <w:rPr>
          <w:rFonts w:ascii="Arial" w:eastAsia="Calibri" w:hAnsi="Arial" w:cs="Arial"/>
          <w:color w:val="222222"/>
          <w:sz w:val="22"/>
          <w:szCs w:val="22"/>
          <w:lang w:eastAsia="fr-FR"/>
        </w:rPr>
        <w:t xml:space="preserve">Se pretende con la acción que se disponga el reintegro del actor al cargo que desempeñaba y que dio por terminado la autoridad accionada mediante el Decreto </w:t>
      </w:r>
      <w:proofErr w:type="spellStart"/>
      <w:r w:rsidRPr="00EA4E66">
        <w:rPr>
          <w:rFonts w:ascii="Arial" w:eastAsia="Calibri" w:hAnsi="Arial" w:cs="Arial"/>
          <w:color w:val="222222"/>
          <w:sz w:val="22"/>
          <w:szCs w:val="22"/>
          <w:lang w:eastAsia="fr-FR"/>
        </w:rPr>
        <w:t>No.0424</w:t>
      </w:r>
      <w:proofErr w:type="spellEnd"/>
      <w:r w:rsidRPr="00EA4E66">
        <w:rPr>
          <w:rFonts w:ascii="Arial" w:eastAsia="Calibri" w:hAnsi="Arial" w:cs="Arial"/>
          <w:color w:val="222222"/>
          <w:sz w:val="22"/>
          <w:szCs w:val="22"/>
          <w:lang w:eastAsia="fr-FR"/>
        </w:rPr>
        <w:t xml:space="preserve"> de 30-03-2015, lo que implica que carece de inmediatez, pues su interposición desborda el plazo de los 6 meses fijado por la jurisprudencia, razonable para interponerla, ya que han transcurrido aproximadamente dieciocho (18) meses al día de su promoción (26-09-2016). (…) [A]</w:t>
      </w:r>
      <w:proofErr w:type="spellStart"/>
      <w:r w:rsidRPr="00EA4E66">
        <w:rPr>
          <w:rFonts w:ascii="Arial" w:eastAsia="Calibri" w:hAnsi="Arial" w:cs="Arial"/>
          <w:color w:val="222222"/>
          <w:sz w:val="22"/>
          <w:szCs w:val="22"/>
          <w:lang w:eastAsia="fr-FR"/>
        </w:rPr>
        <w:t>dvierte</w:t>
      </w:r>
      <w:proofErr w:type="spellEnd"/>
      <w:r w:rsidRPr="00EA4E66">
        <w:rPr>
          <w:rFonts w:ascii="Arial" w:eastAsia="Calibri" w:hAnsi="Arial" w:cs="Arial"/>
          <w:color w:val="222222"/>
          <w:sz w:val="22"/>
          <w:szCs w:val="22"/>
          <w:lang w:eastAsia="fr-FR"/>
        </w:rPr>
        <w:t xml:space="preserve"> la Sala que este amparo también carece del presupuesto de la subsidiariedad por la falta de demostración del perjuicio irremediable. Los argumentos se centran en la imposibilidad de que se reciba por el accionante atención en salud que le permita superar sus padecimientos mentales, sin embargo, los documentos allegados refieren que sí ha tenido acceso a este servicio con posterioridad a su despido laboral (Folios 18 a 41, ib.). Además, hay que decir que contó con las herramientas legales para procurar la defensa de sus derechos, específicamente con la demanda de nulidad y restablecimiento de derechos (Artículo 138, </w:t>
      </w:r>
      <w:proofErr w:type="spellStart"/>
      <w:r w:rsidRPr="00EA4E66">
        <w:rPr>
          <w:rFonts w:ascii="Arial" w:eastAsia="Calibri" w:hAnsi="Arial" w:cs="Arial"/>
          <w:color w:val="222222"/>
          <w:sz w:val="22"/>
          <w:szCs w:val="22"/>
          <w:lang w:eastAsia="fr-FR"/>
        </w:rPr>
        <w:t>CPACA</w:t>
      </w:r>
      <w:proofErr w:type="spellEnd"/>
      <w:r w:rsidRPr="00EA4E66">
        <w:rPr>
          <w:rFonts w:ascii="Arial" w:eastAsia="Calibri" w:hAnsi="Arial" w:cs="Arial"/>
          <w:color w:val="222222"/>
          <w:sz w:val="22"/>
          <w:szCs w:val="22"/>
          <w:lang w:eastAsia="fr-FR"/>
        </w:rPr>
        <w:t xml:space="preserve">). No sobra memorar que la Corte, luego de analizar la Ley 1437, concluyó también que la tutela es improcedente frente a un acto administrativo, porque se cuenta con un mecanismo judicial idóneo y eficaz, que se puede promover ante el juez natural, cual es, la acción de nulidad o de nulidad y restablecimiento, </w:t>
      </w:r>
      <w:r w:rsidRPr="00EA4E66">
        <w:rPr>
          <w:rFonts w:ascii="Arial" w:eastAsia="Calibri" w:hAnsi="Arial" w:cs="Arial"/>
          <w:color w:val="222222"/>
          <w:sz w:val="22"/>
          <w:szCs w:val="22"/>
          <w:u w:val="single"/>
          <w:lang w:eastAsia="fr-FR"/>
        </w:rPr>
        <w:t xml:space="preserve">junto con la solicitud de medidas cautelares (Artículos 229 y </w:t>
      </w:r>
      <w:proofErr w:type="spellStart"/>
      <w:r w:rsidRPr="00EA4E66">
        <w:rPr>
          <w:rFonts w:ascii="Arial" w:eastAsia="Calibri" w:hAnsi="Arial" w:cs="Arial"/>
          <w:color w:val="222222"/>
          <w:sz w:val="22"/>
          <w:szCs w:val="22"/>
          <w:u w:val="single"/>
          <w:lang w:eastAsia="fr-FR"/>
        </w:rPr>
        <w:t>ss</w:t>
      </w:r>
      <w:proofErr w:type="spellEnd"/>
      <w:r w:rsidRPr="00EA4E66">
        <w:rPr>
          <w:rFonts w:ascii="Arial" w:eastAsia="Calibri" w:hAnsi="Arial" w:cs="Arial"/>
          <w:color w:val="222222"/>
          <w:sz w:val="22"/>
          <w:szCs w:val="22"/>
          <w:u w:val="single"/>
          <w:lang w:eastAsia="fr-FR"/>
        </w:rPr>
        <w:t xml:space="preserve">, </w:t>
      </w:r>
      <w:proofErr w:type="spellStart"/>
      <w:r w:rsidRPr="00EA4E66">
        <w:rPr>
          <w:rFonts w:ascii="Arial" w:eastAsia="Calibri" w:hAnsi="Arial" w:cs="Arial"/>
          <w:color w:val="222222"/>
          <w:sz w:val="22"/>
          <w:szCs w:val="22"/>
          <w:u w:val="single"/>
          <w:lang w:eastAsia="fr-FR"/>
        </w:rPr>
        <w:t>CPACA</w:t>
      </w:r>
      <w:proofErr w:type="spellEnd"/>
      <w:r w:rsidRPr="00EA4E66">
        <w:rPr>
          <w:rFonts w:ascii="Arial" w:eastAsia="Calibri" w:hAnsi="Arial" w:cs="Arial"/>
          <w:color w:val="222222"/>
          <w:sz w:val="22"/>
          <w:szCs w:val="22"/>
          <w:u w:val="single"/>
          <w:lang w:eastAsia="fr-FR"/>
        </w:rPr>
        <w:t>)</w:t>
      </w:r>
      <w:r w:rsidRPr="00EA4E66">
        <w:rPr>
          <w:rFonts w:ascii="Arial" w:eastAsia="Calibri" w:hAnsi="Arial" w:cs="Arial"/>
          <w:color w:val="222222"/>
          <w:sz w:val="22"/>
          <w:szCs w:val="22"/>
          <w:lang w:eastAsia="fr-FR"/>
        </w:rPr>
        <w:t xml:space="preserve">, inclusive, que pueden decretarse de manera urgente cuando el juez natural así lo considere (Artículo 234, </w:t>
      </w:r>
      <w:proofErr w:type="spellStart"/>
      <w:r w:rsidRPr="00EA4E66">
        <w:rPr>
          <w:rFonts w:ascii="Arial" w:eastAsia="Calibri" w:hAnsi="Arial" w:cs="Arial"/>
          <w:color w:val="222222"/>
          <w:sz w:val="22"/>
          <w:szCs w:val="22"/>
          <w:lang w:eastAsia="fr-FR"/>
        </w:rPr>
        <w:t>CPACA</w:t>
      </w:r>
      <w:proofErr w:type="spellEnd"/>
      <w:r w:rsidRPr="00EA4E66">
        <w:rPr>
          <w:rFonts w:ascii="Arial" w:eastAsia="Calibri" w:hAnsi="Arial" w:cs="Arial"/>
          <w:color w:val="222222"/>
          <w:sz w:val="22"/>
          <w:szCs w:val="22"/>
          <w:lang w:eastAsia="fr-FR"/>
        </w:rPr>
        <w:t>).”.</w:t>
      </w:r>
      <w:r w:rsidRPr="00EA4E66">
        <w:rPr>
          <w:rFonts w:ascii="Arial" w:eastAsia="Calibri" w:hAnsi="Arial" w:cs="Arial"/>
          <w:color w:val="222222"/>
          <w:sz w:val="22"/>
          <w:szCs w:val="22"/>
          <w:u w:val="single"/>
          <w:lang w:eastAsia="fr-FR"/>
        </w:rPr>
        <w:t xml:space="preserve">  </w:t>
      </w:r>
    </w:p>
    <w:p w:rsidR="001C5E99" w:rsidRDefault="001C5E99" w:rsidP="001C5E99">
      <w:pPr>
        <w:pBdr>
          <w:bottom w:val="double" w:sz="6" w:space="1" w:color="auto"/>
        </w:pBdr>
        <w:spacing w:line="360" w:lineRule="auto"/>
        <w:jc w:val="center"/>
        <w:rPr>
          <w:rFonts w:ascii="Arial" w:hAnsi="Arial" w:cs="Arial"/>
          <w:b/>
          <w:bCs/>
          <w:sz w:val="14"/>
          <w:szCs w:val="22"/>
          <w:lang w:val="es-CO"/>
        </w:rPr>
      </w:pPr>
    </w:p>
    <w:p w:rsidR="001C5E99" w:rsidRDefault="001C5E99" w:rsidP="001C5E99">
      <w:pPr>
        <w:spacing w:line="360" w:lineRule="auto"/>
        <w:jc w:val="center"/>
        <w:rPr>
          <w:rFonts w:ascii="Arial" w:hAnsi="Arial" w:cs="Arial"/>
          <w:b/>
          <w:bCs/>
          <w:sz w:val="20"/>
          <w:szCs w:val="22"/>
          <w:lang w:val="es-CO"/>
        </w:rPr>
      </w:pPr>
    </w:p>
    <w:p w:rsidR="001C5E99" w:rsidRDefault="001C5E99" w:rsidP="001C5E99">
      <w:pPr>
        <w:spacing w:line="360" w:lineRule="auto"/>
        <w:jc w:val="center"/>
        <w:rPr>
          <w:rFonts w:ascii="Arial" w:hAnsi="Arial" w:cs="Arial"/>
          <w:iCs/>
          <w:sz w:val="28"/>
          <w:lang w:val="es-CO"/>
        </w:rPr>
      </w:pPr>
      <w:r>
        <w:rPr>
          <w:rFonts w:ascii="Arial" w:hAnsi="Arial" w:cs="Arial"/>
          <w:iCs/>
          <w:smallCaps/>
          <w:sz w:val="28"/>
          <w:lang w:val="es-CO"/>
        </w:rPr>
        <w:t>Pereira, R., tres (3) de abril de dos mil diecisiete (2017)</w:t>
      </w:r>
      <w:r>
        <w:rPr>
          <w:rFonts w:ascii="Arial" w:hAnsi="Arial" w:cs="Arial"/>
          <w:iCs/>
          <w:sz w:val="28"/>
          <w:lang w:val="es-CO"/>
        </w:rPr>
        <w:t>.</w:t>
      </w:r>
    </w:p>
    <w:p w:rsidR="001C5E99" w:rsidRPr="00EA4E66" w:rsidRDefault="001C5E99" w:rsidP="00EA4E66">
      <w:pPr>
        <w:jc w:val="center"/>
        <w:rPr>
          <w:rFonts w:ascii="Arial" w:hAnsi="Arial" w:cs="Arial"/>
          <w:iCs/>
          <w:sz w:val="16"/>
          <w:szCs w:val="16"/>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17357D" w:rsidRDefault="003A55CA" w:rsidP="00F839CE">
      <w:pPr>
        <w:pStyle w:val="Corpsdetexte"/>
        <w:spacing w:line="360" w:lineRule="auto"/>
        <w:rPr>
          <w:rFonts w:ascii="Arial" w:hAnsi="Arial" w:cs="Arial"/>
          <w:sz w:val="24"/>
          <w:szCs w:val="24"/>
        </w:rPr>
      </w:pPr>
      <w:r>
        <w:rPr>
          <w:rFonts w:ascii="Arial" w:hAnsi="Arial" w:cs="Arial"/>
          <w:sz w:val="24"/>
          <w:szCs w:val="24"/>
        </w:rPr>
        <w:t xml:space="preserve">Se </w:t>
      </w:r>
      <w:r w:rsidR="001C5E99">
        <w:rPr>
          <w:rFonts w:ascii="Arial" w:hAnsi="Arial" w:cs="Arial"/>
          <w:sz w:val="24"/>
          <w:szCs w:val="24"/>
        </w:rPr>
        <w:t>i</w:t>
      </w:r>
      <w:r w:rsidR="009B6DC4">
        <w:rPr>
          <w:rFonts w:ascii="Arial" w:hAnsi="Arial" w:cs="Arial"/>
          <w:sz w:val="24"/>
          <w:szCs w:val="24"/>
        </w:rPr>
        <w:t xml:space="preserve">nformó </w:t>
      </w:r>
      <w:r w:rsidR="000B4F20">
        <w:rPr>
          <w:rFonts w:ascii="Arial" w:hAnsi="Arial" w:cs="Arial"/>
          <w:sz w:val="24"/>
          <w:szCs w:val="24"/>
        </w:rPr>
        <w:t xml:space="preserve">que mediante Decreto No.0424 de 30-03-2015 </w:t>
      </w:r>
      <w:r w:rsidR="00172826">
        <w:rPr>
          <w:rFonts w:ascii="Arial" w:hAnsi="Arial" w:cs="Arial"/>
          <w:sz w:val="24"/>
          <w:szCs w:val="24"/>
        </w:rPr>
        <w:t>la accionada retiró a</w:t>
      </w:r>
      <w:r w:rsidR="001C5E99">
        <w:rPr>
          <w:rFonts w:ascii="Arial" w:hAnsi="Arial" w:cs="Arial"/>
          <w:sz w:val="24"/>
          <w:szCs w:val="24"/>
        </w:rPr>
        <w:t>l</w:t>
      </w:r>
      <w:r w:rsidR="00172826">
        <w:rPr>
          <w:rFonts w:ascii="Arial" w:hAnsi="Arial" w:cs="Arial"/>
          <w:sz w:val="24"/>
          <w:szCs w:val="24"/>
        </w:rPr>
        <w:t xml:space="preserve"> </w:t>
      </w:r>
      <w:r>
        <w:rPr>
          <w:rFonts w:ascii="Arial" w:hAnsi="Arial" w:cs="Arial"/>
          <w:sz w:val="24"/>
          <w:szCs w:val="24"/>
        </w:rPr>
        <w:t xml:space="preserve">actor </w:t>
      </w:r>
      <w:r w:rsidR="000B4F20">
        <w:rPr>
          <w:rFonts w:ascii="Arial" w:hAnsi="Arial" w:cs="Arial"/>
          <w:sz w:val="24"/>
          <w:szCs w:val="24"/>
        </w:rPr>
        <w:t>del servicio que prestaba como celador en una institución educativa por abandono del cargo</w:t>
      </w:r>
      <w:r w:rsidR="00172826">
        <w:rPr>
          <w:rFonts w:ascii="Arial" w:hAnsi="Arial" w:cs="Arial"/>
          <w:sz w:val="24"/>
          <w:szCs w:val="24"/>
        </w:rPr>
        <w:t xml:space="preserve">, y que </w:t>
      </w:r>
      <w:r w:rsidR="000B4F20">
        <w:rPr>
          <w:rFonts w:ascii="Arial" w:hAnsi="Arial" w:cs="Arial"/>
          <w:sz w:val="24"/>
          <w:szCs w:val="24"/>
        </w:rPr>
        <w:t xml:space="preserve">desde el 12-11-2015 se adelanta </w:t>
      </w:r>
      <w:r w:rsidR="00172826">
        <w:rPr>
          <w:rFonts w:ascii="Arial" w:hAnsi="Arial" w:cs="Arial"/>
          <w:sz w:val="24"/>
          <w:szCs w:val="24"/>
        </w:rPr>
        <w:t xml:space="preserve">una </w:t>
      </w:r>
      <w:r w:rsidR="000B4F20">
        <w:rPr>
          <w:rFonts w:ascii="Arial" w:hAnsi="Arial" w:cs="Arial"/>
          <w:sz w:val="24"/>
          <w:szCs w:val="24"/>
        </w:rPr>
        <w:t>investigación disciplinaria</w:t>
      </w:r>
      <w:r>
        <w:rPr>
          <w:rFonts w:ascii="Arial" w:hAnsi="Arial" w:cs="Arial"/>
          <w:sz w:val="24"/>
          <w:szCs w:val="24"/>
        </w:rPr>
        <w:t xml:space="preserve"> en su contra</w:t>
      </w:r>
      <w:r w:rsidR="000B4F20">
        <w:rPr>
          <w:rFonts w:ascii="Arial" w:hAnsi="Arial" w:cs="Arial"/>
          <w:sz w:val="24"/>
          <w:szCs w:val="24"/>
        </w:rPr>
        <w:t xml:space="preserve">. Considera que se </w:t>
      </w:r>
      <w:r w:rsidR="00172826">
        <w:rPr>
          <w:rFonts w:ascii="Arial" w:hAnsi="Arial" w:cs="Arial"/>
          <w:sz w:val="24"/>
          <w:szCs w:val="24"/>
        </w:rPr>
        <w:t xml:space="preserve">le </w:t>
      </w:r>
      <w:r w:rsidR="000B4F20">
        <w:rPr>
          <w:rFonts w:ascii="Arial" w:hAnsi="Arial" w:cs="Arial"/>
          <w:sz w:val="24"/>
          <w:szCs w:val="24"/>
        </w:rPr>
        <w:t xml:space="preserve">vulneró </w:t>
      </w:r>
      <w:r w:rsidR="00172826">
        <w:rPr>
          <w:rFonts w:ascii="Arial" w:hAnsi="Arial" w:cs="Arial"/>
          <w:sz w:val="24"/>
          <w:szCs w:val="24"/>
        </w:rPr>
        <w:t xml:space="preserve">el </w:t>
      </w:r>
      <w:r w:rsidR="000B4F20">
        <w:rPr>
          <w:rFonts w:ascii="Arial" w:hAnsi="Arial" w:cs="Arial"/>
          <w:sz w:val="24"/>
          <w:szCs w:val="24"/>
        </w:rPr>
        <w:t xml:space="preserve">derecho al debido proceso porque fue destituido sin </w:t>
      </w:r>
      <w:r>
        <w:rPr>
          <w:rFonts w:ascii="Arial" w:hAnsi="Arial" w:cs="Arial"/>
          <w:sz w:val="24"/>
          <w:szCs w:val="24"/>
        </w:rPr>
        <w:t xml:space="preserve">que </w:t>
      </w:r>
      <w:r w:rsidR="000B4F20">
        <w:rPr>
          <w:rFonts w:ascii="Arial" w:hAnsi="Arial" w:cs="Arial"/>
          <w:sz w:val="24"/>
          <w:szCs w:val="24"/>
        </w:rPr>
        <w:t xml:space="preserve">previamente </w:t>
      </w:r>
      <w:r>
        <w:rPr>
          <w:rFonts w:ascii="Arial" w:hAnsi="Arial" w:cs="Arial"/>
          <w:sz w:val="24"/>
          <w:szCs w:val="24"/>
        </w:rPr>
        <w:t xml:space="preserve">se agotara dicho </w:t>
      </w:r>
      <w:r w:rsidR="000B4F20">
        <w:rPr>
          <w:rFonts w:ascii="Arial" w:hAnsi="Arial" w:cs="Arial"/>
          <w:sz w:val="24"/>
          <w:szCs w:val="24"/>
        </w:rPr>
        <w:t>trámite disciplinario.</w:t>
      </w:r>
      <w:r w:rsidR="00172826">
        <w:rPr>
          <w:rFonts w:ascii="Arial" w:hAnsi="Arial" w:cs="Arial"/>
          <w:sz w:val="24"/>
          <w:szCs w:val="24"/>
        </w:rPr>
        <w:t xml:space="preserve"> También expuso que el accionante padece de un trastorno mental por el consumo de sustancias psicoactivas y que proveía el sustento económico de su hijo menor de edad, quien ahora está a cargo de la </w:t>
      </w:r>
      <w:r>
        <w:rPr>
          <w:rFonts w:ascii="Arial" w:hAnsi="Arial" w:cs="Arial"/>
          <w:sz w:val="24"/>
          <w:szCs w:val="24"/>
        </w:rPr>
        <w:t xml:space="preserve">señora Mariela Mejía de Montoya (Abuela) </w:t>
      </w:r>
      <w:r w:rsidR="00172826">
        <w:rPr>
          <w:rFonts w:ascii="Arial" w:hAnsi="Arial" w:cs="Arial"/>
          <w:sz w:val="24"/>
          <w:szCs w:val="24"/>
        </w:rPr>
        <w:t xml:space="preserve">que carece de trabajo y es de escasos recursos </w:t>
      </w:r>
      <w:r w:rsidR="009F023C">
        <w:rPr>
          <w:rFonts w:ascii="Arial" w:hAnsi="Arial" w:cs="Arial"/>
          <w:sz w:val="24"/>
          <w:szCs w:val="24"/>
        </w:rPr>
        <w:t>(Folio</w:t>
      </w:r>
      <w:r w:rsidR="00172826">
        <w:rPr>
          <w:rFonts w:ascii="Arial" w:hAnsi="Arial" w:cs="Arial"/>
          <w:sz w:val="24"/>
          <w:szCs w:val="24"/>
        </w:rPr>
        <w:t xml:space="preserve">s </w:t>
      </w:r>
      <w:r>
        <w:rPr>
          <w:rFonts w:ascii="Arial" w:hAnsi="Arial" w:cs="Arial"/>
          <w:sz w:val="24"/>
          <w:szCs w:val="24"/>
        </w:rPr>
        <w:t xml:space="preserve">2 </w:t>
      </w:r>
      <w:r w:rsidR="00172826">
        <w:rPr>
          <w:rFonts w:ascii="Arial" w:hAnsi="Arial" w:cs="Arial"/>
          <w:sz w:val="24"/>
          <w:szCs w:val="24"/>
        </w:rPr>
        <w:t>a 11</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Default="004B5109" w:rsidP="00F839CE">
      <w:pPr>
        <w:pStyle w:val="Corpsdetexte"/>
        <w:spacing w:line="360" w:lineRule="auto"/>
        <w:rPr>
          <w:rFonts w:ascii="Arial" w:hAnsi="Arial" w:cs="Arial"/>
          <w:color w:val="000000"/>
          <w:sz w:val="24"/>
          <w:szCs w:val="24"/>
          <w:lang w:val="es-CO"/>
        </w:rPr>
      </w:pPr>
    </w:p>
    <w:p w:rsidR="003913E3"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EA4E66" w:rsidRDefault="00EA4E66" w:rsidP="00F839CE">
      <w:pPr>
        <w:pStyle w:val="Corpsdetexte"/>
        <w:widowControl w:val="0"/>
        <w:spacing w:line="360" w:lineRule="auto"/>
        <w:rPr>
          <w:rFonts w:ascii="Arial" w:hAnsi="Arial" w:cs="Arial"/>
          <w:sz w:val="24"/>
          <w:szCs w:val="24"/>
        </w:rPr>
      </w:pPr>
    </w:p>
    <w:p w:rsidR="003913E3" w:rsidRDefault="00A84032" w:rsidP="00F839CE">
      <w:pPr>
        <w:pStyle w:val="Corpsdetex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172826">
        <w:rPr>
          <w:rFonts w:ascii="Arial" w:hAnsi="Arial" w:cs="Arial"/>
          <w:sz w:val="24"/>
          <w:szCs w:val="24"/>
        </w:rPr>
        <w:t xml:space="preserve">al debido proceso, la estabilidad laboral reforzada, la vida en condiciones dignas y la seguridad social </w:t>
      </w:r>
      <w:r w:rsidR="003913E3" w:rsidRPr="00311FCA">
        <w:rPr>
          <w:rFonts w:ascii="Arial" w:hAnsi="Arial" w:cs="Arial"/>
          <w:sz w:val="24"/>
          <w:szCs w:val="24"/>
        </w:rPr>
        <w:t>(Folio</w:t>
      </w:r>
      <w:r w:rsidR="00B978A7">
        <w:rPr>
          <w:rFonts w:ascii="Arial" w:hAnsi="Arial" w:cs="Arial"/>
          <w:sz w:val="24"/>
          <w:szCs w:val="24"/>
        </w:rPr>
        <w:t xml:space="preserve"> </w:t>
      </w:r>
      <w:r w:rsidR="00172826">
        <w:rPr>
          <w:rFonts w:ascii="Arial" w:hAnsi="Arial" w:cs="Arial"/>
          <w:sz w:val="24"/>
          <w:szCs w:val="24"/>
        </w:rPr>
        <w:t>5</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Corpsdetexte"/>
        <w:widowControl w:val="0"/>
        <w:spacing w:line="360" w:lineRule="auto"/>
        <w:rPr>
          <w:rFonts w:ascii="Arial" w:hAnsi="Arial" w:cs="Arial"/>
          <w:sz w:val="24"/>
          <w:szCs w:val="24"/>
        </w:rPr>
      </w:pPr>
    </w:p>
    <w:p w:rsidR="00172826" w:rsidRPr="00172826" w:rsidRDefault="00172826" w:rsidP="00172826">
      <w:pPr>
        <w:pStyle w:val="Corpsdetexte"/>
        <w:numPr>
          <w:ilvl w:val="0"/>
          <w:numId w:val="1"/>
        </w:numPr>
        <w:spacing w:line="360" w:lineRule="auto"/>
        <w:rPr>
          <w:rFonts w:ascii="Arial" w:hAnsi="Arial"/>
          <w:sz w:val="24"/>
          <w:szCs w:val="24"/>
        </w:rPr>
      </w:pPr>
      <w:r w:rsidRPr="00172826">
        <w:rPr>
          <w:rFonts w:ascii="Arial" w:hAnsi="Arial"/>
          <w:sz w:val="24"/>
          <w:szCs w:val="24"/>
        </w:rPr>
        <w:t>LA PETICIÓN DE PROTECCIÓN</w:t>
      </w:r>
    </w:p>
    <w:p w:rsidR="00172826" w:rsidRPr="00172826" w:rsidRDefault="00172826" w:rsidP="00172826">
      <w:pPr>
        <w:pStyle w:val="Sansinterligne"/>
        <w:spacing w:line="360" w:lineRule="auto"/>
        <w:jc w:val="both"/>
        <w:rPr>
          <w:rFonts w:ascii="Arial" w:hAnsi="Arial" w:cs="Arial"/>
          <w:sz w:val="24"/>
          <w:szCs w:val="24"/>
        </w:rPr>
      </w:pPr>
    </w:p>
    <w:p w:rsidR="00172826" w:rsidRPr="00172826" w:rsidRDefault="00172826" w:rsidP="00172826">
      <w:pPr>
        <w:pStyle w:val="Sansinterligne"/>
        <w:spacing w:line="360" w:lineRule="auto"/>
        <w:jc w:val="both"/>
        <w:rPr>
          <w:rFonts w:ascii="Arial" w:hAnsi="Arial" w:cs="Arial"/>
          <w:sz w:val="24"/>
          <w:szCs w:val="24"/>
        </w:rPr>
      </w:pPr>
      <w:r w:rsidRPr="00172826">
        <w:rPr>
          <w:rFonts w:ascii="Arial" w:hAnsi="Arial" w:cs="Arial"/>
          <w:sz w:val="24"/>
          <w:szCs w:val="24"/>
        </w:rPr>
        <w:t>Se pretende que</w:t>
      </w:r>
      <w:r>
        <w:rPr>
          <w:rFonts w:ascii="Arial" w:hAnsi="Arial" w:cs="Arial"/>
          <w:sz w:val="24"/>
          <w:szCs w:val="24"/>
        </w:rPr>
        <w:t>:</w:t>
      </w:r>
      <w:r w:rsidRPr="00172826">
        <w:rPr>
          <w:rFonts w:ascii="Arial" w:hAnsi="Arial" w:cs="Arial"/>
          <w:sz w:val="24"/>
          <w:szCs w:val="24"/>
        </w:rPr>
        <w:t xml:space="preserve"> </w:t>
      </w:r>
      <w:r>
        <w:rPr>
          <w:rFonts w:ascii="Arial" w:hAnsi="Arial" w:cs="Arial"/>
          <w:sz w:val="24"/>
          <w:szCs w:val="24"/>
        </w:rPr>
        <w:t xml:space="preserve">(i) Se tutelen los derechos fundamentales invocados; (ii) Se ordene </w:t>
      </w:r>
      <w:r w:rsidR="003A55CA">
        <w:rPr>
          <w:rFonts w:ascii="Arial" w:hAnsi="Arial" w:cs="Arial"/>
          <w:sz w:val="24"/>
          <w:szCs w:val="24"/>
        </w:rPr>
        <w:t xml:space="preserve">el reintegro del </w:t>
      </w:r>
      <w:r>
        <w:rPr>
          <w:rFonts w:ascii="Arial" w:hAnsi="Arial" w:cs="Arial"/>
          <w:sz w:val="24"/>
          <w:szCs w:val="24"/>
        </w:rPr>
        <w:t xml:space="preserve">accionante y </w:t>
      </w:r>
      <w:r w:rsidR="003A55CA">
        <w:rPr>
          <w:rFonts w:ascii="Arial" w:hAnsi="Arial" w:cs="Arial"/>
          <w:sz w:val="24"/>
          <w:szCs w:val="24"/>
        </w:rPr>
        <w:t xml:space="preserve">se </w:t>
      </w:r>
      <w:r>
        <w:rPr>
          <w:rFonts w:ascii="Arial" w:hAnsi="Arial" w:cs="Arial"/>
          <w:sz w:val="24"/>
          <w:szCs w:val="24"/>
        </w:rPr>
        <w:t>adelante el trámite establecido en la Ley 734 de 2002; y, (iii) Se disponga pagar los aportes al sistema de seguridad social y pensión hasta tanto se estructure una pensión de invalidez</w:t>
      </w:r>
      <w:r w:rsidRPr="00172826">
        <w:rPr>
          <w:rFonts w:ascii="Arial" w:hAnsi="Arial" w:cs="Arial"/>
          <w:sz w:val="24"/>
          <w:szCs w:val="24"/>
        </w:rPr>
        <w:t xml:space="preserve"> </w:t>
      </w:r>
      <w:r w:rsidRPr="00172826">
        <w:rPr>
          <w:rFonts w:ascii="Arial" w:hAnsi="Arial"/>
          <w:sz w:val="24"/>
          <w:szCs w:val="24"/>
        </w:rPr>
        <w:t xml:space="preserve">(Folio </w:t>
      </w:r>
      <w:r>
        <w:rPr>
          <w:rFonts w:ascii="Arial" w:hAnsi="Arial"/>
          <w:sz w:val="24"/>
          <w:szCs w:val="24"/>
        </w:rPr>
        <w:t>5</w:t>
      </w:r>
      <w:r w:rsidRPr="00172826">
        <w:rPr>
          <w:rFonts w:ascii="Arial" w:hAnsi="Arial"/>
          <w:sz w:val="24"/>
          <w:szCs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311FCA">
        <w:rPr>
          <w:rFonts w:ascii="Arial" w:hAnsi="Arial" w:cs="Arial"/>
          <w:sz w:val="24"/>
          <w:szCs w:val="24"/>
        </w:rPr>
        <w:t>).</w:t>
      </w:r>
    </w:p>
    <w:p w:rsidR="00172826" w:rsidRDefault="00172826"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Corpsdetexte"/>
        <w:spacing w:line="360" w:lineRule="auto"/>
        <w:rPr>
          <w:rFonts w:ascii="Arial" w:hAnsi="Arial" w:cs="Arial"/>
          <w:sz w:val="24"/>
          <w:szCs w:val="24"/>
        </w:rPr>
      </w:pPr>
    </w:p>
    <w:p w:rsidR="004B3407" w:rsidRDefault="003A55CA" w:rsidP="004B3407">
      <w:pPr>
        <w:pStyle w:val="Corpsdetexte"/>
        <w:widowControl w:val="0"/>
        <w:spacing w:line="360" w:lineRule="auto"/>
        <w:rPr>
          <w:rFonts w:ascii="Arial" w:hAnsi="Arial"/>
          <w:sz w:val="24"/>
        </w:rPr>
      </w:pPr>
      <w:r>
        <w:rPr>
          <w:rFonts w:ascii="Arial" w:hAnsi="Arial"/>
          <w:sz w:val="24"/>
        </w:rPr>
        <w:t>C</w:t>
      </w:r>
      <w:r w:rsidR="004B3407" w:rsidRPr="00E23D2E">
        <w:rPr>
          <w:rFonts w:ascii="Arial" w:hAnsi="Arial"/>
          <w:sz w:val="24"/>
        </w:rPr>
        <w:t xml:space="preserve">on providencia del </w:t>
      </w:r>
      <w:r w:rsidR="000008E7">
        <w:rPr>
          <w:rFonts w:ascii="Arial" w:hAnsi="Arial"/>
          <w:sz w:val="24"/>
        </w:rPr>
        <w:t xml:space="preserve">27-09-2016 </w:t>
      </w:r>
      <w:r>
        <w:rPr>
          <w:rFonts w:ascii="Arial" w:hAnsi="Arial"/>
          <w:sz w:val="24"/>
        </w:rPr>
        <w:t xml:space="preserve">se </w:t>
      </w:r>
      <w:r w:rsidR="004B3407" w:rsidRPr="00E23D2E">
        <w:rPr>
          <w:rFonts w:ascii="Arial" w:hAnsi="Arial"/>
          <w:sz w:val="24"/>
        </w:rPr>
        <w:t xml:space="preserve">admitió y </w:t>
      </w:r>
      <w:r>
        <w:rPr>
          <w:rFonts w:ascii="Arial" w:hAnsi="Arial"/>
          <w:sz w:val="24"/>
        </w:rPr>
        <w:t xml:space="preserve">se </w:t>
      </w:r>
      <w:r w:rsidR="004B3407" w:rsidRPr="00E23D2E">
        <w:rPr>
          <w:rFonts w:ascii="Arial" w:hAnsi="Arial"/>
          <w:sz w:val="24"/>
        </w:rPr>
        <w:t>ordenó notificar a las partes</w:t>
      </w:r>
      <w:r w:rsidR="00A84032">
        <w:rPr>
          <w:rFonts w:ascii="Arial" w:hAnsi="Arial"/>
          <w:sz w:val="24"/>
        </w:rPr>
        <w:t xml:space="preserve">, entre </w:t>
      </w:r>
      <w:r>
        <w:rPr>
          <w:rFonts w:ascii="Arial" w:hAnsi="Arial"/>
          <w:sz w:val="24"/>
        </w:rPr>
        <w:t xml:space="preserve">otras disposiciones </w:t>
      </w:r>
      <w:r w:rsidR="004B3407" w:rsidRPr="00E23D2E">
        <w:rPr>
          <w:rFonts w:ascii="Arial" w:hAnsi="Arial"/>
          <w:sz w:val="24"/>
        </w:rPr>
        <w:t>(Folio</w:t>
      </w:r>
      <w:r w:rsidR="004B3407">
        <w:rPr>
          <w:rFonts w:ascii="Arial" w:hAnsi="Arial"/>
          <w:sz w:val="24"/>
        </w:rPr>
        <w:t xml:space="preserve"> </w:t>
      </w:r>
      <w:r w:rsidR="000008E7">
        <w:rPr>
          <w:rFonts w:ascii="Arial" w:hAnsi="Arial"/>
          <w:sz w:val="24"/>
        </w:rPr>
        <w:t>63</w:t>
      </w:r>
      <w:r w:rsidR="004B3407" w:rsidRPr="00E23D2E">
        <w:rPr>
          <w:rFonts w:ascii="Arial" w:hAnsi="Arial"/>
          <w:sz w:val="24"/>
        </w:rPr>
        <w:t xml:space="preserve">, </w:t>
      </w:r>
      <w:r>
        <w:rPr>
          <w:rFonts w:ascii="Arial" w:hAnsi="Arial" w:cs="Arial"/>
          <w:color w:val="000000"/>
          <w:sz w:val="24"/>
          <w:szCs w:val="24"/>
          <w:lang w:val="es-CO"/>
        </w:rPr>
        <w:t>ibídem</w:t>
      </w:r>
      <w:r w:rsidR="004B3407" w:rsidRPr="00E23D2E">
        <w:rPr>
          <w:rFonts w:ascii="Arial" w:hAnsi="Arial"/>
          <w:sz w:val="24"/>
        </w:rPr>
        <w:t>)</w:t>
      </w:r>
      <w:r w:rsidR="004B3407">
        <w:rPr>
          <w:rFonts w:ascii="Arial" w:hAnsi="Arial"/>
          <w:sz w:val="24"/>
        </w:rPr>
        <w:t>.</w:t>
      </w:r>
      <w:r w:rsidR="004B3407" w:rsidRPr="00E23D2E">
        <w:rPr>
          <w:rFonts w:ascii="Arial" w:hAnsi="Arial"/>
          <w:sz w:val="24"/>
        </w:rPr>
        <w:t xml:space="preserve"> El </w:t>
      </w:r>
      <w:r w:rsidR="000008E7">
        <w:rPr>
          <w:rFonts w:ascii="Arial" w:hAnsi="Arial"/>
          <w:sz w:val="24"/>
        </w:rPr>
        <w:t xml:space="preserve">06-10-2016 se </w:t>
      </w:r>
      <w:proofErr w:type="gramStart"/>
      <w:r>
        <w:rPr>
          <w:rFonts w:ascii="Arial" w:hAnsi="Arial"/>
          <w:sz w:val="24"/>
        </w:rPr>
        <w:t>hacen</w:t>
      </w:r>
      <w:proofErr w:type="gramEnd"/>
      <w:r>
        <w:rPr>
          <w:rFonts w:ascii="Arial" w:hAnsi="Arial"/>
          <w:sz w:val="24"/>
        </w:rPr>
        <w:t xml:space="preserve"> </w:t>
      </w:r>
      <w:r w:rsidR="000008E7">
        <w:rPr>
          <w:rFonts w:ascii="Arial" w:hAnsi="Arial"/>
          <w:sz w:val="24"/>
        </w:rPr>
        <w:t xml:space="preserve">unas vinculaciones (Folio </w:t>
      </w:r>
      <w:r>
        <w:rPr>
          <w:rFonts w:ascii="Arial" w:hAnsi="Arial"/>
          <w:sz w:val="24"/>
        </w:rPr>
        <w:t>113</w:t>
      </w:r>
      <w:r w:rsidR="000008E7">
        <w:rPr>
          <w:rFonts w:ascii="Arial" w:hAnsi="Arial"/>
          <w:sz w:val="24"/>
        </w:rPr>
        <w:t xml:space="preserve">, ibídem). Luego, </w:t>
      </w:r>
      <w:r w:rsidR="000008E7">
        <w:rPr>
          <w:rFonts w:ascii="Arial" w:hAnsi="Arial"/>
          <w:sz w:val="24"/>
          <w:lang w:val="es-CO"/>
        </w:rPr>
        <w:t xml:space="preserve">el 10-10-2016 se </w:t>
      </w:r>
      <w:r w:rsidR="004B3407">
        <w:rPr>
          <w:rFonts w:ascii="Arial" w:hAnsi="Arial"/>
          <w:sz w:val="24"/>
        </w:rPr>
        <w:t xml:space="preserve">emitió el fallo </w:t>
      </w:r>
      <w:r w:rsidR="004B3407" w:rsidRPr="00E23D2E">
        <w:rPr>
          <w:rFonts w:ascii="Arial" w:hAnsi="Arial"/>
          <w:sz w:val="24"/>
        </w:rPr>
        <w:t xml:space="preserve">(Folios </w:t>
      </w:r>
      <w:r>
        <w:rPr>
          <w:rFonts w:ascii="Arial" w:hAnsi="Arial"/>
          <w:sz w:val="24"/>
        </w:rPr>
        <w:t>139 a 142</w:t>
      </w:r>
      <w:r w:rsidR="004B3407" w:rsidRPr="00E23D2E">
        <w:rPr>
          <w:rFonts w:ascii="Arial" w:hAnsi="Arial"/>
          <w:sz w:val="24"/>
        </w:rPr>
        <w:t xml:space="preserve">, ibídem); posteriormente, con proveído del </w:t>
      </w:r>
      <w:r w:rsidR="000008E7">
        <w:rPr>
          <w:rFonts w:ascii="Arial" w:hAnsi="Arial"/>
          <w:sz w:val="24"/>
        </w:rPr>
        <w:t xml:space="preserve">21-10-2016 </w:t>
      </w:r>
      <w:r w:rsidR="004B3407" w:rsidRPr="00E23D2E">
        <w:rPr>
          <w:rFonts w:ascii="Arial" w:hAnsi="Arial"/>
          <w:sz w:val="24"/>
        </w:rPr>
        <w:t xml:space="preserve">se concedió la impugnación </w:t>
      </w:r>
      <w:r w:rsidR="004B3407">
        <w:rPr>
          <w:rFonts w:ascii="Arial" w:hAnsi="Arial"/>
          <w:sz w:val="24"/>
        </w:rPr>
        <w:t xml:space="preserve">formulada por la parte </w:t>
      </w:r>
      <w:r w:rsidR="000008E7">
        <w:rPr>
          <w:rFonts w:ascii="Arial" w:hAnsi="Arial"/>
          <w:sz w:val="24"/>
        </w:rPr>
        <w:t>actora</w:t>
      </w:r>
      <w:r w:rsidR="004B3407" w:rsidRPr="00E23D2E">
        <w:rPr>
          <w:rFonts w:ascii="Arial" w:hAnsi="Arial"/>
          <w:sz w:val="24"/>
        </w:rPr>
        <w:t xml:space="preserve">, ante este Tribunal (Folio </w:t>
      </w:r>
      <w:r>
        <w:rPr>
          <w:rFonts w:ascii="Arial" w:hAnsi="Arial"/>
          <w:sz w:val="24"/>
        </w:rPr>
        <w:t>159</w:t>
      </w:r>
      <w:r w:rsidR="004B3407">
        <w:rPr>
          <w:rFonts w:ascii="Arial" w:hAnsi="Arial"/>
          <w:sz w:val="24"/>
        </w:rPr>
        <w:t>,</w:t>
      </w:r>
      <w:r w:rsidR="004B3407" w:rsidRPr="00E23D2E">
        <w:rPr>
          <w:rFonts w:ascii="Arial" w:hAnsi="Arial"/>
          <w:sz w:val="24"/>
        </w:rPr>
        <w:t xml:space="preserve"> </w:t>
      </w:r>
      <w:r>
        <w:rPr>
          <w:rFonts w:ascii="Arial" w:hAnsi="Arial"/>
          <w:sz w:val="24"/>
        </w:rPr>
        <w:t>ib.</w:t>
      </w:r>
      <w:r w:rsidR="004B3407" w:rsidRPr="00E23D2E">
        <w:rPr>
          <w:rFonts w:ascii="Arial" w:hAnsi="Arial"/>
          <w:sz w:val="24"/>
        </w:rPr>
        <w:t xml:space="preserve">). </w:t>
      </w:r>
    </w:p>
    <w:p w:rsidR="000008E7" w:rsidRDefault="000008E7" w:rsidP="004B3407">
      <w:pPr>
        <w:pStyle w:val="Corpsdetexte"/>
        <w:widowControl w:val="0"/>
        <w:spacing w:line="360" w:lineRule="auto"/>
        <w:rPr>
          <w:rFonts w:ascii="Arial" w:hAnsi="Arial"/>
          <w:sz w:val="24"/>
        </w:rPr>
      </w:pPr>
    </w:p>
    <w:p w:rsidR="000008E7" w:rsidRDefault="000008E7" w:rsidP="004B3407">
      <w:pPr>
        <w:pStyle w:val="Corpsdetexte"/>
        <w:widowControl w:val="0"/>
        <w:spacing w:line="360" w:lineRule="auto"/>
        <w:rPr>
          <w:rFonts w:ascii="Arial" w:hAnsi="Arial"/>
          <w:sz w:val="24"/>
        </w:rPr>
      </w:pPr>
      <w:r>
        <w:rPr>
          <w:rFonts w:ascii="Arial" w:hAnsi="Arial"/>
          <w:sz w:val="24"/>
        </w:rPr>
        <w:t>Esta Sala mediante auto del 25-10-2016 declaró la nulidad de actuado (Folios 4 y 5, cuaderno No.2). Ya en primera sede con decisión del 31-10-2016 se corrigió el yerro advertido (Folio 167,</w:t>
      </w:r>
      <w:r w:rsidR="003A55CA">
        <w:rPr>
          <w:rFonts w:ascii="Arial" w:hAnsi="Arial"/>
          <w:sz w:val="24"/>
        </w:rPr>
        <w:t xml:space="preserve"> del cuaderno de primera instancia</w:t>
      </w:r>
      <w:r>
        <w:rPr>
          <w:rFonts w:ascii="Arial" w:hAnsi="Arial"/>
          <w:sz w:val="24"/>
        </w:rPr>
        <w:t>), se profirió sentencia el 11-11-2016 (Folios 180 a 183, ib.) y el 29-11-2016 se concedió la impugnación, ante esta Corporación (Folio 202, ib.).</w:t>
      </w:r>
    </w:p>
    <w:p w:rsidR="003A55CA" w:rsidRDefault="003A55CA" w:rsidP="004B3407">
      <w:pPr>
        <w:pStyle w:val="Corpsdetexte"/>
        <w:widowControl w:val="0"/>
        <w:spacing w:line="360" w:lineRule="auto"/>
        <w:rPr>
          <w:rFonts w:ascii="Arial" w:hAnsi="Arial"/>
          <w:sz w:val="24"/>
        </w:rPr>
      </w:pPr>
    </w:p>
    <w:p w:rsidR="003A55CA" w:rsidRDefault="003A55CA" w:rsidP="004B3407">
      <w:pPr>
        <w:pStyle w:val="Corpsdetexte"/>
        <w:widowControl w:val="0"/>
        <w:spacing w:line="360" w:lineRule="auto"/>
        <w:rPr>
          <w:rFonts w:ascii="Arial" w:hAnsi="Arial"/>
          <w:sz w:val="24"/>
        </w:rPr>
      </w:pPr>
      <w:r>
        <w:rPr>
          <w:rFonts w:ascii="Arial" w:hAnsi="Arial"/>
          <w:sz w:val="24"/>
        </w:rPr>
        <w:lastRenderedPageBreak/>
        <w:t xml:space="preserve">Nuevamente ante esta Corporación con proveído del 20-01-2017, se declaró otra nulidad (Folios 4 y 5, del cuaderno No.3). Recibido por la jueza de conocimiento con auto del 25-01-2017 dispuso las vinculaciones faltantes (Folio 214, cuaderno de primera instancia). El 07-02-2017 se dictó </w:t>
      </w:r>
      <w:r w:rsidR="004448DD">
        <w:rPr>
          <w:rFonts w:ascii="Arial" w:hAnsi="Arial"/>
          <w:sz w:val="24"/>
        </w:rPr>
        <w:t>el fallo (Folios 231 a 238, ibídem) y el 02-03-2017 concedió la impugnación presentada (Folio 259 vuelto, ib.).</w:t>
      </w:r>
    </w:p>
    <w:p w:rsidR="004448DD" w:rsidRDefault="004448DD" w:rsidP="004B3407">
      <w:pPr>
        <w:pStyle w:val="Corpsdetexte"/>
        <w:widowControl w:val="0"/>
        <w:spacing w:line="360" w:lineRule="auto"/>
        <w:rPr>
          <w:rFonts w:ascii="Arial" w:hAnsi="Arial"/>
          <w:sz w:val="24"/>
        </w:rPr>
      </w:pPr>
    </w:p>
    <w:p w:rsidR="003913E3" w:rsidRPr="00311FCA"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La sentencia opugnada declaró </w:t>
      </w:r>
      <w:r w:rsidR="000008E7">
        <w:rPr>
          <w:rFonts w:ascii="Arial" w:hAnsi="Arial" w:cs="Arial"/>
          <w:sz w:val="24"/>
          <w:szCs w:val="24"/>
        </w:rPr>
        <w:t xml:space="preserve">improcedente </w:t>
      </w:r>
      <w:r w:rsidR="006A309C">
        <w:rPr>
          <w:rFonts w:ascii="Arial" w:hAnsi="Arial" w:cs="Arial"/>
          <w:sz w:val="24"/>
          <w:szCs w:val="24"/>
        </w:rPr>
        <w:t xml:space="preserve">el amparo constitucional porque </w:t>
      </w:r>
      <w:r>
        <w:rPr>
          <w:rFonts w:ascii="Arial" w:hAnsi="Arial" w:cs="Arial"/>
          <w:sz w:val="24"/>
          <w:szCs w:val="24"/>
        </w:rPr>
        <w:t>se consideraron</w:t>
      </w:r>
      <w:r w:rsidR="006A309C">
        <w:rPr>
          <w:rFonts w:ascii="Arial" w:hAnsi="Arial" w:cs="Arial"/>
          <w:sz w:val="24"/>
          <w:szCs w:val="24"/>
        </w:rPr>
        <w:t xml:space="preserve"> </w:t>
      </w:r>
      <w:r w:rsidR="000008E7">
        <w:rPr>
          <w:rFonts w:ascii="Arial" w:hAnsi="Arial" w:cs="Arial"/>
          <w:sz w:val="24"/>
          <w:szCs w:val="24"/>
        </w:rPr>
        <w:t>incumplidos los presupuestos de inmediatez y subsidiariedad, dado que se promovió 18 meses después de que se profiriera el acto administrativo atacado</w:t>
      </w:r>
      <w:r>
        <w:rPr>
          <w:rFonts w:ascii="Arial" w:hAnsi="Arial" w:cs="Arial"/>
          <w:sz w:val="24"/>
          <w:szCs w:val="24"/>
        </w:rPr>
        <w:t>, y</w:t>
      </w:r>
      <w:r w:rsidR="000008E7">
        <w:rPr>
          <w:rFonts w:ascii="Arial" w:hAnsi="Arial" w:cs="Arial"/>
          <w:sz w:val="24"/>
          <w:szCs w:val="24"/>
        </w:rPr>
        <w:t xml:space="preserve"> el actor no lo recurrió</w:t>
      </w:r>
      <w:r>
        <w:rPr>
          <w:rFonts w:ascii="Arial" w:hAnsi="Arial" w:cs="Arial"/>
          <w:sz w:val="24"/>
          <w:szCs w:val="24"/>
        </w:rPr>
        <w:t>,</w:t>
      </w:r>
      <w:r w:rsidR="000008E7">
        <w:rPr>
          <w:rFonts w:ascii="Arial" w:hAnsi="Arial" w:cs="Arial"/>
          <w:sz w:val="24"/>
          <w:szCs w:val="24"/>
        </w:rPr>
        <w:t xml:space="preserve"> </w:t>
      </w:r>
      <w:r>
        <w:rPr>
          <w:rFonts w:ascii="Arial" w:hAnsi="Arial" w:cs="Arial"/>
          <w:sz w:val="24"/>
          <w:szCs w:val="24"/>
        </w:rPr>
        <w:t xml:space="preserve">ni </w:t>
      </w:r>
      <w:r w:rsidR="000008E7">
        <w:rPr>
          <w:rFonts w:ascii="Arial" w:hAnsi="Arial" w:cs="Arial"/>
          <w:sz w:val="24"/>
          <w:szCs w:val="24"/>
        </w:rPr>
        <w:t xml:space="preserve">demostró la existencia de un perjuicio </w:t>
      </w:r>
      <w:r>
        <w:rPr>
          <w:rFonts w:ascii="Arial" w:hAnsi="Arial" w:cs="Arial"/>
          <w:sz w:val="24"/>
          <w:szCs w:val="24"/>
        </w:rPr>
        <w:t xml:space="preserve">irremediable </w:t>
      </w:r>
      <w:r w:rsidR="003913E3" w:rsidRPr="007460BC">
        <w:rPr>
          <w:rFonts w:ascii="Arial" w:hAnsi="Arial" w:cs="Arial"/>
          <w:sz w:val="24"/>
          <w:szCs w:val="24"/>
        </w:rPr>
        <w:t xml:space="preserve">(Folios </w:t>
      </w:r>
      <w:r>
        <w:rPr>
          <w:rFonts w:ascii="Arial" w:hAnsi="Arial" w:cs="Arial"/>
          <w:sz w:val="24"/>
        </w:rPr>
        <w:t>231 a 238</w:t>
      </w:r>
      <w:r w:rsidR="00BE4A3A">
        <w:rPr>
          <w:rFonts w:ascii="Arial" w:hAnsi="Arial" w:cs="Arial"/>
          <w:sz w:val="24"/>
          <w:szCs w:val="24"/>
        </w:rPr>
        <w:t xml:space="preserve">, </w:t>
      </w:r>
      <w:r>
        <w:rPr>
          <w:rFonts w:ascii="Arial" w:hAnsi="Arial" w:cs="Arial"/>
          <w:sz w:val="24"/>
          <w:szCs w:val="24"/>
        </w:rPr>
        <w:t>ib.</w:t>
      </w:r>
      <w:r w:rsidR="003913E3" w:rsidRPr="007460BC">
        <w:rPr>
          <w:rFonts w:ascii="Arial" w:hAnsi="Arial" w:cs="Arial"/>
          <w:sz w:val="24"/>
          <w:szCs w:val="24"/>
        </w:rPr>
        <w:t>).</w:t>
      </w:r>
    </w:p>
    <w:p w:rsidR="003913E3" w:rsidRPr="006A309C" w:rsidRDefault="003913E3" w:rsidP="00B942B6">
      <w:pPr>
        <w:pStyle w:val="Corpsdetexte"/>
        <w:spacing w:line="360" w:lineRule="auto"/>
        <w:rPr>
          <w:rFonts w:ascii="Arial" w:hAnsi="Arial" w:cs="Arial"/>
          <w:sz w:val="24"/>
          <w:szCs w:val="24"/>
          <w:lang w:val="es-CO"/>
        </w:rPr>
      </w:pPr>
    </w:p>
    <w:p w:rsidR="00733900" w:rsidRPr="00733900"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El recurrente expuso que el </w:t>
      </w:r>
      <w:r w:rsidR="008526A4" w:rsidRPr="00733900">
        <w:rPr>
          <w:rFonts w:ascii="Arial" w:hAnsi="Arial" w:cs="Arial"/>
          <w:sz w:val="24"/>
          <w:szCs w:val="24"/>
        </w:rPr>
        <w:t xml:space="preserve">tiempo que </w:t>
      </w:r>
      <w:r w:rsidR="00733900" w:rsidRPr="00733900">
        <w:rPr>
          <w:rFonts w:ascii="Arial" w:hAnsi="Arial" w:cs="Arial"/>
          <w:sz w:val="24"/>
          <w:szCs w:val="24"/>
        </w:rPr>
        <w:t>demoró</w:t>
      </w:r>
      <w:r w:rsidR="008526A4" w:rsidRPr="00733900">
        <w:rPr>
          <w:rFonts w:ascii="Arial" w:hAnsi="Arial" w:cs="Arial"/>
          <w:sz w:val="24"/>
          <w:szCs w:val="24"/>
        </w:rPr>
        <w:t xml:space="preserve"> para promover el amparo constitucional no es desproporcionado </w:t>
      </w:r>
      <w:r>
        <w:rPr>
          <w:rFonts w:ascii="Arial" w:hAnsi="Arial" w:cs="Arial"/>
          <w:sz w:val="24"/>
          <w:szCs w:val="24"/>
        </w:rPr>
        <w:t xml:space="preserve">debido a que </w:t>
      </w:r>
      <w:r w:rsidR="008526A4" w:rsidRPr="00733900">
        <w:rPr>
          <w:rFonts w:ascii="Arial" w:hAnsi="Arial" w:cs="Arial"/>
          <w:sz w:val="24"/>
          <w:szCs w:val="24"/>
        </w:rPr>
        <w:t>los derechos fundamentales continúan siendo vulnerados</w:t>
      </w:r>
      <w:r>
        <w:rPr>
          <w:rFonts w:ascii="Arial" w:hAnsi="Arial" w:cs="Arial"/>
          <w:sz w:val="24"/>
          <w:szCs w:val="24"/>
        </w:rPr>
        <w:t xml:space="preserve">; además, su representado </w:t>
      </w:r>
      <w:r w:rsidR="008526A4" w:rsidRPr="00733900">
        <w:rPr>
          <w:rFonts w:ascii="Arial" w:hAnsi="Arial" w:cs="Arial"/>
          <w:sz w:val="24"/>
          <w:szCs w:val="24"/>
        </w:rPr>
        <w:t xml:space="preserve">carece de los recursos económicos para la atención psiquiátrica que requiere y que empezó a padecer cuanto estaba al servicio de la institución educativa, por </w:t>
      </w:r>
      <w:r w:rsidR="00733900" w:rsidRPr="00733900">
        <w:rPr>
          <w:rFonts w:ascii="Arial" w:hAnsi="Arial" w:cs="Arial"/>
          <w:sz w:val="24"/>
          <w:szCs w:val="24"/>
        </w:rPr>
        <w:t xml:space="preserve">lo </w:t>
      </w:r>
      <w:r w:rsidR="008526A4" w:rsidRPr="00733900">
        <w:rPr>
          <w:rFonts w:ascii="Arial" w:hAnsi="Arial" w:cs="Arial"/>
          <w:sz w:val="24"/>
          <w:szCs w:val="24"/>
        </w:rPr>
        <w:t xml:space="preserve">tanto, la accionada debió iniciar el proceso disciplinario antes de emitir el acto administrativo. </w:t>
      </w:r>
      <w:r>
        <w:rPr>
          <w:rFonts w:ascii="Arial" w:hAnsi="Arial" w:cs="Arial"/>
          <w:sz w:val="24"/>
          <w:szCs w:val="24"/>
        </w:rPr>
        <w:t xml:space="preserve">Agregó </w:t>
      </w:r>
      <w:r w:rsidR="008526A4" w:rsidRPr="00733900">
        <w:rPr>
          <w:rFonts w:ascii="Arial" w:hAnsi="Arial" w:cs="Arial"/>
          <w:sz w:val="24"/>
          <w:szCs w:val="24"/>
        </w:rPr>
        <w:t xml:space="preserve">que </w:t>
      </w:r>
      <w:r w:rsidR="00733900" w:rsidRPr="00733900">
        <w:rPr>
          <w:rFonts w:ascii="Arial" w:hAnsi="Arial" w:cs="Arial"/>
          <w:sz w:val="24"/>
          <w:szCs w:val="24"/>
        </w:rPr>
        <w:t xml:space="preserve">no </w:t>
      </w:r>
      <w:r>
        <w:rPr>
          <w:rFonts w:ascii="Arial" w:hAnsi="Arial" w:cs="Arial"/>
          <w:sz w:val="24"/>
          <w:szCs w:val="24"/>
        </w:rPr>
        <w:t xml:space="preserve">tenía </w:t>
      </w:r>
      <w:r w:rsidR="00733900" w:rsidRPr="00733900">
        <w:rPr>
          <w:rFonts w:ascii="Arial" w:hAnsi="Arial" w:cs="Arial"/>
          <w:sz w:val="24"/>
          <w:szCs w:val="24"/>
        </w:rPr>
        <w:t xml:space="preserve">conciencia para manejar su situación debido a sus problemas de drogadicción, por lo que se configura </w:t>
      </w:r>
      <w:r>
        <w:rPr>
          <w:rFonts w:ascii="Arial" w:hAnsi="Arial" w:cs="Arial"/>
          <w:sz w:val="24"/>
          <w:szCs w:val="24"/>
        </w:rPr>
        <w:t xml:space="preserve">el perjuicio irremediable </w:t>
      </w:r>
      <w:r w:rsidR="00733900">
        <w:rPr>
          <w:rFonts w:ascii="Arial" w:hAnsi="Arial" w:cs="Arial"/>
          <w:sz w:val="24"/>
          <w:szCs w:val="24"/>
        </w:rPr>
        <w:t xml:space="preserve">(Folios </w:t>
      </w:r>
      <w:r>
        <w:rPr>
          <w:rFonts w:ascii="Arial" w:hAnsi="Arial" w:cs="Arial"/>
          <w:sz w:val="24"/>
          <w:szCs w:val="24"/>
        </w:rPr>
        <w:t>255 a 258</w:t>
      </w:r>
      <w:r w:rsidR="00733900">
        <w:rPr>
          <w:rFonts w:ascii="Arial" w:hAnsi="Arial" w:cs="Arial"/>
          <w:sz w:val="24"/>
          <w:szCs w:val="24"/>
        </w:rPr>
        <w:t>, ib.)</w:t>
      </w:r>
      <w:r w:rsidR="00733900" w:rsidRPr="00733900">
        <w:rPr>
          <w:rFonts w:ascii="Arial" w:hAnsi="Arial" w:cs="Arial"/>
          <w:sz w:val="24"/>
          <w:szCs w:val="24"/>
        </w:rPr>
        <w:t>.</w:t>
      </w:r>
    </w:p>
    <w:p w:rsidR="000D01DC" w:rsidRDefault="000D01DC" w:rsidP="00F839CE">
      <w:pPr>
        <w:pStyle w:val="Corpsdetexte"/>
        <w:widowControl w:val="0"/>
        <w:spacing w:line="360" w:lineRule="auto"/>
        <w:rPr>
          <w:rFonts w:ascii="Arial" w:hAnsi="Arial" w:cs="Arial"/>
          <w:sz w:val="24"/>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Corpsdetexte"/>
        <w:spacing w:line="360" w:lineRule="auto"/>
        <w:rPr>
          <w:rFonts w:ascii="Arial" w:hAnsi="Arial" w:cs="Arial"/>
          <w:sz w:val="24"/>
          <w:szCs w:val="24"/>
        </w:rPr>
      </w:pPr>
    </w:p>
    <w:p w:rsidR="00E37FED" w:rsidRPr="003D195F" w:rsidRDefault="003913E3" w:rsidP="004448DD">
      <w:pPr>
        <w:pStyle w:val="Corpsdetexte"/>
        <w:numPr>
          <w:ilvl w:val="1"/>
          <w:numId w:val="45"/>
        </w:numPr>
        <w:spacing w:line="360" w:lineRule="auto"/>
        <w:rPr>
          <w:rFonts w:ascii="Arial" w:hAnsi="Arial" w:cs="Arial"/>
          <w:lang w:val="es-CO"/>
        </w:rPr>
      </w:pPr>
      <w:r w:rsidRPr="004448DD">
        <w:rPr>
          <w:rFonts w:ascii="Arial" w:hAnsi="Arial" w:cs="Arial"/>
          <w:smallCaps/>
          <w:sz w:val="24"/>
          <w:szCs w:val="24"/>
        </w:rPr>
        <w:t>La competencia funcional</w:t>
      </w:r>
      <w:r w:rsidR="004448DD">
        <w:rPr>
          <w:rFonts w:ascii="Arial" w:hAnsi="Arial" w:cs="Arial"/>
          <w:smallCaps/>
          <w:sz w:val="24"/>
          <w:szCs w:val="24"/>
        </w:rPr>
        <w:t xml:space="preserve">. </w:t>
      </w:r>
      <w:r w:rsidR="00E37FED" w:rsidRPr="004448DD">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4B2CC3" w:rsidRPr="0039469E" w:rsidRDefault="004B2CC3" w:rsidP="00307530">
      <w:pPr>
        <w:tabs>
          <w:tab w:val="left" w:pos="1416"/>
        </w:tabs>
        <w:spacing w:line="360" w:lineRule="auto"/>
        <w:jc w:val="both"/>
        <w:rPr>
          <w:rFonts w:ascii="Arial" w:hAnsi="Arial" w:cs="Arial"/>
          <w:lang w:val="es-MX"/>
        </w:rPr>
      </w:pPr>
    </w:p>
    <w:p w:rsidR="003913E3" w:rsidRPr="004448DD" w:rsidRDefault="003913E3" w:rsidP="004448DD">
      <w:pPr>
        <w:pStyle w:val="Corpsdetexte"/>
        <w:numPr>
          <w:ilvl w:val="1"/>
          <w:numId w:val="45"/>
        </w:numPr>
        <w:tabs>
          <w:tab w:val="clear" w:pos="708"/>
        </w:tabs>
        <w:spacing w:line="360" w:lineRule="auto"/>
        <w:rPr>
          <w:rFonts w:ascii="Arial" w:hAnsi="Arial" w:cs="Arial"/>
          <w:sz w:val="24"/>
          <w:szCs w:val="24"/>
        </w:rPr>
      </w:pPr>
      <w:r w:rsidRPr="004448DD">
        <w:rPr>
          <w:rFonts w:ascii="Arial" w:hAnsi="Arial" w:cs="Arial"/>
          <w:smallCaps/>
          <w:sz w:val="24"/>
          <w:szCs w:val="24"/>
        </w:rPr>
        <w:t>El problema jurídico a resolver</w:t>
      </w:r>
      <w:r w:rsidR="004448DD" w:rsidRPr="004448DD">
        <w:rPr>
          <w:rFonts w:ascii="Arial" w:hAnsi="Arial" w:cs="Arial"/>
          <w:sz w:val="24"/>
          <w:szCs w:val="24"/>
        </w:rPr>
        <w:t xml:space="preserve">. </w:t>
      </w:r>
      <w:r w:rsidRPr="004448DD">
        <w:rPr>
          <w:rFonts w:ascii="Arial" w:hAnsi="Arial" w:cs="Arial"/>
          <w:sz w:val="24"/>
          <w:szCs w:val="24"/>
        </w:rPr>
        <w:t xml:space="preserve">¿Es procedente confirmar, modificar o revocar la sentencia del </w:t>
      </w:r>
      <w:r w:rsidR="00106142" w:rsidRPr="004448DD">
        <w:rPr>
          <w:rFonts w:ascii="Arial" w:hAnsi="Arial"/>
          <w:sz w:val="24"/>
        </w:rPr>
        <w:t xml:space="preserve">Juzgado </w:t>
      </w:r>
      <w:r w:rsidR="00733900" w:rsidRPr="004448DD">
        <w:rPr>
          <w:rFonts w:ascii="Arial" w:hAnsi="Arial"/>
          <w:sz w:val="24"/>
        </w:rPr>
        <w:t>Cuarto Civil del Circuito de Pereira</w:t>
      </w:r>
      <w:r w:rsidRPr="004448DD">
        <w:rPr>
          <w:rFonts w:ascii="Arial" w:hAnsi="Arial" w:cs="Arial"/>
          <w:sz w:val="24"/>
          <w:szCs w:val="24"/>
        </w:rPr>
        <w:t>, según la impugnación</w:t>
      </w:r>
      <w:r w:rsidR="005069CE" w:rsidRPr="004448DD">
        <w:rPr>
          <w:rFonts w:ascii="Arial" w:hAnsi="Arial" w:cs="Arial"/>
          <w:sz w:val="24"/>
          <w:szCs w:val="24"/>
        </w:rPr>
        <w:t xml:space="preserve"> </w:t>
      </w:r>
      <w:r w:rsidR="00106142" w:rsidRPr="004448DD">
        <w:rPr>
          <w:rFonts w:ascii="Arial" w:hAnsi="Arial" w:cs="Arial"/>
          <w:sz w:val="24"/>
          <w:szCs w:val="24"/>
        </w:rPr>
        <w:t xml:space="preserve">presentada </w:t>
      </w:r>
      <w:r w:rsidR="00D847C2" w:rsidRPr="004448DD">
        <w:rPr>
          <w:rFonts w:ascii="Arial" w:hAnsi="Arial" w:cs="Arial"/>
          <w:sz w:val="24"/>
          <w:szCs w:val="24"/>
        </w:rPr>
        <w:t>por la</w:t>
      </w:r>
      <w:r w:rsidR="007B4AD7" w:rsidRPr="004448DD">
        <w:rPr>
          <w:rFonts w:ascii="Arial" w:hAnsi="Arial" w:cs="Arial"/>
          <w:sz w:val="24"/>
          <w:szCs w:val="24"/>
        </w:rPr>
        <w:t xml:space="preserve"> parte</w:t>
      </w:r>
      <w:r w:rsidR="00D847C2" w:rsidRPr="004448DD">
        <w:rPr>
          <w:rFonts w:ascii="Arial" w:hAnsi="Arial" w:cs="Arial"/>
          <w:sz w:val="24"/>
          <w:szCs w:val="24"/>
        </w:rPr>
        <w:t xml:space="preserve"> actora</w:t>
      </w:r>
      <w:r w:rsidRPr="004448DD">
        <w:rPr>
          <w:rFonts w:ascii="Arial" w:hAnsi="Arial" w:cs="Arial"/>
          <w:sz w:val="24"/>
          <w:szCs w:val="24"/>
        </w:rPr>
        <w:t xml:space="preserve">? </w:t>
      </w:r>
    </w:p>
    <w:p w:rsidR="003913E3" w:rsidRPr="003B4B9C" w:rsidRDefault="003913E3" w:rsidP="00F839CE">
      <w:pPr>
        <w:pStyle w:val="Corpsdetexte"/>
        <w:spacing w:line="360" w:lineRule="auto"/>
        <w:rPr>
          <w:rFonts w:ascii="Arial" w:hAnsi="Arial" w:cs="Arial"/>
          <w:sz w:val="24"/>
          <w:szCs w:val="24"/>
        </w:rPr>
      </w:pPr>
    </w:p>
    <w:p w:rsidR="002D298F" w:rsidRDefault="004448DD" w:rsidP="004448DD">
      <w:pPr>
        <w:pStyle w:val="Corpsdetexte"/>
        <w:numPr>
          <w:ilvl w:val="1"/>
          <w:numId w:val="45"/>
        </w:numPr>
        <w:spacing w:line="360" w:lineRule="auto"/>
        <w:rPr>
          <w:rFonts w:ascii="Arial" w:hAnsi="Arial" w:cs="Arial"/>
          <w:sz w:val="24"/>
          <w:szCs w:val="24"/>
        </w:rPr>
      </w:pPr>
      <w:r w:rsidRPr="004448DD">
        <w:rPr>
          <w:rFonts w:ascii="Arial" w:hAnsi="Arial" w:cs="Arial"/>
          <w:smallCaps/>
          <w:sz w:val="24"/>
          <w:szCs w:val="24"/>
        </w:rPr>
        <w:t xml:space="preserve">La legitimación en la causa. </w:t>
      </w:r>
      <w:r w:rsidR="002D298F">
        <w:rPr>
          <w:rFonts w:ascii="Arial" w:hAnsi="Arial" w:cs="Arial"/>
          <w:sz w:val="24"/>
          <w:szCs w:val="24"/>
        </w:rPr>
        <w:t xml:space="preserve">Se cumple </w:t>
      </w:r>
      <w:r w:rsidRPr="00EC12E0">
        <w:rPr>
          <w:rFonts w:ascii="Arial" w:hAnsi="Arial" w:cs="Arial"/>
          <w:sz w:val="24"/>
          <w:szCs w:val="24"/>
        </w:rPr>
        <w:t>por activa</w:t>
      </w:r>
      <w:r>
        <w:rPr>
          <w:rFonts w:ascii="Arial" w:hAnsi="Arial" w:cs="Arial"/>
          <w:sz w:val="24"/>
          <w:szCs w:val="24"/>
        </w:rPr>
        <w:t>,</w:t>
      </w:r>
      <w:r w:rsidRPr="00EC12E0">
        <w:rPr>
          <w:rFonts w:ascii="Arial" w:hAnsi="Arial" w:cs="Arial"/>
          <w:sz w:val="24"/>
          <w:szCs w:val="24"/>
        </w:rPr>
        <w:t xml:space="preserve"> porque </w:t>
      </w:r>
      <w:r w:rsidR="002D298F">
        <w:rPr>
          <w:rFonts w:ascii="Arial" w:hAnsi="Arial" w:cs="Arial"/>
          <w:sz w:val="24"/>
          <w:szCs w:val="24"/>
        </w:rPr>
        <w:t xml:space="preserve">el accionado </w:t>
      </w:r>
      <w:r>
        <w:rPr>
          <w:rFonts w:ascii="Arial" w:hAnsi="Arial" w:cs="Arial"/>
          <w:sz w:val="24"/>
          <w:szCs w:val="24"/>
        </w:rPr>
        <w:t xml:space="preserve">fue la persona apartada de los servicios que prestaba como celador mediante </w:t>
      </w:r>
      <w:r w:rsidR="002D298F">
        <w:rPr>
          <w:rFonts w:ascii="Arial" w:hAnsi="Arial" w:cs="Arial"/>
          <w:sz w:val="24"/>
          <w:szCs w:val="24"/>
        </w:rPr>
        <w:t xml:space="preserve">el acto administrativo </w:t>
      </w:r>
      <w:r>
        <w:rPr>
          <w:rFonts w:ascii="Arial" w:hAnsi="Arial" w:cs="Arial"/>
          <w:sz w:val="24"/>
          <w:szCs w:val="24"/>
        </w:rPr>
        <w:t>en el que se aduce la vulneración del debido proceso (Folios 43 y 44</w:t>
      </w:r>
      <w:r w:rsidRPr="00EC12E0">
        <w:rPr>
          <w:rFonts w:ascii="Arial" w:hAnsi="Arial" w:cs="Arial"/>
          <w:sz w:val="24"/>
          <w:szCs w:val="24"/>
        </w:rPr>
        <w:t xml:space="preserve">, ib.). En el extremo pasivo, </w:t>
      </w:r>
      <w:r>
        <w:rPr>
          <w:rFonts w:ascii="Arial" w:hAnsi="Arial" w:cs="Arial"/>
          <w:sz w:val="24"/>
          <w:szCs w:val="24"/>
        </w:rPr>
        <w:t xml:space="preserve">la Gobernación de Risaralda y la Dirección de Control Interno Disciplinario de esa territorial, la primera, porque emitió </w:t>
      </w:r>
      <w:r w:rsidR="002D298F">
        <w:rPr>
          <w:rFonts w:ascii="Arial" w:hAnsi="Arial" w:cs="Arial"/>
          <w:sz w:val="24"/>
          <w:szCs w:val="24"/>
        </w:rPr>
        <w:t>la decisión reprochada</w:t>
      </w:r>
      <w:r>
        <w:rPr>
          <w:rFonts w:ascii="Arial" w:hAnsi="Arial" w:cs="Arial"/>
          <w:sz w:val="24"/>
          <w:szCs w:val="24"/>
        </w:rPr>
        <w:t>, y la última, porque adelanta el trámite disciplinario que se aduce fue iniciado de forma tardía</w:t>
      </w:r>
      <w:r w:rsidRPr="00EC12E0">
        <w:rPr>
          <w:rFonts w:ascii="Arial" w:hAnsi="Arial" w:cs="Arial"/>
          <w:sz w:val="24"/>
          <w:szCs w:val="24"/>
        </w:rPr>
        <w:t>.</w:t>
      </w:r>
    </w:p>
    <w:p w:rsidR="002D298F" w:rsidRDefault="002D298F" w:rsidP="002D298F">
      <w:pPr>
        <w:pStyle w:val="Paragraphedeliste"/>
        <w:rPr>
          <w:rFonts w:ascii="Arial" w:hAnsi="Arial"/>
          <w:sz w:val="24"/>
          <w:szCs w:val="24"/>
        </w:rPr>
      </w:pPr>
    </w:p>
    <w:p w:rsidR="004448DD" w:rsidRPr="002D298F" w:rsidRDefault="004448DD" w:rsidP="002D298F">
      <w:pPr>
        <w:pStyle w:val="Corpsdetexte"/>
        <w:spacing w:line="360" w:lineRule="auto"/>
        <w:ind w:left="720"/>
        <w:rPr>
          <w:rFonts w:ascii="Arial" w:hAnsi="Arial" w:cs="Arial"/>
          <w:sz w:val="24"/>
          <w:szCs w:val="24"/>
        </w:rPr>
      </w:pPr>
      <w:r w:rsidRPr="002D298F">
        <w:rPr>
          <w:rFonts w:ascii="Arial" w:hAnsi="Arial"/>
          <w:sz w:val="24"/>
          <w:szCs w:val="24"/>
          <w:lang w:val="es-CO"/>
        </w:rPr>
        <w:lastRenderedPageBreak/>
        <w:t xml:space="preserve">La señora Mariela Mejía de Montoya se encuentra legitimada para representar a su agenciado, </w:t>
      </w:r>
      <w:r w:rsidRPr="002D298F">
        <w:rPr>
          <w:rFonts w:ascii="Arial" w:hAnsi="Arial" w:cs="Arial"/>
          <w:sz w:val="24"/>
          <w:szCs w:val="24"/>
        </w:rPr>
        <w:t>señor Jairo Antonio Montoya Mejía</w:t>
      </w:r>
      <w:r w:rsidRPr="002D298F">
        <w:rPr>
          <w:rFonts w:ascii="Arial" w:hAnsi="Arial"/>
          <w:sz w:val="24"/>
          <w:szCs w:val="24"/>
          <w:lang w:val="es-CO"/>
        </w:rPr>
        <w:t xml:space="preserve">, </w:t>
      </w:r>
      <w:r w:rsidRPr="002D298F">
        <w:rPr>
          <w:rFonts w:ascii="Arial" w:hAnsi="Arial"/>
          <w:sz w:val="24"/>
          <w:szCs w:val="24"/>
          <w:lang w:val="es-ES"/>
        </w:rPr>
        <w:t>toda vez que se trata de una persona fármaco dependiente (Folio</w:t>
      </w:r>
      <w:r w:rsidR="002D298F">
        <w:rPr>
          <w:rFonts w:ascii="Arial" w:hAnsi="Arial"/>
          <w:sz w:val="24"/>
          <w:szCs w:val="24"/>
          <w:lang w:val="es-ES"/>
        </w:rPr>
        <w:t>s 18 a 41</w:t>
      </w:r>
      <w:r w:rsidRPr="002D298F">
        <w:rPr>
          <w:rFonts w:ascii="Arial" w:hAnsi="Arial"/>
          <w:sz w:val="24"/>
          <w:szCs w:val="24"/>
          <w:lang w:val="es-ES"/>
        </w:rPr>
        <w:t>, ib.)</w:t>
      </w:r>
      <w:r w:rsidRPr="002D298F">
        <w:rPr>
          <w:rFonts w:ascii="Arial" w:hAnsi="Arial"/>
          <w:sz w:val="24"/>
          <w:szCs w:val="24"/>
          <w:lang w:val="es-CO"/>
        </w:rPr>
        <w:t xml:space="preserve">; encuadra la situación en lo dispuesto por la doctrina sobre el tema, al justificar la figura en comento, cuando </w:t>
      </w:r>
      <w:r w:rsidRPr="002D298F">
        <w:rPr>
          <w:rFonts w:ascii="Arial" w:hAnsi="Arial"/>
          <w:i/>
          <w:sz w:val="22"/>
          <w:szCs w:val="22"/>
          <w:lang w:val="es-CO"/>
        </w:rPr>
        <w:t xml:space="preserve">“(…) </w:t>
      </w:r>
      <w:r w:rsidRPr="002D298F">
        <w:rPr>
          <w:rFonts w:ascii="Arial" w:hAnsi="Arial"/>
          <w:i/>
          <w:iCs/>
          <w:sz w:val="22"/>
          <w:szCs w:val="22"/>
          <w:lang w:val="es-ES"/>
        </w:rPr>
        <w:t xml:space="preserve">En tal virtud, la acción humanitaria emprendida por su progenitor, es legítima y se enmarca en el deber de solidaridad que recae sobre todos los colombianos (Art. 95 de la CP), respecto de las personas que presentan disminución física, sensorial y psíquica, donde claramente se encuentran los fármaco-dependientes, razón suficiente para concluir que ostenta la condición de agente oficioso. </w:t>
      </w:r>
      <w:r w:rsidRPr="002D298F">
        <w:rPr>
          <w:rFonts w:ascii="Arial" w:hAnsi="Arial"/>
          <w:i/>
          <w:sz w:val="22"/>
          <w:szCs w:val="22"/>
          <w:lang w:val="es-CO"/>
        </w:rPr>
        <w:t>(…)”</w:t>
      </w:r>
      <w:r w:rsidRPr="008F2A50">
        <w:rPr>
          <w:rStyle w:val="Appelnotedebasdep"/>
          <w:rFonts w:ascii="Arial" w:hAnsi="Arial"/>
          <w:i/>
          <w:sz w:val="22"/>
          <w:szCs w:val="22"/>
          <w:lang w:val="es-CO"/>
        </w:rPr>
        <w:footnoteReference w:id="1"/>
      </w:r>
      <w:r w:rsidRPr="002D298F">
        <w:rPr>
          <w:rFonts w:ascii="Arial" w:hAnsi="Arial"/>
          <w:szCs w:val="24"/>
          <w:lang w:val="es-CO"/>
        </w:rPr>
        <w:t>.</w:t>
      </w:r>
    </w:p>
    <w:p w:rsidR="004448DD" w:rsidRDefault="004448DD" w:rsidP="004448DD">
      <w:pPr>
        <w:pStyle w:val="Corpsdetexte"/>
        <w:spacing w:line="360" w:lineRule="auto"/>
        <w:rPr>
          <w:rFonts w:ascii="Arial" w:hAnsi="Arial" w:cs="Arial"/>
          <w:sz w:val="24"/>
          <w:szCs w:val="24"/>
        </w:rPr>
      </w:pPr>
    </w:p>
    <w:p w:rsidR="006663F5" w:rsidRPr="00EC12E0" w:rsidRDefault="002D298F" w:rsidP="002D298F">
      <w:pPr>
        <w:pStyle w:val="Corpsdetexte"/>
        <w:numPr>
          <w:ilvl w:val="0"/>
          <w:numId w:val="45"/>
        </w:numPr>
        <w:spacing w:line="360" w:lineRule="auto"/>
        <w:rPr>
          <w:rFonts w:ascii="Arial" w:hAnsi="Arial" w:cs="Arial"/>
          <w:sz w:val="24"/>
          <w:szCs w:val="24"/>
        </w:rPr>
      </w:pPr>
      <w:r w:rsidRPr="00EC12E0">
        <w:rPr>
          <w:rFonts w:ascii="Arial" w:hAnsi="Arial" w:cs="Arial"/>
          <w:sz w:val="24"/>
          <w:szCs w:val="24"/>
        </w:rPr>
        <w:t>LOS REQUISITOS DE PROCEDENCIA DE LA ACCIÓN</w:t>
      </w:r>
    </w:p>
    <w:p w:rsidR="00780F06" w:rsidRPr="00C2004B" w:rsidRDefault="00780F06" w:rsidP="006663F5">
      <w:pPr>
        <w:spacing w:line="360" w:lineRule="auto"/>
        <w:jc w:val="both"/>
        <w:rPr>
          <w:rFonts w:ascii="Arial" w:hAnsi="Arial" w:cs="Arial"/>
          <w:noProof/>
          <w:sz w:val="22"/>
          <w:lang w:val="es-ES_tradnl"/>
        </w:rPr>
      </w:pPr>
    </w:p>
    <w:p w:rsidR="00780F06" w:rsidRPr="002D298F" w:rsidRDefault="00780F06" w:rsidP="002D298F">
      <w:pPr>
        <w:pStyle w:val="Sansinterligne"/>
        <w:numPr>
          <w:ilvl w:val="1"/>
          <w:numId w:val="45"/>
        </w:numPr>
        <w:spacing w:line="360" w:lineRule="auto"/>
        <w:jc w:val="both"/>
        <w:rPr>
          <w:rFonts w:ascii="Arial" w:hAnsi="Arial" w:cs="Arial"/>
          <w:smallCaps/>
          <w:sz w:val="24"/>
          <w:szCs w:val="24"/>
        </w:rPr>
      </w:pPr>
      <w:r w:rsidRPr="002D298F">
        <w:rPr>
          <w:rFonts w:ascii="Arial" w:hAnsi="Arial" w:cs="Arial"/>
          <w:smallCaps/>
          <w:sz w:val="24"/>
          <w:szCs w:val="24"/>
        </w:rPr>
        <w:t>La procedibilidad del amparo constitucional</w:t>
      </w:r>
    </w:p>
    <w:p w:rsidR="00EA4E66" w:rsidRDefault="00EA4E66" w:rsidP="00780F06">
      <w:pPr>
        <w:pStyle w:val="Sansinterligne"/>
        <w:spacing w:line="360" w:lineRule="auto"/>
        <w:jc w:val="both"/>
        <w:rPr>
          <w:rFonts w:ascii="Arial" w:hAnsi="Arial" w:cs="Arial"/>
          <w:sz w:val="24"/>
          <w:szCs w:val="24"/>
        </w:rPr>
      </w:pPr>
    </w:p>
    <w:p w:rsidR="00780F06" w:rsidRPr="00E37FED" w:rsidRDefault="00780F06" w:rsidP="00780F06">
      <w:pPr>
        <w:pStyle w:val="Sansinterligne"/>
        <w:spacing w:line="360" w:lineRule="auto"/>
        <w:jc w:val="both"/>
        <w:rPr>
          <w:rFonts w:ascii="Arial" w:hAnsi="Arial" w:cs="Arial"/>
          <w:sz w:val="24"/>
          <w:szCs w:val="24"/>
        </w:rPr>
      </w:pPr>
      <w:r w:rsidRPr="00E37FED">
        <w:rPr>
          <w:rFonts w:ascii="Arial" w:hAnsi="Arial" w:cs="Arial"/>
          <w:sz w:val="24"/>
          <w:szCs w:val="24"/>
        </w:rPr>
        <w:t xml:space="preserve">El artículo 86 de la </w:t>
      </w:r>
      <w:r w:rsidR="008B10CC">
        <w:rPr>
          <w:rFonts w:ascii="Arial" w:hAnsi="Arial" w:cs="Arial"/>
          <w:sz w:val="24"/>
          <w:szCs w:val="24"/>
        </w:rPr>
        <w:t>CP</w:t>
      </w:r>
      <w:r w:rsidRPr="00E37FED">
        <w:rPr>
          <w:rFonts w:ascii="Arial" w:hAnsi="Arial" w:cs="Arial"/>
          <w:sz w:val="24"/>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37FED">
        <w:rPr>
          <w:rFonts w:ascii="Arial" w:hAnsi="Arial" w:cs="Arial"/>
          <w:i/>
          <w:szCs w:val="24"/>
        </w:rPr>
        <w:t>“(…) solo procederá cuando el afectado no disponga de otro medio de defensa judicial, salvo que aquella se utilice como mecanismo transitorio para evitar un perjuicio irremediable.”.</w:t>
      </w:r>
      <w:r w:rsidRPr="00E37FED">
        <w:rPr>
          <w:rFonts w:ascii="Arial" w:hAnsi="Arial" w:cs="Arial"/>
          <w:szCs w:val="24"/>
        </w:rPr>
        <w:t xml:space="preserve"> </w:t>
      </w:r>
    </w:p>
    <w:p w:rsidR="00780F06" w:rsidRPr="00E37FED" w:rsidRDefault="00780F06" w:rsidP="00780F06">
      <w:pPr>
        <w:pStyle w:val="Sansinterligne"/>
        <w:spacing w:line="360" w:lineRule="auto"/>
        <w:ind w:left="1080"/>
        <w:jc w:val="both"/>
        <w:rPr>
          <w:rFonts w:ascii="Arial" w:hAnsi="Arial" w:cs="Arial"/>
          <w:sz w:val="24"/>
          <w:szCs w:val="24"/>
        </w:rPr>
      </w:pPr>
    </w:p>
    <w:p w:rsidR="00E37FED" w:rsidRPr="00E37FED" w:rsidRDefault="00E37FED" w:rsidP="00E37FED">
      <w:pPr>
        <w:pStyle w:val="Sansinterligne"/>
        <w:spacing w:line="360" w:lineRule="auto"/>
        <w:jc w:val="both"/>
        <w:rPr>
          <w:rFonts w:ascii="Arial" w:hAnsi="Arial" w:cs="Arial"/>
          <w:i/>
          <w:sz w:val="24"/>
          <w:szCs w:val="24"/>
          <w:lang w:val="es-CO"/>
        </w:rPr>
      </w:pPr>
      <w:r w:rsidRPr="00E37FED">
        <w:rPr>
          <w:rFonts w:ascii="Arial" w:hAnsi="Arial" w:cs="Arial"/>
          <w:noProof/>
          <w:sz w:val="24"/>
          <w:szCs w:val="24"/>
        </w:rPr>
        <w:t xml:space="preserve">Nuestra </w:t>
      </w:r>
      <w:r w:rsidR="008B10CC">
        <w:rPr>
          <w:rFonts w:ascii="Arial" w:hAnsi="Arial" w:cs="Arial"/>
          <w:noProof/>
          <w:sz w:val="24"/>
          <w:szCs w:val="24"/>
        </w:rPr>
        <w:t xml:space="preserve">CC </w:t>
      </w:r>
      <w:r w:rsidRPr="00E37FED">
        <w:rPr>
          <w:rFonts w:ascii="Arial" w:hAnsi="Arial" w:cs="Arial"/>
          <w:noProof/>
          <w:sz w:val="24"/>
          <w:szCs w:val="24"/>
        </w:rPr>
        <w:t xml:space="preserve">tiene establecido que (i) La </w:t>
      </w:r>
      <w:r w:rsidRPr="00E37FED">
        <w:rPr>
          <w:rFonts w:ascii="Arial" w:hAnsi="Arial" w:cs="Arial"/>
          <w:iCs/>
          <w:noProof/>
          <w:sz w:val="24"/>
          <w:szCs w:val="24"/>
        </w:rPr>
        <w:t>subsidiariedad</w:t>
      </w:r>
      <w:r w:rsidRPr="00E37FED">
        <w:rPr>
          <w:rFonts w:ascii="Arial" w:hAnsi="Arial" w:cs="Arial"/>
          <w:noProof/>
          <w:sz w:val="24"/>
          <w:szCs w:val="24"/>
        </w:rPr>
        <w:t xml:space="preserve"> o residualidad, y (ii) La </w:t>
      </w:r>
      <w:r w:rsidRPr="00E37FED">
        <w:rPr>
          <w:rFonts w:ascii="Arial" w:hAnsi="Arial" w:cs="Arial"/>
          <w:iCs/>
          <w:noProof/>
          <w:sz w:val="24"/>
          <w:szCs w:val="24"/>
        </w:rPr>
        <w:t>inmediatez</w:t>
      </w:r>
      <w:r w:rsidRPr="00E37FED">
        <w:rPr>
          <w:rFonts w:ascii="Arial" w:hAnsi="Arial" w:cs="Arial"/>
          <w:noProof/>
          <w:sz w:val="24"/>
          <w:szCs w:val="24"/>
        </w:rPr>
        <w:t>, son exigencias generales de procedencia de la acción, condiciones indispensables para el conocimiento de fondo de las solicitudes de protección de derechos fundamentales</w:t>
      </w:r>
      <w:r w:rsidRPr="00E37FED">
        <w:rPr>
          <w:rStyle w:val="Appelnotedebasdep"/>
          <w:rFonts w:ascii="Arial" w:hAnsi="Arial" w:cs="Arial"/>
          <w:sz w:val="24"/>
          <w:szCs w:val="24"/>
        </w:rPr>
        <w:footnoteReference w:id="2"/>
      </w:r>
      <w:r w:rsidRPr="00E37FED">
        <w:rPr>
          <w:rFonts w:ascii="Arial" w:hAnsi="Arial" w:cs="Arial"/>
          <w:noProof/>
          <w:sz w:val="24"/>
          <w:szCs w:val="24"/>
        </w:rPr>
        <w:t>.</w:t>
      </w:r>
    </w:p>
    <w:p w:rsidR="002D298F" w:rsidRDefault="002D298F" w:rsidP="002D298F">
      <w:pPr>
        <w:spacing w:line="360" w:lineRule="auto"/>
        <w:jc w:val="both"/>
        <w:rPr>
          <w:rFonts w:ascii="Arial" w:hAnsi="Arial" w:cs="Arial"/>
          <w:lang w:val="es-ES_tradnl"/>
        </w:rPr>
      </w:pPr>
    </w:p>
    <w:p w:rsidR="006663F5" w:rsidRPr="002D298F" w:rsidRDefault="006663F5" w:rsidP="002D298F">
      <w:pPr>
        <w:pStyle w:val="Paragraphedeliste"/>
        <w:numPr>
          <w:ilvl w:val="2"/>
          <w:numId w:val="45"/>
        </w:numPr>
        <w:spacing w:after="0" w:line="360" w:lineRule="auto"/>
        <w:jc w:val="both"/>
        <w:rPr>
          <w:rFonts w:ascii="Arial" w:hAnsi="Arial" w:cs="Arial"/>
          <w:smallCaps/>
          <w:sz w:val="24"/>
        </w:rPr>
      </w:pPr>
      <w:r w:rsidRPr="002D298F">
        <w:rPr>
          <w:rFonts w:ascii="Arial" w:hAnsi="Arial" w:cs="Arial"/>
          <w:smallCaps/>
          <w:sz w:val="24"/>
        </w:rPr>
        <w:t>La inmediatez</w:t>
      </w:r>
    </w:p>
    <w:p w:rsidR="002D298F" w:rsidRDefault="002D298F" w:rsidP="002D298F">
      <w:pPr>
        <w:spacing w:line="360" w:lineRule="auto"/>
        <w:jc w:val="both"/>
        <w:rPr>
          <w:rFonts w:ascii="Arial" w:hAnsi="Arial" w:cs="Arial"/>
        </w:rPr>
      </w:pPr>
    </w:p>
    <w:p w:rsidR="002D298F" w:rsidRDefault="002D298F" w:rsidP="002D298F">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3"/>
      </w:r>
      <w:r>
        <w:rPr>
          <w:rFonts w:ascii="Arial" w:hAnsi="Arial" w:cs="Arial"/>
        </w:rPr>
        <w:t>, y también de la CSJ</w:t>
      </w:r>
      <w:r>
        <w:rPr>
          <w:rStyle w:val="Appelnotedebasdep"/>
          <w:rFonts w:ascii="Calibri" w:hAnsi="Calibri" w:cs="Calibri"/>
        </w:rPr>
        <w:footnoteReference w:id="4"/>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2D298F" w:rsidRDefault="002D298F" w:rsidP="002D298F">
      <w:pPr>
        <w:spacing w:line="360" w:lineRule="auto"/>
        <w:ind w:right="22"/>
        <w:jc w:val="both"/>
        <w:rPr>
          <w:rFonts w:ascii="Arial" w:hAnsi="Arial" w:cs="Arial"/>
        </w:rPr>
      </w:pPr>
      <w:r>
        <w:rPr>
          <w:rFonts w:ascii="Arial" w:hAnsi="Arial" w:cs="Arial"/>
        </w:rPr>
        <w:lastRenderedPageBreak/>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5"/>
      </w:r>
      <w:r>
        <w:rPr>
          <w:rFonts w:ascii="Arial" w:hAnsi="Arial" w:cs="Arial"/>
        </w:rPr>
        <w:t>. Así mismo lo ha señalado la CSJ</w:t>
      </w:r>
      <w:r>
        <w:rPr>
          <w:rStyle w:val="Appelnotedebasdep"/>
          <w:rFonts w:ascii="Arial" w:hAnsi="Arial" w:cs="Arial"/>
        </w:rPr>
        <w:footnoteReference w:id="6"/>
      </w:r>
      <w:r>
        <w:rPr>
          <w:rFonts w:ascii="Arial" w:hAnsi="Arial" w:cs="Arial"/>
        </w:rPr>
        <w:t xml:space="preserve">, que en recientes providencias reiteró: </w:t>
      </w:r>
    </w:p>
    <w:p w:rsidR="002D298F" w:rsidRPr="002D298F" w:rsidRDefault="002D298F" w:rsidP="002D298F">
      <w:pPr>
        <w:ind w:left="720" w:right="618"/>
        <w:jc w:val="both"/>
        <w:rPr>
          <w:rFonts w:ascii="Arial" w:hAnsi="Arial" w:cs="Arial"/>
          <w:iCs/>
          <w:sz w:val="28"/>
        </w:rPr>
      </w:pPr>
    </w:p>
    <w:p w:rsidR="002D298F" w:rsidRPr="00EA4E66" w:rsidRDefault="002D298F" w:rsidP="002D298F">
      <w:pPr>
        <w:ind w:left="720" w:right="618"/>
        <w:jc w:val="both"/>
        <w:rPr>
          <w:rFonts w:ascii="Bookman Old Style" w:hAnsi="Bookman Old Style" w:cs="Arial"/>
          <w:iCs/>
        </w:rPr>
      </w:pPr>
      <w:r w:rsidRPr="00EA4E66">
        <w:rPr>
          <w:rFonts w:ascii="Arial" w:hAnsi="Arial" w:cs="Arial"/>
          <w:iCs/>
        </w:rPr>
        <w:t xml:space="preserve">… </w:t>
      </w:r>
      <w:r w:rsidRPr="00EA4E66">
        <w:rPr>
          <w:rFonts w:ascii="Arial" w:hAnsi="Arial" w:cs="Arial"/>
          <w:szCs w:val="28"/>
        </w:rPr>
        <w:t>[D]</w:t>
      </w:r>
      <w:proofErr w:type="spellStart"/>
      <w:r w:rsidRPr="00EA4E66">
        <w:rPr>
          <w:rFonts w:ascii="Arial" w:hAnsi="Arial" w:cs="Arial"/>
          <w:szCs w:val="28"/>
        </w:rPr>
        <w:t>escendiendo</w:t>
      </w:r>
      <w:proofErr w:type="spellEnd"/>
      <w:r w:rsidRPr="00EA4E66">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EA4E66">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EA4E66">
        <w:rPr>
          <w:rFonts w:ascii="Arial" w:hAnsi="Arial" w:cs="Arial"/>
          <w:szCs w:val="28"/>
        </w:rPr>
        <w:t>; sin que la parte accionante hubiera alegado ni menos demostrado motivo alguno que justifique tan notoria tardanza</w:t>
      </w:r>
      <w:r w:rsidRPr="00EA4E66">
        <w:rPr>
          <w:rFonts w:ascii="Arial" w:hAnsi="Arial" w:cs="Arial"/>
          <w:iCs/>
        </w:rPr>
        <w:t>.</w:t>
      </w:r>
      <w:r w:rsidRPr="00EA4E66">
        <w:rPr>
          <w:rFonts w:ascii="Arial" w:hAnsi="Arial" w:cs="Arial"/>
        </w:rPr>
        <w:t xml:space="preserve"> (</w:t>
      </w:r>
      <w:proofErr w:type="spellStart"/>
      <w:r w:rsidRPr="00EA4E66">
        <w:rPr>
          <w:rFonts w:ascii="Arial" w:hAnsi="Arial" w:cs="Arial"/>
        </w:rPr>
        <w:t>Sublínea</w:t>
      </w:r>
      <w:proofErr w:type="spellEnd"/>
      <w:r w:rsidRPr="00EA4E66">
        <w:rPr>
          <w:rFonts w:ascii="Arial" w:hAnsi="Arial" w:cs="Arial"/>
        </w:rPr>
        <w:t xml:space="preserve"> de esta Sala).</w:t>
      </w:r>
    </w:p>
    <w:p w:rsidR="006663F5" w:rsidRPr="0098589D" w:rsidRDefault="006663F5" w:rsidP="006663F5">
      <w:pPr>
        <w:spacing w:line="360" w:lineRule="auto"/>
        <w:ind w:right="22"/>
        <w:jc w:val="both"/>
        <w:rPr>
          <w:rFonts w:ascii="Arial" w:hAnsi="Arial" w:cs="Arial"/>
        </w:rPr>
      </w:pPr>
    </w:p>
    <w:p w:rsidR="002D298F" w:rsidRPr="0098589D" w:rsidRDefault="002D298F" w:rsidP="002D298F">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2D298F" w:rsidRPr="0098589D" w:rsidRDefault="002D298F" w:rsidP="002D298F">
      <w:pPr>
        <w:spacing w:line="360" w:lineRule="auto"/>
        <w:ind w:right="22"/>
        <w:jc w:val="both"/>
        <w:rPr>
          <w:rFonts w:ascii="Arial" w:hAnsi="Arial" w:cs="Arial"/>
        </w:rPr>
      </w:pPr>
    </w:p>
    <w:p w:rsidR="002D298F" w:rsidRDefault="002D298F" w:rsidP="002D298F">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7"/>
      </w:r>
      <w:r w:rsidRPr="0098589D">
        <w:rPr>
          <w:rFonts w:ascii="Arial" w:hAnsi="Arial" w:cs="Arial"/>
        </w:rPr>
        <w:t>, con apoyo en un precedente anterior de 2003</w:t>
      </w:r>
      <w:r w:rsidRPr="0098589D">
        <w:rPr>
          <w:rStyle w:val="Appelnotedebasdep"/>
          <w:rFonts w:ascii="Arial" w:hAnsi="Arial" w:cs="Arial"/>
        </w:rPr>
        <w:footnoteReference w:id="8"/>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9"/>
      </w:r>
      <w:r w:rsidRPr="0098589D">
        <w:rPr>
          <w:rFonts w:ascii="Arial" w:hAnsi="Arial" w:cs="Arial"/>
        </w:rPr>
        <w:t>.</w:t>
      </w:r>
    </w:p>
    <w:p w:rsidR="002D298F" w:rsidRDefault="002D298F" w:rsidP="002D298F">
      <w:pPr>
        <w:spacing w:line="360" w:lineRule="auto"/>
        <w:ind w:right="22"/>
        <w:jc w:val="both"/>
        <w:rPr>
          <w:rFonts w:ascii="Arial" w:hAnsi="Arial" w:cs="Arial"/>
          <w:lang w:val="es-CO"/>
        </w:rPr>
      </w:pPr>
    </w:p>
    <w:p w:rsidR="00EA4E66" w:rsidRPr="00EC12E0" w:rsidRDefault="00EA4E66" w:rsidP="002D298F">
      <w:pPr>
        <w:spacing w:line="360" w:lineRule="auto"/>
        <w:ind w:right="22"/>
        <w:jc w:val="both"/>
        <w:rPr>
          <w:rFonts w:ascii="Arial" w:hAnsi="Arial" w:cs="Arial"/>
          <w:lang w:val="es-CO"/>
        </w:rPr>
      </w:pPr>
    </w:p>
    <w:p w:rsidR="002D298F" w:rsidRPr="00825F31" w:rsidRDefault="002D298F" w:rsidP="002D298F">
      <w:pPr>
        <w:spacing w:line="360" w:lineRule="auto"/>
        <w:jc w:val="both"/>
        <w:rPr>
          <w:rFonts w:ascii="Arial" w:hAnsi="Arial" w:cs="Arial"/>
          <w:lang w:val="es-ES_tradnl"/>
        </w:rPr>
      </w:pPr>
      <w:r>
        <w:rPr>
          <w:rFonts w:ascii="Arial" w:hAnsi="Arial" w:cs="Arial"/>
          <w:lang w:val="es-ES_tradnl"/>
        </w:rPr>
        <w:lastRenderedPageBreak/>
        <w:t>Nuestro órgano de cierre en la especialidad constitucional</w:t>
      </w:r>
      <w:r>
        <w:rPr>
          <w:rStyle w:val="Appelnotedebasdep"/>
          <w:rFonts w:ascii="Arial" w:hAnsi="Arial" w:cs="Arial"/>
        </w:rPr>
        <w:footnoteReference w:id="10"/>
      </w:r>
      <w:r>
        <w:rPr>
          <w:rFonts w:ascii="Arial" w:hAnsi="Arial" w:cs="Arial"/>
          <w:vertAlign w:val="superscript"/>
          <w:lang w:val="es-ES_tradnl"/>
        </w:rPr>
        <w:t>-</w:t>
      </w:r>
      <w:r>
        <w:rPr>
          <w:rStyle w:val="Appelnotedebasdep"/>
          <w:rFonts w:ascii="Arial" w:hAnsi="Arial"/>
          <w:lang w:val="es-ES_tradnl"/>
        </w:rPr>
        <w:footnoteReference w:id="11"/>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Pr>
          <w:rFonts w:ascii="Arial" w:hAnsi="Arial" w:cs="Arial"/>
          <w:lang w:val="es-ES_tradnl"/>
        </w:rPr>
        <w:t>explicó</w:t>
      </w:r>
      <w:r w:rsidRPr="00825F31">
        <w:rPr>
          <w:rFonts w:ascii="Arial" w:hAnsi="Arial" w:cs="Arial"/>
          <w:lang w:val="es-ES_tradnl"/>
        </w:rPr>
        <w:t>:</w:t>
      </w:r>
    </w:p>
    <w:p w:rsidR="002D298F" w:rsidRPr="00002C46" w:rsidRDefault="002D298F" w:rsidP="002D298F">
      <w:pPr>
        <w:ind w:left="567"/>
        <w:jc w:val="both"/>
        <w:rPr>
          <w:rFonts w:ascii="Arial" w:hAnsi="Arial" w:cs="Arial"/>
          <w:sz w:val="28"/>
          <w:lang w:val="es-ES_tradnl"/>
        </w:rPr>
      </w:pPr>
    </w:p>
    <w:p w:rsidR="002D298F" w:rsidRDefault="002D298F" w:rsidP="002D298F">
      <w:pPr>
        <w:ind w:left="567" w:right="567"/>
        <w:jc w:val="both"/>
        <w:rPr>
          <w:rFonts w:ascii="Arial" w:hAnsi="Arial" w:cs="Arial"/>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1C5E99" w:rsidRDefault="001C5E99" w:rsidP="002D298F">
      <w:pPr>
        <w:ind w:left="567" w:right="567"/>
        <w:jc w:val="both"/>
        <w:rPr>
          <w:rFonts w:ascii="Arial" w:hAnsi="Arial" w:cs="Arial"/>
          <w:lang w:val="es-CO"/>
        </w:rPr>
      </w:pPr>
    </w:p>
    <w:p w:rsidR="001C5E99" w:rsidRDefault="001C5E99" w:rsidP="002D298F">
      <w:pPr>
        <w:ind w:left="567" w:right="567"/>
        <w:jc w:val="both"/>
        <w:rPr>
          <w:rFonts w:ascii="Arial" w:hAnsi="Arial" w:cs="Arial"/>
          <w:lang w:val="es-CO"/>
        </w:rPr>
      </w:pPr>
    </w:p>
    <w:p w:rsidR="00144E2B" w:rsidRPr="007F02B5" w:rsidRDefault="00602EB1" w:rsidP="001C5E99">
      <w:pPr>
        <w:pStyle w:val="Paragraphedeliste"/>
        <w:numPr>
          <w:ilvl w:val="2"/>
          <w:numId w:val="45"/>
        </w:numPr>
        <w:shd w:val="clear" w:color="auto" w:fill="FFFFFF"/>
        <w:spacing w:after="0" w:line="360" w:lineRule="auto"/>
        <w:ind w:right="567"/>
        <w:jc w:val="both"/>
        <w:textAlignment w:val="baseline"/>
        <w:rPr>
          <w:rFonts w:ascii="Arial" w:hAnsi="Arial" w:cs="Arial"/>
          <w:smallCaps/>
          <w:szCs w:val="28"/>
          <w:shd w:val="clear" w:color="auto" w:fill="FFFFFF"/>
        </w:rPr>
      </w:pPr>
      <w:r>
        <w:rPr>
          <w:rFonts w:ascii="Arial" w:hAnsi="Arial" w:cs="Arial"/>
          <w:smallCaps/>
          <w:sz w:val="24"/>
          <w:szCs w:val="28"/>
          <w:shd w:val="clear" w:color="auto" w:fill="FFFFFF"/>
        </w:rPr>
        <w:t>La subsidiariedad</w:t>
      </w:r>
    </w:p>
    <w:p w:rsidR="001C5E99" w:rsidRDefault="001C5E99" w:rsidP="001C5E99">
      <w:pPr>
        <w:spacing w:line="360" w:lineRule="auto"/>
        <w:ind w:right="51"/>
        <w:jc w:val="both"/>
        <w:rPr>
          <w:rFonts w:ascii="Arial" w:hAnsi="Arial" w:cs="Arial"/>
        </w:rPr>
      </w:pPr>
    </w:p>
    <w:p w:rsidR="00144E2B" w:rsidRPr="00AC67A1" w:rsidRDefault="00144E2B" w:rsidP="001C5E99">
      <w:pPr>
        <w:spacing w:line="360" w:lineRule="auto"/>
        <w:ind w:right="51"/>
        <w:jc w:val="both"/>
        <w:rPr>
          <w:rFonts w:ascii="Arial" w:hAnsi="Arial" w:cs="Arial"/>
        </w:rPr>
      </w:pPr>
      <w:r>
        <w:rPr>
          <w:rFonts w:ascii="Arial" w:hAnsi="Arial" w:cs="Arial"/>
        </w:rPr>
        <w:t xml:space="preserve">La citada </w:t>
      </w:r>
      <w:r w:rsidRPr="00A75AE4">
        <w:rPr>
          <w:rFonts w:ascii="Arial" w:hAnsi="Arial" w:cs="Arial"/>
        </w:rPr>
        <w:t xml:space="preserve">Corporación también ha señalado que existen, al menos, dos excepciones a la regla </w:t>
      </w:r>
      <w:r>
        <w:rPr>
          <w:rFonts w:ascii="Arial" w:hAnsi="Arial" w:cs="Arial"/>
        </w:rPr>
        <w:t>general</w:t>
      </w:r>
      <w:r w:rsidRPr="00A75AE4">
        <w:rPr>
          <w:rFonts w:ascii="Arial" w:hAnsi="Arial" w:cs="Arial"/>
          <w:vertAlign w:val="superscript"/>
        </w:rPr>
        <w:footnoteReference w:id="12"/>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13"/>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14"/>
      </w:r>
      <w:r>
        <w:rPr>
          <w:rFonts w:ascii="Arial" w:hAnsi="Arial" w:cs="Arial"/>
        </w:rPr>
        <w:t>,</w:t>
      </w:r>
      <w:r w:rsidRPr="00A75AE4">
        <w:rPr>
          <w:rFonts w:ascii="Arial" w:hAnsi="Arial" w:cs="Arial"/>
        </w:rPr>
        <w:t xml:space="preserve"> y </w:t>
      </w:r>
      <w:r w:rsidRPr="00AC67A1">
        <w:rPr>
          <w:rFonts w:ascii="Arial" w:hAnsi="Arial" w:cs="Arial"/>
        </w:rPr>
        <w:t>(ii) cuando se trata de evitar la ocurrencia de un perjuicio irremediable</w:t>
      </w:r>
      <w:r w:rsidRPr="00AC67A1">
        <w:rPr>
          <w:rFonts w:ascii="Arial" w:hAnsi="Arial" w:cs="Arial"/>
          <w:vertAlign w:val="superscript"/>
        </w:rPr>
        <w:footnoteReference w:id="15"/>
      </w:r>
      <w:r w:rsidRPr="00AC67A1">
        <w:rPr>
          <w:rFonts w:ascii="Arial" w:hAnsi="Arial" w:cs="Arial"/>
        </w:rPr>
        <w:t>.</w:t>
      </w:r>
    </w:p>
    <w:p w:rsidR="00144E2B" w:rsidRPr="00547A26" w:rsidRDefault="00144E2B" w:rsidP="00144E2B">
      <w:pPr>
        <w:spacing w:line="360" w:lineRule="auto"/>
        <w:ind w:right="51"/>
        <w:jc w:val="both"/>
        <w:rPr>
          <w:rFonts w:ascii="Arial" w:hAnsi="Arial" w:cs="Arial"/>
          <w:sz w:val="22"/>
          <w:u w:val="single"/>
        </w:rPr>
      </w:pPr>
    </w:p>
    <w:p w:rsidR="007F02B5" w:rsidRPr="00B308B5" w:rsidRDefault="007F02B5" w:rsidP="007F02B5">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proofErr w:type="spellStart"/>
      <w:r w:rsidRPr="0082008F">
        <w:rPr>
          <w:rFonts w:ascii="Arial" w:hAnsi="Arial" w:cs="Arial"/>
          <w:i/>
          <w:szCs w:val="28"/>
        </w:rPr>
        <w:t>iusfundamental</w:t>
      </w:r>
      <w:proofErr w:type="spellEnd"/>
      <w:r>
        <w:rPr>
          <w:rFonts w:ascii="Arial" w:hAnsi="Arial" w:cs="Arial"/>
          <w:szCs w:val="28"/>
        </w:rPr>
        <w:t xml:space="preserve"> pretendida; en realidad, la cuestión medular se centra en la viabilidad por virtud del daño irreparable que se logre invocar y probar.</w:t>
      </w:r>
    </w:p>
    <w:p w:rsidR="007F02B5" w:rsidRPr="00895D52" w:rsidRDefault="007F02B5" w:rsidP="007F02B5">
      <w:pPr>
        <w:spacing w:line="360" w:lineRule="auto"/>
        <w:ind w:right="-6"/>
        <w:rPr>
          <w:rFonts w:ascii="Arial" w:hAnsi="Arial" w:cs="Arial"/>
          <w:sz w:val="20"/>
        </w:rPr>
      </w:pPr>
    </w:p>
    <w:p w:rsidR="007F02B5" w:rsidRDefault="007F02B5" w:rsidP="007F02B5">
      <w:pPr>
        <w:spacing w:line="360"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w:t>
      </w:r>
      <w:proofErr w:type="spellStart"/>
      <w:r w:rsidRPr="00B308B5">
        <w:rPr>
          <w:rFonts w:ascii="Arial" w:hAnsi="Arial" w:cs="Arial"/>
        </w:rPr>
        <w:t>irremediabilidad</w:t>
      </w:r>
      <w:proofErr w:type="spellEnd"/>
      <w:r w:rsidRPr="00B308B5">
        <w:rPr>
          <w:rFonts w:ascii="Arial" w:hAnsi="Arial" w:cs="Arial"/>
        </w:rPr>
        <w:t xml:space="preserve"> del perjuicio, la </w:t>
      </w:r>
      <w:r>
        <w:rPr>
          <w:rFonts w:ascii="Arial" w:hAnsi="Arial" w:cs="Arial"/>
        </w:rPr>
        <w:t>CC</w:t>
      </w:r>
      <w:r>
        <w:rPr>
          <w:rStyle w:val="Appelnotedebasdep"/>
          <w:rFonts w:ascii="Arial" w:hAnsi="Arial"/>
        </w:rPr>
        <w:footnoteReference w:id="16"/>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 xml:space="preserve">la </w:t>
      </w:r>
      <w:proofErr w:type="spellStart"/>
      <w:r w:rsidRPr="00E06BD5">
        <w:rPr>
          <w:rFonts w:ascii="Arial" w:hAnsi="Arial" w:cs="Arial"/>
          <w:i/>
          <w:sz w:val="22"/>
          <w:u w:val="single"/>
        </w:rPr>
        <w:t>impostergabilidad</w:t>
      </w:r>
      <w:proofErr w:type="spellEnd"/>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7"/>
      </w:r>
      <w:r w:rsidRPr="00B308B5">
        <w:rPr>
          <w:rFonts w:ascii="Arial" w:hAnsi="Arial" w:cs="Arial"/>
          <w:vertAlign w:val="superscript"/>
        </w:rPr>
        <w:t xml:space="preserve"> </w:t>
      </w:r>
      <w:r>
        <w:rPr>
          <w:rFonts w:ascii="Arial" w:hAnsi="Arial" w:cs="Arial"/>
        </w:rPr>
        <w:t xml:space="preserve">”.  </w:t>
      </w:r>
    </w:p>
    <w:p w:rsidR="007F02B5" w:rsidRPr="00895D52" w:rsidRDefault="007F02B5" w:rsidP="007F02B5">
      <w:pPr>
        <w:spacing w:line="360" w:lineRule="auto"/>
        <w:ind w:right="51"/>
        <w:jc w:val="both"/>
        <w:rPr>
          <w:rFonts w:ascii="Arial" w:hAnsi="Arial"/>
          <w:sz w:val="20"/>
          <w:lang w:val="es-ES_tradnl"/>
        </w:rPr>
      </w:pPr>
    </w:p>
    <w:p w:rsidR="007F02B5" w:rsidRDefault="007F02B5" w:rsidP="007F02B5">
      <w:pPr>
        <w:spacing w:line="360" w:lineRule="auto"/>
        <w:ind w:right="51"/>
        <w:jc w:val="both"/>
        <w:rPr>
          <w:rFonts w:ascii="Arial" w:hAnsi="Arial" w:cs="Arial"/>
          <w:i/>
          <w:sz w:val="22"/>
          <w:szCs w:val="22"/>
        </w:rPr>
      </w:pPr>
      <w:r w:rsidRPr="001405D8">
        <w:rPr>
          <w:rFonts w:ascii="Arial" w:hAnsi="Arial" w:cs="Arial"/>
        </w:rPr>
        <w:t>Es que no basta la constatación de cualquier perjuicio, en sede de tutela es insuficiente pregonar que todo daño pueda precaverse por esta excepcionalísima vía, debe estar provisto de las características apuntadas, explica la Corte</w:t>
      </w:r>
      <w:r>
        <w:rPr>
          <w:rStyle w:val="Appelnotedebasdep"/>
          <w:rFonts w:ascii="Arial" w:hAnsi="Arial"/>
          <w:sz w:val="22"/>
        </w:rPr>
        <w:footnoteReference w:id="18"/>
      </w:r>
      <w:r>
        <w:rPr>
          <w:rFonts w:ascii="Arial" w:hAnsi="Arial" w:cs="Arial"/>
          <w:sz w:val="22"/>
        </w:rPr>
        <w:t xml:space="preserve">: </w:t>
      </w:r>
      <w:r w:rsidRPr="001405D8">
        <w:rPr>
          <w:rFonts w:ascii="Arial" w:hAnsi="Arial" w:cs="Arial"/>
        </w:rPr>
        <w:t>“</w:t>
      </w:r>
      <w:r w:rsidRPr="001405D8">
        <w:rPr>
          <w:rFonts w:ascii="Arial" w:hAnsi="Arial" w:cs="Arial"/>
          <w:i/>
          <w:sz w:val="22"/>
          <w:szCs w:val="22"/>
        </w:rPr>
        <w:t>En consecuencia, no todo perjuicio puede ser considerado como irremediable, sino solo aquel que por sus características de inminencia y gravedad, requiera de medidas de protección urgentes e impostergables.”.</w:t>
      </w:r>
    </w:p>
    <w:p w:rsidR="007F02B5" w:rsidRPr="00895D52" w:rsidRDefault="007F02B5" w:rsidP="007F02B5">
      <w:pPr>
        <w:pStyle w:val="Corpsdetexte"/>
        <w:tabs>
          <w:tab w:val="clear" w:pos="708"/>
          <w:tab w:val="clear" w:pos="1416"/>
          <w:tab w:val="left" w:pos="709"/>
          <w:tab w:val="left" w:pos="1418"/>
        </w:tabs>
        <w:spacing w:line="360" w:lineRule="auto"/>
        <w:rPr>
          <w:rFonts w:ascii="Arial" w:hAnsi="Arial"/>
          <w:szCs w:val="24"/>
        </w:rPr>
      </w:pPr>
    </w:p>
    <w:p w:rsidR="007F02B5" w:rsidRDefault="0023058C" w:rsidP="007F02B5">
      <w:pPr>
        <w:spacing w:line="360" w:lineRule="auto"/>
        <w:ind w:right="51"/>
        <w:jc w:val="both"/>
        <w:rPr>
          <w:rFonts w:ascii="Arial" w:hAnsi="Arial"/>
        </w:rPr>
      </w:pPr>
      <w:r>
        <w:rPr>
          <w:rFonts w:ascii="Arial" w:hAnsi="Arial"/>
        </w:rPr>
        <w:t xml:space="preserve">Sus </w:t>
      </w:r>
      <w:r w:rsidR="007F02B5">
        <w:rPr>
          <w:rFonts w:ascii="Arial" w:hAnsi="Arial"/>
        </w:rPr>
        <w:t>características conservan vigencia</w:t>
      </w:r>
      <w:r w:rsidR="007F02B5">
        <w:rPr>
          <w:rStyle w:val="Appelnotedebasdep"/>
          <w:rFonts w:ascii="Arial" w:hAnsi="Arial"/>
        </w:rPr>
        <w:footnoteReference w:id="19"/>
      </w:r>
      <w:r>
        <w:rPr>
          <w:rFonts w:ascii="Arial" w:hAnsi="Arial"/>
        </w:rPr>
        <w:t xml:space="preserve"> y</w:t>
      </w:r>
      <w:r w:rsidR="007F02B5">
        <w:rPr>
          <w:rFonts w:ascii="Arial" w:hAnsi="Arial"/>
        </w:rPr>
        <w:t xml:space="preserve"> </w:t>
      </w:r>
      <w:r>
        <w:rPr>
          <w:rFonts w:ascii="Arial" w:hAnsi="Arial"/>
        </w:rPr>
        <w:t>a</w:t>
      </w:r>
      <w:r w:rsidR="007F02B5">
        <w:rPr>
          <w:rFonts w:ascii="Arial" w:hAnsi="Arial"/>
        </w:rPr>
        <w:t>l respecto existe precedente horizontal de esta Sala del Tribunal</w:t>
      </w:r>
      <w:r w:rsidR="007F02B5">
        <w:rPr>
          <w:rStyle w:val="Appelnotedebasdep"/>
          <w:rFonts w:ascii="Arial" w:hAnsi="Arial"/>
        </w:rPr>
        <w:footnoteReference w:id="20"/>
      </w:r>
      <w:r w:rsidR="007F02B5">
        <w:rPr>
          <w:rFonts w:ascii="Arial" w:hAnsi="Arial"/>
        </w:rPr>
        <w:t>. También la CSJ</w:t>
      </w:r>
      <w:r w:rsidR="007F02B5">
        <w:rPr>
          <w:rStyle w:val="Appelnotedebasdep"/>
          <w:rFonts w:ascii="Arial" w:hAnsi="Arial"/>
        </w:rPr>
        <w:footnoteReference w:id="21"/>
      </w:r>
      <w:r w:rsidR="007F02B5">
        <w:rPr>
          <w:rFonts w:ascii="Arial" w:hAnsi="Arial"/>
        </w:rPr>
        <w:t>, órgano de cierre de esta Corporación, ha sido reiterativ</w:t>
      </w:r>
      <w:r>
        <w:rPr>
          <w:rFonts w:ascii="Arial" w:hAnsi="Arial"/>
        </w:rPr>
        <w:t>a</w:t>
      </w:r>
      <w:r w:rsidR="007F02B5">
        <w:rPr>
          <w:rFonts w:ascii="Arial" w:hAnsi="Arial"/>
        </w:rPr>
        <w:t xml:space="preserve"> en cuanto a la improcedencia del amparo constitucional por el incumplimiento del supuesto de subsidiariedad y la ausencia de demostración del perjuicio irremediable y al efecto ha dicho</w:t>
      </w:r>
      <w:r w:rsidR="007F02B5">
        <w:rPr>
          <w:rStyle w:val="Appelnotedebasdep"/>
          <w:rFonts w:ascii="Arial" w:hAnsi="Arial"/>
        </w:rPr>
        <w:footnoteReference w:id="22"/>
      </w:r>
      <w:r w:rsidR="007F02B5">
        <w:rPr>
          <w:rFonts w:ascii="Arial" w:hAnsi="Arial"/>
        </w:rPr>
        <w:t xml:space="preserve">: </w:t>
      </w:r>
    </w:p>
    <w:p w:rsidR="0023058C" w:rsidRDefault="0023058C" w:rsidP="007F02B5">
      <w:pPr>
        <w:ind w:left="567" w:right="618"/>
        <w:jc w:val="both"/>
        <w:rPr>
          <w:rFonts w:ascii="Arial" w:hAnsi="Arial" w:cs="Arial"/>
        </w:rPr>
      </w:pPr>
    </w:p>
    <w:p w:rsidR="007F02B5" w:rsidRPr="004C6ED5" w:rsidRDefault="00602EB1" w:rsidP="007F02B5">
      <w:pPr>
        <w:ind w:left="567" w:right="618"/>
        <w:jc w:val="both"/>
        <w:rPr>
          <w:rFonts w:ascii="Arial" w:hAnsi="Arial" w:cs="Arial"/>
          <w:lang w:val="es-ES_tradnl"/>
        </w:rPr>
      </w:pPr>
      <w:r>
        <w:rPr>
          <w:rFonts w:ascii="Arial" w:hAnsi="Arial" w:cs="Arial"/>
        </w:rPr>
        <w:t>…</w:t>
      </w:r>
      <w:r w:rsidR="007F02B5" w:rsidRPr="004C6ED5">
        <w:rPr>
          <w:rFonts w:ascii="Arial" w:hAnsi="Arial" w:cs="Arial"/>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007F02B5" w:rsidRPr="004C6ED5">
        <w:rPr>
          <w:rFonts w:ascii="Arial" w:hAnsi="Arial" w:cs="Arial"/>
          <w:lang w:val="es-ES_tradnl"/>
        </w:rPr>
        <w:t xml:space="preserve">2006-00227-01; criterio reiterado en </w:t>
      </w:r>
      <w:r w:rsidR="007F02B5" w:rsidRPr="004C6ED5">
        <w:rPr>
          <w:rFonts w:ascii="Arial" w:hAnsi="Arial" w:cs="Arial"/>
          <w:iCs/>
          <w:lang w:val="es-CO"/>
        </w:rPr>
        <w:t>STC7077-2014 y STC16698-2015</w:t>
      </w:r>
      <w:r w:rsidR="007F02B5" w:rsidRPr="004C6ED5">
        <w:rPr>
          <w:rFonts w:ascii="Arial" w:hAnsi="Arial" w:cs="Arial"/>
          <w:lang w:val="es-ES_tradnl"/>
        </w:rPr>
        <w:t>). (STC4676-2016, 15 abr. 2016, rad. 2016-00039-01)”</w:t>
      </w:r>
      <w:r>
        <w:rPr>
          <w:rFonts w:ascii="Arial" w:hAnsi="Arial" w:cs="Arial"/>
          <w:lang w:val="es-ES_tradnl"/>
        </w:rPr>
        <w:t>…</w:t>
      </w:r>
    </w:p>
    <w:p w:rsidR="007F02B5" w:rsidRPr="004C6ED5" w:rsidRDefault="007F02B5" w:rsidP="007F02B5">
      <w:pPr>
        <w:spacing w:line="360" w:lineRule="auto"/>
        <w:ind w:right="51"/>
        <w:jc w:val="both"/>
        <w:rPr>
          <w:rFonts w:ascii="Arial" w:hAnsi="Arial" w:cs="Arial"/>
          <w:sz w:val="28"/>
          <w:lang w:val="es-CO"/>
        </w:rPr>
      </w:pPr>
    </w:p>
    <w:p w:rsidR="00283803" w:rsidRDefault="00283803" w:rsidP="008B10CC">
      <w:pPr>
        <w:pStyle w:val="Corpsdetexte"/>
        <w:widowControl w:val="0"/>
        <w:numPr>
          <w:ilvl w:val="0"/>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283803">
        <w:rPr>
          <w:rFonts w:ascii="Arial" w:hAnsi="Arial" w:cs="Arial"/>
          <w:sz w:val="24"/>
          <w:szCs w:val="24"/>
        </w:rPr>
        <w:t>EL CASO CONCRETO QUE SE ANALIZA</w:t>
      </w:r>
    </w:p>
    <w:p w:rsidR="008B10CC" w:rsidRPr="00283803" w:rsidRDefault="008B10CC" w:rsidP="00EA4E6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390"/>
        <w:rPr>
          <w:rFonts w:ascii="Arial" w:hAnsi="Arial" w:cs="Arial"/>
          <w:sz w:val="24"/>
          <w:szCs w:val="24"/>
        </w:rPr>
      </w:pPr>
    </w:p>
    <w:p w:rsidR="0023058C" w:rsidRDefault="0023058C" w:rsidP="0023058C">
      <w:pPr>
        <w:spacing w:line="360" w:lineRule="auto"/>
        <w:jc w:val="both"/>
        <w:rPr>
          <w:rFonts w:ascii="Arial" w:hAnsi="Arial"/>
          <w:lang w:val="es-ES_tradnl"/>
        </w:rPr>
      </w:pPr>
      <w:r w:rsidRPr="00570352">
        <w:rPr>
          <w:rFonts w:ascii="Arial" w:hAnsi="Arial"/>
          <w:lang w:val="es-ES_tradnl"/>
        </w:rPr>
        <w:t xml:space="preserve">Partiendo </w:t>
      </w:r>
      <w:r>
        <w:rPr>
          <w:rFonts w:ascii="Arial" w:hAnsi="Arial"/>
          <w:lang w:val="es-ES_tradnl"/>
        </w:rPr>
        <w:t xml:space="preserve">entonces </w:t>
      </w:r>
      <w:r w:rsidRPr="00570352">
        <w:rPr>
          <w:rFonts w:ascii="Arial" w:hAnsi="Arial"/>
          <w:lang w:val="es-ES_tradnl"/>
        </w:rPr>
        <w:t xml:space="preserve">de las premisas jurídicas anotadas, advierte esta Sala que debe </w:t>
      </w:r>
      <w:r>
        <w:rPr>
          <w:rFonts w:ascii="Arial" w:hAnsi="Arial"/>
          <w:lang w:val="es-ES_tradnl"/>
        </w:rPr>
        <w:t xml:space="preserve">confirmarse </w:t>
      </w:r>
      <w:r w:rsidRPr="00570352">
        <w:rPr>
          <w:rFonts w:ascii="Arial" w:hAnsi="Arial"/>
          <w:lang w:val="es-ES_tradnl"/>
        </w:rPr>
        <w:t>la sentencia de primer grado</w:t>
      </w:r>
      <w:r>
        <w:rPr>
          <w:rFonts w:ascii="Arial" w:hAnsi="Arial"/>
          <w:lang w:val="es-ES_tradnl"/>
        </w:rPr>
        <w:t>,</w:t>
      </w:r>
      <w:r w:rsidRPr="00570352">
        <w:rPr>
          <w:rFonts w:ascii="Arial" w:hAnsi="Arial"/>
          <w:lang w:val="es-ES_tradnl"/>
        </w:rPr>
        <w:t xml:space="preserve"> por cuanto </w:t>
      </w:r>
      <w:r>
        <w:rPr>
          <w:rFonts w:ascii="Arial" w:hAnsi="Arial"/>
          <w:lang w:val="es-ES_tradnl"/>
        </w:rPr>
        <w:t>el presente amparo incumple con los requisitos de procedibilidad de la inmediatez y de la subsidiariedad.</w:t>
      </w:r>
    </w:p>
    <w:p w:rsidR="00AF577F" w:rsidRPr="008B10CC" w:rsidRDefault="00AF577F" w:rsidP="008B10CC">
      <w:pPr>
        <w:pStyle w:val="Paragraphedeliste"/>
        <w:numPr>
          <w:ilvl w:val="1"/>
          <w:numId w:val="45"/>
        </w:numPr>
        <w:spacing w:after="0" w:line="360" w:lineRule="auto"/>
        <w:jc w:val="both"/>
        <w:rPr>
          <w:rFonts w:ascii="Arial" w:hAnsi="Arial" w:cs="Arial"/>
          <w:lang w:val="es-ES_tradnl"/>
        </w:rPr>
      </w:pPr>
      <w:r w:rsidRPr="008B10CC">
        <w:rPr>
          <w:rFonts w:ascii="Arial" w:hAnsi="Arial" w:cs="Arial"/>
          <w:smallCaps/>
          <w:lang w:val="es-ES_tradnl"/>
        </w:rPr>
        <w:lastRenderedPageBreak/>
        <w:t>La inmediatez</w:t>
      </w:r>
      <w:r w:rsidRPr="008B10CC">
        <w:rPr>
          <w:rFonts w:ascii="Arial" w:hAnsi="Arial" w:cs="Arial"/>
          <w:lang w:val="es-ES_tradnl"/>
        </w:rPr>
        <w:t xml:space="preserve"> </w:t>
      </w:r>
    </w:p>
    <w:p w:rsidR="0027495F" w:rsidRPr="00602EB1" w:rsidRDefault="0027495F" w:rsidP="008B10CC">
      <w:pPr>
        <w:spacing w:line="360" w:lineRule="auto"/>
        <w:jc w:val="both"/>
        <w:rPr>
          <w:rFonts w:ascii="Arial" w:hAnsi="Arial" w:cs="Arial"/>
          <w:sz w:val="22"/>
        </w:rPr>
      </w:pPr>
    </w:p>
    <w:p w:rsidR="00B81415" w:rsidRDefault="0023058C" w:rsidP="008B10CC">
      <w:pPr>
        <w:spacing w:line="360" w:lineRule="auto"/>
        <w:jc w:val="both"/>
        <w:rPr>
          <w:rFonts w:ascii="Arial" w:hAnsi="Arial" w:cs="Arial"/>
        </w:rPr>
      </w:pPr>
      <w:r>
        <w:rPr>
          <w:rFonts w:ascii="Arial" w:hAnsi="Arial" w:cs="Arial"/>
        </w:rPr>
        <w:t xml:space="preserve">Se pretende con la acción que se disponga el reintegro del actor al cargo que desempeñaba y que dio </w:t>
      </w:r>
      <w:r w:rsidR="001C5E99">
        <w:rPr>
          <w:rFonts w:ascii="Arial" w:hAnsi="Arial" w:cs="Arial"/>
        </w:rPr>
        <w:t xml:space="preserve">por </w:t>
      </w:r>
      <w:r>
        <w:rPr>
          <w:rFonts w:ascii="Arial" w:hAnsi="Arial" w:cs="Arial"/>
        </w:rPr>
        <w:t>terminado la autoridad accionada mediante el Decreto No.0424 de 30-03-2015</w:t>
      </w:r>
      <w:r w:rsidR="0020712D">
        <w:rPr>
          <w:rFonts w:ascii="Arial" w:hAnsi="Arial" w:cs="Arial"/>
        </w:rPr>
        <w:t xml:space="preserve">, </w:t>
      </w:r>
      <w:r w:rsidR="00F036BE">
        <w:rPr>
          <w:rFonts w:ascii="Arial" w:hAnsi="Arial" w:cs="Arial"/>
        </w:rPr>
        <w:t xml:space="preserve">lo que implica que carece de inmediatez, pues su interposición </w:t>
      </w:r>
      <w:r w:rsidR="00B81415">
        <w:rPr>
          <w:rFonts w:ascii="Arial" w:hAnsi="Arial" w:cs="Arial"/>
        </w:rPr>
        <w:t>desborda el plazo de los 6 meses fijado por la jurisprudencia</w:t>
      </w:r>
      <w:r w:rsidR="004916BD">
        <w:rPr>
          <w:rStyle w:val="Appelnotedebasdep"/>
          <w:rFonts w:ascii="Arial" w:hAnsi="Arial"/>
        </w:rPr>
        <w:footnoteReference w:id="23"/>
      </w:r>
      <w:r w:rsidR="004916BD">
        <w:rPr>
          <w:rFonts w:ascii="Arial" w:hAnsi="Arial" w:cs="Arial"/>
        </w:rPr>
        <w:t>,</w:t>
      </w:r>
      <w:r w:rsidR="00B81415">
        <w:rPr>
          <w:rFonts w:ascii="Arial" w:hAnsi="Arial" w:cs="Arial"/>
        </w:rPr>
        <w:t xml:space="preserve"> razonable para interponerla</w:t>
      </w:r>
      <w:r w:rsidR="004916BD">
        <w:rPr>
          <w:rFonts w:ascii="Arial" w:hAnsi="Arial" w:cs="Arial"/>
        </w:rPr>
        <w:t xml:space="preserve">, ya que han transcurrido aproximadamente </w:t>
      </w:r>
      <w:r>
        <w:rPr>
          <w:rFonts w:ascii="Arial" w:hAnsi="Arial" w:cs="Arial"/>
        </w:rPr>
        <w:t xml:space="preserve">dieciocho </w:t>
      </w:r>
      <w:r w:rsidR="004916BD">
        <w:rPr>
          <w:rFonts w:ascii="Arial" w:hAnsi="Arial" w:cs="Arial"/>
        </w:rPr>
        <w:t>(</w:t>
      </w:r>
      <w:r>
        <w:rPr>
          <w:rFonts w:ascii="Arial" w:hAnsi="Arial" w:cs="Arial"/>
        </w:rPr>
        <w:t>18</w:t>
      </w:r>
      <w:r w:rsidR="004916BD">
        <w:rPr>
          <w:rFonts w:ascii="Arial" w:hAnsi="Arial" w:cs="Arial"/>
        </w:rPr>
        <w:t xml:space="preserve">) </w:t>
      </w:r>
      <w:r w:rsidR="00780F06">
        <w:rPr>
          <w:rFonts w:ascii="Arial" w:hAnsi="Arial" w:cs="Arial"/>
        </w:rPr>
        <w:t xml:space="preserve">meses </w:t>
      </w:r>
      <w:r>
        <w:rPr>
          <w:rFonts w:ascii="Arial" w:hAnsi="Arial" w:cs="Arial"/>
        </w:rPr>
        <w:t>al día de su promoción (26-09-2016)</w:t>
      </w:r>
      <w:r w:rsidR="004916BD">
        <w:rPr>
          <w:rFonts w:ascii="Arial" w:hAnsi="Arial" w:cs="Arial"/>
        </w:rPr>
        <w:t>.</w:t>
      </w:r>
      <w:r w:rsidR="00B81415">
        <w:rPr>
          <w:rFonts w:ascii="Arial" w:hAnsi="Arial" w:cs="Arial"/>
        </w:rPr>
        <w:t xml:space="preserve"> </w:t>
      </w:r>
    </w:p>
    <w:p w:rsidR="006A141C" w:rsidRPr="00602EB1" w:rsidRDefault="006A141C" w:rsidP="00B81415">
      <w:pPr>
        <w:spacing w:line="360" w:lineRule="auto"/>
        <w:jc w:val="both"/>
        <w:rPr>
          <w:rFonts w:ascii="Arial" w:hAnsi="Arial" w:cs="Arial"/>
          <w:sz w:val="22"/>
        </w:rPr>
      </w:pPr>
    </w:p>
    <w:p w:rsidR="00826F86" w:rsidRDefault="0023058C" w:rsidP="00B81415">
      <w:pPr>
        <w:spacing w:line="360" w:lineRule="auto"/>
        <w:jc w:val="both"/>
        <w:rPr>
          <w:rFonts w:ascii="Arial" w:hAnsi="Arial" w:cs="Arial"/>
        </w:rPr>
      </w:pPr>
      <w:r>
        <w:rPr>
          <w:rFonts w:ascii="Arial" w:hAnsi="Arial" w:cs="Arial"/>
        </w:rPr>
        <w:t>E</w:t>
      </w:r>
      <w:r w:rsidR="00B81415">
        <w:rPr>
          <w:rFonts w:ascii="Arial" w:hAnsi="Arial" w:cs="Arial"/>
        </w:rPr>
        <w:t xml:space="preserve">s cierto que conforme a la doctrina, el juez de la causa debe tener flexibilidad en la aplicación de este principio, pero a ese </w:t>
      </w:r>
      <w:r w:rsidR="00B81415">
        <w:rPr>
          <w:rFonts w:ascii="Arial" w:hAnsi="Arial" w:cs="Arial"/>
          <w:lang w:val="es-ES_tradnl"/>
        </w:rPr>
        <w:t xml:space="preserve">tenor, se debe </w:t>
      </w:r>
      <w:r w:rsidR="00B81415" w:rsidRPr="008B0539">
        <w:rPr>
          <w:rFonts w:ascii="Arial" w:hAnsi="Arial" w:cs="Arial"/>
        </w:rPr>
        <w:t>proba</w:t>
      </w:r>
      <w:r w:rsidR="00B81415">
        <w:rPr>
          <w:rFonts w:ascii="Arial" w:hAnsi="Arial" w:cs="Arial"/>
        </w:rPr>
        <w:t>r</w:t>
      </w:r>
      <w:r w:rsidR="00B81415" w:rsidRPr="008B0539">
        <w:rPr>
          <w:rFonts w:ascii="Arial" w:hAnsi="Arial" w:cs="Arial"/>
        </w:rPr>
        <w:t xml:space="preserve"> que medi</w:t>
      </w:r>
      <w:r w:rsidR="00B81415">
        <w:rPr>
          <w:rFonts w:ascii="Arial" w:hAnsi="Arial" w:cs="Arial"/>
        </w:rPr>
        <w:t>ó</w:t>
      </w:r>
      <w:r w:rsidR="00B81415" w:rsidRPr="008B0539">
        <w:rPr>
          <w:rFonts w:ascii="Arial" w:hAnsi="Arial" w:cs="Arial"/>
        </w:rPr>
        <w:t xml:space="preserve"> causa alguna de fuerza mayor o caso fortuito que impidiera gestionar</w:t>
      </w:r>
      <w:r w:rsidR="00B81415">
        <w:rPr>
          <w:rFonts w:ascii="Arial" w:hAnsi="Arial" w:cs="Arial"/>
        </w:rPr>
        <w:t>,</w:t>
      </w:r>
      <w:r w:rsidR="00B81415" w:rsidRPr="008B0539">
        <w:rPr>
          <w:rFonts w:ascii="Arial" w:hAnsi="Arial" w:cs="Arial"/>
        </w:rPr>
        <w:t xml:space="preserve"> su defensa</w:t>
      </w:r>
      <w:r w:rsidR="00B81415">
        <w:rPr>
          <w:rFonts w:ascii="Arial" w:hAnsi="Arial" w:cs="Arial"/>
        </w:rPr>
        <w:t xml:space="preserve"> a través de esta acción</w:t>
      </w:r>
      <w:r w:rsidR="00B81415" w:rsidRPr="008B0539">
        <w:rPr>
          <w:rFonts w:ascii="Arial" w:hAnsi="Arial" w:cs="Arial"/>
        </w:rPr>
        <w:t xml:space="preserve"> con mayor celeridad</w:t>
      </w:r>
      <w:r w:rsidR="008B10CC">
        <w:rPr>
          <w:rFonts w:ascii="Arial" w:hAnsi="Arial" w:cs="Arial"/>
        </w:rPr>
        <w:t>,</w:t>
      </w:r>
      <w:r w:rsidR="00B81415" w:rsidRPr="008B0539">
        <w:rPr>
          <w:rFonts w:ascii="Arial" w:hAnsi="Arial" w:cs="Arial"/>
        </w:rPr>
        <w:t xml:space="preserve"> sin desconocer</w:t>
      </w:r>
      <w:r w:rsidR="00B81415">
        <w:rPr>
          <w:rFonts w:ascii="Arial" w:hAnsi="Arial" w:cs="Arial"/>
        </w:rPr>
        <w:t xml:space="preserve"> la inmediatez</w:t>
      </w:r>
      <w:r>
        <w:rPr>
          <w:rFonts w:ascii="Arial" w:hAnsi="Arial" w:cs="Arial"/>
        </w:rPr>
        <w:t xml:space="preserve">. </w:t>
      </w:r>
    </w:p>
    <w:p w:rsidR="00826F86" w:rsidRPr="00602EB1" w:rsidRDefault="00826F86" w:rsidP="00B81415">
      <w:pPr>
        <w:spacing w:line="360" w:lineRule="auto"/>
        <w:jc w:val="both"/>
        <w:rPr>
          <w:rFonts w:ascii="Arial" w:hAnsi="Arial" w:cs="Arial"/>
          <w:sz w:val="22"/>
        </w:rPr>
      </w:pPr>
    </w:p>
    <w:p w:rsidR="00826F86" w:rsidRDefault="0023058C" w:rsidP="00B81415">
      <w:pPr>
        <w:spacing w:line="360" w:lineRule="auto"/>
        <w:jc w:val="both"/>
        <w:rPr>
          <w:rFonts w:ascii="Arial" w:hAnsi="Arial" w:cs="Arial"/>
        </w:rPr>
      </w:pPr>
      <w:r>
        <w:rPr>
          <w:rFonts w:ascii="Arial" w:hAnsi="Arial" w:cs="Arial"/>
        </w:rPr>
        <w:t xml:space="preserve">Se arguye la calidad de persona de especial protección </w:t>
      </w:r>
      <w:r w:rsidR="008B10CC">
        <w:rPr>
          <w:rFonts w:ascii="Arial" w:hAnsi="Arial" w:cs="Arial"/>
        </w:rPr>
        <w:t xml:space="preserve">constitucional </w:t>
      </w:r>
      <w:r>
        <w:rPr>
          <w:rFonts w:ascii="Arial" w:hAnsi="Arial" w:cs="Arial"/>
        </w:rPr>
        <w:t xml:space="preserve">del actor, por cuenta de su fármaco-dependencia, para justificar la presentación tardía del amparo, </w:t>
      </w:r>
      <w:r w:rsidR="008B10CC">
        <w:rPr>
          <w:rFonts w:ascii="Arial" w:hAnsi="Arial" w:cs="Arial"/>
        </w:rPr>
        <w:t>sin embargo</w:t>
      </w:r>
      <w:r w:rsidR="00826F86">
        <w:rPr>
          <w:rFonts w:ascii="Arial" w:hAnsi="Arial" w:cs="Arial"/>
        </w:rPr>
        <w:t xml:space="preserve">, </w:t>
      </w:r>
      <w:r w:rsidR="008B10CC">
        <w:rPr>
          <w:rFonts w:ascii="Arial" w:hAnsi="Arial" w:cs="Arial"/>
        </w:rPr>
        <w:t xml:space="preserve">no se probó que para la época de su retiro </w:t>
      </w:r>
      <w:r w:rsidR="00826F86">
        <w:rPr>
          <w:rFonts w:ascii="Arial" w:hAnsi="Arial" w:cs="Arial"/>
        </w:rPr>
        <w:t xml:space="preserve">sufría de aquella </w:t>
      </w:r>
      <w:r w:rsidR="008B10CC">
        <w:rPr>
          <w:rFonts w:ascii="Arial" w:hAnsi="Arial" w:cs="Arial"/>
        </w:rPr>
        <w:t xml:space="preserve">disminución </w:t>
      </w:r>
      <w:r w:rsidR="00826F86">
        <w:rPr>
          <w:rFonts w:ascii="Arial" w:hAnsi="Arial" w:cs="Arial"/>
        </w:rPr>
        <w:t xml:space="preserve">sensorial, necesaria para </w:t>
      </w:r>
      <w:r w:rsidR="008B10CC">
        <w:rPr>
          <w:rFonts w:ascii="Arial" w:hAnsi="Arial" w:cs="Arial"/>
        </w:rPr>
        <w:t xml:space="preserve">calificar que no estaba en condiciones mentales de </w:t>
      </w:r>
      <w:r w:rsidR="00826F86">
        <w:rPr>
          <w:rFonts w:ascii="Arial" w:hAnsi="Arial" w:cs="Arial"/>
        </w:rPr>
        <w:t xml:space="preserve">ejercer </w:t>
      </w:r>
      <w:r w:rsidR="00873A2B">
        <w:rPr>
          <w:rFonts w:ascii="Arial" w:hAnsi="Arial" w:cs="Arial"/>
        </w:rPr>
        <w:t xml:space="preserve">directamente </w:t>
      </w:r>
      <w:r w:rsidR="00826F86">
        <w:rPr>
          <w:rFonts w:ascii="Arial" w:hAnsi="Arial" w:cs="Arial"/>
        </w:rPr>
        <w:t>la defensa de sus derechos.</w:t>
      </w:r>
    </w:p>
    <w:p w:rsidR="00826F86" w:rsidRDefault="00826F86" w:rsidP="00B81415">
      <w:pPr>
        <w:spacing w:line="360" w:lineRule="auto"/>
        <w:jc w:val="both"/>
        <w:rPr>
          <w:rFonts w:ascii="Arial" w:hAnsi="Arial" w:cs="Arial"/>
        </w:rPr>
      </w:pPr>
    </w:p>
    <w:p w:rsidR="00826F86" w:rsidRDefault="00826F86" w:rsidP="00B81415">
      <w:pPr>
        <w:spacing w:line="360" w:lineRule="auto"/>
        <w:jc w:val="both"/>
        <w:rPr>
          <w:rFonts w:ascii="Arial" w:hAnsi="Arial" w:cs="Arial"/>
        </w:rPr>
      </w:pPr>
      <w:r>
        <w:rPr>
          <w:rFonts w:ascii="Arial" w:hAnsi="Arial" w:cs="Arial"/>
        </w:rPr>
        <w:t>Por el contrario, la documentación arrimada demuestra que dicha patología fue posterior a los hechos supuestamente constitutivos de vulneración. En efecto, la primera vez que ingresó a un centro de rehabilitación data del 10-12-2015 (Folio 36, ib.), y las consultas para tratamiento de su patología tan solo se hicieron a partir del 25-04-2016 (Folios 26 a 28, ib.), fechas posteriores a la expedición del acto administrativo (30-03-2015).</w:t>
      </w:r>
    </w:p>
    <w:p w:rsidR="00826F86" w:rsidRDefault="00826F86" w:rsidP="00B81415">
      <w:pPr>
        <w:spacing w:line="360" w:lineRule="auto"/>
        <w:jc w:val="both"/>
        <w:rPr>
          <w:rFonts w:ascii="Arial" w:hAnsi="Arial" w:cs="Arial"/>
        </w:rPr>
      </w:pPr>
    </w:p>
    <w:p w:rsidR="00873A2B" w:rsidRDefault="00826F86" w:rsidP="00B81415">
      <w:pPr>
        <w:spacing w:line="360" w:lineRule="auto"/>
        <w:jc w:val="both"/>
        <w:rPr>
          <w:rFonts w:ascii="Arial" w:hAnsi="Arial" w:cs="Arial"/>
        </w:rPr>
      </w:pPr>
      <w:r>
        <w:rPr>
          <w:rFonts w:ascii="Arial" w:hAnsi="Arial" w:cs="Arial"/>
        </w:rPr>
        <w:t xml:space="preserve">No olvida la Sala que la agente oficiosa refiere </w:t>
      </w:r>
      <w:r w:rsidR="00873A2B">
        <w:rPr>
          <w:rFonts w:ascii="Arial" w:hAnsi="Arial" w:cs="Arial"/>
        </w:rPr>
        <w:t>su dependencia económica y la de su hijo menor de edad, pero en lugar de comprobar la necesidad de la tutela, conlleva a relucir la ausencia de urgencia en la protección pedida. Evidentemente supo que</w:t>
      </w:r>
      <w:r w:rsidR="001C5E99">
        <w:rPr>
          <w:rFonts w:ascii="Arial" w:hAnsi="Arial" w:cs="Arial"/>
        </w:rPr>
        <w:t xml:space="preserve"> su</w:t>
      </w:r>
      <w:r w:rsidR="00873A2B">
        <w:rPr>
          <w:rFonts w:ascii="Arial" w:hAnsi="Arial" w:cs="Arial"/>
        </w:rPr>
        <w:t xml:space="preserve"> hijo fue retirado del servicio, por lo tanto, si era tal su dependencia económica, por qué entonces dejó pasar un (1) año y seis (6) meses, para promover el amparo, si no era porque </w:t>
      </w:r>
      <w:r w:rsidR="008B10CC">
        <w:rPr>
          <w:rFonts w:ascii="Arial" w:hAnsi="Arial" w:cs="Arial"/>
        </w:rPr>
        <w:t xml:space="preserve">carecía </w:t>
      </w:r>
      <w:r w:rsidR="00873A2B">
        <w:rPr>
          <w:rFonts w:ascii="Arial" w:hAnsi="Arial" w:cs="Arial"/>
        </w:rPr>
        <w:t xml:space="preserve">de la urgencia que implica la protección de </w:t>
      </w:r>
      <w:r w:rsidR="008B10CC">
        <w:rPr>
          <w:rFonts w:ascii="Arial" w:hAnsi="Arial" w:cs="Arial"/>
        </w:rPr>
        <w:t xml:space="preserve">los </w:t>
      </w:r>
      <w:r w:rsidR="00873A2B">
        <w:rPr>
          <w:rFonts w:ascii="Arial" w:hAnsi="Arial" w:cs="Arial"/>
        </w:rPr>
        <w:t>derecho</w:t>
      </w:r>
      <w:r w:rsidR="008B10CC">
        <w:rPr>
          <w:rFonts w:ascii="Arial" w:hAnsi="Arial" w:cs="Arial"/>
        </w:rPr>
        <w:t>s</w:t>
      </w:r>
      <w:r w:rsidR="00873A2B">
        <w:rPr>
          <w:rFonts w:ascii="Arial" w:hAnsi="Arial" w:cs="Arial"/>
        </w:rPr>
        <w:t xml:space="preserve"> fundamental</w:t>
      </w:r>
      <w:r w:rsidR="008B10CC">
        <w:rPr>
          <w:rFonts w:ascii="Arial" w:hAnsi="Arial" w:cs="Arial"/>
        </w:rPr>
        <w:t>es</w:t>
      </w:r>
      <w:r w:rsidR="00873A2B">
        <w:rPr>
          <w:rFonts w:ascii="Arial" w:hAnsi="Arial" w:cs="Arial"/>
        </w:rPr>
        <w:t>.</w:t>
      </w:r>
    </w:p>
    <w:p w:rsidR="00873A2B" w:rsidRDefault="00873A2B" w:rsidP="00B81415">
      <w:pPr>
        <w:spacing w:line="360" w:lineRule="auto"/>
        <w:jc w:val="both"/>
        <w:rPr>
          <w:rFonts w:ascii="Arial" w:hAnsi="Arial" w:cs="Arial"/>
        </w:rPr>
      </w:pPr>
    </w:p>
    <w:p w:rsidR="00873A2B" w:rsidRDefault="00873A2B" w:rsidP="00B81415">
      <w:pPr>
        <w:spacing w:line="360" w:lineRule="auto"/>
        <w:jc w:val="both"/>
        <w:rPr>
          <w:rFonts w:ascii="Arial" w:hAnsi="Arial" w:cs="Arial"/>
        </w:rPr>
      </w:pPr>
      <w:r>
        <w:rPr>
          <w:rFonts w:ascii="Arial" w:hAnsi="Arial" w:cs="Arial"/>
        </w:rPr>
        <w:t xml:space="preserve">Así las cosas, para esta Corporación la condición de farmacodependiente del actor es insuficiente para flexibilizar el análisis del presupuesto de la inmediatez, porque </w:t>
      </w:r>
      <w:r w:rsidRPr="008B10CC">
        <w:rPr>
          <w:rFonts w:ascii="Arial" w:hAnsi="Arial" w:cs="Arial"/>
          <w:u w:val="single"/>
        </w:rPr>
        <w:t xml:space="preserve">dicha condición la alcanzó con posterioridad a los hechos descritos en </w:t>
      </w:r>
      <w:r w:rsidR="008B10CC">
        <w:rPr>
          <w:rFonts w:ascii="Arial" w:hAnsi="Arial" w:cs="Arial"/>
          <w:u w:val="single"/>
        </w:rPr>
        <w:t>el petitorio</w:t>
      </w:r>
      <w:r>
        <w:rPr>
          <w:rFonts w:ascii="Arial" w:hAnsi="Arial" w:cs="Arial"/>
        </w:rPr>
        <w:t xml:space="preserve">, además, la </w:t>
      </w:r>
      <w:r>
        <w:rPr>
          <w:rFonts w:ascii="Arial" w:hAnsi="Arial" w:cs="Arial"/>
        </w:rPr>
        <w:lastRenderedPageBreak/>
        <w:t>agente oficiosa</w:t>
      </w:r>
      <w:r w:rsidR="008B10CC">
        <w:rPr>
          <w:rFonts w:ascii="Arial" w:hAnsi="Arial" w:cs="Arial"/>
        </w:rPr>
        <w:t>,</w:t>
      </w:r>
      <w:r>
        <w:rPr>
          <w:rFonts w:ascii="Arial" w:hAnsi="Arial" w:cs="Arial"/>
        </w:rPr>
        <w:t xml:space="preserve"> pese a la supuesta dependencia </w:t>
      </w:r>
      <w:r w:rsidR="006056CF">
        <w:rPr>
          <w:rFonts w:ascii="Arial" w:hAnsi="Arial" w:cs="Arial"/>
        </w:rPr>
        <w:t xml:space="preserve">económica </w:t>
      </w:r>
      <w:r w:rsidR="008B10CC">
        <w:rPr>
          <w:rFonts w:ascii="Arial" w:hAnsi="Arial" w:cs="Arial"/>
        </w:rPr>
        <w:t>alegada</w:t>
      </w:r>
      <w:r w:rsidR="006056CF">
        <w:rPr>
          <w:rFonts w:ascii="Arial" w:hAnsi="Arial" w:cs="Arial"/>
        </w:rPr>
        <w:t>, demoró para promover el amparo; en síntesis</w:t>
      </w:r>
      <w:r w:rsidR="008B10CC">
        <w:rPr>
          <w:rFonts w:ascii="Arial" w:hAnsi="Arial" w:cs="Arial"/>
        </w:rPr>
        <w:t>,</w:t>
      </w:r>
      <w:r w:rsidR="006056CF">
        <w:rPr>
          <w:rFonts w:ascii="Arial" w:hAnsi="Arial" w:cs="Arial"/>
        </w:rPr>
        <w:t xml:space="preserve"> se halla injustificada la tardanza en la presentación de la tutela.</w:t>
      </w:r>
    </w:p>
    <w:p w:rsidR="00AF577F" w:rsidRDefault="00AF577F" w:rsidP="004916BD">
      <w:pPr>
        <w:spacing w:line="360" w:lineRule="auto"/>
        <w:jc w:val="both"/>
        <w:rPr>
          <w:rFonts w:ascii="Arial" w:hAnsi="Arial" w:cs="Arial"/>
          <w:lang w:val="es-CO"/>
        </w:rPr>
      </w:pPr>
    </w:p>
    <w:p w:rsidR="00AF577F" w:rsidRPr="00C028E8" w:rsidRDefault="006056CF" w:rsidP="00C028E8">
      <w:pPr>
        <w:pStyle w:val="Paragraphedeliste"/>
        <w:numPr>
          <w:ilvl w:val="1"/>
          <w:numId w:val="45"/>
        </w:numPr>
        <w:spacing w:after="0" w:line="360" w:lineRule="auto"/>
        <w:jc w:val="both"/>
        <w:rPr>
          <w:rFonts w:ascii="Arial" w:hAnsi="Arial" w:cs="Arial"/>
          <w:smallCaps/>
          <w:sz w:val="24"/>
          <w:szCs w:val="24"/>
        </w:rPr>
      </w:pPr>
      <w:r w:rsidRPr="00C028E8">
        <w:rPr>
          <w:rFonts w:ascii="Arial" w:hAnsi="Arial" w:cs="Arial"/>
          <w:smallCaps/>
          <w:sz w:val="24"/>
          <w:szCs w:val="24"/>
        </w:rPr>
        <w:t>La subsidiariedad</w:t>
      </w:r>
    </w:p>
    <w:p w:rsidR="00C028E8" w:rsidRDefault="00C028E8" w:rsidP="00C028E8">
      <w:pPr>
        <w:widowControl/>
        <w:autoSpaceDE/>
        <w:autoSpaceDN/>
        <w:adjustRightInd/>
        <w:spacing w:line="360" w:lineRule="auto"/>
        <w:jc w:val="both"/>
        <w:rPr>
          <w:rFonts w:ascii="Arial" w:hAnsi="Arial" w:cs="Arial"/>
        </w:rPr>
      </w:pPr>
    </w:p>
    <w:p w:rsidR="006056CF" w:rsidRDefault="006056CF" w:rsidP="00C028E8">
      <w:pPr>
        <w:widowControl/>
        <w:autoSpaceDE/>
        <w:autoSpaceDN/>
        <w:adjustRightInd/>
        <w:spacing w:line="360" w:lineRule="auto"/>
        <w:jc w:val="both"/>
        <w:rPr>
          <w:rFonts w:ascii="Arial" w:hAnsi="Arial" w:cs="Arial"/>
        </w:rPr>
      </w:pPr>
      <w:r>
        <w:rPr>
          <w:rFonts w:ascii="Arial" w:hAnsi="Arial" w:cs="Arial"/>
        </w:rPr>
        <w:t>Suficiente lo anterior para el fracaso del amparo, advierte la Sala que este amparo también carece del presupuesto de la subsidiariedad por la falta de demostración del perjuicio irremediable. Los argumentos se centran en la imposibilidad de que se reciba por el accionante atención en salud que le permita superar sus padecimientos mentales, sin embargo, los documentos allegados refiere</w:t>
      </w:r>
      <w:r w:rsidR="008B10CC">
        <w:rPr>
          <w:rFonts w:ascii="Arial" w:hAnsi="Arial" w:cs="Arial"/>
        </w:rPr>
        <w:t>n</w:t>
      </w:r>
      <w:r>
        <w:rPr>
          <w:rFonts w:ascii="Arial" w:hAnsi="Arial" w:cs="Arial"/>
        </w:rPr>
        <w:t xml:space="preserve"> que sí ha tenido acceso a este servicio con posterioridad a su despido laboral (Folios 18 a 41, ib.). </w:t>
      </w:r>
    </w:p>
    <w:p w:rsidR="006056CF" w:rsidRDefault="006056CF" w:rsidP="006E100D">
      <w:pPr>
        <w:widowControl/>
        <w:autoSpaceDE/>
        <w:autoSpaceDN/>
        <w:adjustRightInd/>
        <w:spacing w:line="360" w:lineRule="auto"/>
        <w:jc w:val="both"/>
        <w:rPr>
          <w:rFonts w:ascii="Arial" w:hAnsi="Arial" w:cs="Arial"/>
        </w:rPr>
      </w:pPr>
    </w:p>
    <w:p w:rsidR="006056CF" w:rsidRDefault="006056CF" w:rsidP="006056CF">
      <w:pPr>
        <w:spacing w:line="360" w:lineRule="auto"/>
        <w:ind w:right="51"/>
        <w:jc w:val="both"/>
        <w:rPr>
          <w:rFonts w:ascii="Arial" w:hAnsi="Arial" w:cs="Arial"/>
          <w:u w:val="single"/>
        </w:rPr>
      </w:pPr>
      <w:r>
        <w:rPr>
          <w:rFonts w:ascii="Arial" w:hAnsi="Arial" w:cs="Arial"/>
        </w:rPr>
        <w:t>Además, hay que decir que contó con las herramientas legales para procurar la defensa de sus derechos, específicamente con la demanda de nulidad y restablecimiento de derechos (Artículo 138, CPACA).</w:t>
      </w:r>
      <w:r w:rsidR="00C028E8">
        <w:rPr>
          <w:rFonts w:ascii="Arial" w:hAnsi="Arial" w:cs="Arial"/>
        </w:rPr>
        <w:t xml:space="preserve"> N</w:t>
      </w:r>
      <w:r>
        <w:rPr>
          <w:rFonts w:ascii="Arial" w:hAnsi="Arial" w:cs="Arial"/>
        </w:rPr>
        <w:t>o sobra memorar que la C</w:t>
      </w:r>
      <w:r w:rsidRPr="00F63BA1">
        <w:rPr>
          <w:rFonts w:ascii="Arial" w:hAnsi="Arial" w:cs="Arial"/>
        </w:rPr>
        <w:t>orte</w:t>
      </w:r>
      <w:r w:rsidRPr="00F63BA1">
        <w:rPr>
          <w:rStyle w:val="Appelnotedebasdep"/>
          <w:rFonts w:ascii="Arial" w:hAnsi="Arial" w:cs="Arial"/>
        </w:rPr>
        <w:footnoteReference w:id="24"/>
      </w:r>
      <w:r w:rsidRPr="00F63BA1">
        <w:rPr>
          <w:rFonts w:ascii="Arial" w:hAnsi="Arial" w:cs="Arial"/>
        </w:rPr>
        <w:t xml:space="preserve">, luego de analizar la Ley 1437, concluyó </w:t>
      </w:r>
      <w:r>
        <w:rPr>
          <w:rFonts w:ascii="Arial" w:hAnsi="Arial" w:cs="Arial"/>
        </w:rPr>
        <w:t xml:space="preserve">también que la </w:t>
      </w:r>
      <w:r w:rsidRPr="00F63BA1">
        <w:rPr>
          <w:rFonts w:ascii="Arial" w:hAnsi="Arial" w:cs="Arial"/>
        </w:rPr>
        <w:t xml:space="preserve">tutela </w:t>
      </w:r>
      <w:r>
        <w:rPr>
          <w:rFonts w:ascii="Arial" w:hAnsi="Arial" w:cs="Arial"/>
        </w:rPr>
        <w:t>es improcedente</w:t>
      </w:r>
      <w:r w:rsidR="00C028E8">
        <w:rPr>
          <w:rFonts w:ascii="Arial" w:hAnsi="Arial" w:cs="Arial"/>
        </w:rPr>
        <w:t xml:space="preserve"> frente a un acto administrativo</w:t>
      </w:r>
      <w:r>
        <w:rPr>
          <w:rFonts w:ascii="Arial" w:hAnsi="Arial" w:cs="Arial"/>
          <w:color w:val="000000"/>
        </w:rPr>
        <w:t>,</w:t>
      </w:r>
      <w:r w:rsidRPr="00F63BA1">
        <w:rPr>
          <w:rFonts w:ascii="Arial" w:hAnsi="Arial" w:cs="Arial"/>
        </w:rPr>
        <w:t xml:space="preserve"> porque </w:t>
      </w:r>
      <w:r w:rsidR="00C028E8">
        <w:rPr>
          <w:rFonts w:ascii="Arial" w:hAnsi="Arial" w:cs="Arial"/>
        </w:rPr>
        <w:t xml:space="preserve">se </w:t>
      </w:r>
      <w:r w:rsidRPr="00F63BA1">
        <w:rPr>
          <w:rFonts w:ascii="Arial" w:hAnsi="Arial" w:cs="Arial"/>
        </w:rPr>
        <w:t xml:space="preserve">cuenta con un mecanismo </w:t>
      </w:r>
      <w:r>
        <w:rPr>
          <w:rFonts w:ascii="Arial" w:hAnsi="Arial" w:cs="Arial"/>
        </w:rPr>
        <w:t xml:space="preserve">judicial </w:t>
      </w:r>
      <w:r w:rsidRPr="00F63BA1">
        <w:rPr>
          <w:rFonts w:ascii="Arial" w:hAnsi="Arial" w:cs="Arial"/>
        </w:rPr>
        <w:t>idóneo y eficaz</w:t>
      </w:r>
      <w:r>
        <w:rPr>
          <w:rFonts w:ascii="Arial" w:hAnsi="Arial" w:cs="Arial"/>
        </w:rPr>
        <w:t>,</w:t>
      </w:r>
      <w:r w:rsidRPr="00F63BA1">
        <w:rPr>
          <w:rFonts w:ascii="Arial" w:hAnsi="Arial" w:cs="Arial"/>
        </w:rPr>
        <w:t xml:space="preserve"> </w:t>
      </w:r>
      <w:r>
        <w:rPr>
          <w:rFonts w:ascii="Arial" w:hAnsi="Arial" w:cs="Arial"/>
        </w:rPr>
        <w:t xml:space="preserve">que </w:t>
      </w:r>
      <w:r w:rsidR="00C028E8">
        <w:rPr>
          <w:rFonts w:ascii="Arial" w:hAnsi="Arial" w:cs="Arial"/>
        </w:rPr>
        <w:t xml:space="preserve">se </w:t>
      </w:r>
      <w:r>
        <w:rPr>
          <w:rFonts w:ascii="Arial" w:hAnsi="Arial" w:cs="Arial"/>
        </w:rPr>
        <w:t>puede promover ante el ju</w:t>
      </w:r>
      <w:bookmarkStart w:id="0" w:name="_GoBack"/>
      <w:bookmarkEnd w:id="0"/>
      <w:r>
        <w:rPr>
          <w:rFonts w:ascii="Arial" w:hAnsi="Arial" w:cs="Arial"/>
        </w:rPr>
        <w:t xml:space="preserve">ez natural, cual es, </w:t>
      </w:r>
      <w:r w:rsidRPr="00F63BA1">
        <w:rPr>
          <w:rFonts w:ascii="Arial" w:hAnsi="Arial" w:cs="Arial"/>
        </w:rPr>
        <w:t xml:space="preserve">la acción de nulidad o de nulidad y restablecimiento, </w:t>
      </w:r>
      <w:r w:rsidRPr="00C028E8">
        <w:rPr>
          <w:rFonts w:ascii="Arial" w:hAnsi="Arial" w:cs="Arial"/>
          <w:u w:val="single"/>
        </w:rPr>
        <w:t>junto con la solicitud de medidas cautelares</w:t>
      </w:r>
      <w:r w:rsidR="00C028E8">
        <w:rPr>
          <w:rFonts w:ascii="Arial" w:hAnsi="Arial" w:cs="Arial"/>
          <w:u w:val="single"/>
        </w:rPr>
        <w:t xml:space="preserve"> (Artículos 229 y </w:t>
      </w:r>
      <w:proofErr w:type="spellStart"/>
      <w:r w:rsidR="00C028E8">
        <w:rPr>
          <w:rFonts w:ascii="Arial" w:hAnsi="Arial" w:cs="Arial"/>
          <w:u w:val="single"/>
        </w:rPr>
        <w:t>ss</w:t>
      </w:r>
      <w:proofErr w:type="spellEnd"/>
      <w:r w:rsidR="00C028E8">
        <w:rPr>
          <w:rFonts w:ascii="Arial" w:hAnsi="Arial" w:cs="Arial"/>
          <w:u w:val="single"/>
        </w:rPr>
        <w:t xml:space="preserve">, </w:t>
      </w:r>
      <w:proofErr w:type="spellStart"/>
      <w:r w:rsidR="00C028E8">
        <w:rPr>
          <w:rFonts w:ascii="Arial" w:hAnsi="Arial" w:cs="Arial"/>
          <w:u w:val="single"/>
        </w:rPr>
        <w:t>CPACA</w:t>
      </w:r>
      <w:proofErr w:type="spellEnd"/>
      <w:r w:rsidR="00C028E8">
        <w:rPr>
          <w:rFonts w:ascii="Arial" w:hAnsi="Arial" w:cs="Arial"/>
          <w:u w:val="single"/>
        </w:rPr>
        <w:t>)</w:t>
      </w:r>
      <w:r w:rsidR="00C028E8" w:rsidRPr="00C028E8">
        <w:rPr>
          <w:rFonts w:ascii="Arial" w:hAnsi="Arial" w:cs="Arial"/>
        </w:rPr>
        <w:t>, inclusive, que pueden decretarse de manera urgente cuando el juez natural así lo considere (Artículo 234, CPACA)</w:t>
      </w:r>
      <w:r w:rsidR="00C028E8">
        <w:rPr>
          <w:rFonts w:ascii="Arial" w:hAnsi="Arial" w:cs="Arial"/>
        </w:rPr>
        <w:t>.</w:t>
      </w:r>
      <w:r w:rsidR="00C028E8">
        <w:rPr>
          <w:rFonts w:ascii="Arial" w:hAnsi="Arial" w:cs="Arial"/>
          <w:u w:val="single"/>
        </w:rPr>
        <w:t xml:space="preserve">  </w:t>
      </w:r>
    </w:p>
    <w:p w:rsidR="00C028E8" w:rsidRDefault="00C028E8" w:rsidP="006056CF">
      <w:pPr>
        <w:spacing w:line="360" w:lineRule="auto"/>
        <w:ind w:right="51"/>
        <w:jc w:val="both"/>
        <w:rPr>
          <w:rFonts w:ascii="Arial" w:hAnsi="Arial" w:cs="Arial"/>
          <w:u w:val="single"/>
        </w:rPr>
      </w:pPr>
    </w:p>
    <w:p w:rsidR="00C028E8" w:rsidRPr="00C028E8" w:rsidRDefault="00C028E8" w:rsidP="006056CF">
      <w:pPr>
        <w:spacing w:line="360" w:lineRule="auto"/>
        <w:ind w:right="51"/>
        <w:jc w:val="both"/>
        <w:rPr>
          <w:rFonts w:ascii="Arial" w:hAnsi="Arial" w:cs="Arial"/>
          <w:sz w:val="22"/>
        </w:rPr>
      </w:pPr>
      <w:r w:rsidRPr="00C028E8">
        <w:rPr>
          <w:rFonts w:ascii="Arial" w:hAnsi="Arial" w:cs="Arial"/>
        </w:rPr>
        <w:t xml:space="preserve">Se aclara que no es obligación para la promoción de un amparo el agotamiento de la vía gubernativa, tal cual lo arguyó la jueza de conocimiento, </w:t>
      </w:r>
      <w:r w:rsidR="001C5E99">
        <w:rPr>
          <w:rFonts w:ascii="Arial" w:hAnsi="Arial" w:cs="Arial"/>
        </w:rPr>
        <w:t xml:space="preserve">pues así </w:t>
      </w:r>
      <w:r w:rsidRPr="00C028E8">
        <w:rPr>
          <w:rFonts w:ascii="Arial" w:hAnsi="Arial" w:cs="Arial"/>
        </w:rPr>
        <w:t>se desprende del artículo 9º del Decreto 2591 de</w:t>
      </w:r>
      <w:r w:rsidR="008B10CC">
        <w:rPr>
          <w:rFonts w:ascii="Arial" w:hAnsi="Arial" w:cs="Arial"/>
        </w:rPr>
        <w:t xml:space="preserve"> 1991, explicado por la CC</w:t>
      </w:r>
      <w:r w:rsidR="008B10CC">
        <w:rPr>
          <w:rStyle w:val="Appelnotedebasdep"/>
          <w:rFonts w:ascii="Arial" w:hAnsi="Arial"/>
        </w:rPr>
        <w:footnoteReference w:id="25"/>
      </w:r>
      <w:r w:rsidR="008B10CC">
        <w:rPr>
          <w:rFonts w:ascii="Arial" w:hAnsi="Arial" w:cs="Arial"/>
        </w:rPr>
        <w:t>.</w:t>
      </w:r>
    </w:p>
    <w:p w:rsidR="005D45CE" w:rsidRDefault="005D45CE" w:rsidP="006E100D">
      <w:pPr>
        <w:widowControl/>
        <w:autoSpaceDE/>
        <w:autoSpaceDN/>
        <w:adjustRightInd/>
        <w:spacing w:line="360" w:lineRule="auto"/>
        <w:jc w:val="both"/>
        <w:rPr>
          <w:rFonts w:ascii="Arial" w:hAnsi="Arial" w:cs="Arial"/>
        </w:rPr>
      </w:pPr>
    </w:p>
    <w:p w:rsidR="003158A3" w:rsidRDefault="003158A3" w:rsidP="007024DF">
      <w:pPr>
        <w:pStyle w:val="Corpsdetexte"/>
        <w:numPr>
          <w:ilvl w:val="0"/>
          <w:numId w:val="45"/>
        </w:numPr>
        <w:spacing w:line="360" w:lineRule="auto"/>
        <w:ind w:right="567"/>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90241" w:rsidRPr="008A1328" w:rsidRDefault="006E100D" w:rsidP="00C90241">
      <w:pPr>
        <w:widowControl/>
        <w:autoSpaceDE/>
        <w:autoSpaceDN/>
        <w:adjustRightInd/>
        <w:spacing w:line="360" w:lineRule="auto"/>
        <w:jc w:val="both"/>
        <w:rPr>
          <w:rFonts w:ascii="Arial" w:hAnsi="Arial" w:cs="Arial"/>
          <w:lang w:val="es-CO"/>
        </w:rPr>
      </w:pPr>
      <w:r>
        <w:rPr>
          <w:rFonts w:ascii="Arial" w:hAnsi="Arial"/>
          <w:lang w:val="es-CO"/>
        </w:rPr>
        <w:t>En armonía con lo discurrido</w:t>
      </w:r>
      <w:r w:rsidR="00C028E8">
        <w:rPr>
          <w:rFonts w:ascii="Arial" w:hAnsi="Arial"/>
          <w:lang w:val="es-CO"/>
        </w:rPr>
        <w:t xml:space="preserve"> s</w:t>
      </w:r>
      <w:r w:rsidR="00C90241" w:rsidRPr="003158A3">
        <w:rPr>
          <w:rFonts w:ascii="Arial" w:hAnsi="Arial" w:cs="Arial"/>
          <w:lang w:val="es-CO"/>
        </w:rPr>
        <w:t xml:space="preserve">e </w:t>
      </w:r>
      <w:r w:rsidR="00C028E8">
        <w:rPr>
          <w:rFonts w:ascii="Arial" w:hAnsi="Arial" w:cs="Arial"/>
          <w:lang w:val="es-CO"/>
        </w:rPr>
        <w:t xml:space="preserve">confirmará </w:t>
      </w:r>
      <w:r w:rsidR="00C90241" w:rsidRPr="003158A3">
        <w:rPr>
          <w:rFonts w:ascii="Arial" w:hAnsi="Arial" w:cs="Arial"/>
          <w:lang w:val="es-CO"/>
        </w:rPr>
        <w:t>el fallo opugnado</w:t>
      </w:r>
      <w:r w:rsidR="00C90241">
        <w:rPr>
          <w:rFonts w:ascii="Arial" w:hAnsi="Arial" w:cs="Arial"/>
          <w:lang w:val="es-CO"/>
        </w:rPr>
        <w:t>.</w:t>
      </w:r>
    </w:p>
    <w:p w:rsidR="003158A3" w:rsidRPr="007B7624" w:rsidRDefault="003158A3" w:rsidP="003158A3">
      <w:pPr>
        <w:spacing w:line="360" w:lineRule="auto"/>
        <w:jc w:val="both"/>
        <w:rPr>
          <w:rFonts w:ascii="Arial" w:hAnsi="Arial" w:cs="Arial"/>
          <w:sz w:val="18"/>
          <w:lang w:val="es-CO"/>
        </w:rPr>
      </w:pPr>
    </w:p>
    <w:p w:rsidR="00E23846" w:rsidRDefault="00E23846" w:rsidP="00E23846">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EA4E66" w:rsidRDefault="00EA4E66"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EA4E66" w:rsidRDefault="00EA4E66"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lastRenderedPageBreak/>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C028E8"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Pr>
          <w:rFonts w:ascii="Arial" w:hAnsi="Arial" w:cs="Arial"/>
        </w:rPr>
        <w:t>07-02-2017</w:t>
      </w:r>
      <w:r w:rsidR="00E23846" w:rsidRPr="00902B91">
        <w:rPr>
          <w:rFonts w:ascii="Arial" w:hAnsi="Arial" w:cs="Arial"/>
        </w:rPr>
        <w:t>,</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A51E0E">
        <w:rPr>
          <w:rFonts w:ascii="Arial" w:hAnsi="Arial" w:cs="Arial"/>
          <w:lang w:val="es-CO"/>
        </w:rPr>
        <w:t xml:space="preserve">Cuarto Civil del Circuito de </w:t>
      </w:r>
      <w:r w:rsidR="003158A3" w:rsidRPr="00902B91">
        <w:rPr>
          <w:rFonts w:ascii="Arial" w:hAnsi="Arial" w:cs="Arial"/>
          <w:lang w:val="es-CO"/>
        </w:rPr>
        <w:t xml:space="preserve">Pereira. </w:t>
      </w:r>
    </w:p>
    <w:p w:rsidR="008B10CC" w:rsidRPr="00902B91" w:rsidRDefault="008B10CC" w:rsidP="008B10CC">
      <w:pPr>
        <w:widowControl/>
        <w:autoSpaceDE/>
        <w:adjustRightInd/>
        <w:spacing w:line="360" w:lineRule="auto"/>
        <w:ind w:left="360"/>
        <w:jc w:val="both"/>
        <w:rPr>
          <w:rFonts w:ascii="Arial" w:hAnsi="Arial" w:cs="Arial"/>
          <w:lang w:val="es-CO"/>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8B10CC" w:rsidRDefault="008B10CC" w:rsidP="008B10CC">
      <w:pPr>
        <w:pStyle w:val="Corpsdetexte"/>
        <w:tabs>
          <w:tab w:val="clear" w:pos="708"/>
          <w:tab w:val="clear" w:pos="1416"/>
          <w:tab w:val="left" w:pos="426"/>
        </w:tabs>
        <w:spacing w:line="360" w:lineRule="auto"/>
        <w:ind w:left="360"/>
        <w:textAlignment w:val="auto"/>
        <w:rPr>
          <w:rFonts w:ascii="Arial" w:hAnsi="Arial" w:cs="Arial"/>
          <w:sz w:val="24"/>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Corte Constitucional para su eventual revisión. </w:t>
      </w:r>
    </w:p>
    <w:p w:rsidR="008B10CC" w:rsidRPr="00EA4E66" w:rsidRDefault="008B10CC" w:rsidP="00F839CE">
      <w:pPr>
        <w:pStyle w:val="Corpsdetexte"/>
        <w:spacing w:line="360" w:lineRule="auto"/>
        <w:jc w:val="center"/>
        <w:rPr>
          <w:rFonts w:ascii="Arial" w:hAnsi="Arial"/>
          <w:smallCaps/>
          <w:szCs w:val="24"/>
          <w:lang w:val="es-CO"/>
        </w:rPr>
      </w:pPr>
    </w:p>
    <w:p w:rsidR="003913E3" w:rsidRPr="008B10CC" w:rsidRDefault="003913E3" w:rsidP="00F839CE">
      <w:pPr>
        <w:pStyle w:val="Corpsdetexte"/>
        <w:spacing w:line="360" w:lineRule="auto"/>
        <w:jc w:val="center"/>
        <w:rPr>
          <w:rFonts w:ascii="Arial" w:hAnsi="Arial"/>
          <w:smallCaps/>
          <w:sz w:val="24"/>
          <w:szCs w:val="24"/>
          <w:lang w:val="en-US"/>
        </w:rPr>
      </w:pPr>
      <w:proofErr w:type="spellStart"/>
      <w:r w:rsidRPr="008B10CC">
        <w:rPr>
          <w:rFonts w:ascii="Arial" w:hAnsi="Arial"/>
          <w:smallCaps/>
          <w:sz w:val="28"/>
          <w:szCs w:val="24"/>
          <w:lang w:val="en-US"/>
        </w:rPr>
        <w:t>Notifíquese</w:t>
      </w:r>
      <w:proofErr w:type="spellEnd"/>
      <w:r w:rsidRPr="008B10CC">
        <w:rPr>
          <w:rFonts w:ascii="Arial" w:hAnsi="Arial"/>
          <w:smallCaps/>
          <w:sz w:val="28"/>
          <w:szCs w:val="24"/>
          <w:lang w:val="en-US"/>
        </w:rPr>
        <w:t>,</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EA4E6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EA4E66">
        <w:rPr>
          <w:rFonts w:ascii="Arial" w:hAnsi="Arial" w:cs="Arial"/>
          <w:i/>
          <w:spacing w:val="-3"/>
          <w:w w:val="150"/>
          <w:sz w:val="32"/>
          <w:szCs w:val="18"/>
          <w:lang w:val="en-GB"/>
        </w:rPr>
        <w:t>D</w:t>
      </w:r>
      <w:r w:rsidRPr="00EA4E66">
        <w:rPr>
          <w:rFonts w:ascii="Arial" w:hAnsi="Arial" w:cs="Arial"/>
          <w:i/>
          <w:spacing w:val="-3"/>
          <w:w w:val="150"/>
          <w:sz w:val="18"/>
          <w:szCs w:val="18"/>
          <w:lang w:val="en-GB"/>
        </w:rPr>
        <w:t>UBERNEY</w:t>
      </w:r>
      <w:proofErr w:type="spellEnd"/>
      <w:r w:rsidRPr="00EA4E66">
        <w:rPr>
          <w:rFonts w:ascii="Arial" w:hAnsi="Arial" w:cs="Arial"/>
          <w:i/>
          <w:spacing w:val="-3"/>
          <w:w w:val="150"/>
          <w:sz w:val="18"/>
          <w:szCs w:val="18"/>
          <w:lang w:val="en-GB"/>
        </w:rPr>
        <w:t xml:space="preserve"> </w:t>
      </w:r>
      <w:proofErr w:type="spellStart"/>
      <w:r w:rsidRPr="00EA4E66">
        <w:rPr>
          <w:rFonts w:ascii="Arial" w:hAnsi="Arial" w:cs="Arial"/>
          <w:i/>
          <w:spacing w:val="-3"/>
          <w:w w:val="150"/>
          <w:sz w:val="28"/>
          <w:szCs w:val="18"/>
          <w:lang w:val="en-GB"/>
        </w:rPr>
        <w:t>G</w:t>
      </w:r>
      <w:r w:rsidRPr="00EA4E66">
        <w:rPr>
          <w:rFonts w:ascii="Arial" w:hAnsi="Arial" w:cs="Arial"/>
          <w:i/>
          <w:spacing w:val="-3"/>
          <w:w w:val="150"/>
          <w:sz w:val="18"/>
          <w:szCs w:val="18"/>
          <w:lang w:val="en-GB"/>
        </w:rPr>
        <w:t>RISALES</w:t>
      </w:r>
      <w:proofErr w:type="spellEnd"/>
      <w:r w:rsidRPr="00EA4E66">
        <w:rPr>
          <w:rFonts w:ascii="Arial" w:hAnsi="Arial" w:cs="Arial"/>
          <w:i/>
          <w:spacing w:val="-3"/>
          <w:w w:val="150"/>
          <w:sz w:val="18"/>
          <w:szCs w:val="18"/>
          <w:lang w:val="en-GB"/>
        </w:rPr>
        <w:t xml:space="preserve"> </w:t>
      </w:r>
      <w:r w:rsidRPr="00EA4E66">
        <w:rPr>
          <w:rFonts w:ascii="Arial" w:hAnsi="Arial" w:cs="Arial"/>
          <w:i/>
          <w:spacing w:val="-3"/>
          <w:w w:val="150"/>
          <w:sz w:val="28"/>
          <w:szCs w:val="18"/>
          <w:lang w:val="en-GB"/>
        </w:rPr>
        <w:t>H</w:t>
      </w:r>
      <w:r w:rsidRPr="00EA4E66">
        <w:rPr>
          <w:rFonts w:ascii="Arial" w:hAnsi="Arial" w:cs="Arial"/>
          <w:i/>
          <w:spacing w:val="-3"/>
          <w:w w:val="150"/>
          <w:sz w:val="18"/>
          <w:szCs w:val="18"/>
          <w:lang w:val="en-GB"/>
        </w:rPr>
        <w:t>ERRERA</w:t>
      </w:r>
    </w:p>
    <w:p w:rsidR="006663F5" w:rsidRPr="00EA4E6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EA4E66">
        <w:rPr>
          <w:rFonts w:ascii="Arial" w:hAnsi="Arial" w:cs="Arial"/>
          <w:i/>
          <w:spacing w:val="-3"/>
          <w:w w:val="150"/>
          <w:sz w:val="32"/>
          <w:lang w:val="en-GB"/>
        </w:rPr>
        <w:t>M</w:t>
      </w:r>
      <w:r w:rsidRPr="00EA4E66">
        <w:rPr>
          <w:rFonts w:ascii="Arial" w:hAnsi="Arial" w:cs="Arial"/>
          <w:i/>
          <w:spacing w:val="-3"/>
          <w:w w:val="150"/>
          <w:sz w:val="16"/>
          <w:lang w:val="en-GB"/>
        </w:rPr>
        <w:t xml:space="preserve"> </w:t>
      </w:r>
      <w:r w:rsidRPr="00EA4E66">
        <w:rPr>
          <w:rFonts w:ascii="Arial" w:hAnsi="Arial" w:cs="Arial"/>
          <w:i/>
          <w:spacing w:val="-3"/>
          <w:w w:val="150"/>
          <w:sz w:val="18"/>
          <w:szCs w:val="20"/>
          <w:lang w:val="en-GB"/>
        </w:rPr>
        <w:t>A G I S T R A D O</w:t>
      </w:r>
    </w:p>
    <w:p w:rsidR="00C90241" w:rsidRPr="00EA4E66"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6663F5" w:rsidRPr="00EA4E6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170C5C" w:rsidRDefault="00E23846" w:rsidP="007024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1C5E99" w:rsidRPr="001C5E99" w:rsidRDefault="001C5E99" w:rsidP="001C5E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GB"/>
        </w:rPr>
      </w:pPr>
      <w:r>
        <w:rPr>
          <w:rFonts w:ascii="Arial" w:hAnsi="Arial" w:cs="Arial"/>
          <w:i/>
          <w:w w:val="150"/>
          <w:sz w:val="10"/>
          <w:lang w:val="en-GB"/>
        </w:rPr>
        <w:t>DGH/ODCD/2017</w:t>
      </w:r>
    </w:p>
    <w:sectPr w:rsidR="001C5E99" w:rsidRPr="001C5E99" w:rsidSect="001C5E99">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B5" w:rsidRDefault="009A7CB5" w:rsidP="002F20AB">
      <w:r>
        <w:separator/>
      </w:r>
    </w:p>
  </w:endnote>
  <w:endnote w:type="continuationSeparator" w:id="0">
    <w:p w:rsidR="009A7CB5" w:rsidRDefault="009A7CB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3913E3" w:rsidRDefault="003913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F839CE" w:rsidRDefault="003913E3" w:rsidP="00A67268">
    <w:pPr>
      <w:pStyle w:val="Pieddepage"/>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depage"/>
      <w:spacing w:line="360" w:lineRule="auto"/>
      <w:jc w:val="right"/>
      <w:rPr>
        <w:rFonts w:ascii="Arial" w:hAnsi="Arial" w:cs="Arial"/>
        <w:spacing w:val="20"/>
        <w:w w:val="200"/>
        <w:sz w:val="14"/>
        <w:szCs w:val="10"/>
      </w:rPr>
    </w:pPr>
  </w:p>
  <w:p w:rsidR="003913E3" w:rsidRPr="00C53999" w:rsidRDefault="003913E3"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B5" w:rsidRDefault="009A7CB5" w:rsidP="002F20AB">
      <w:r>
        <w:separator/>
      </w:r>
    </w:p>
  </w:footnote>
  <w:footnote w:type="continuationSeparator" w:id="0">
    <w:p w:rsidR="009A7CB5" w:rsidRDefault="009A7CB5" w:rsidP="002F20AB">
      <w:r>
        <w:continuationSeparator/>
      </w:r>
    </w:p>
  </w:footnote>
  <w:footnote w:id="1">
    <w:p w:rsidR="004448DD" w:rsidRPr="00EA4E66" w:rsidRDefault="004448DD" w:rsidP="004448DD">
      <w:pPr>
        <w:pStyle w:val="Notedebasdepage"/>
        <w:jc w:val="both"/>
        <w:rPr>
          <w:rFonts w:asciiTheme="minorHAnsi" w:hAnsiTheme="minorHAnsi"/>
          <w:lang w:val="fr-FR"/>
        </w:rPr>
      </w:pPr>
      <w:r w:rsidRPr="00855D9F">
        <w:rPr>
          <w:rStyle w:val="Appelnotedebasdep"/>
          <w:rFonts w:asciiTheme="minorHAnsi" w:hAnsiTheme="minorHAnsi"/>
        </w:rPr>
        <w:footnoteRef/>
      </w:r>
      <w:r w:rsidRPr="00EA4E66">
        <w:rPr>
          <w:rFonts w:asciiTheme="minorHAnsi" w:hAnsiTheme="minorHAnsi"/>
          <w:lang w:val="fr-FR"/>
        </w:rPr>
        <w:t xml:space="preserve"> CC. T-153 de 2014</w:t>
      </w:r>
      <w:r w:rsidR="002D298F" w:rsidRPr="00EA4E66">
        <w:rPr>
          <w:rFonts w:asciiTheme="minorHAnsi" w:hAnsiTheme="minorHAnsi"/>
          <w:lang w:val="fr-FR"/>
        </w:rPr>
        <w:t>, también se puede consultar la T-663 de 2015</w:t>
      </w:r>
      <w:r w:rsidRPr="00EA4E66">
        <w:rPr>
          <w:rFonts w:asciiTheme="minorHAnsi" w:hAnsiTheme="minorHAnsi"/>
          <w:lang w:val="fr-FR"/>
        </w:rPr>
        <w:t>.</w:t>
      </w:r>
    </w:p>
  </w:footnote>
  <w:footnote w:id="2">
    <w:p w:rsidR="00E37FED" w:rsidRPr="00EA4E66" w:rsidRDefault="00E37FED" w:rsidP="00E37FED">
      <w:pPr>
        <w:pStyle w:val="Notedebasdepage"/>
        <w:jc w:val="both"/>
        <w:rPr>
          <w:rFonts w:asciiTheme="minorHAnsi" w:hAnsiTheme="minorHAnsi"/>
          <w:lang w:val="fr-FR"/>
        </w:rPr>
      </w:pPr>
      <w:r w:rsidRPr="0020456C">
        <w:rPr>
          <w:rStyle w:val="Appelnotedebasdep"/>
          <w:rFonts w:asciiTheme="minorHAnsi" w:hAnsiTheme="minorHAnsi" w:cs="Calibri"/>
        </w:rPr>
        <w:footnoteRef/>
      </w:r>
      <w:r w:rsidRPr="00EA4E66">
        <w:rPr>
          <w:rFonts w:asciiTheme="minorHAnsi" w:hAnsiTheme="minorHAnsi" w:cs="Calibri"/>
          <w:lang w:val="fr-FR"/>
        </w:rPr>
        <w:t xml:space="preserve"> </w:t>
      </w:r>
      <w:r w:rsidR="002D298F" w:rsidRPr="00EA4E66">
        <w:rPr>
          <w:rFonts w:asciiTheme="minorHAnsi" w:hAnsiTheme="minorHAnsi" w:cs="Calibri"/>
          <w:lang w:val="fr-FR"/>
        </w:rPr>
        <w:t>CC</w:t>
      </w:r>
      <w:r w:rsidRPr="00EA4E66">
        <w:rPr>
          <w:rFonts w:asciiTheme="minorHAnsi" w:hAnsiTheme="minorHAnsi" w:cs="Calibri"/>
          <w:lang w:val="fr-FR"/>
        </w:rPr>
        <w:t>. T-324 de</w:t>
      </w:r>
      <w:r w:rsidR="00EC12E0" w:rsidRPr="00EA4E66">
        <w:rPr>
          <w:rFonts w:asciiTheme="minorHAnsi" w:hAnsiTheme="minorHAnsi" w:cs="Calibri"/>
          <w:lang w:val="fr-FR"/>
        </w:rPr>
        <w:t xml:space="preserve"> </w:t>
      </w:r>
      <w:r w:rsidRPr="00EA4E66">
        <w:rPr>
          <w:rFonts w:asciiTheme="minorHAnsi" w:hAnsiTheme="minorHAnsi" w:cs="Calibri"/>
          <w:lang w:val="fr-FR"/>
        </w:rPr>
        <w:t>1993</w:t>
      </w:r>
      <w:r w:rsidRPr="00EA4E66">
        <w:rPr>
          <w:rFonts w:asciiTheme="minorHAnsi" w:hAnsiTheme="minorHAnsi" w:cs="Arial"/>
          <w:lang w:val="fr-FR"/>
        </w:rPr>
        <w:t>.</w:t>
      </w:r>
    </w:p>
  </w:footnote>
  <w:footnote w:id="3">
    <w:p w:rsidR="002D298F" w:rsidRPr="00EA4E66" w:rsidRDefault="002D298F" w:rsidP="002D298F">
      <w:pPr>
        <w:pStyle w:val="Notedebasdepage"/>
        <w:jc w:val="both"/>
        <w:rPr>
          <w:rFonts w:asciiTheme="minorHAnsi" w:hAnsiTheme="minorHAnsi"/>
          <w:lang w:val="fr-FR"/>
        </w:rPr>
      </w:pPr>
      <w:r>
        <w:rPr>
          <w:rStyle w:val="Appelnotedebasdep"/>
          <w:rFonts w:asciiTheme="minorHAnsi" w:hAnsiTheme="minorHAnsi" w:cs="Calibri"/>
        </w:rPr>
        <w:footnoteRef/>
      </w:r>
      <w:r w:rsidRPr="00EA4E66">
        <w:rPr>
          <w:rFonts w:asciiTheme="minorHAnsi" w:hAnsiTheme="minorHAnsi" w:cs="Calibri"/>
          <w:lang w:val="fr-FR"/>
        </w:rPr>
        <w:t xml:space="preserve"> CC. SU-961 de 1999, T-890 de 2006, T-548 de 2011 y T-172 de 2013.</w:t>
      </w:r>
    </w:p>
  </w:footnote>
  <w:footnote w:id="4">
    <w:p w:rsidR="002D298F" w:rsidRPr="00EA4E66" w:rsidRDefault="002D298F" w:rsidP="002D298F">
      <w:pPr>
        <w:pStyle w:val="Notedebasdepage"/>
        <w:jc w:val="both"/>
        <w:rPr>
          <w:rFonts w:ascii="Calibri" w:hAnsi="Calibri"/>
          <w:lang w:val="es-CO"/>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EA4E66">
        <w:rPr>
          <w:rFonts w:ascii="Calibri" w:hAnsi="Calibri"/>
          <w:w w:val="110"/>
          <w:lang w:val="es-CO"/>
        </w:rPr>
        <w:t>11001-02-03-000-2011-00373-00</w:t>
      </w:r>
      <w:r w:rsidRPr="00825F31">
        <w:rPr>
          <w:rFonts w:ascii="Calibri" w:hAnsi="Calibri" w:cs="Calibri"/>
          <w:lang w:val="es-CO"/>
        </w:rPr>
        <w:t>.</w:t>
      </w:r>
    </w:p>
  </w:footnote>
  <w:footnote w:id="5">
    <w:p w:rsidR="002D298F" w:rsidRPr="00EA4E66" w:rsidRDefault="002D298F" w:rsidP="002D298F">
      <w:pPr>
        <w:pStyle w:val="Notedebasdepage"/>
        <w:jc w:val="both"/>
        <w:rPr>
          <w:rFonts w:ascii="Calibri" w:hAnsi="Calibri"/>
          <w:lang w:val="fr-FR"/>
        </w:rPr>
      </w:pPr>
      <w:r w:rsidRPr="00422741">
        <w:rPr>
          <w:rStyle w:val="Appelnotedebasdep"/>
          <w:rFonts w:ascii="Calibri" w:hAnsi="Calibri" w:cs="Calibri"/>
          <w:lang w:val="es-CO"/>
        </w:rPr>
        <w:footnoteRef/>
      </w:r>
      <w:r w:rsidRPr="00EA4E66">
        <w:rPr>
          <w:rFonts w:ascii="Calibri" w:hAnsi="Calibri" w:cs="Calibri"/>
          <w:lang w:val="fr-FR"/>
        </w:rPr>
        <w:t xml:space="preserve"> </w:t>
      </w:r>
      <w:r w:rsidRPr="00EA4E66">
        <w:rPr>
          <w:rFonts w:asciiTheme="minorHAnsi" w:hAnsiTheme="minorHAnsi" w:cs="Calibri"/>
          <w:lang w:val="fr-FR"/>
        </w:rPr>
        <w:t>CC</w:t>
      </w:r>
      <w:r w:rsidRPr="00EA4E66">
        <w:rPr>
          <w:rFonts w:ascii="Calibri" w:hAnsi="Calibri" w:cs="Calibri"/>
          <w:lang w:val="fr-FR"/>
        </w:rPr>
        <w:t>. T-1079 de 2008.</w:t>
      </w:r>
    </w:p>
  </w:footnote>
  <w:footnote w:id="6">
    <w:p w:rsidR="002D298F" w:rsidRPr="00EA4E66" w:rsidRDefault="002D298F" w:rsidP="002D298F">
      <w:pPr>
        <w:pStyle w:val="Notedebasdepage"/>
        <w:jc w:val="both"/>
        <w:rPr>
          <w:rFonts w:ascii="Calibri" w:hAnsi="Calibri"/>
          <w:b/>
          <w:iCs/>
          <w:lang w:val="fr-FR"/>
        </w:rPr>
      </w:pPr>
      <w:r w:rsidRPr="00422741">
        <w:rPr>
          <w:rStyle w:val="Appelnotedebasdep"/>
          <w:rFonts w:ascii="Calibri" w:hAnsi="Calibri"/>
          <w:lang w:val="es-CO"/>
        </w:rPr>
        <w:footnoteRef/>
      </w:r>
      <w:r w:rsidRPr="00EA4E66">
        <w:rPr>
          <w:rFonts w:ascii="Calibri" w:hAnsi="Calibri"/>
          <w:lang w:val="fr-FR"/>
        </w:rPr>
        <w:t xml:space="preserve"> CSJ, Civil. </w:t>
      </w:r>
      <w:r w:rsidRPr="00EA4E66">
        <w:rPr>
          <w:rFonts w:ascii="Calibri" w:hAnsi="Calibri"/>
          <w:iCs/>
          <w:lang w:val="fr-FR"/>
        </w:rPr>
        <w:t>STC2154-2016 y STC10383-2016.</w:t>
      </w:r>
    </w:p>
  </w:footnote>
  <w:footnote w:id="7">
    <w:p w:rsidR="002D298F" w:rsidRPr="00EA4E66" w:rsidRDefault="002D298F" w:rsidP="002D298F">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EA4E66">
        <w:rPr>
          <w:rFonts w:asciiTheme="minorHAnsi" w:hAnsiTheme="minorHAnsi" w:cs="Calibri"/>
          <w:lang w:val="fr-FR"/>
        </w:rPr>
        <w:t xml:space="preserve"> CC. T-016 de 2006.</w:t>
      </w:r>
    </w:p>
  </w:footnote>
  <w:footnote w:id="8">
    <w:p w:rsidR="002D298F" w:rsidRPr="009565CF" w:rsidRDefault="002D298F" w:rsidP="002D298F">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w:t>
      </w:r>
      <w:r w:rsidRPr="00EA4E66">
        <w:rPr>
          <w:rFonts w:asciiTheme="minorHAnsi" w:hAnsiTheme="minorHAnsi" w:cs="Calibri"/>
          <w:lang w:val="es-CO"/>
        </w:rPr>
        <w:t>CC</w:t>
      </w:r>
      <w:r w:rsidRPr="009565CF">
        <w:rPr>
          <w:rFonts w:asciiTheme="minorHAnsi" w:hAnsiTheme="minorHAnsi" w:cs="Calibri"/>
          <w:lang w:val="es-CO"/>
        </w:rPr>
        <w:t xml:space="preserve">. T-684 </w:t>
      </w:r>
      <w:r>
        <w:rPr>
          <w:rFonts w:asciiTheme="minorHAnsi" w:hAnsiTheme="minorHAnsi" w:cs="Calibri"/>
          <w:lang w:val="es-CO"/>
        </w:rPr>
        <w:t xml:space="preserve">de </w:t>
      </w:r>
      <w:r w:rsidRPr="009565CF">
        <w:rPr>
          <w:rFonts w:asciiTheme="minorHAnsi" w:hAnsiTheme="minorHAnsi" w:cs="Calibri"/>
          <w:lang w:val="es-CO"/>
        </w:rPr>
        <w:t>2003.</w:t>
      </w:r>
    </w:p>
  </w:footnote>
  <w:footnote w:id="9">
    <w:p w:rsidR="002D298F" w:rsidRPr="009565CF" w:rsidRDefault="002D298F" w:rsidP="002D298F">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w:t>
      </w:r>
      <w:r>
        <w:rPr>
          <w:rFonts w:asciiTheme="minorHAnsi" w:hAnsiTheme="minorHAnsi" w:cs="Calibri"/>
          <w:lang w:val="es-CO"/>
        </w:rPr>
        <w:t>.</w:t>
      </w:r>
      <w:r w:rsidRPr="009565CF">
        <w:rPr>
          <w:rFonts w:asciiTheme="minorHAnsi" w:hAnsiTheme="minorHAnsi" w:cs="Calibri"/>
          <w:lang w:val="es-CO"/>
        </w:rPr>
        <w:t>, Manuel F. La acción de tutela, el amparo en Colombia, Temis, Bogotá DC, 2011, p.105-106.</w:t>
      </w:r>
    </w:p>
  </w:footnote>
  <w:footnote w:id="10">
    <w:p w:rsidR="002D298F" w:rsidRPr="00EA4E66" w:rsidRDefault="002D298F" w:rsidP="002D298F">
      <w:pPr>
        <w:pStyle w:val="Notedebasdepage"/>
        <w:rPr>
          <w:rFonts w:asciiTheme="minorHAnsi" w:hAnsiTheme="minorHAnsi"/>
          <w:lang w:val="fr-FR"/>
        </w:rPr>
      </w:pPr>
      <w:r w:rsidRPr="00E501C4">
        <w:rPr>
          <w:rStyle w:val="Appelnotedebasdep"/>
          <w:rFonts w:asciiTheme="minorHAnsi" w:hAnsiTheme="minorHAnsi" w:cs="Calibri"/>
        </w:rPr>
        <w:footnoteRef/>
      </w:r>
      <w:r w:rsidRPr="00EA4E66">
        <w:rPr>
          <w:rFonts w:asciiTheme="minorHAnsi" w:hAnsiTheme="minorHAnsi" w:cs="Calibri"/>
          <w:lang w:val="fr-FR"/>
        </w:rPr>
        <w:t xml:space="preserve"> CC. T-323 de 2016.</w:t>
      </w:r>
    </w:p>
  </w:footnote>
  <w:footnote w:id="11">
    <w:p w:rsidR="002D298F" w:rsidRPr="00EA4E66" w:rsidRDefault="002D298F" w:rsidP="002D298F">
      <w:pPr>
        <w:pStyle w:val="Notedebasdepage"/>
        <w:rPr>
          <w:lang w:val="fr-FR"/>
        </w:rPr>
      </w:pPr>
      <w:r>
        <w:rPr>
          <w:rStyle w:val="Appelnotedebasdep"/>
        </w:rPr>
        <w:footnoteRef/>
      </w:r>
      <w:r w:rsidRPr="00EA4E66">
        <w:rPr>
          <w:lang w:val="fr-FR"/>
        </w:rPr>
        <w:t xml:space="preserve"> </w:t>
      </w:r>
      <w:r w:rsidRPr="00EA4E66">
        <w:rPr>
          <w:rFonts w:ascii="Calibri" w:hAnsi="Calibri" w:cs="Courier New"/>
          <w:lang w:val="fr-FR"/>
        </w:rPr>
        <w:t xml:space="preserve">CC. </w:t>
      </w:r>
      <w:hyperlink r:id="rId1" w:history="1">
        <w:r w:rsidRPr="00EA4E66">
          <w:rPr>
            <w:rStyle w:val="Lienhypertexte"/>
            <w:rFonts w:ascii="Calibri" w:hAnsi="Calibri" w:cs="Courier New"/>
            <w:color w:val="auto"/>
            <w:u w:val="none"/>
            <w:lang w:val="fr-FR"/>
          </w:rPr>
          <w:t>SU-499 de 2016</w:t>
        </w:r>
      </w:hyperlink>
      <w:r w:rsidRPr="00EA4E66">
        <w:rPr>
          <w:rStyle w:val="Lienhypertexte"/>
          <w:rFonts w:ascii="Calibri" w:hAnsi="Calibri" w:cs="Courier New"/>
          <w:color w:val="auto"/>
          <w:u w:val="none"/>
          <w:lang w:val="fr-FR"/>
        </w:rPr>
        <w:t>.</w:t>
      </w:r>
    </w:p>
  </w:footnote>
  <w:footnote w:id="12">
    <w:p w:rsidR="00144E2B" w:rsidRPr="00EA4E66" w:rsidRDefault="00144E2B" w:rsidP="00144E2B">
      <w:pPr>
        <w:pStyle w:val="Notedebasdepage"/>
        <w:jc w:val="both"/>
        <w:rPr>
          <w:rFonts w:ascii="Calibri" w:hAnsi="Calibri"/>
          <w:lang w:val="es-CO"/>
        </w:rPr>
      </w:pPr>
      <w:r w:rsidRPr="00CA1317">
        <w:rPr>
          <w:rFonts w:ascii="Calibri" w:hAnsi="Calibri" w:cs="Calibri"/>
          <w:vertAlign w:val="superscript"/>
        </w:rPr>
        <w:footnoteRef/>
      </w:r>
      <w:r w:rsidRPr="00CA1317">
        <w:rPr>
          <w:rFonts w:ascii="Calibri" w:hAnsi="Calibri" w:cs="Calibri"/>
          <w:lang w:val="es-CO"/>
        </w:rPr>
        <w:t xml:space="preserve"> </w:t>
      </w:r>
      <w:r w:rsidR="002D298F">
        <w:rPr>
          <w:rFonts w:ascii="Calibri" w:hAnsi="Calibri" w:cs="Calibri"/>
          <w:lang w:val="es-CO"/>
        </w:rPr>
        <w:t>CC</w:t>
      </w:r>
      <w:r w:rsidRPr="00CA1317">
        <w:rPr>
          <w:rFonts w:ascii="Calibri" w:hAnsi="Calibri" w:cs="Calibri"/>
          <w:lang w:val="es-CO"/>
        </w:rPr>
        <w:t xml:space="preserve">.  T-600 de 2002. </w:t>
      </w:r>
    </w:p>
  </w:footnote>
  <w:footnote w:id="13">
    <w:p w:rsidR="00144E2B" w:rsidRPr="00EA4E66" w:rsidRDefault="00144E2B" w:rsidP="00144E2B">
      <w:pPr>
        <w:pStyle w:val="Notedebasdepage"/>
        <w:jc w:val="both"/>
        <w:rPr>
          <w:rFonts w:ascii="Calibri" w:hAnsi="Calibri"/>
          <w:lang w:val="es-CO"/>
        </w:rPr>
      </w:pPr>
      <w:r w:rsidRPr="00CA1317">
        <w:rPr>
          <w:rFonts w:ascii="Calibri" w:hAnsi="Calibri" w:cs="Calibri"/>
          <w:vertAlign w:val="superscript"/>
        </w:rPr>
        <w:footnoteRef/>
      </w:r>
      <w:r w:rsidRPr="00CA1317">
        <w:rPr>
          <w:rFonts w:ascii="Calibri" w:hAnsi="Calibri" w:cs="Calibri"/>
          <w:lang w:val="es-CO"/>
        </w:rPr>
        <w:t xml:space="preserve"> </w:t>
      </w:r>
      <w:r w:rsidR="002D298F">
        <w:rPr>
          <w:rFonts w:ascii="Calibri" w:hAnsi="Calibri" w:cs="Calibri"/>
          <w:lang w:val="es-CO"/>
        </w:rPr>
        <w:t>CC</w:t>
      </w:r>
      <w:r w:rsidRPr="00CA1317">
        <w:rPr>
          <w:rFonts w:ascii="Calibri" w:hAnsi="Calibri" w:cs="Calibri"/>
          <w:lang w:val="es-CO"/>
        </w:rPr>
        <w:t xml:space="preserve">. Ver, por ejemplo, la sentencia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4">
    <w:p w:rsidR="00144E2B" w:rsidRPr="00EA4E66" w:rsidRDefault="00144E2B" w:rsidP="00144E2B">
      <w:pPr>
        <w:pStyle w:val="Notedebasdepage"/>
        <w:jc w:val="both"/>
        <w:rPr>
          <w:rFonts w:ascii="Calibri" w:hAnsi="Calibri"/>
          <w:lang w:val="es-CO"/>
        </w:rPr>
      </w:pPr>
      <w:r w:rsidRPr="00CA1317">
        <w:rPr>
          <w:rFonts w:ascii="Calibri" w:hAnsi="Calibri" w:cs="Calibri"/>
          <w:vertAlign w:val="superscript"/>
        </w:rPr>
        <w:footnoteRef/>
      </w:r>
      <w:r w:rsidRPr="00CA1317">
        <w:rPr>
          <w:rFonts w:ascii="Calibri" w:hAnsi="Calibri" w:cs="Calibri"/>
          <w:lang w:val="es-CO"/>
        </w:rPr>
        <w:t xml:space="preserve"> </w:t>
      </w:r>
      <w:r w:rsidR="002D298F">
        <w:rPr>
          <w:rFonts w:ascii="Calibri" w:hAnsi="Calibri" w:cs="Calibri"/>
          <w:lang w:val="es-CO"/>
        </w:rPr>
        <w:t>CC</w:t>
      </w:r>
      <w:r w:rsidRPr="00CA1317">
        <w:rPr>
          <w:rFonts w:ascii="Calibri" w:hAnsi="Calibri" w:cs="Calibri"/>
          <w:lang w:val="es-CO"/>
        </w:rPr>
        <w:t>. Ver por ejemplo las sentencia T-100 de 1994, T-256 de 1995, T-325 de 1995, T-455 de 1996, T-459 de 1996, T-083 de 1997 y SU-133 de 1998.</w:t>
      </w:r>
    </w:p>
  </w:footnote>
  <w:footnote w:id="15">
    <w:p w:rsidR="00144E2B" w:rsidRPr="00EA4E66" w:rsidRDefault="00144E2B" w:rsidP="00144E2B">
      <w:pPr>
        <w:pStyle w:val="Notedebasdepage"/>
        <w:jc w:val="both"/>
        <w:rPr>
          <w:rFonts w:ascii="Calibri" w:hAnsi="Calibri"/>
          <w:lang w:val="fr-FR"/>
        </w:rPr>
      </w:pPr>
      <w:r w:rsidRPr="00CA1317">
        <w:rPr>
          <w:rFonts w:ascii="Calibri" w:hAnsi="Calibri" w:cs="Calibri"/>
          <w:vertAlign w:val="superscript"/>
          <w:lang w:val="es-CO"/>
        </w:rPr>
        <w:footnoteRef/>
      </w:r>
      <w:r w:rsidRPr="00EA4E66">
        <w:rPr>
          <w:rFonts w:ascii="Calibri" w:hAnsi="Calibri" w:cs="Calibri"/>
          <w:lang w:val="fr-FR"/>
        </w:rPr>
        <w:t xml:space="preserve"> </w:t>
      </w:r>
      <w:r w:rsidR="002D298F" w:rsidRPr="00EA4E66">
        <w:rPr>
          <w:rFonts w:ascii="Calibri" w:hAnsi="Calibri" w:cs="Calibri"/>
          <w:lang w:val="fr-FR"/>
        </w:rPr>
        <w:t>CC</w:t>
      </w:r>
      <w:r w:rsidRPr="00EA4E66">
        <w:rPr>
          <w:rFonts w:ascii="Calibri" w:hAnsi="Calibri" w:cs="Calibri"/>
          <w:lang w:val="fr-FR"/>
        </w:rPr>
        <w:t>. T-225 de 1993.</w:t>
      </w:r>
    </w:p>
  </w:footnote>
  <w:footnote w:id="16">
    <w:p w:rsidR="007F02B5" w:rsidRPr="00EA4E66" w:rsidRDefault="007F02B5" w:rsidP="007F02B5">
      <w:pPr>
        <w:pStyle w:val="Notedebasdepage"/>
        <w:jc w:val="both"/>
        <w:rPr>
          <w:rFonts w:ascii="Calibri" w:hAnsi="Calibri"/>
          <w:lang w:val="fr-FR"/>
        </w:rPr>
      </w:pPr>
      <w:r w:rsidRPr="006A4103">
        <w:rPr>
          <w:rStyle w:val="Appelnotedebasdep"/>
          <w:rFonts w:ascii="Calibri" w:hAnsi="Calibri" w:cs="Calibri"/>
        </w:rPr>
        <w:footnoteRef/>
      </w:r>
      <w:r w:rsidRPr="00EA4E66">
        <w:rPr>
          <w:rFonts w:ascii="Calibri" w:hAnsi="Calibri" w:cs="Calibri"/>
          <w:lang w:val="fr-FR"/>
        </w:rPr>
        <w:t xml:space="preserve"> CC</w:t>
      </w:r>
      <w:r w:rsidR="0023058C" w:rsidRPr="00EA4E66">
        <w:rPr>
          <w:rFonts w:ascii="Calibri" w:hAnsi="Calibri" w:cs="Calibri"/>
          <w:lang w:val="fr-FR"/>
        </w:rPr>
        <w:t xml:space="preserve">. </w:t>
      </w:r>
      <w:r w:rsidRPr="00EA4E66">
        <w:rPr>
          <w:rFonts w:ascii="Calibri" w:hAnsi="Calibri" w:cs="Calibri"/>
          <w:bCs/>
          <w:lang w:val="fr-FR"/>
        </w:rPr>
        <w:t>T-082 de 2016.</w:t>
      </w:r>
    </w:p>
  </w:footnote>
  <w:footnote w:id="17">
    <w:p w:rsidR="007F02B5" w:rsidRPr="00EA4E66" w:rsidRDefault="007F02B5" w:rsidP="007F02B5">
      <w:pPr>
        <w:pStyle w:val="Notedebasdepage"/>
        <w:jc w:val="both"/>
        <w:rPr>
          <w:rFonts w:ascii="Calibri" w:hAnsi="Calibri" w:cs="Calibri"/>
          <w:spacing w:val="-20"/>
          <w:lang w:val="fr-FR"/>
        </w:rPr>
      </w:pPr>
      <w:r w:rsidRPr="00EA4E66">
        <w:rPr>
          <w:rFonts w:ascii="Calibri" w:hAnsi="Calibri" w:cs="Calibri"/>
          <w:spacing w:val="-20"/>
          <w:vertAlign w:val="superscript"/>
        </w:rPr>
        <w:footnoteRef/>
      </w:r>
      <w:r w:rsidRPr="00EA4E66">
        <w:rPr>
          <w:rFonts w:ascii="Calibri" w:hAnsi="Calibri" w:cs="Calibri"/>
          <w:spacing w:val="-20"/>
          <w:lang w:val="fr-FR"/>
        </w:rPr>
        <w:t xml:space="preserve"> CC. T-225 de 1993, T-436 de 2007, T-016 de 2008, T-1238 de 2008, T-273 de 2009,  </w:t>
      </w:r>
      <w:hyperlink r:id="rId2" w:tooltip="Haga clic para abrir la Sentencia T-660 de 2010" w:history="1">
        <w:r w:rsidRPr="00EA4E66">
          <w:rPr>
            <w:rStyle w:val="Lienhypertexte"/>
            <w:rFonts w:ascii="Calibri" w:hAnsi="Calibri" w:cs="Calibri"/>
            <w:color w:val="000000" w:themeColor="text1"/>
            <w:spacing w:val="-20"/>
            <w:u w:val="none"/>
            <w:lang w:val="fr-FR"/>
          </w:rPr>
          <w:t>T-660 de 2010</w:t>
        </w:r>
      </w:hyperlink>
      <w:r w:rsidRPr="00EA4E66">
        <w:rPr>
          <w:rFonts w:ascii="Calibri" w:hAnsi="Calibri"/>
          <w:bCs/>
          <w:color w:val="000000" w:themeColor="text1"/>
          <w:spacing w:val="-20"/>
          <w:lang w:val="fr-FR"/>
        </w:rPr>
        <w:t xml:space="preserve"> y </w:t>
      </w:r>
      <w:r w:rsidRPr="00EA4E66">
        <w:rPr>
          <w:rFonts w:ascii="Calibri" w:hAnsi="Calibri" w:cs="Calibri"/>
          <w:bCs/>
          <w:spacing w:val="-20"/>
          <w:lang w:val="fr-FR"/>
        </w:rPr>
        <w:t>T-082 de 2016</w:t>
      </w:r>
      <w:r w:rsidRPr="00EA4E66">
        <w:rPr>
          <w:rFonts w:ascii="Calibri" w:hAnsi="Calibri" w:cs="Calibri"/>
          <w:spacing w:val="-20"/>
          <w:lang w:val="fr-FR"/>
        </w:rPr>
        <w:t>, entre otras.</w:t>
      </w:r>
    </w:p>
  </w:footnote>
  <w:footnote w:id="18">
    <w:p w:rsidR="007F02B5" w:rsidRPr="00EA4E66" w:rsidRDefault="007F02B5" w:rsidP="007F02B5">
      <w:pPr>
        <w:pStyle w:val="Notedebasdepage"/>
        <w:jc w:val="both"/>
        <w:rPr>
          <w:rFonts w:ascii="Calibri" w:hAnsi="Calibri"/>
          <w:lang w:val="fr-FR"/>
        </w:rPr>
      </w:pPr>
      <w:r w:rsidRPr="006A4103">
        <w:rPr>
          <w:rStyle w:val="Appelnotedebasdep"/>
          <w:rFonts w:ascii="Calibri" w:hAnsi="Calibri" w:cs="Calibri"/>
        </w:rPr>
        <w:footnoteRef/>
      </w:r>
      <w:r w:rsidRPr="00EA4E66">
        <w:rPr>
          <w:rFonts w:ascii="Calibri" w:hAnsi="Calibri" w:cs="Calibri"/>
          <w:lang w:val="fr-FR"/>
        </w:rPr>
        <w:t xml:space="preserve"> CC</w:t>
      </w:r>
      <w:r w:rsidR="0023058C" w:rsidRPr="00EA4E66">
        <w:rPr>
          <w:rFonts w:ascii="Calibri" w:hAnsi="Calibri" w:cs="Calibri"/>
          <w:lang w:val="fr-FR"/>
        </w:rPr>
        <w:t xml:space="preserve">. </w:t>
      </w:r>
      <w:r w:rsidRPr="00EA4E66">
        <w:rPr>
          <w:rFonts w:ascii="Calibri" w:hAnsi="Calibri" w:cs="Calibri"/>
          <w:lang w:val="fr-FR"/>
        </w:rPr>
        <w:t>T-1316 de 2001</w:t>
      </w:r>
      <w:r w:rsidRPr="00EA4E66">
        <w:rPr>
          <w:rFonts w:ascii="Calibri" w:hAnsi="Calibri" w:cs="Calibri"/>
          <w:bCs/>
          <w:lang w:val="fr-FR"/>
        </w:rPr>
        <w:t>.</w:t>
      </w:r>
    </w:p>
  </w:footnote>
  <w:footnote w:id="19">
    <w:p w:rsidR="007F02B5" w:rsidRPr="00EA4E66" w:rsidRDefault="007F02B5" w:rsidP="007F02B5">
      <w:pPr>
        <w:pStyle w:val="Notedebasdepage"/>
        <w:rPr>
          <w:rFonts w:ascii="Calibri" w:hAnsi="Calibri"/>
          <w:lang w:val="fr-FR"/>
        </w:rPr>
      </w:pPr>
      <w:r w:rsidRPr="001D4724">
        <w:rPr>
          <w:rStyle w:val="Appelnotedebasdep"/>
          <w:rFonts w:ascii="Calibri" w:hAnsi="Calibri"/>
        </w:rPr>
        <w:footnoteRef/>
      </w:r>
      <w:r w:rsidRPr="00EA4E66">
        <w:rPr>
          <w:rFonts w:ascii="Calibri" w:hAnsi="Calibri"/>
          <w:lang w:val="fr-FR"/>
        </w:rPr>
        <w:t xml:space="preserve"> CC. </w:t>
      </w:r>
      <w:r w:rsidRPr="00EA4E66">
        <w:rPr>
          <w:rFonts w:ascii="Calibri" w:hAnsi="Calibri" w:cs="Calibri"/>
          <w:lang w:val="fr-FR"/>
        </w:rPr>
        <w:t xml:space="preserve">T-972 de 2014, T-082 de 2016 y </w:t>
      </w:r>
      <w:r w:rsidRPr="00EA4E66">
        <w:rPr>
          <w:rFonts w:ascii="Calibri" w:hAnsi="Calibri" w:cs="Calibri"/>
          <w:bCs/>
          <w:lang w:val="fr-FR"/>
        </w:rPr>
        <w:t>T-095 de 2016</w:t>
      </w:r>
      <w:r w:rsidRPr="00EA4E66">
        <w:rPr>
          <w:rFonts w:ascii="Calibri" w:hAnsi="Calibri" w:cs="Calibri"/>
          <w:lang w:val="fr-FR"/>
        </w:rPr>
        <w:t>.</w:t>
      </w:r>
    </w:p>
  </w:footnote>
  <w:footnote w:id="20">
    <w:p w:rsidR="007F02B5" w:rsidRPr="009D55DB" w:rsidRDefault="007F02B5" w:rsidP="007F02B5">
      <w:pPr>
        <w:pStyle w:val="Notedebasdepage"/>
        <w:jc w:val="both"/>
        <w:rPr>
          <w:rFonts w:ascii="Calibri" w:hAnsi="Calibri"/>
          <w:lang w:val="es-CO"/>
        </w:rPr>
      </w:pPr>
      <w:r w:rsidRPr="009D55DB">
        <w:rPr>
          <w:rStyle w:val="Appelnotedebasdep"/>
          <w:rFonts w:ascii="Calibri" w:hAnsi="Calibri"/>
        </w:rPr>
        <w:footnoteRef/>
      </w:r>
      <w:r w:rsidRPr="00EA4E66">
        <w:rPr>
          <w:rFonts w:ascii="Calibri" w:hAnsi="Calibri"/>
          <w:lang w:val="es-CO"/>
        </w:rPr>
        <w:t xml:space="preserve"> TSP, Civil – Familia. Sentencia del 05-08-2015; MP: Duberney Grisales H., No.2015-00284-00.</w:t>
      </w:r>
    </w:p>
  </w:footnote>
  <w:footnote w:id="21">
    <w:p w:rsidR="007F02B5" w:rsidRPr="00C558EE" w:rsidRDefault="007F02B5" w:rsidP="007F02B5">
      <w:pPr>
        <w:pStyle w:val="Notedebasdepage"/>
        <w:jc w:val="both"/>
        <w:rPr>
          <w:rFonts w:ascii="Calibri" w:hAnsi="Calibri"/>
          <w:b/>
          <w:lang w:val="es-CO"/>
        </w:rPr>
      </w:pPr>
      <w:r w:rsidRPr="00C558EE">
        <w:rPr>
          <w:rStyle w:val="Appelnotedebasdep"/>
          <w:rFonts w:ascii="Calibri" w:hAnsi="Calibri"/>
        </w:rPr>
        <w:footnoteRef/>
      </w:r>
      <w:r w:rsidRPr="00EA4E66">
        <w:rPr>
          <w:rFonts w:ascii="Calibri" w:hAnsi="Calibri"/>
          <w:lang w:val="es-CO"/>
        </w:rPr>
        <w:t xml:space="preserve"> </w:t>
      </w:r>
      <w:r>
        <w:rPr>
          <w:rFonts w:ascii="Calibri" w:hAnsi="Calibri"/>
          <w:lang w:val="es-CO"/>
        </w:rPr>
        <w:t>CSJ</w:t>
      </w:r>
      <w:r w:rsidRPr="00C558EE">
        <w:rPr>
          <w:rFonts w:ascii="Calibri" w:hAnsi="Calibri"/>
          <w:lang w:val="es-CO"/>
        </w:rPr>
        <w:t>. STC6880-2016,</w:t>
      </w:r>
      <w:r w:rsidRPr="00C558EE">
        <w:rPr>
          <w:rFonts w:ascii="Calibri" w:hAnsi="Calibri"/>
          <w:b/>
          <w:lang w:val="es-CO"/>
        </w:rPr>
        <w:t xml:space="preserve"> </w:t>
      </w:r>
      <w:r w:rsidRPr="00EA4E66">
        <w:rPr>
          <w:rFonts w:ascii="Calibri" w:hAnsi="Calibri"/>
          <w:lang w:val="es-CO"/>
        </w:rPr>
        <w:t>STC7686-2016,</w:t>
      </w:r>
      <w:r w:rsidRPr="00EA4E66">
        <w:rPr>
          <w:rFonts w:ascii="Calibri" w:hAnsi="Calibri"/>
          <w:b/>
          <w:lang w:val="es-CO"/>
        </w:rPr>
        <w:t xml:space="preserve"> </w:t>
      </w:r>
      <w:r w:rsidRPr="00EA4E66">
        <w:rPr>
          <w:rFonts w:ascii="Calibri" w:hAnsi="Calibri"/>
          <w:lang w:val="es-CO"/>
        </w:rPr>
        <w:t>STC8200-2016 y</w:t>
      </w:r>
      <w:r w:rsidRPr="00C558EE">
        <w:rPr>
          <w:rFonts w:ascii="Calibri" w:hAnsi="Calibri"/>
          <w:lang w:val="es-CO"/>
        </w:rPr>
        <w:t xml:space="preserve"> </w:t>
      </w:r>
      <w:r w:rsidRPr="00EA4E66">
        <w:rPr>
          <w:rFonts w:ascii="Calibri" w:hAnsi="Calibri"/>
          <w:lang w:val="es-CO"/>
        </w:rPr>
        <w:t>STC8324-2016, entre otras.</w:t>
      </w:r>
    </w:p>
  </w:footnote>
  <w:footnote w:id="22">
    <w:p w:rsidR="007F02B5" w:rsidRPr="007613C2" w:rsidRDefault="007F02B5" w:rsidP="007F02B5">
      <w:pPr>
        <w:pStyle w:val="Notedebasdepage"/>
        <w:rPr>
          <w:rFonts w:ascii="Calibri" w:hAnsi="Calibri"/>
          <w:lang w:val="es-ES_tradnl"/>
        </w:rPr>
      </w:pPr>
      <w:r w:rsidRPr="001D4724">
        <w:rPr>
          <w:rStyle w:val="Appelnotedebasdep"/>
          <w:rFonts w:ascii="Calibri" w:hAnsi="Calibri"/>
        </w:rPr>
        <w:footnoteRef/>
      </w:r>
      <w:r w:rsidRPr="00EA4E66">
        <w:rPr>
          <w:rFonts w:ascii="Calibri" w:hAnsi="Calibri"/>
          <w:lang w:val="es-CO"/>
        </w:rPr>
        <w:t xml:space="preserve"> </w:t>
      </w:r>
      <w:r>
        <w:rPr>
          <w:rFonts w:ascii="Calibri" w:hAnsi="Calibri"/>
          <w:lang w:val="es-CO"/>
        </w:rPr>
        <w:t>CSJ</w:t>
      </w:r>
      <w:r w:rsidRPr="001D4724">
        <w:rPr>
          <w:rFonts w:ascii="Calibri" w:hAnsi="Calibri"/>
          <w:lang w:val="es-CO"/>
        </w:rPr>
        <w:t xml:space="preserve">. </w:t>
      </w:r>
      <w:r w:rsidRPr="00EA4E66">
        <w:rPr>
          <w:rFonts w:ascii="Calibri" w:hAnsi="Calibri"/>
          <w:lang w:val="es-CO"/>
        </w:rPr>
        <w:t>STC8200-2016 y</w:t>
      </w:r>
      <w:r w:rsidRPr="001D4724">
        <w:rPr>
          <w:rFonts w:ascii="Calibri" w:hAnsi="Calibri"/>
          <w:lang w:val="es-CO"/>
        </w:rPr>
        <w:t xml:space="preserve"> </w:t>
      </w:r>
      <w:r w:rsidRPr="00EA4E66">
        <w:rPr>
          <w:rFonts w:ascii="Calibri" w:hAnsi="Calibri"/>
          <w:lang w:val="es-CO"/>
        </w:rPr>
        <w:t>STC8324-2016.</w:t>
      </w:r>
    </w:p>
  </w:footnote>
  <w:footnote w:id="23">
    <w:p w:rsidR="004916BD" w:rsidRPr="009C4841" w:rsidRDefault="004916BD" w:rsidP="004916BD">
      <w:pPr>
        <w:pStyle w:val="Notedebasdepage"/>
        <w:jc w:val="both"/>
        <w:rPr>
          <w:rFonts w:asciiTheme="minorHAnsi" w:hAnsiTheme="minorHAnsi"/>
          <w:lang w:val="es-CO"/>
        </w:rPr>
      </w:pPr>
      <w:r w:rsidRPr="009C4841">
        <w:rPr>
          <w:rStyle w:val="Appelnotedebasdep"/>
          <w:rFonts w:asciiTheme="minorHAnsi" w:hAnsiTheme="minorHAnsi"/>
          <w:lang w:val="es-CO"/>
        </w:rPr>
        <w:footnoteRef/>
      </w:r>
      <w:r w:rsidRPr="009C4841">
        <w:rPr>
          <w:rFonts w:asciiTheme="minorHAnsi" w:hAnsiTheme="minorHAnsi"/>
          <w:lang w:val="es-CO"/>
        </w:rPr>
        <w:t xml:space="preserve"> </w:t>
      </w:r>
      <w:r w:rsidR="0023058C">
        <w:rPr>
          <w:rFonts w:asciiTheme="minorHAnsi" w:hAnsiTheme="minorHAnsi"/>
          <w:lang w:val="es-CO"/>
        </w:rPr>
        <w:t xml:space="preserve">CC. </w:t>
      </w:r>
      <w:r w:rsidR="009A7CB5">
        <w:fldChar w:fldCharType="begin"/>
      </w:r>
      <w:r w:rsidR="009A7CB5" w:rsidRPr="00EA4E66">
        <w:rPr>
          <w:lang w:val="es-CO"/>
        </w:rPr>
        <w:instrText xml:space="preserve"> HYPERLINK "http://www.corteconstitucional.gov.co/sentencias/2016/SU499-16.rtf" </w:instrText>
      </w:r>
      <w:r w:rsidR="009A7CB5">
        <w:fldChar w:fldCharType="separate"/>
      </w:r>
      <w:r w:rsidR="0023058C" w:rsidRPr="0023058C">
        <w:rPr>
          <w:rStyle w:val="Lienhypertexte"/>
          <w:rFonts w:ascii="Calibri" w:hAnsi="Calibri" w:cs="Courier New"/>
          <w:color w:val="auto"/>
          <w:u w:val="none"/>
        </w:rPr>
        <w:t>SU-499 de 2016</w:t>
      </w:r>
      <w:r w:rsidR="009A7CB5">
        <w:rPr>
          <w:rStyle w:val="Lienhypertexte"/>
          <w:rFonts w:ascii="Calibri" w:hAnsi="Calibri" w:cs="Courier New"/>
          <w:color w:val="auto"/>
          <w:u w:val="none"/>
        </w:rPr>
        <w:fldChar w:fldCharType="end"/>
      </w:r>
      <w:r w:rsidRPr="00E501C4">
        <w:rPr>
          <w:rFonts w:asciiTheme="minorHAnsi" w:hAnsiTheme="minorHAnsi"/>
          <w:lang w:val="es-CO"/>
        </w:rPr>
        <w:t>.</w:t>
      </w:r>
    </w:p>
  </w:footnote>
  <w:footnote w:id="24">
    <w:p w:rsidR="006056CF" w:rsidRPr="00EE0D9D" w:rsidRDefault="006056CF" w:rsidP="006056CF">
      <w:pPr>
        <w:pStyle w:val="Notedebasdepage"/>
        <w:rPr>
          <w:rFonts w:ascii="Calibri" w:hAnsi="Calibri"/>
          <w:lang w:val="es-CO"/>
        </w:rPr>
      </w:pPr>
      <w:r w:rsidRPr="00EE0D9D">
        <w:rPr>
          <w:rStyle w:val="Appelnotedebasdep"/>
          <w:rFonts w:ascii="Calibri" w:hAnsi="Calibri"/>
        </w:rPr>
        <w:footnoteRef/>
      </w:r>
      <w:r w:rsidRPr="00EE0D9D">
        <w:rPr>
          <w:rFonts w:ascii="Calibri" w:hAnsi="Calibri"/>
        </w:rPr>
        <w:t xml:space="preserve"> </w:t>
      </w:r>
      <w:r w:rsidRPr="00EE0D9D">
        <w:rPr>
          <w:rFonts w:ascii="Calibri" w:hAnsi="Calibri"/>
          <w:lang w:val="es-CO"/>
        </w:rPr>
        <w:t>CC. T-471 de 2015.</w:t>
      </w:r>
    </w:p>
  </w:footnote>
  <w:footnote w:id="25">
    <w:p w:rsidR="008B10CC" w:rsidRPr="008B10CC" w:rsidRDefault="008B10CC">
      <w:pPr>
        <w:pStyle w:val="Notedebasdepage"/>
        <w:rPr>
          <w:rFonts w:asciiTheme="minorHAnsi" w:hAnsiTheme="minorHAnsi"/>
          <w:lang w:val="es-CO"/>
        </w:rPr>
      </w:pPr>
      <w:r w:rsidRPr="008B10CC">
        <w:rPr>
          <w:rStyle w:val="Appelnotedebasdep"/>
          <w:rFonts w:asciiTheme="minorHAnsi" w:hAnsiTheme="minorHAnsi"/>
        </w:rPr>
        <w:footnoteRef/>
      </w:r>
      <w:r w:rsidRPr="008B10CC">
        <w:rPr>
          <w:rFonts w:asciiTheme="minorHAnsi" w:hAnsiTheme="minorHAnsi"/>
        </w:rPr>
        <w:t xml:space="preserve"> </w:t>
      </w:r>
      <w:r w:rsidRPr="008B10CC">
        <w:rPr>
          <w:rFonts w:asciiTheme="minorHAnsi" w:hAnsiTheme="minorHAnsi"/>
          <w:lang w:val="es-CO"/>
        </w:rPr>
        <w:t>CC. T-651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5802" w:rsidRDefault="003913E3">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EA4E66">
      <w:rPr>
        <w:rFonts w:ascii="Calibri" w:hAnsi="Calibri"/>
        <w:noProof/>
        <w:sz w:val="22"/>
        <w:lang w:val="es-CO"/>
      </w:rPr>
      <w:t>9</w:t>
    </w:r>
    <w:r w:rsidRPr="00C55802">
      <w:rPr>
        <w:rFonts w:ascii="Calibri" w:hAnsi="Calibri"/>
        <w:sz w:val="22"/>
        <w:lang w:val="es-CO"/>
      </w:rPr>
      <w:fldChar w:fldCharType="end"/>
    </w:r>
  </w:p>
  <w:p w:rsidR="003913E3" w:rsidRPr="00CA23A1" w:rsidRDefault="003913E3" w:rsidP="006F562A">
    <w:pPr>
      <w:pStyle w:val="En-tte"/>
      <w:ind w:right="360"/>
      <w:jc w:val="both"/>
      <w:rPr>
        <w:rFonts w:ascii="Calibri" w:hAnsi="Calibri" w:cs="Calibri"/>
        <w:i/>
        <w:sz w:val="20"/>
        <w:szCs w:val="20"/>
      </w:rPr>
    </w:pPr>
    <w:r w:rsidRPr="00F839CE">
      <w:rPr>
        <w:rFonts w:ascii="Calibri" w:hAnsi="Calibri" w:cs="Calibri"/>
        <w:i/>
        <w:sz w:val="20"/>
        <w:szCs w:val="20"/>
      </w:rPr>
      <w:t>EXPEDIENTE No.</w:t>
    </w:r>
    <w:r w:rsidR="009F023C">
      <w:rPr>
        <w:rFonts w:ascii="Calibri" w:hAnsi="Calibri" w:cs="Calibri"/>
        <w:i/>
        <w:sz w:val="20"/>
        <w:szCs w:val="20"/>
      </w:rPr>
      <w:t>2016-</w:t>
    </w:r>
    <w:r w:rsidR="000B4F20">
      <w:rPr>
        <w:rFonts w:ascii="Calibri" w:hAnsi="Calibri" w:cs="Calibri"/>
        <w:i/>
        <w:sz w:val="20"/>
        <w:szCs w:val="20"/>
      </w:rPr>
      <w:t>00360</w:t>
    </w:r>
    <w:r w:rsidR="001C5E99">
      <w:rPr>
        <w:rFonts w:ascii="Calibri" w:hAnsi="Calibri" w:cs="Calibri"/>
        <w:i/>
        <w:sz w:val="20"/>
        <w:szCs w:val="20"/>
      </w:rPr>
      <w:t>-03</w:t>
    </w:r>
    <w:r w:rsidR="009F023C">
      <w:rPr>
        <w:rFonts w:ascii="Calibri" w:hAnsi="Calibri" w:cs="Calibri"/>
        <w: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913E3">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C015D5"/>
    <w:multiLevelType w:val="multilevel"/>
    <w:tmpl w:val="722C7C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4B35D8"/>
    <w:multiLevelType w:val="multilevel"/>
    <w:tmpl w:val="7AD838D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08023FF"/>
    <w:multiLevelType w:val="multilevel"/>
    <w:tmpl w:val="56F205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89D70DE"/>
    <w:multiLevelType w:val="multilevel"/>
    <w:tmpl w:val="D0D04BB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93CF6"/>
    <w:multiLevelType w:val="multilevel"/>
    <w:tmpl w:val="D422988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29"/>
  </w:num>
  <w:num w:numId="3">
    <w:abstractNumId w:val="22"/>
  </w:num>
  <w:num w:numId="4">
    <w:abstractNumId w:val="18"/>
  </w:num>
  <w:num w:numId="5">
    <w:abstractNumId w:val="33"/>
  </w:num>
  <w:num w:numId="6">
    <w:abstractNumId w:val="20"/>
  </w:num>
  <w:num w:numId="7">
    <w:abstractNumId w:val="3"/>
  </w:num>
  <w:num w:numId="8">
    <w:abstractNumId w:val="13"/>
  </w:num>
  <w:num w:numId="9">
    <w:abstractNumId w:val="14"/>
  </w:num>
  <w:num w:numId="10">
    <w:abstractNumId w:val="2"/>
  </w:num>
  <w:num w:numId="11">
    <w:abstractNumId w:val="28"/>
  </w:num>
  <w:num w:numId="12">
    <w:abstractNumId w:val="10"/>
  </w:num>
  <w:num w:numId="13">
    <w:abstractNumId w:val="16"/>
  </w:num>
  <w:num w:numId="14">
    <w:abstractNumId w:val="38"/>
  </w:num>
  <w:num w:numId="15">
    <w:abstractNumId w:val="25"/>
  </w:num>
  <w:num w:numId="16">
    <w:abstractNumId w:val="1"/>
  </w:num>
  <w:num w:numId="17">
    <w:abstractNumId w:val="41"/>
  </w:num>
  <w:num w:numId="18">
    <w:abstractNumId w:val="26"/>
  </w:num>
  <w:num w:numId="19">
    <w:abstractNumId w:val="36"/>
  </w:num>
  <w:num w:numId="20">
    <w:abstractNumId w:val="34"/>
  </w:num>
  <w:num w:numId="21">
    <w:abstractNumId w:val="6"/>
  </w:num>
  <w:num w:numId="22">
    <w:abstractNumId w:val="0"/>
  </w:num>
  <w:num w:numId="23">
    <w:abstractNumId w:val="43"/>
  </w:num>
  <w:num w:numId="24">
    <w:abstractNumId w:val="23"/>
  </w:num>
  <w:num w:numId="25">
    <w:abstractNumId w:val="12"/>
  </w:num>
  <w:num w:numId="26">
    <w:abstractNumId w:val="15"/>
  </w:num>
  <w:num w:numId="27">
    <w:abstractNumId w:val="4"/>
  </w:num>
  <w:num w:numId="28">
    <w:abstractNumId w:val="32"/>
  </w:num>
  <w:num w:numId="29">
    <w:abstractNumId w:val="21"/>
  </w:num>
  <w:num w:numId="30">
    <w:abstractNumId w:val="11"/>
  </w:num>
  <w:num w:numId="31">
    <w:abstractNumId w:val="42"/>
  </w:num>
  <w:num w:numId="32">
    <w:abstractNumId w:val="27"/>
  </w:num>
  <w:num w:numId="33">
    <w:abstractNumId w:val="7"/>
  </w:num>
  <w:num w:numId="34">
    <w:abstractNumId w:val="31"/>
  </w:num>
  <w:num w:numId="35">
    <w:abstractNumId w:val="9"/>
  </w:num>
  <w:num w:numId="36">
    <w:abstractNumId w:val="30"/>
  </w:num>
  <w:num w:numId="37">
    <w:abstractNumId w:val="24"/>
  </w:num>
  <w:num w:numId="38">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9"/>
  </w:num>
  <w:num w:numId="43">
    <w:abstractNumId w:val="5"/>
  </w:num>
  <w:num w:numId="44">
    <w:abstractNumId w:val="35"/>
  </w:num>
  <w:num w:numId="45">
    <w:abstractNumId w:val="37"/>
  </w:num>
  <w:num w:numId="46">
    <w:abstractNumId w:val="1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8E7"/>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353F5"/>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4F20"/>
    <w:rsid w:val="000B5D80"/>
    <w:rsid w:val="000B6A4A"/>
    <w:rsid w:val="000C0A5D"/>
    <w:rsid w:val="000C4C03"/>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2E54"/>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4E2B"/>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487"/>
    <w:rsid w:val="00172643"/>
    <w:rsid w:val="00172826"/>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5E99"/>
    <w:rsid w:val="001C687C"/>
    <w:rsid w:val="001C7BEE"/>
    <w:rsid w:val="001D0A6A"/>
    <w:rsid w:val="001D14A5"/>
    <w:rsid w:val="001D2702"/>
    <w:rsid w:val="001D3D53"/>
    <w:rsid w:val="001D4CB4"/>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0E30"/>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58C"/>
    <w:rsid w:val="00230A7F"/>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04DB"/>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298F"/>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27B2D"/>
    <w:rsid w:val="0033236B"/>
    <w:rsid w:val="00332FAA"/>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64A1E"/>
    <w:rsid w:val="003708EF"/>
    <w:rsid w:val="00371F65"/>
    <w:rsid w:val="0037385E"/>
    <w:rsid w:val="00374FC2"/>
    <w:rsid w:val="003767EA"/>
    <w:rsid w:val="00377C39"/>
    <w:rsid w:val="003801D6"/>
    <w:rsid w:val="00381EEC"/>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55CA"/>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8DD"/>
    <w:rsid w:val="00444980"/>
    <w:rsid w:val="00444E8C"/>
    <w:rsid w:val="004466BF"/>
    <w:rsid w:val="004518F7"/>
    <w:rsid w:val="0045202E"/>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2D2"/>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2EB1"/>
    <w:rsid w:val="00604455"/>
    <w:rsid w:val="006056CF"/>
    <w:rsid w:val="00607FBD"/>
    <w:rsid w:val="00607FC8"/>
    <w:rsid w:val="006112D7"/>
    <w:rsid w:val="00612508"/>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868"/>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2DA"/>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24DF"/>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3900"/>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02B5"/>
    <w:rsid w:val="007F2158"/>
    <w:rsid w:val="007F3A65"/>
    <w:rsid w:val="007F443B"/>
    <w:rsid w:val="007F6579"/>
    <w:rsid w:val="007F7D49"/>
    <w:rsid w:val="00800654"/>
    <w:rsid w:val="00800C57"/>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26F86"/>
    <w:rsid w:val="00831A22"/>
    <w:rsid w:val="008344D5"/>
    <w:rsid w:val="00836EE1"/>
    <w:rsid w:val="008404FB"/>
    <w:rsid w:val="00841CCA"/>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6A4"/>
    <w:rsid w:val="00852D40"/>
    <w:rsid w:val="00853C31"/>
    <w:rsid w:val="00854008"/>
    <w:rsid w:val="00856A64"/>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3A2B"/>
    <w:rsid w:val="00875D4E"/>
    <w:rsid w:val="00877A45"/>
    <w:rsid w:val="008826F6"/>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10CC"/>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CD9"/>
    <w:rsid w:val="00904E56"/>
    <w:rsid w:val="00905425"/>
    <w:rsid w:val="00905921"/>
    <w:rsid w:val="00905E36"/>
    <w:rsid w:val="00906C56"/>
    <w:rsid w:val="009076CC"/>
    <w:rsid w:val="009079F3"/>
    <w:rsid w:val="00907B47"/>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A7CB5"/>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1E0E"/>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28E8"/>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BED"/>
    <w:rsid w:val="00C97DFA"/>
    <w:rsid w:val="00CA0962"/>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5CE2"/>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66"/>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8820852">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33B9-DA9B-434E-A0C9-2A88CA3F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3258</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2017-04-04T19:18:00Z</cp:lastPrinted>
  <dcterms:created xsi:type="dcterms:W3CDTF">2017-03-31T17:59:00Z</dcterms:created>
  <dcterms:modified xsi:type="dcterms:W3CDTF">2017-06-21T04:46:00Z</dcterms:modified>
</cp:coreProperties>
</file>