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77B" w:rsidRPr="006E4540" w:rsidRDefault="006A677B" w:rsidP="006A677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297A63" w:rsidRPr="007860C0" w:rsidRDefault="00297A63" w:rsidP="00297A63">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14:anchorId="435ED0F8" wp14:editId="2783A159">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7860C0" w:rsidRDefault="00297A63" w:rsidP="00297A63">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297A63" w:rsidRPr="007860C0" w:rsidRDefault="00297A63" w:rsidP="00297A63">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297A63" w:rsidRPr="007860C0" w:rsidRDefault="00297A63" w:rsidP="00297A63">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297A63" w:rsidRPr="00121680" w:rsidRDefault="00297A63" w:rsidP="00297A63">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297A63" w:rsidRPr="00505ACE" w:rsidRDefault="00297A63" w:rsidP="00297A63">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Corpsdetexte"/>
        <w:tabs>
          <w:tab w:val="clear" w:pos="3540"/>
          <w:tab w:val="clear" w:pos="4248"/>
          <w:tab w:val="left" w:pos="3600"/>
        </w:tabs>
        <w:spacing w:line="360" w:lineRule="auto"/>
        <w:jc w:val="center"/>
        <w:rPr>
          <w:rFonts w:ascii="Arial" w:hAnsi="Arial" w:cs="Arial"/>
          <w:sz w:val="14"/>
          <w:szCs w:val="22"/>
        </w:rPr>
      </w:pPr>
    </w:p>
    <w:p w:rsidR="0005223F"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r w:rsidR="006A677B">
        <w:rPr>
          <w:rFonts w:ascii="Arial" w:hAnsi="Arial" w:cs="Arial"/>
          <w:sz w:val="22"/>
          <w:szCs w:val="22"/>
        </w:rPr>
        <w:t xml:space="preserve">Providencia </w:t>
      </w:r>
      <w:r w:rsidR="002F4F28">
        <w:rPr>
          <w:rFonts w:ascii="Arial" w:hAnsi="Arial" w:cs="Arial"/>
          <w:sz w:val="22"/>
          <w:szCs w:val="22"/>
        </w:rPr>
        <w:tab/>
      </w:r>
      <w:r w:rsidR="002F4F28">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6A677B">
        <w:rPr>
          <w:rFonts w:ascii="Arial" w:hAnsi="Arial" w:cs="Arial"/>
          <w:sz w:val="22"/>
          <w:szCs w:val="22"/>
        </w:rPr>
        <w:t>Auto – Incidente de desacato en grado de consulta</w:t>
      </w:r>
    </w:p>
    <w:p w:rsidR="006A677B" w:rsidRPr="003274BF" w:rsidRDefault="006A677B"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26 de mayo de 2017</w:t>
      </w:r>
      <w:r>
        <w:rPr>
          <w:rFonts w:ascii="Arial" w:hAnsi="Arial" w:cs="Arial"/>
          <w:sz w:val="22"/>
          <w:szCs w:val="22"/>
        </w:rPr>
        <w:tab/>
      </w:r>
    </w:p>
    <w:p w:rsidR="006A677B" w:rsidRDefault="006A677B"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t>Proceso</w:t>
      </w:r>
      <w:r>
        <w:rPr>
          <w:rFonts w:ascii="Arial" w:hAnsi="Arial" w:cs="Arial"/>
          <w:sz w:val="22"/>
          <w:szCs w:val="22"/>
        </w:rPr>
        <w:tab/>
      </w:r>
      <w:r>
        <w:rPr>
          <w:rFonts w:ascii="Arial" w:hAnsi="Arial" w:cs="Arial"/>
          <w:sz w:val="22"/>
          <w:szCs w:val="22"/>
        </w:rPr>
        <w:tab/>
      </w:r>
      <w:r>
        <w:rPr>
          <w:rFonts w:ascii="Arial" w:hAnsi="Arial" w:cs="Arial"/>
          <w:sz w:val="22"/>
          <w:szCs w:val="22"/>
        </w:rPr>
        <w:tab/>
        <w:t>: Acción de Tutela – Revoca sanción</w:t>
      </w:r>
    </w:p>
    <w:p w:rsidR="00C97F75"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proofErr w:type="spellStart"/>
      <w:r w:rsidR="002F4F28">
        <w:rPr>
          <w:rFonts w:ascii="Arial" w:hAnsi="Arial" w:cs="Arial"/>
          <w:sz w:val="22"/>
          <w:szCs w:val="22"/>
        </w:rPr>
        <w:t>Incidentante</w:t>
      </w:r>
      <w:proofErr w:type="spellEnd"/>
      <w:r w:rsidR="002F4F28">
        <w:rPr>
          <w:rFonts w:ascii="Arial" w:hAnsi="Arial" w:cs="Arial"/>
          <w:sz w:val="22"/>
          <w:szCs w:val="22"/>
        </w:rPr>
        <w:tab/>
      </w:r>
      <w:r w:rsidR="002F4F28">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00645345">
        <w:rPr>
          <w:rFonts w:ascii="Arial" w:hAnsi="Arial" w:cs="Arial"/>
          <w:sz w:val="22"/>
          <w:szCs w:val="22"/>
        </w:rPr>
        <w:t xml:space="preserve">Santiago </w:t>
      </w:r>
      <w:r w:rsidR="005C15C8">
        <w:rPr>
          <w:rFonts w:ascii="Arial" w:hAnsi="Arial" w:cs="Arial"/>
          <w:sz w:val="22"/>
          <w:szCs w:val="22"/>
        </w:rPr>
        <w:t>d</w:t>
      </w:r>
      <w:r w:rsidR="00645345">
        <w:rPr>
          <w:rFonts w:ascii="Arial" w:hAnsi="Arial" w:cs="Arial"/>
          <w:sz w:val="22"/>
          <w:szCs w:val="22"/>
        </w:rPr>
        <w:t>e Jesús Puerta Romero</w:t>
      </w:r>
    </w:p>
    <w:p w:rsidR="00645345" w:rsidRPr="003274BF" w:rsidRDefault="00645345"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t>Representante legal</w:t>
      </w:r>
      <w:r>
        <w:rPr>
          <w:rFonts w:ascii="Arial" w:hAnsi="Arial" w:cs="Arial"/>
          <w:sz w:val="22"/>
          <w:szCs w:val="22"/>
        </w:rPr>
        <w:tab/>
        <w:t xml:space="preserve">: </w:t>
      </w:r>
      <w:proofErr w:type="spellStart"/>
      <w:r>
        <w:rPr>
          <w:rFonts w:ascii="Arial" w:hAnsi="Arial" w:cs="Arial"/>
          <w:sz w:val="22"/>
          <w:szCs w:val="22"/>
        </w:rPr>
        <w:t>Nataly</w:t>
      </w:r>
      <w:proofErr w:type="spellEnd"/>
      <w:r>
        <w:rPr>
          <w:rFonts w:ascii="Arial" w:hAnsi="Arial" w:cs="Arial"/>
          <w:sz w:val="22"/>
          <w:szCs w:val="22"/>
        </w:rPr>
        <w:t xml:space="preserve"> Romero Callejas</w:t>
      </w:r>
    </w:p>
    <w:p w:rsidR="00C97F75" w:rsidRPr="003274BF"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proofErr w:type="spellStart"/>
      <w:r w:rsidR="00CD513B">
        <w:rPr>
          <w:rFonts w:ascii="Arial" w:hAnsi="Arial" w:cs="Arial"/>
          <w:sz w:val="22"/>
          <w:szCs w:val="22"/>
        </w:rPr>
        <w:t>Incidentado</w:t>
      </w:r>
      <w:proofErr w:type="spellEnd"/>
      <w:r w:rsidR="00C97F75">
        <w:rPr>
          <w:rFonts w:ascii="Arial" w:hAnsi="Arial" w:cs="Arial"/>
          <w:sz w:val="22"/>
          <w:szCs w:val="22"/>
        </w:rPr>
        <w:tab/>
      </w:r>
      <w:r>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00BD5090" w:rsidRPr="00BD5090">
        <w:rPr>
          <w:rFonts w:ascii="Arial" w:hAnsi="Arial" w:cs="Arial"/>
          <w:sz w:val="22"/>
          <w:szCs w:val="22"/>
        </w:rPr>
        <w:t xml:space="preserve">Administradora de Agencia de la </w:t>
      </w:r>
      <w:proofErr w:type="spellStart"/>
      <w:r w:rsidR="00BD5090" w:rsidRPr="00BD5090">
        <w:rPr>
          <w:rFonts w:ascii="Arial" w:hAnsi="Arial" w:cs="Arial"/>
          <w:sz w:val="22"/>
          <w:szCs w:val="22"/>
        </w:rPr>
        <w:t>EPS</w:t>
      </w:r>
      <w:proofErr w:type="spellEnd"/>
      <w:r w:rsidR="00BD5090" w:rsidRPr="00BD5090">
        <w:rPr>
          <w:rFonts w:ascii="Arial" w:hAnsi="Arial" w:cs="Arial"/>
          <w:sz w:val="22"/>
          <w:szCs w:val="22"/>
        </w:rPr>
        <w:t xml:space="preserve"> S </w:t>
      </w:r>
      <w:proofErr w:type="spellStart"/>
      <w:r w:rsidR="00BD5090" w:rsidRPr="00BD5090">
        <w:rPr>
          <w:rFonts w:ascii="Arial" w:hAnsi="Arial" w:cs="Arial"/>
          <w:sz w:val="22"/>
          <w:szCs w:val="22"/>
        </w:rPr>
        <w:t>Cafesalud</w:t>
      </w:r>
      <w:proofErr w:type="spellEnd"/>
    </w:p>
    <w:p w:rsidR="00CD513B" w:rsidRDefault="00E844DD"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rPr>
      </w:pPr>
      <w:r>
        <w:rPr>
          <w:rFonts w:ascii="Arial" w:hAnsi="Arial" w:cs="Arial"/>
          <w:sz w:val="22"/>
          <w:szCs w:val="22"/>
        </w:rPr>
        <w:tab/>
      </w:r>
      <w:r w:rsidR="00C97F75" w:rsidRPr="003274BF">
        <w:rPr>
          <w:rFonts w:ascii="Arial" w:hAnsi="Arial" w:cs="Arial"/>
          <w:sz w:val="22"/>
          <w:szCs w:val="22"/>
        </w:rPr>
        <w:t>Procedencia</w:t>
      </w:r>
      <w:r w:rsidR="00C97F75" w:rsidRPr="003274BF">
        <w:rPr>
          <w:rFonts w:ascii="Arial" w:hAnsi="Arial" w:cs="Arial"/>
          <w:sz w:val="22"/>
          <w:szCs w:val="22"/>
        </w:rPr>
        <w:tab/>
      </w:r>
      <w:r w:rsidR="00C97F75">
        <w:rPr>
          <w:rFonts w:ascii="Arial" w:hAnsi="Arial" w:cs="Arial"/>
          <w:sz w:val="22"/>
          <w:szCs w:val="22"/>
        </w:rPr>
        <w:tab/>
      </w:r>
      <w:r w:rsidR="00C97F75" w:rsidRPr="003274BF">
        <w:rPr>
          <w:rFonts w:ascii="Arial" w:hAnsi="Arial" w:cs="Arial"/>
          <w:sz w:val="22"/>
          <w:szCs w:val="22"/>
        </w:rPr>
        <w:t>:</w:t>
      </w:r>
      <w:r w:rsidR="00C97F75">
        <w:rPr>
          <w:rFonts w:ascii="Arial" w:hAnsi="Arial" w:cs="Arial"/>
          <w:sz w:val="22"/>
          <w:szCs w:val="22"/>
        </w:rPr>
        <w:t xml:space="preserve"> </w:t>
      </w:r>
      <w:r w:rsidR="00BD5090">
        <w:rPr>
          <w:rFonts w:ascii="Arial" w:hAnsi="Arial" w:cs="Arial"/>
          <w:sz w:val="22"/>
          <w:szCs w:val="22"/>
        </w:rPr>
        <w:t>Juzgado Cuarto Civil del Circuito de Pereira</w:t>
      </w:r>
    </w:p>
    <w:p w:rsidR="00C97F75" w:rsidRPr="00AD5E2D" w:rsidRDefault="00C97F75" w:rsidP="00E844D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1134"/>
        </w:tabs>
        <w:spacing w:line="360" w:lineRule="auto"/>
        <w:rPr>
          <w:rFonts w:ascii="Arial" w:hAnsi="Arial" w:cs="Arial"/>
          <w:sz w:val="22"/>
          <w:szCs w:val="22"/>
          <w:lang w:val="es-CO"/>
        </w:rPr>
      </w:pP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BD5090">
        <w:rPr>
          <w:rFonts w:ascii="Arial" w:hAnsi="Arial" w:cs="Arial"/>
          <w:sz w:val="22"/>
          <w:szCs w:val="22"/>
        </w:rPr>
        <w:t>2016-00345-01</w:t>
      </w:r>
    </w:p>
    <w:p w:rsidR="00233E73" w:rsidRDefault="00E844DD" w:rsidP="00E844DD">
      <w:pPr>
        <w:tabs>
          <w:tab w:val="left" w:pos="1134"/>
        </w:tabs>
        <w:spacing w:line="360" w:lineRule="auto"/>
        <w:rPr>
          <w:rFonts w:ascii="Arial" w:hAnsi="Arial" w:cs="Arial"/>
          <w:smallCaps/>
          <w:sz w:val="22"/>
          <w:szCs w:val="22"/>
          <w:lang w:val="es-CO"/>
        </w:rPr>
      </w:pPr>
      <w:r>
        <w:rPr>
          <w:rFonts w:ascii="Arial" w:hAnsi="Arial" w:cs="Arial"/>
          <w:sz w:val="22"/>
          <w:szCs w:val="22"/>
          <w:lang w:val="es-CO"/>
        </w:rPr>
        <w:tab/>
      </w:r>
      <w:r w:rsidR="005A3336" w:rsidRPr="003274BF">
        <w:rPr>
          <w:rFonts w:ascii="Arial" w:hAnsi="Arial" w:cs="Arial"/>
          <w:sz w:val="22"/>
          <w:szCs w:val="22"/>
          <w:lang w:val="es-CO"/>
        </w:rPr>
        <w:t>Magistrado Ponente</w:t>
      </w:r>
      <w:r w:rsidR="003274BF">
        <w:rPr>
          <w:rFonts w:ascii="Arial" w:hAnsi="Arial" w:cs="Arial"/>
          <w:sz w:val="22"/>
          <w:szCs w:val="22"/>
          <w:lang w:val="es-CO"/>
        </w:rPr>
        <w:tab/>
      </w:r>
      <w:r w:rsidR="005A3336"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6A677B" w:rsidRPr="006A677B" w:rsidRDefault="006A677B" w:rsidP="00E844DD">
      <w:pPr>
        <w:tabs>
          <w:tab w:val="left" w:pos="1134"/>
        </w:tabs>
        <w:spacing w:line="360" w:lineRule="auto"/>
        <w:rPr>
          <w:rFonts w:ascii="Arial" w:hAnsi="Arial" w:cs="Arial"/>
          <w:smallCaps/>
          <w:sz w:val="10"/>
          <w:szCs w:val="10"/>
          <w:lang w:val="es-CO"/>
        </w:rPr>
      </w:pPr>
    </w:p>
    <w:p w:rsidR="006A677B" w:rsidRPr="006A677B" w:rsidRDefault="006A677B" w:rsidP="006A677B">
      <w:pPr>
        <w:pStyle w:val="Corpsdetexte"/>
        <w:tabs>
          <w:tab w:val="left" w:pos="1134"/>
        </w:tabs>
        <w:ind w:left="1134" w:hanging="1134"/>
        <w:rPr>
          <w:rFonts w:ascii="Arial" w:hAnsi="Arial" w:cs="Arial"/>
          <w:sz w:val="22"/>
          <w:szCs w:val="22"/>
          <w:lang w:val="es-CO"/>
        </w:rPr>
      </w:pPr>
      <w:r>
        <w:rPr>
          <w:rFonts w:ascii="Arial" w:hAnsi="Arial" w:cs="Arial"/>
          <w:b/>
          <w:sz w:val="22"/>
          <w:szCs w:val="22"/>
        </w:rPr>
        <w:tab/>
      </w:r>
      <w:r>
        <w:rPr>
          <w:rFonts w:ascii="Arial" w:hAnsi="Arial" w:cs="Arial"/>
          <w:b/>
          <w:sz w:val="22"/>
          <w:szCs w:val="22"/>
        </w:rPr>
        <w:tab/>
      </w:r>
      <w:r w:rsidRPr="006A677B">
        <w:rPr>
          <w:rFonts w:ascii="Arial" w:hAnsi="Arial" w:cs="Arial"/>
          <w:b/>
          <w:sz w:val="22"/>
          <w:szCs w:val="22"/>
        </w:rPr>
        <w:t>Temas</w:t>
      </w:r>
      <w:r w:rsidRPr="006A677B">
        <w:rPr>
          <w:rFonts w:ascii="Arial" w:hAnsi="Arial" w:cs="Arial"/>
          <w:b/>
          <w:sz w:val="22"/>
          <w:szCs w:val="22"/>
        </w:rPr>
        <w:tab/>
      </w:r>
      <w:r w:rsidRPr="006A677B">
        <w:rPr>
          <w:rFonts w:ascii="Arial" w:hAnsi="Arial" w:cs="Arial"/>
          <w:b/>
          <w:sz w:val="22"/>
          <w:szCs w:val="22"/>
        </w:rPr>
        <w:tab/>
      </w:r>
      <w:r w:rsidRPr="006A677B">
        <w:rPr>
          <w:rFonts w:ascii="Arial" w:hAnsi="Arial" w:cs="Arial"/>
          <w:b/>
          <w:sz w:val="22"/>
          <w:szCs w:val="22"/>
        </w:rPr>
        <w:tab/>
        <w:t xml:space="preserve">: </w:t>
      </w:r>
      <w:proofErr w:type="spellStart"/>
      <w:r w:rsidRPr="006A677B">
        <w:rPr>
          <w:rFonts w:ascii="Arial" w:hAnsi="Arial" w:cs="Arial"/>
          <w:b/>
          <w:sz w:val="22"/>
          <w:szCs w:val="22"/>
        </w:rPr>
        <w:t>SUBREGLAS</w:t>
      </w:r>
      <w:proofErr w:type="spellEnd"/>
      <w:r w:rsidRPr="006A677B">
        <w:rPr>
          <w:rFonts w:ascii="Arial" w:hAnsi="Arial" w:cs="Arial"/>
          <w:b/>
          <w:sz w:val="22"/>
          <w:szCs w:val="22"/>
        </w:rPr>
        <w:t xml:space="preserve"> DESACATO – </w:t>
      </w:r>
      <w:proofErr w:type="spellStart"/>
      <w:r w:rsidRPr="006A677B">
        <w:rPr>
          <w:rFonts w:ascii="Arial" w:hAnsi="Arial" w:cs="Arial"/>
          <w:b/>
          <w:sz w:val="22"/>
          <w:szCs w:val="22"/>
        </w:rPr>
        <w:t>EJECUTABILIDAD</w:t>
      </w:r>
      <w:proofErr w:type="spellEnd"/>
      <w:r w:rsidRPr="006A677B">
        <w:rPr>
          <w:rFonts w:ascii="Arial" w:hAnsi="Arial" w:cs="Arial"/>
          <w:b/>
          <w:sz w:val="22"/>
          <w:szCs w:val="22"/>
        </w:rPr>
        <w:t xml:space="preserve"> DEL FALLO</w:t>
      </w:r>
      <w:r>
        <w:rPr>
          <w:rFonts w:ascii="Arial" w:hAnsi="Arial" w:cs="Arial"/>
          <w:b/>
          <w:sz w:val="22"/>
          <w:szCs w:val="22"/>
        </w:rPr>
        <w:t>.</w:t>
      </w:r>
      <w:r w:rsidRPr="006A677B">
        <w:rPr>
          <w:rFonts w:ascii="Arial" w:hAnsi="Arial" w:cs="Arial"/>
          <w:b/>
          <w:sz w:val="22"/>
          <w:szCs w:val="22"/>
        </w:rPr>
        <w:t xml:space="preserve"> </w:t>
      </w:r>
      <w:r w:rsidRPr="006A677B">
        <w:rPr>
          <w:rFonts w:ascii="Arial" w:hAnsi="Arial" w:cs="Arial"/>
          <w:sz w:val="22"/>
          <w:szCs w:val="22"/>
        </w:rPr>
        <w:t>“</w:t>
      </w:r>
      <w:r w:rsidRPr="006A677B">
        <w:rPr>
          <w:rFonts w:ascii="Arial" w:hAnsi="Arial" w:cs="Arial"/>
          <w:sz w:val="22"/>
          <w:szCs w:val="22"/>
          <w:lang w:val="es-CO"/>
        </w:rPr>
        <w:t xml:space="preserve">[E]n el fallo se impuso la orden a </w:t>
      </w:r>
      <w:proofErr w:type="spellStart"/>
      <w:r w:rsidRPr="006A677B">
        <w:rPr>
          <w:rFonts w:ascii="Arial" w:hAnsi="Arial" w:cs="Arial"/>
          <w:sz w:val="22"/>
          <w:szCs w:val="22"/>
          <w:lang w:val="es-CO"/>
        </w:rPr>
        <w:t>Cafesalud</w:t>
      </w:r>
      <w:proofErr w:type="spellEnd"/>
      <w:r w:rsidRPr="006A677B">
        <w:rPr>
          <w:rFonts w:ascii="Arial" w:hAnsi="Arial" w:cs="Arial"/>
          <w:sz w:val="22"/>
          <w:szCs w:val="22"/>
          <w:lang w:val="es-CO"/>
        </w:rPr>
        <w:t xml:space="preserve"> </w:t>
      </w:r>
      <w:proofErr w:type="spellStart"/>
      <w:r w:rsidRPr="006A677B">
        <w:rPr>
          <w:rFonts w:ascii="Arial" w:hAnsi="Arial" w:cs="Arial"/>
          <w:sz w:val="22"/>
          <w:szCs w:val="22"/>
          <w:lang w:val="es-CO"/>
        </w:rPr>
        <w:t>EPSS</w:t>
      </w:r>
      <w:proofErr w:type="spellEnd"/>
      <w:r w:rsidRPr="006A677B">
        <w:rPr>
          <w:rFonts w:ascii="Arial" w:hAnsi="Arial" w:cs="Arial"/>
          <w:sz w:val="22"/>
          <w:szCs w:val="22"/>
          <w:lang w:val="es-CO"/>
        </w:rPr>
        <w:t xml:space="preserve">, por intermedio de la doctora Victoria Eugenia </w:t>
      </w:r>
      <w:proofErr w:type="spellStart"/>
      <w:r w:rsidRPr="006A677B">
        <w:rPr>
          <w:rFonts w:ascii="Arial" w:hAnsi="Arial" w:cs="Arial"/>
          <w:sz w:val="22"/>
          <w:szCs w:val="22"/>
          <w:lang w:val="es-CO"/>
        </w:rPr>
        <w:t>Aristizábal</w:t>
      </w:r>
      <w:proofErr w:type="spellEnd"/>
      <w:r w:rsidRPr="006A677B">
        <w:rPr>
          <w:rFonts w:ascii="Arial" w:hAnsi="Arial" w:cs="Arial"/>
          <w:sz w:val="22"/>
          <w:szCs w:val="22"/>
          <w:lang w:val="es-CO"/>
        </w:rPr>
        <w:t xml:space="preserve"> Marulanda, en su calidad de Administradora de Agencia. Si bien es la encargada de procurar la prestación de los servicios de salud en esta regional, también lo es el Gerente de Defensa Judicial de esa entidad, pues debe: </w:t>
      </w:r>
      <w:r w:rsidRPr="006A677B">
        <w:rPr>
          <w:rFonts w:ascii="Arial" w:hAnsi="Arial" w:cs="Arial"/>
          <w:i/>
          <w:sz w:val="22"/>
          <w:szCs w:val="22"/>
          <w:lang w:val="es-CO"/>
        </w:rPr>
        <w:t>“(…) E) realizar las acciones tendientes al efectivo cumplimiento de (…) tramites incidentales (…) F) dar cumplimiento a las sanciones impuestas (…)”</w:t>
      </w:r>
      <w:r w:rsidRPr="006A677B">
        <w:rPr>
          <w:rFonts w:ascii="Arial" w:hAnsi="Arial" w:cs="Arial"/>
          <w:sz w:val="22"/>
          <w:szCs w:val="22"/>
          <w:lang w:val="es-CO"/>
        </w:rPr>
        <w:t xml:space="preserve">  (Folios 42, cuaderno </w:t>
      </w:r>
      <w:proofErr w:type="spellStart"/>
      <w:r w:rsidRPr="006A677B">
        <w:rPr>
          <w:rFonts w:ascii="Arial" w:hAnsi="Arial" w:cs="Arial"/>
          <w:sz w:val="22"/>
          <w:szCs w:val="22"/>
          <w:lang w:val="es-CO"/>
        </w:rPr>
        <w:t>No.1</w:t>
      </w:r>
      <w:proofErr w:type="spellEnd"/>
      <w:r w:rsidRPr="006A677B">
        <w:rPr>
          <w:rFonts w:ascii="Arial" w:hAnsi="Arial" w:cs="Arial"/>
          <w:sz w:val="22"/>
          <w:szCs w:val="22"/>
          <w:lang w:val="es-CO"/>
        </w:rPr>
        <w:t xml:space="preserve">). En este asunto fue vinculado, pero para que hiciera cumplir la orden de tutela, no para que la cumpliera directamente como obligado (Folio 20, cuaderno </w:t>
      </w:r>
      <w:proofErr w:type="spellStart"/>
      <w:r w:rsidRPr="006A677B">
        <w:rPr>
          <w:rFonts w:ascii="Arial" w:hAnsi="Arial" w:cs="Arial"/>
          <w:sz w:val="22"/>
          <w:szCs w:val="22"/>
          <w:lang w:val="es-CO"/>
        </w:rPr>
        <w:t>No.1</w:t>
      </w:r>
      <w:proofErr w:type="spellEnd"/>
      <w:r w:rsidRPr="006A677B">
        <w:rPr>
          <w:rFonts w:ascii="Arial" w:hAnsi="Arial" w:cs="Arial"/>
          <w:sz w:val="22"/>
          <w:szCs w:val="22"/>
          <w:lang w:val="es-CO"/>
        </w:rPr>
        <w:t>). (…) [C]</w:t>
      </w:r>
      <w:proofErr w:type="spellStart"/>
      <w:r w:rsidRPr="006A677B">
        <w:rPr>
          <w:rFonts w:ascii="Arial" w:hAnsi="Arial" w:cs="Arial"/>
          <w:sz w:val="22"/>
          <w:szCs w:val="22"/>
          <w:lang w:val="es-CO"/>
        </w:rPr>
        <w:t>omo</w:t>
      </w:r>
      <w:proofErr w:type="spellEnd"/>
      <w:r w:rsidRPr="006A677B">
        <w:rPr>
          <w:rFonts w:ascii="Arial" w:hAnsi="Arial" w:cs="Arial"/>
          <w:sz w:val="22"/>
          <w:szCs w:val="22"/>
          <w:lang w:val="es-CO"/>
        </w:rPr>
        <w:t xml:space="preserve"> este asunto no tuvo segunda instancia (Folio 3 vuelto, este cuaderno), ha debido el juez ajustar la orden de la sentencia en garantía de los derechos protegidos con la acción de tutela, para procurar la efectividad del amparo prodigado. En este asunto se aplicó parcialmente el Acuerdo </w:t>
      </w:r>
      <w:proofErr w:type="spellStart"/>
      <w:r w:rsidRPr="006A677B">
        <w:rPr>
          <w:rFonts w:ascii="Arial" w:hAnsi="Arial" w:cs="Arial"/>
          <w:sz w:val="22"/>
          <w:szCs w:val="22"/>
          <w:lang w:val="es-CO"/>
        </w:rPr>
        <w:t>No.PSAA10</w:t>
      </w:r>
      <w:proofErr w:type="spellEnd"/>
      <w:r w:rsidRPr="006A677B">
        <w:rPr>
          <w:rFonts w:ascii="Arial" w:hAnsi="Arial" w:cs="Arial"/>
          <w:sz w:val="22"/>
          <w:szCs w:val="22"/>
          <w:lang w:val="es-CO"/>
        </w:rPr>
        <w:t xml:space="preserve">-6979 de 2010 de la Sala Administrativa del CSJ, mediante el cual se establecen los requisitos que deben reunir las decisiones judiciales o actos administrativos que impongan </w:t>
      </w:r>
      <w:bookmarkStart w:id="0" w:name="_GoBack"/>
      <w:bookmarkEnd w:id="0"/>
      <w:r w:rsidRPr="006A677B">
        <w:rPr>
          <w:rFonts w:ascii="Arial" w:hAnsi="Arial" w:cs="Arial"/>
          <w:sz w:val="22"/>
          <w:szCs w:val="22"/>
          <w:lang w:val="es-CO"/>
        </w:rPr>
        <w:t>obligaciones a favor de la Nación – CSJ (Número de cuenta, plazo, copias para cobro coactivo, etc.).”.</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6A677B">
      <w:pPr>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BD5090">
        <w:rPr>
          <w:rFonts w:ascii="Arial" w:hAnsi="Arial" w:cs="Arial"/>
          <w:smallCaps/>
          <w:sz w:val="28"/>
          <w:szCs w:val="28"/>
          <w:lang w:val="es-CO"/>
        </w:rPr>
        <w:t xml:space="preserve">Veintiséis </w:t>
      </w:r>
      <w:r w:rsidR="0005223F" w:rsidRPr="00E42F66">
        <w:rPr>
          <w:rFonts w:ascii="Arial" w:hAnsi="Arial" w:cs="Arial"/>
          <w:smallCaps/>
          <w:sz w:val="28"/>
          <w:szCs w:val="28"/>
          <w:lang w:val="es-CO"/>
        </w:rPr>
        <w:t>(</w:t>
      </w:r>
      <w:r w:rsidR="00BD5090">
        <w:rPr>
          <w:rFonts w:ascii="Arial" w:hAnsi="Arial" w:cs="Arial"/>
          <w:smallCaps/>
          <w:sz w:val="28"/>
          <w:szCs w:val="28"/>
          <w:lang w:val="es-CO"/>
        </w:rPr>
        <w:t>26</w:t>
      </w:r>
      <w:r w:rsidR="0005223F" w:rsidRPr="00E42F66">
        <w:rPr>
          <w:rFonts w:ascii="Arial" w:hAnsi="Arial" w:cs="Arial"/>
          <w:smallCaps/>
          <w:sz w:val="28"/>
          <w:szCs w:val="28"/>
          <w:lang w:val="es-CO"/>
        </w:rPr>
        <w:t xml:space="preserve">) de </w:t>
      </w:r>
      <w:r w:rsidR="00BD5090">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E844D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E844D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6A677B" w:rsidRPr="006A677B" w:rsidRDefault="006A677B" w:rsidP="006A677B">
      <w:pPr>
        <w:pStyle w:val="Titre"/>
        <w:jc w:val="left"/>
        <w:rPr>
          <w:b w:val="0"/>
          <w:bCs w:val="0"/>
          <w:i w:val="0"/>
          <w:iCs w:val="0"/>
          <w:spacing w:val="-3"/>
          <w:lang w:val="es-ES_tradnl"/>
        </w:rPr>
      </w:pPr>
    </w:p>
    <w:p w:rsidR="0005223F" w:rsidRPr="00771AD1" w:rsidRDefault="0005223F" w:rsidP="0005223F">
      <w:pPr>
        <w:pStyle w:val="Titre"/>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6A677B">
      <w:pPr>
        <w:pStyle w:val="Titre"/>
        <w:jc w:val="left"/>
        <w:rPr>
          <w:b w:val="0"/>
          <w:bCs w:val="0"/>
          <w:i w:val="0"/>
          <w:iCs w:val="0"/>
          <w:spacing w:val="-3"/>
          <w:sz w:val="20"/>
          <w:szCs w:val="22"/>
          <w:lang w:val="es-ES_tradnl"/>
        </w:rPr>
      </w:pPr>
    </w:p>
    <w:p w:rsidR="00C97F75" w:rsidRPr="00771AD1" w:rsidRDefault="00C97F75" w:rsidP="00C97F75">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C97F75" w:rsidRPr="00DC2EEC" w:rsidRDefault="00C97F75" w:rsidP="006A677B">
      <w:pPr>
        <w:pStyle w:val="Titre"/>
        <w:jc w:val="left"/>
        <w:rPr>
          <w:b w:val="0"/>
          <w:bCs w:val="0"/>
          <w:i w:val="0"/>
          <w:iCs w:val="0"/>
          <w:spacing w:val="-3"/>
          <w:sz w:val="20"/>
          <w:lang w:val="es-ES_tradnl"/>
        </w:rPr>
      </w:pPr>
    </w:p>
    <w:p w:rsidR="00C97F75" w:rsidRPr="00510074" w:rsidRDefault="00C97F75" w:rsidP="00C97F75">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C97F75" w:rsidRPr="00DC2EEC" w:rsidRDefault="00C97F75" w:rsidP="006A677B">
      <w:pPr>
        <w:pStyle w:val="Titre"/>
        <w:jc w:val="left"/>
        <w:rPr>
          <w:b w:val="0"/>
          <w:bCs w:val="0"/>
          <w:i w:val="0"/>
          <w:iCs w:val="0"/>
          <w:spacing w:val="-3"/>
          <w:sz w:val="20"/>
          <w:szCs w:val="22"/>
          <w:lang w:val="es-ES_tradnl"/>
        </w:rPr>
      </w:pPr>
    </w:p>
    <w:p w:rsidR="00C97F75" w:rsidRDefault="00C97F75" w:rsidP="00C97F75">
      <w:pPr>
        <w:pStyle w:val="Corpsdetex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en el </w:t>
      </w:r>
      <w:r w:rsidR="00BD5090">
        <w:rPr>
          <w:rFonts w:ascii="Arial" w:hAnsi="Arial" w:cs="Arial"/>
          <w:lang w:val="es-CO"/>
        </w:rPr>
        <w:t xml:space="preserve">09-12-2016 </w:t>
      </w:r>
      <w:r>
        <w:rPr>
          <w:rFonts w:ascii="Arial" w:hAnsi="Arial" w:cs="Arial"/>
          <w:lang w:val="es-CO"/>
        </w:rPr>
        <w:t xml:space="preserve">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sidR="00E844DD">
        <w:rPr>
          <w:rFonts w:ascii="Arial" w:hAnsi="Arial" w:cs="Arial"/>
        </w:rPr>
        <w:t>(Folio</w:t>
      </w:r>
      <w:r>
        <w:rPr>
          <w:rFonts w:ascii="Arial" w:hAnsi="Arial" w:cs="Arial"/>
        </w:rPr>
        <w:t xml:space="preserve"> </w:t>
      </w:r>
      <w:r w:rsidR="00E844DD">
        <w:rPr>
          <w:rFonts w:ascii="Arial" w:hAnsi="Arial" w:cs="Arial"/>
        </w:rPr>
        <w:t>1</w:t>
      </w:r>
      <w:r>
        <w:rPr>
          <w:rFonts w:ascii="Arial" w:hAnsi="Arial" w:cs="Arial"/>
        </w:rPr>
        <w:t>, cuaderno incidente). El</w:t>
      </w:r>
      <w:r>
        <w:rPr>
          <w:rFonts w:ascii="Arial" w:hAnsi="Arial" w:cs="Arial"/>
          <w:lang w:val="es-CO"/>
        </w:rPr>
        <w:t xml:space="preserve"> Despacho con </w:t>
      </w:r>
      <w:r w:rsidR="00E844DD">
        <w:rPr>
          <w:rFonts w:ascii="Arial" w:hAnsi="Arial" w:cs="Arial"/>
          <w:lang w:val="es-CO"/>
        </w:rPr>
        <w:t xml:space="preserve">auto </w:t>
      </w:r>
      <w:r>
        <w:rPr>
          <w:rFonts w:ascii="Arial" w:hAnsi="Arial" w:cs="Arial"/>
          <w:lang w:val="es-CO"/>
        </w:rPr>
        <w:t xml:space="preserve">del </w:t>
      </w:r>
      <w:r w:rsidR="00BD5090">
        <w:rPr>
          <w:rFonts w:ascii="Arial" w:hAnsi="Arial" w:cs="Arial"/>
          <w:lang w:val="es-CO"/>
        </w:rPr>
        <w:t xml:space="preserve">16-12-2016 </w:t>
      </w:r>
      <w:r>
        <w:rPr>
          <w:rFonts w:ascii="Arial" w:hAnsi="Arial" w:cs="Arial"/>
        </w:rPr>
        <w:t xml:space="preserve">requirió </w:t>
      </w:r>
      <w:r w:rsidR="00E844DD">
        <w:rPr>
          <w:rFonts w:ascii="Arial" w:hAnsi="Arial" w:cs="Arial"/>
        </w:rPr>
        <w:t xml:space="preserve">a </w:t>
      </w:r>
      <w:r w:rsidR="00BD5090">
        <w:rPr>
          <w:rFonts w:ascii="Arial" w:hAnsi="Arial" w:cs="Arial"/>
        </w:rPr>
        <w:t xml:space="preserve">la doctora Victoria </w:t>
      </w:r>
      <w:r w:rsidR="00BD5090">
        <w:rPr>
          <w:rFonts w:ascii="Arial" w:hAnsi="Arial" w:cs="Arial"/>
        </w:rPr>
        <w:lastRenderedPageBreak/>
        <w:t xml:space="preserve">Eugenia </w:t>
      </w:r>
      <w:proofErr w:type="spellStart"/>
      <w:r w:rsidR="00BD5090">
        <w:rPr>
          <w:rFonts w:ascii="Arial" w:hAnsi="Arial" w:cs="Arial"/>
        </w:rPr>
        <w:t>Aristizábal</w:t>
      </w:r>
      <w:proofErr w:type="spellEnd"/>
      <w:r w:rsidR="00BD5090">
        <w:rPr>
          <w:rFonts w:ascii="Arial" w:hAnsi="Arial" w:cs="Arial"/>
        </w:rPr>
        <w:t xml:space="preserve"> Marulanda como Administradora de Agencia de la </w:t>
      </w:r>
      <w:proofErr w:type="spellStart"/>
      <w:r w:rsidR="00BD5090">
        <w:rPr>
          <w:rFonts w:ascii="Arial" w:hAnsi="Arial" w:cs="Arial"/>
        </w:rPr>
        <w:t>EPS</w:t>
      </w:r>
      <w:proofErr w:type="spellEnd"/>
      <w:r w:rsidR="00BD5090">
        <w:rPr>
          <w:rFonts w:ascii="Arial" w:hAnsi="Arial" w:cs="Arial"/>
        </w:rPr>
        <w:t xml:space="preserve">-S </w:t>
      </w:r>
      <w:proofErr w:type="spellStart"/>
      <w:r w:rsidR="00BD5090">
        <w:rPr>
          <w:rFonts w:ascii="Arial" w:hAnsi="Arial" w:cs="Arial"/>
        </w:rPr>
        <w:t>Cafesalud</w:t>
      </w:r>
      <w:proofErr w:type="spellEnd"/>
      <w:r>
        <w:rPr>
          <w:rFonts w:ascii="Arial" w:hAnsi="Arial" w:cs="Arial"/>
        </w:rPr>
        <w:t xml:space="preserve"> (Folio </w:t>
      </w:r>
      <w:r w:rsidR="00BD5090">
        <w:rPr>
          <w:rFonts w:ascii="Arial" w:hAnsi="Arial" w:cs="Arial"/>
        </w:rPr>
        <w:t>15</w:t>
      </w:r>
      <w:r>
        <w:rPr>
          <w:rFonts w:ascii="Arial" w:hAnsi="Arial" w:cs="Arial"/>
        </w:rPr>
        <w:t>, cuaderno incidente);</w:t>
      </w:r>
      <w:r>
        <w:rPr>
          <w:rFonts w:ascii="Arial" w:hAnsi="Arial" w:cs="Arial"/>
          <w:lang w:val="es-CO"/>
        </w:rPr>
        <w:t xml:space="preserve"> </w:t>
      </w:r>
      <w:r w:rsidR="00CD513B">
        <w:rPr>
          <w:rFonts w:ascii="Arial" w:hAnsi="Arial" w:cs="Arial"/>
          <w:lang w:val="es-CO"/>
        </w:rPr>
        <w:t xml:space="preserve">con </w:t>
      </w:r>
      <w:r w:rsidR="00EB681D">
        <w:rPr>
          <w:rFonts w:ascii="Arial" w:hAnsi="Arial" w:cs="Arial"/>
          <w:lang w:val="es-CO"/>
        </w:rPr>
        <w:t xml:space="preserve">proveído del </w:t>
      </w:r>
      <w:r w:rsidR="00BD5090">
        <w:rPr>
          <w:rFonts w:ascii="Arial" w:hAnsi="Arial" w:cs="Arial"/>
          <w:lang w:val="es-CO"/>
        </w:rPr>
        <w:t>1</w:t>
      </w:r>
      <w:r w:rsidR="00DC2EEC">
        <w:rPr>
          <w:rFonts w:ascii="Arial" w:hAnsi="Arial" w:cs="Arial"/>
          <w:lang w:val="es-CO"/>
        </w:rPr>
        <w:t>4</w:t>
      </w:r>
      <w:r w:rsidR="00BD5090">
        <w:rPr>
          <w:rFonts w:ascii="Arial" w:hAnsi="Arial" w:cs="Arial"/>
          <w:lang w:val="es-CO"/>
        </w:rPr>
        <w:t xml:space="preserve">-03-2017 </w:t>
      </w:r>
      <w:r w:rsidR="00EB681D">
        <w:rPr>
          <w:rFonts w:ascii="Arial" w:hAnsi="Arial" w:cs="Arial"/>
          <w:lang w:val="es-CO"/>
        </w:rPr>
        <w:t xml:space="preserve">dio apertura al incidente de desacato en </w:t>
      </w:r>
      <w:r w:rsidR="00CD513B">
        <w:rPr>
          <w:rFonts w:ascii="Arial" w:hAnsi="Arial" w:cs="Arial"/>
          <w:lang w:val="es-CO"/>
        </w:rPr>
        <w:t xml:space="preserve">su </w:t>
      </w:r>
      <w:r w:rsidR="00EB681D">
        <w:rPr>
          <w:rFonts w:ascii="Arial" w:hAnsi="Arial" w:cs="Arial"/>
          <w:lang w:val="es-CO"/>
        </w:rPr>
        <w:t xml:space="preserve">contra </w:t>
      </w:r>
      <w:r w:rsidR="00B710D9">
        <w:rPr>
          <w:rFonts w:ascii="Arial" w:hAnsi="Arial" w:cs="Arial"/>
          <w:lang w:val="es-CO"/>
        </w:rPr>
        <w:t xml:space="preserve">y se le requirió junto con el Gerente de Defensa Judicial de </w:t>
      </w:r>
      <w:proofErr w:type="spellStart"/>
      <w:r w:rsidR="00B710D9">
        <w:rPr>
          <w:rFonts w:ascii="Arial" w:hAnsi="Arial" w:cs="Arial"/>
          <w:lang w:val="es-CO"/>
        </w:rPr>
        <w:t>Cafeasalud</w:t>
      </w:r>
      <w:proofErr w:type="spellEnd"/>
      <w:r w:rsidR="00B710D9">
        <w:rPr>
          <w:rFonts w:ascii="Arial" w:hAnsi="Arial" w:cs="Arial"/>
          <w:lang w:val="es-CO"/>
        </w:rPr>
        <w:t xml:space="preserve"> </w:t>
      </w:r>
      <w:r w:rsidR="00CD513B">
        <w:rPr>
          <w:rFonts w:ascii="Arial" w:hAnsi="Arial" w:cs="Arial"/>
          <w:lang w:val="es-CO"/>
        </w:rPr>
        <w:t>(Folio</w:t>
      </w:r>
      <w:r w:rsidR="00B710D9">
        <w:rPr>
          <w:rFonts w:ascii="Arial" w:hAnsi="Arial" w:cs="Arial"/>
          <w:lang w:val="es-CO"/>
        </w:rPr>
        <w:t>s</w:t>
      </w:r>
      <w:r w:rsidR="00EB681D">
        <w:rPr>
          <w:rFonts w:ascii="Arial" w:hAnsi="Arial" w:cs="Arial"/>
          <w:lang w:val="es-CO"/>
        </w:rPr>
        <w:t xml:space="preserve"> </w:t>
      </w:r>
      <w:r w:rsidR="00B710D9">
        <w:rPr>
          <w:rFonts w:ascii="Arial" w:hAnsi="Arial" w:cs="Arial"/>
          <w:lang w:val="es-CO"/>
        </w:rPr>
        <w:t>20 y 21</w:t>
      </w:r>
      <w:r w:rsidR="00EB681D">
        <w:rPr>
          <w:rFonts w:ascii="Arial" w:hAnsi="Arial" w:cs="Arial"/>
          <w:lang w:val="es-CO"/>
        </w:rPr>
        <w:t xml:space="preserve">, cuaderno incidente); </w:t>
      </w:r>
      <w:r w:rsidR="00CD513B">
        <w:rPr>
          <w:rFonts w:ascii="Arial" w:hAnsi="Arial" w:cs="Arial"/>
          <w:lang w:val="es-CO"/>
        </w:rPr>
        <w:t xml:space="preserve">y finalmente, con </w:t>
      </w:r>
      <w:r w:rsidR="00E844DD">
        <w:rPr>
          <w:rFonts w:ascii="Arial" w:hAnsi="Arial" w:cs="Arial"/>
          <w:lang w:val="es-CO"/>
        </w:rPr>
        <w:t xml:space="preserve">decisión </w:t>
      </w:r>
      <w:r>
        <w:rPr>
          <w:rFonts w:ascii="Arial" w:hAnsi="Arial" w:cs="Arial"/>
          <w:lang w:val="es-CO"/>
        </w:rPr>
        <w:t xml:space="preserve">del </w:t>
      </w:r>
      <w:r w:rsidR="00B710D9">
        <w:rPr>
          <w:rFonts w:ascii="Arial" w:hAnsi="Arial" w:cs="Arial"/>
          <w:lang w:val="es-CO"/>
        </w:rPr>
        <w:t xml:space="preserve">17-04-2017 </w:t>
      </w:r>
      <w:r w:rsidR="00E141A7">
        <w:rPr>
          <w:rFonts w:ascii="Arial" w:hAnsi="Arial" w:cs="Arial"/>
          <w:lang w:val="es-CO"/>
        </w:rPr>
        <w:t xml:space="preserve">se les </w:t>
      </w:r>
      <w:r w:rsidR="00B710D9">
        <w:rPr>
          <w:rFonts w:ascii="Arial" w:hAnsi="Arial" w:cs="Arial"/>
          <w:lang w:val="es-CO"/>
        </w:rPr>
        <w:t xml:space="preserve">sancionó </w:t>
      </w:r>
      <w:r w:rsidR="00B710D9" w:rsidRPr="00771AD1">
        <w:rPr>
          <w:rFonts w:ascii="Arial" w:hAnsi="Arial" w:cs="Arial"/>
          <w:lang w:val="es-CO"/>
        </w:rPr>
        <w:t>con multa y arresto</w:t>
      </w:r>
      <w:r w:rsidR="00B710D9">
        <w:rPr>
          <w:rFonts w:ascii="Arial" w:hAnsi="Arial" w:cs="Arial"/>
          <w:lang w:val="es-CO"/>
        </w:rPr>
        <w:t xml:space="preserve"> </w:t>
      </w:r>
      <w:r w:rsidRPr="00771AD1">
        <w:rPr>
          <w:rFonts w:ascii="Arial" w:hAnsi="Arial" w:cs="Arial"/>
          <w:lang w:val="es-CO"/>
        </w:rPr>
        <w:t>(Folio</w:t>
      </w:r>
      <w:r>
        <w:rPr>
          <w:rFonts w:ascii="Arial" w:hAnsi="Arial" w:cs="Arial"/>
          <w:lang w:val="es-CO"/>
        </w:rPr>
        <w:t xml:space="preserve">s </w:t>
      </w:r>
      <w:r w:rsidR="00E844DD">
        <w:rPr>
          <w:rFonts w:ascii="Arial" w:hAnsi="Arial" w:cs="Arial"/>
          <w:lang w:val="es-CO"/>
        </w:rPr>
        <w:t xml:space="preserve">28 </w:t>
      </w:r>
      <w:r w:rsidR="00B710D9">
        <w:rPr>
          <w:rFonts w:ascii="Arial" w:hAnsi="Arial" w:cs="Arial"/>
          <w:lang w:val="es-CO"/>
        </w:rPr>
        <w:t>a 33</w:t>
      </w:r>
      <w:r>
        <w:rPr>
          <w:rFonts w:ascii="Arial" w:hAnsi="Arial" w:cs="Arial"/>
          <w:lang w:val="es-CO"/>
        </w:rPr>
        <w:t>,</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130590" w:rsidRPr="00DC2EEC" w:rsidRDefault="00130590" w:rsidP="00130590">
      <w:pPr>
        <w:pStyle w:val="Paragraphedeliste"/>
        <w:spacing w:line="360" w:lineRule="auto"/>
        <w:ind w:left="360"/>
        <w:jc w:val="both"/>
        <w:rPr>
          <w:rFonts w:ascii="Arial" w:hAnsi="Arial" w:cs="Arial"/>
          <w:szCs w:val="24"/>
          <w:lang w:val="es-MX"/>
        </w:rPr>
      </w:pPr>
    </w:p>
    <w:p w:rsidR="00C97F75" w:rsidRPr="00771AD1" w:rsidRDefault="00C97F75" w:rsidP="00C97F75">
      <w:pPr>
        <w:pStyle w:val="Paragraphedeliste"/>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C97F75" w:rsidRPr="00DC2EEC" w:rsidRDefault="00C97F75" w:rsidP="00C97F75">
      <w:pPr>
        <w:pStyle w:val="Titre"/>
        <w:spacing w:line="360" w:lineRule="auto"/>
        <w:jc w:val="left"/>
        <w:rPr>
          <w:b w:val="0"/>
          <w:bCs w:val="0"/>
          <w:i w:val="0"/>
          <w:iCs w:val="0"/>
          <w:spacing w:val="-3"/>
          <w:sz w:val="20"/>
          <w:lang w:val="es-ES_tradnl"/>
        </w:rPr>
      </w:pPr>
    </w:p>
    <w:p w:rsidR="00B710D9" w:rsidRDefault="00B710D9" w:rsidP="00B710D9">
      <w:pPr>
        <w:pStyle w:val="Corpsdetexte"/>
        <w:numPr>
          <w:ilvl w:val="1"/>
          <w:numId w:val="1"/>
        </w:numPr>
        <w:spacing w:line="360" w:lineRule="auto"/>
        <w:ind w:left="709" w:hanging="709"/>
        <w:rPr>
          <w:rFonts w:ascii="Arial" w:hAnsi="Arial" w:cs="Arial"/>
          <w:lang w:val="es-MX"/>
        </w:rPr>
      </w:pPr>
      <w:r w:rsidRPr="00AF7FED">
        <w:rPr>
          <w:rFonts w:ascii="Arial" w:hAnsi="Arial" w:cs="Arial"/>
          <w:smallCaps/>
          <w:lang w:val="es-CO"/>
        </w:rPr>
        <w:t>La competencia funcional.</w:t>
      </w:r>
      <w:r>
        <w:rPr>
          <w:rFonts w:ascii="Arial" w:hAnsi="Arial" w:cs="Arial"/>
          <w:smallCaps/>
          <w:lang w:val="es-CO"/>
        </w:rPr>
        <w:t xml:space="preserve"> </w:t>
      </w:r>
      <w:r w:rsidRPr="00AF7FED">
        <w:rPr>
          <w:rFonts w:ascii="Arial" w:hAnsi="Arial" w:cs="Arial"/>
          <w:lang w:val="es-MX"/>
        </w:rPr>
        <w:t xml:space="preserve">Esta Sala especializada está facultada para revisar la decisión sancionatoria, al tener la condición de superiora jerárquica </w:t>
      </w:r>
      <w:r>
        <w:rPr>
          <w:rFonts w:ascii="Arial" w:hAnsi="Arial" w:cs="Arial"/>
          <w:lang w:val="es-MX"/>
        </w:rPr>
        <w:t>del Juzgado Cuarto Civil de</w:t>
      </w:r>
      <w:r>
        <w:rPr>
          <w:rFonts w:ascii="Arial" w:hAnsi="Arial" w:cs="Arial"/>
          <w:lang w:val="es-CO"/>
        </w:rPr>
        <w:t>l Circuito de Pereira</w:t>
      </w:r>
      <w:r>
        <w:rPr>
          <w:rFonts w:ascii="Arial" w:hAnsi="Arial" w:cs="Arial"/>
          <w:lang w:val="es-MX"/>
        </w:rPr>
        <w:t>. L</w:t>
      </w:r>
      <w:r w:rsidRPr="00AF7FED">
        <w:rPr>
          <w:rFonts w:ascii="Arial" w:hAnsi="Arial" w:cs="Arial"/>
          <w:lang w:val="es-MX"/>
        </w:rPr>
        <w:t>a consulta se realizará en Sala Unitaria de la Corporación</w:t>
      </w:r>
      <w:r>
        <w:rPr>
          <w:rFonts w:ascii="Arial" w:hAnsi="Arial" w:cs="Arial"/>
          <w:lang w:val="es-MX"/>
        </w:rPr>
        <w:t>,</w:t>
      </w:r>
      <w:r w:rsidRPr="00AF7FED">
        <w:rPr>
          <w:rFonts w:ascii="Arial" w:hAnsi="Arial" w:cs="Arial"/>
          <w:lang w:val="es-MX"/>
        </w:rPr>
        <w:t xml:space="preserve"> puesto que </w:t>
      </w:r>
      <w:r>
        <w:rPr>
          <w:rFonts w:ascii="Arial" w:hAnsi="Arial" w:cs="Arial"/>
          <w:lang w:val="es-MX"/>
        </w:rPr>
        <w:t xml:space="preserve">no se trata de una </w:t>
      </w:r>
      <w:r w:rsidRPr="00AF7FED">
        <w:rPr>
          <w:rFonts w:ascii="Arial" w:hAnsi="Arial" w:cs="Arial"/>
          <w:lang w:val="es-MX"/>
        </w:rPr>
        <w:t xml:space="preserve">providencia </w:t>
      </w:r>
      <w:r>
        <w:rPr>
          <w:rFonts w:ascii="Arial" w:hAnsi="Arial" w:cs="Arial"/>
          <w:lang w:val="es-MX"/>
        </w:rPr>
        <w:t xml:space="preserve">que deba </w:t>
      </w:r>
      <w:r w:rsidRPr="00AF7FED">
        <w:rPr>
          <w:rFonts w:ascii="Arial" w:hAnsi="Arial" w:cs="Arial"/>
          <w:lang w:val="es-MX"/>
        </w:rPr>
        <w:t>desatarse en Sala de Decisión</w:t>
      </w:r>
      <w:r>
        <w:rPr>
          <w:rFonts w:ascii="Arial" w:hAnsi="Arial" w:cs="Arial"/>
          <w:lang w:val="es-MX"/>
        </w:rPr>
        <w:t xml:space="preserve"> (I</w:t>
      </w:r>
      <w:r w:rsidRPr="00AF7FED">
        <w:rPr>
          <w:rFonts w:ascii="Arial" w:hAnsi="Arial" w:cs="Arial"/>
          <w:lang w:val="es-MX"/>
        </w:rPr>
        <w:t>nciso 1º del artículo 35 del CGP</w:t>
      </w:r>
      <w:r>
        <w:rPr>
          <w:rFonts w:ascii="Arial" w:hAnsi="Arial" w:cs="Arial"/>
          <w:lang w:val="es-MX"/>
        </w:rPr>
        <w:t>)</w:t>
      </w:r>
      <w:r w:rsidRPr="00AF7FED">
        <w:rPr>
          <w:rFonts w:ascii="Arial" w:hAnsi="Arial" w:cs="Arial"/>
          <w:lang w:val="es-MX"/>
        </w:rPr>
        <w:t xml:space="preserve">. </w:t>
      </w:r>
      <w:r>
        <w:rPr>
          <w:rFonts w:ascii="Arial" w:hAnsi="Arial" w:cs="Arial"/>
          <w:lang w:val="es-MX"/>
        </w:rPr>
        <w:t>Criterio adoptado desde el 16-08-2016</w:t>
      </w:r>
      <w:r>
        <w:rPr>
          <w:rStyle w:val="Appelnotedebasdep"/>
          <w:rFonts w:ascii="Arial" w:hAnsi="Arial"/>
          <w:lang w:val="es-MX"/>
        </w:rPr>
        <w:footnoteReference w:id="1"/>
      </w:r>
      <w:r>
        <w:rPr>
          <w:rFonts w:ascii="Arial" w:hAnsi="Arial" w:cs="Arial"/>
          <w:lang w:val="es-MX"/>
        </w:rPr>
        <w:t xml:space="preserve">. </w:t>
      </w:r>
    </w:p>
    <w:p w:rsidR="00B710D9" w:rsidRPr="00DC2EEC" w:rsidRDefault="00B710D9" w:rsidP="00B710D9">
      <w:pPr>
        <w:pStyle w:val="Corpsdetexte"/>
        <w:spacing w:line="360" w:lineRule="auto"/>
        <w:ind w:left="709"/>
        <w:rPr>
          <w:rFonts w:ascii="Arial" w:hAnsi="Arial" w:cs="Arial"/>
          <w:sz w:val="20"/>
          <w:lang w:val="es-MX"/>
        </w:rPr>
      </w:pPr>
    </w:p>
    <w:p w:rsidR="00B710D9" w:rsidRPr="00AF7FED" w:rsidRDefault="00B710D9" w:rsidP="00B710D9">
      <w:pPr>
        <w:pStyle w:val="Paragraphedeliste"/>
        <w:numPr>
          <w:ilvl w:val="1"/>
          <w:numId w:val="1"/>
        </w:numPr>
        <w:spacing w:line="360" w:lineRule="auto"/>
        <w:ind w:left="709" w:hanging="709"/>
        <w:jc w:val="both"/>
        <w:rPr>
          <w:rFonts w:ascii="Arial" w:hAnsi="Arial" w:cs="Arial"/>
          <w:sz w:val="24"/>
          <w:szCs w:val="24"/>
          <w:lang w:val="es-CO"/>
        </w:rPr>
      </w:pPr>
      <w:r w:rsidRPr="00AF7FED">
        <w:rPr>
          <w:rFonts w:ascii="Arial" w:hAnsi="Arial" w:cs="Arial"/>
          <w:smallCaps/>
          <w:sz w:val="24"/>
          <w:szCs w:val="24"/>
          <w:lang w:val="es-CO"/>
        </w:rPr>
        <w:t>El problema jurídico para resolver.</w:t>
      </w:r>
      <w:r>
        <w:rPr>
          <w:rFonts w:ascii="Arial" w:hAnsi="Arial" w:cs="Arial"/>
          <w:smallCaps/>
          <w:sz w:val="24"/>
          <w:szCs w:val="24"/>
          <w:lang w:val="es-CO"/>
        </w:rPr>
        <w:t xml:space="preserve"> </w:t>
      </w:r>
      <w:r w:rsidRPr="00AF7FED">
        <w:rPr>
          <w:rFonts w:ascii="Arial" w:hAnsi="Arial" w:cs="Arial"/>
          <w:sz w:val="24"/>
          <w:szCs w:val="24"/>
        </w:rPr>
        <w:t xml:space="preserve">¿Debe confirmarse, modificarse o revocarse la providencia </w:t>
      </w:r>
      <w:r>
        <w:rPr>
          <w:rFonts w:ascii="Arial" w:hAnsi="Arial" w:cs="Arial"/>
          <w:sz w:val="24"/>
          <w:szCs w:val="24"/>
        </w:rPr>
        <w:t xml:space="preserve">17-04-2017 </w:t>
      </w:r>
      <w:r w:rsidRPr="00AF7FED">
        <w:rPr>
          <w:rFonts w:ascii="Arial" w:hAnsi="Arial" w:cs="Arial"/>
          <w:sz w:val="24"/>
          <w:szCs w:val="24"/>
        </w:rPr>
        <w:t xml:space="preserve">mediante la cual se impuso sanción de arresto y multa </w:t>
      </w:r>
      <w:r>
        <w:rPr>
          <w:rFonts w:ascii="Arial" w:hAnsi="Arial" w:cs="Arial"/>
          <w:sz w:val="24"/>
          <w:szCs w:val="24"/>
        </w:rPr>
        <w:t xml:space="preserve">a los doctores </w:t>
      </w:r>
      <w:r w:rsidRPr="00AF7FED">
        <w:rPr>
          <w:rFonts w:ascii="Arial" w:hAnsi="Arial" w:cs="Arial"/>
          <w:sz w:val="24"/>
          <w:szCs w:val="24"/>
          <w:lang w:val="es-CO"/>
        </w:rPr>
        <w:t xml:space="preserve">Victoria Eugenia </w:t>
      </w:r>
      <w:proofErr w:type="spellStart"/>
      <w:r w:rsidRPr="00AF7FED">
        <w:rPr>
          <w:rFonts w:ascii="Arial" w:hAnsi="Arial" w:cs="Arial"/>
          <w:sz w:val="24"/>
          <w:szCs w:val="24"/>
          <w:lang w:val="es-CO"/>
        </w:rPr>
        <w:t>Aristizábal</w:t>
      </w:r>
      <w:proofErr w:type="spellEnd"/>
      <w:r w:rsidRPr="00AF7FED">
        <w:rPr>
          <w:rFonts w:ascii="Arial" w:hAnsi="Arial" w:cs="Arial"/>
          <w:sz w:val="24"/>
          <w:szCs w:val="24"/>
          <w:lang w:val="es-CO"/>
        </w:rPr>
        <w:t xml:space="preserve"> Marulanda</w:t>
      </w:r>
      <w:r>
        <w:rPr>
          <w:rFonts w:ascii="Arial" w:hAnsi="Arial" w:cs="Arial"/>
          <w:sz w:val="24"/>
          <w:szCs w:val="24"/>
          <w:lang w:val="es-CO"/>
        </w:rPr>
        <w:t xml:space="preserve"> y C</w:t>
      </w:r>
      <w:r w:rsidR="00DC2EEC">
        <w:rPr>
          <w:rFonts w:ascii="Arial" w:hAnsi="Arial" w:cs="Arial"/>
          <w:sz w:val="24"/>
          <w:szCs w:val="24"/>
          <w:lang w:val="es-CO"/>
        </w:rPr>
        <w:t>é</w:t>
      </w:r>
      <w:r>
        <w:rPr>
          <w:rFonts w:ascii="Arial" w:hAnsi="Arial" w:cs="Arial"/>
          <w:sz w:val="24"/>
          <w:szCs w:val="24"/>
          <w:lang w:val="es-CO"/>
        </w:rPr>
        <w:t>sar Augusto Arroyave Zuluaga</w:t>
      </w:r>
      <w:r w:rsidRPr="00AF7FED">
        <w:rPr>
          <w:rFonts w:ascii="Arial" w:hAnsi="Arial" w:cs="Arial"/>
          <w:sz w:val="24"/>
          <w:szCs w:val="24"/>
          <w:lang w:val="es-CO"/>
        </w:rPr>
        <w:t xml:space="preserve">, en </w:t>
      </w:r>
      <w:r>
        <w:rPr>
          <w:rFonts w:ascii="Arial" w:hAnsi="Arial" w:cs="Arial"/>
          <w:sz w:val="24"/>
          <w:szCs w:val="24"/>
          <w:lang w:val="es-CO"/>
        </w:rPr>
        <w:t xml:space="preserve">sus </w:t>
      </w:r>
      <w:r w:rsidRPr="00AF7FED">
        <w:rPr>
          <w:rFonts w:ascii="Arial" w:hAnsi="Arial" w:cs="Arial"/>
          <w:sz w:val="24"/>
          <w:szCs w:val="24"/>
          <w:lang w:val="es-CO"/>
        </w:rPr>
        <w:t>calidad</w:t>
      </w:r>
      <w:r>
        <w:rPr>
          <w:rFonts w:ascii="Arial" w:hAnsi="Arial" w:cs="Arial"/>
          <w:sz w:val="24"/>
          <w:szCs w:val="24"/>
          <w:lang w:val="es-CO"/>
        </w:rPr>
        <w:t>es</w:t>
      </w:r>
      <w:r w:rsidRPr="00AF7FED">
        <w:rPr>
          <w:rFonts w:ascii="Arial" w:hAnsi="Arial" w:cs="Arial"/>
          <w:sz w:val="24"/>
          <w:szCs w:val="24"/>
          <w:lang w:val="es-CO"/>
        </w:rPr>
        <w:t xml:space="preserve"> de </w:t>
      </w:r>
      <w:r>
        <w:rPr>
          <w:rFonts w:ascii="Arial" w:hAnsi="Arial" w:cs="Arial"/>
          <w:sz w:val="24"/>
          <w:szCs w:val="24"/>
          <w:lang w:val="es-CO"/>
        </w:rPr>
        <w:t xml:space="preserve">Administradora de Agencia </w:t>
      </w:r>
      <w:r w:rsidR="00B92864">
        <w:rPr>
          <w:rFonts w:ascii="Arial" w:hAnsi="Arial" w:cs="Arial"/>
          <w:sz w:val="24"/>
          <w:szCs w:val="24"/>
          <w:lang w:val="es-CO"/>
        </w:rPr>
        <w:t xml:space="preserve">y Gerente de Defensa Judicial de la </w:t>
      </w:r>
      <w:proofErr w:type="spellStart"/>
      <w:r w:rsidR="00B92864">
        <w:rPr>
          <w:rFonts w:ascii="Arial" w:hAnsi="Arial" w:cs="Arial"/>
          <w:sz w:val="24"/>
          <w:szCs w:val="24"/>
          <w:lang w:val="es-CO"/>
        </w:rPr>
        <w:t>EPS</w:t>
      </w:r>
      <w:proofErr w:type="spellEnd"/>
      <w:r w:rsidR="00B92864">
        <w:rPr>
          <w:rFonts w:ascii="Arial" w:hAnsi="Arial" w:cs="Arial"/>
          <w:sz w:val="24"/>
          <w:szCs w:val="24"/>
          <w:lang w:val="es-CO"/>
        </w:rPr>
        <w:t xml:space="preserve">-S </w:t>
      </w:r>
      <w:proofErr w:type="spellStart"/>
      <w:r w:rsidR="00B92864">
        <w:rPr>
          <w:rFonts w:ascii="Arial" w:hAnsi="Arial" w:cs="Arial"/>
          <w:sz w:val="24"/>
          <w:szCs w:val="24"/>
          <w:lang w:val="es-CO"/>
        </w:rPr>
        <w:t>Cafesalud</w:t>
      </w:r>
      <w:proofErr w:type="spellEnd"/>
      <w:r w:rsidRPr="00AF7FED">
        <w:rPr>
          <w:rFonts w:ascii="Arial" w:hAnsi="Arial" w:cs="Arial"/>
          <w:sz w:val="24"/>
          <w:szCs w:val="24"/>
          <w:lang w:val="es-CO"/>
        </w:rPr>
        <w:t>, con ocasión d</w:t>
      </w:r>
      <w:r w:rsidRPr="00AF7FED">
        <w:rPr>
          <w:rFonts w:ascii="Arial" w:hAnsi="Arial" w:cs="Arial"/>
          <w:sz w:val="24"/>
          <w:szCs w:val="24"/>
        </w:rPr>
        <w:t>el trámite de desacato adelantado ante el Juzgado de conocimiento?</w:t>
      </w:r>
    </w:p>
    <w:p w:rsidR="00B710D9" w:rsidRPr="00DC2EEC" w:rsidRDefault="00B710D9" w:rsidP="00B710D9">
      <w:pPr>
        <w:spacing w:line="360" w:lineRule="auto"/>
        <w:jc w:val="both"/>
        <w:rPr>
          <w:rFonts w:ascii="Arial" w:hAnsi="Arial" w:cs="Arial"/>
          <w:szCs w:val="24"/>
          <w:lang w:val="es-CO"/>
        </w:rPr>
      </w:pPr>
    </w:p>
    <w:p w:rsidR="00C97F75" w:rsidRPr="00B3550C" w:rsidRDefault="00B92864" w:rsidP="00B92864">
      <w:pPr>
        <w:pStyle w:val="Corpsdetexte"/>
        <w:numPr>
          <w:ilvl w:val="0"/>
          <w:numId w:val="1"/>
        </w:numPr>
        <w:spacing w:line="360" w:lineRule="auto"/>
        <w:rPr>
          <w:rFonts w:ascii="Arial" w:hAnsi="Arial" w:cs="Arial"/>
          <w:smallCaps/>
          <w:lang w:val="es-CO"/>
        </w:rPr>
      </w:pPr>
      <w:r w:rsidRPr="00B3550C">
        <w:rPr>
          <w:rFonts w:ascii="Arial" w:hAnsi="Arial" w:cs="Arial"/>
          <w:smallCaps/>
          <w:lang w:val="es-CO"/>
        </w:rPr>
        <w:t>LA RESOLUCIÓN DEL PROBLEMA JURÍDICO</w:t>
      </w:r>
    </w:p>
    <w:p w:rsidR="006A1FE4" w:rsidRPr="00DC2EEC" w:rsidRDefault="006A1FE4" w:rsidP="005B0851">
      <w:pPr>
        <w:pStyle w:val="Titre"/>
        <w:spacing w:line="360" w:lineRule="auto"/>
        <w:jc w:val="left"/>
        <w:rPr>
          <w:b w:val="0"/>
          <w:bCs w:val="0"/>
          <w:i w:val="0"/>
          <w:iCs w:val="0"/>
          <w:spacing w:val="-3"/>
          <w:sz w:val="20"/>
          <w:szCs w:val="22"/>
          <w:lang w:val="es-ES_tradnl"/>
        </w:rPr>
      </w:pPr>
    </w:p>
    <w:p w:rsidR="00B92864" w:rsidRPr="00FA50AF" w:rsidRDefault="00B92864" w:rsidP="00B92864">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FA50AF">
        <w:rPr>
          <w:rFonts w:ascii="Arial" w:hAnsi="Arial" w:cs="Arial"/>
          <w:smallCaps/>
          <w:spacing w:val="-3"/>
          <w:sz w:val="24"/>
          <w:szCs w:val="24"/>
          <w:lang w:val="es-CO"/>
        </w:rPr>
        <w:t>Los aspectos objeto de acreditación en el incidente de desacato</w:t>
      </w:r>
    </w:p>
    <w:p w:rsidR="00B92864" w:rsidRPr="00DC2EEC" w:rsidRDefault="00B92864" w:rsidP="00B92864">
      <w:pPr>
        <w:pStyle w:val="Titre"/>
        <w:spacing w:line="360" w:lineRule="auto"/>
        <w:jc w:val="left"/>
        <w:rPr>
          <w:b w:val="0"/>
          <w:bCs w:val="0"/>
          <w:i w:val="0"/>
          <w:iCs w:val="0"/>
          <w:spacing w:val="-3"/>
          <w:sz w:val="20"/>
          <w:lang w:val="es-ES_tradnl"/>
        </w:rPr>
      </w:pPr>
    </w:p>
    <w:p w:rsidR="00B92864" w:rsidRPr="00B3550C" w:rsidRDefault="00B92864" w:rsidP="00B92864">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B92864" w:rsidRPr="0030233B" w:rsidRDefault="00B92864" w:rsidP="00B92864">
      <w:pPr>
        <w:spacing w:line="360" w:lineRule="auto"/>
        <w:ind w:left="567"/>
        <w:jc w:val="both"/>
        <w:rPr>
          <w:rFonts w:ascii="Arial" w:hAnsi="Arial" w:cs="Arial"/>
          <w:sz w:val="18"/>
          <w:szCs w:val="22"/>
          <w:lang w:val="es-CO"/>
        </w:rPr>
      </w:pPr>
    </w:p>
    <w:p w:rsidR="00B92864" w:rsidRPr="00B3550C" w:rsidRDefault="00B92864" w:rsidP="00B9286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EB106C">
        <w:rPr>
          <w:rFonts w:ascii="Arial" w:hAnsi="Arial" w:cs="Arial"/>
          <w:position w:val="4"/>
          <w:sz w:val="16"/>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Appelnotedebasdep"/>
          <w:rFonts w:ascii="Arial" w:hAnsi="Arial" w:cs="Arial"/>
          <w:sz w:val="24"/>
          <w:szCs w:val="24"/>
          <w:lang w:val="es-CO"/>
        </w:rPr>
        <w:footnoteReference w:id="4"/>
      </w:r>
      <w:r w:rsidRPr="00B3550C">
        <w:rPr>
          <w:rFonts w:ascii="Arial" w:hAnsi="Arial" w:cs="Arial"/>
          <w:sz w:val="24"/>
          <w:szCs w:val="24"/>
          <w:lang w:val="es-CO"/>
        </w:rPr>
        <w:t>.</w:t>
      </w:r>
    </w:p>
    <w:p w:rsidR="00B92864" w:rsidRPr="00DC2EEC" w:rsidRDefault="00B92864" w:rsidP="00B92864">
      <w:pPr>
        <w:spacing w:line="360" w:lineRule="auto"/>
        <w:ind w:left="567"/>
        <w:jc w:val="both"/>
        <w:rPr>
          <w:rFonts w:ascii="Arial" w:hAnsi="Arial" w:cs="Arial"/>
          <w:sz w:val="24"/>
          <w:szCs w:val="22"/>
          <w:lang w:val="es-CO"/>
        </w:rPr>
      </w:pPr>
    </w:p>
    <w:p w:rsidR="00B92864" w:rsidRDefault="00B92864" w:rsidP="00B9286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lastRenderedPageBreak/>
        <w:t>Expone la profesora Catalina Botero M</w:t>
      </w:r>
      <w:r>
        <w:rPr>
          <w:rFonts w:ascii="Arial" w:hAnsi="Arial" w:cs="Arial"/>
          <w:sz w:val="24"/>
          <w:szCs w:val="24"/>
          <w:lang w:val="es-CO"/>
        </w:rPr>
        <w:t>.</w:t>
      </w:r>
      <w:r w:rsidRPr="00B3550C">
        <w:rPr>
          <w:rStyle w:val="Appelnotedebasdep"/>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6"/>
      </w:r>
      <w:r w:rsidRPr="00B3550C">
        <w:rPr>
          <w:rFonts w:ascii="Arial" w:hAnsi="Arial" w:cs="Arial"/>
          <w:sz w:val="22"/>
          <w:szCs w:val="22"/>
          <w:lang w:val="es-CO" w:eastAsia="en-US"/>
        </w:rPr>
        <w:t>.</w:t>
      </w:r>
    </w:p>
    <w:p w:rsidR="00B92864" w:rsidRPr="00B3550C" w:rsidRDefault="00B92864" w:rsidP="00B9286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w:t>
      </w:r>
      <w:r>
        <w:rPr>
          <w:rFonts w:ascii="Arial" w:hAnsi="Arial" w:cs="Arial"/>
          <w:spacing w:val="-3"/>
          <w:sz w:val="24"/>
          <w:szCs w:val="24"/>
          <w:lang w:val="es-CO"/>
        </w:rPr>
        <w:t>,</w:t>
      </w:r>
      <w:r w:rsidRPr="00B3550C">
        <w:rPr>
          <w:rFonts w:ascii="Arial" w:hAnsi="Arial" w:cs="Arial"/>
          <w:spacing w:val="-3"/>
          <w:sz w:val="24"/>
          <w:szCs w:val="24"/>
          <w:lang w:val="es-CO"/>
        </w:rPr>
        <w:t xml:space="preserve"> pero diferenciables</w:t>
      </w:r>
      <w:r w:rsidRPr="00B3550C">
        <w:rPr>
          <w:rStyle w:val="Appelnotedebasdep"/>
          <w:rFonts w:ascii="Arial" w:hAnsi="Arial" w:cs="Arial"/>
          <w:i/>
          <w:iCs/>
          <w:sz w:val="24"/>
          <w:szCs w:val="24"/>
          <w:lang w:val="es-CO"/>
        </w:rPr>
        <w:footnoteReference w:id="7"/>
      </w:r>
      <w:r>
        <w:rPr>
          <w:rFonts w:ascii="Arial" w:hAnsi="Arial" w:cs="Arial"/>
          <w:spacing w:val="-3"/>
          <w:sz w:val="24"/>
          <w:szCs w:val="24"/>
          <w:lang w:val="es-CO"/>
        </w:rPr>
        <w:t>.</w:t>
      </w:r>
    </w:p>
    <w:p w:rsidR="00091466" w:rsidRPr="00DC2EEC" w:rsidRDefault="00091466" w:rsidP="00091466">
      <w:pPr>
        <w:pStyle w:val="Retraitcorpsdetexte"/>
        <w:spacing w:after="0" w:line="360" w:lineRule="auto"/>
        <w:ind w:left="0" w:right="573"/>
        <w:jc w:val="both"/>
        <w:rPr>
          <w:spacing w:val="-3"/>
          <w:sz w:val="20"/>
          <w:lang w:val="es-CO"/>
        </w:rPr>
      </w:pPr>
    </w:p>
    <w:p w:rsidR="00616B14" w:rsidRPr="00764769" w:rsidRDefault="00764769" w:rsidP="00764769">
      <w:pPr>
        <w:pStyle w:val="Corpsdetexte"/>
        <w:numPr>
          <w:ilvl w:val="0"/>
          <w:numId w:val="1"/>
        </w:numPr>
        <w:spacing w:line="360" w:lineRule="auto"/>
        <w:rPr>
          <w:rFonts w:ascii="Arial" w:hAnsi="Arial" w:cs="Arial"/>
          <w:smallCaps/>
        </w:rPr>
      </w:pPr>
      <w:r w:rsidRPr="00764769">
        <w:rPr>
          <w:rFonts w:ascii="Arial" w:hAnsi="Arial" w:cs="Arial"/>
          <w:smallCaps/>
        </w:rPr>
        <w:t xml:space="preserve">EL CASO CONCRETO </w:t>
      </w:r>
    </w:p>
    <w:p w:rsidR="009D53C1" w:rsidRPr="00DC2EEC" w:rsidRDefault="009D53C1" w:rsidP="009D53C1">
      <w:pPr>
        <w:spacing w:line="360" w:lineRule="auto"/>
        <w:jc w:val="both"/>
        <w:rPr>
          <w:rFonts w:ascii="Arial" w:hAnsi="Arial" w:cs="Arial"/>
          <w:szCs w:val="24"/>
          <w:lang w:val="es-CO"/>
        </w:rPr>
      </w:pPr>
    </w:p>
    <w:p w:rsidR="00C97F75" w:rsidRPr="00883240" w:rsidRDefault="00C97F75" w:rsidP="00C97F75">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Conforme los razonamientos jurídicos precitados, cotejado su cumplimiento en el asunto, se infiere que en la sentencia de tutela se incurrió en una falencia, pues la orden que se emitió para</w:t>
      </w:r>
      <w:r w:rsidRPr="00883240">
        <w:rPr>
          <w:rFonts w:ascii="Arial" w:hAnsi="Arial" w:cs="Arial"/>
          <w:spacing w:val="-3"/>
          <w:sz w:val="24"/>
          <w:szCs w:val="24"/>
          <w:lang w:val="es-CO"/>
        </w:rPr>
        <w:t xml:space="preserve"> proteger el derecho invocado, </w:t>
      </w:r>
      <w:r>
        <w:rPr>
          <w:rFonts w:ascii="Arial" w:hAnsi="Arial" w:cs="Arial"/>
          <w:spacing w:val="-3"/>
          <w:sz w:val="24"/>
          <w:szCs w:val="24"/>
          <w:lang w:val="es-CO"/>
        </w:rPr>
        <w:t>pretermitió integrar plenamente el grupo de personas encargadas de cumplirla.</w:t>
      </w:r>
    </w:p>
    <w:p w:rsidR="00C97F75" w:rsidRPr="00DC2EEC" w:rsidRDefault="00C97F75" w:rsidP="00C97F75">
      <w:pPr>
        <w:widowControl w:val="0"/>
        <w:spacing w:line="360" w:lineRule="auto"/>
        <w:jc w:val="both"/>
        <w:rPr>
          <w:rFonts w:ascii="Arial" w:hAnsi="Arial" w:cs="Arial"/>
          <w:spacing w:val="-3"/>
          <w:szCs w:val="24"/>
          <w:lang w:val="es-CO"/>
        </w:rPr>
      </w:pPr>
    </w:p>
    <w:p w:rsidR="001C69C0" w:rsidRDefault="00C97F75" w:rsidP="001C69C0">
      <w:pPr>
        <w:pStyle w:val="Sansinterligne"/>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lang w:val="es-CO"/>
        </w:rPr>
        <w:t>Sucede qu</w:t>
      </w:r>
      <w:r w:rsidRPr="00883240">
        <w:rPr>
          <w:rFonts w:ascii="Arial" w:hAnsi="Arial" w:cs="Arial"/>
          <w:spacing w:val="-3"/>
          <w:lang w:val="es-CO"/>
        </w:rPr>
        <w:t xml:space="preserve">e </w:t>
      </w:r>
      <w:r w:rsidR="00B92864">
        <w:rPr>
          <w:rFonts w:ascii="Arial" w:hAnsi="Arial" w:cs="Arial"/>
          <w:spacing w:val="-3"/>
          <w:lang w:val="es-CO"/>
        </w:rPr>
        <w:t xml:space="preserve">en </w:t>
      </w:r>
      <w:r>
        <w:rPr>
          <w:rFonts w:ascii="Arial" w:hAnsi="Arial" w:cs="Arial"/>
          <w:spacing w:val="-3"/>
          <w:lang w:val="es-CO"/>
        </w:rPr>
        <w:t xml:space="preserve">el fallo </w:t>
      </w:r>
      <w:r w:rsidR="00B92864">
        <w:rPr>
          <w:rFonts w:ascii="Arial" w:hAnsi="Arial" w:cs="Arial"/>
          <w:spacing w:val="-3"/>
          <w:lang w:val="es-CO"/>
        </w:rPr>
        <w:t xml:space="preserve">se impuso la orden </w:t>
      </w:r>
      <w:r w:rsidR="00B92864">
        <w:rPr>
          <w:rFonts w:ascii="Arial" w:hAnsi="Arial" w:cs="Arial"/>
          <w:spacing w:val="-3"/>
          <w:szCs w:val="28"/>
          <w:lang w:val="es-CO"/>
        </w:rPr>
        <w:t xml:space="preserve">a </w:t>
      </w:r>
      <w:proofErr w:type="spellStart"/>
      <w:r w:rsidR="00B92864">
        <w:rPr>
          <w:rFonts w:ascii="Arial" w:hAnsi="Arial" w:cs="Arial"/>
          <w:spacing w:val="-3"/>
          <w:szCs w:val="28"/>
          <w:lang w:val="es-CO"/>
        </w:rPr>
        <w:t>Cafesalud</w:t>
      </w:r>
      <w:proofErr w:type="spellEnd"/>
      <w:r w:rsidR="00B92864">
        <w:rPr>
          <w:rFonts w:ascii="Arial" w:hAnsi="Arial" w:cs="Arial"/>
          <w:spacing w:val="-3"/>
          <w:szCs w:val="28"/>
          <w:lang w:val="es-CO"/>
        </w:rPr>
        <w:t xml:space="preserve"> </w:t>
      </w:r>
      <w:proofErr w:type="spellStart"/>
      <w:r w:rsidR="00B92864">
        <w:rPr>
          <w:rFonts w:ascii="Arial" w:hAnsi="Arial" w:cs="Arial"/>
          <w:spacing w:val="-3"/>
          <w:szCs w:val="28"/>
          <w:lang w:val="es-CO"/>
        </w:rPr>
        <w:t>EPSS</w:t>
      </w:r>
      <w:proofErr w:type="spellEnd"/>
      <w:r w:rsidR="00B92864">
        <w:rPr>
          <w:rFonts w:ascii="Arial" w:hAnsi="Arial" w:cs="Arial"/>
          <w:spacing w:val="-3"/>
          <w:szCs w:val="28"/>
          <w:lang w:val="es-CO"/>
        </w:rPr>
        <w:t xml:space="preserve">, por intermedio de la doctora Victoria Eugenia </w:t>
      </w:r>
      <w:proofErr w:type="spellStart"/>
      <w:r w:rsidR="00B92864">
        <w:rPr>
          <w:rFonts w:ascii="Arial" w:hAnsi="Arial" w:cs="Arial"/>
          <w:spacing w:val="-3"/>
          <w:szCs w:val="28"/>
          <w:lang w:val="es-CO"/>
        </w:rPr>
        <w:t>Aristizábal</w:t>
      </w:r>
      <w:proofErr w:type="spellEnd"/>
      <w:r w:rsidR="00B92864">
        <w:rPr>
          <w:rFonts w:ascii="Arial" w:hAnsi="Arial" w:cs="Arial"/>
          <w:spacing w:val="-3"/>
          <w:szCs w:val="28"/>
          <w:lang w:val="es-CO"/>
        </w:rPr>
        <w:t xml:space="preserve"> Marulanda, en su calidad de Administradora de Agencia</w:t>
      </w:r>
      <w:r w:rsidR="008757F4">
        <w:rPr>
          <w:rFonts w:ascii="Arial" w:hAnsi="Arial" w:cs="Arial"/>
          <w:spacing w:val="-3"/>
          <w:szCs w:val="28"/>
          <w:lang w:val="es-CO"/>
        </w:rPr>
        <w:t xml:space="preserve">. </w:t>
      </w:r>
      <w:r w:rsidR="00800CE0">
        <w:rPr>
          <w:rFonts w:ascii="Arial" w:hAnsi="Arial" w:cs="Arial"/>
          <w:spacing w:val="-3"/>
          <w:lang w:val="es-CO"/>
        </w:rPr>
        <w:t xml:space="preserve">Si bien </w:t>
      </w:r>
      <w:r w:rsidR="008757F4">
        <w:rPr>
          <w:rFonts w:ascii="Arial" w:hAnsi="Arial" w:cs="Arial"/>
          <w:spacing w:val="-3"/>
          <w:lang w:val="es-CO"/>
        </w:rPr>
        <w:t xml:space="preserve">es la encargada de procurar la prestación de los servicios de salud en esta regional, también </w:t>
      </w:r>
      <w:r w:rsidR="008343D6">
        <w:rPr>
          <w:rFonts w:ascii="Arial" w:hAnsi="Arial" w:cs="Arial"/>
          <w:spacing w:val="-3"/>
          <w:lang w:val="es-CO"/>
        </w:rPr>
        <w:t xml:space="preserve">lo </w:t>
      </w:r>
      <w:r w:rsidR="008757F4">
        <w:rPr>
          <w:rFonts w:ascii="Arial" w:hAnsi="Arial" w:cs="Arial"/>
          <w:spacing w:val="-3"/>
          <w:lang w:val="es-CO"/>
        </w:rPr>
        <w:t xml:space="preserve">es </w:t>
      </w:r>
      <w:r w:rsidR="001C69C0">
        <w:rPr>
          <w:rFonts w:ascii="Arial" w:hAnsi="Arial" w:cs="Arial"/>
          <w:spacing w:val="-3"/>
          <w:lang w:val="es-CO"/>
        </w:rPr>
        <w:t xml:space="preserve">el </w:t>
      </w:r>
      <w:r w:rsidR="008757F4">
        <w:rPr>
          <w:rFonts w:ascii="Arial" w:hAnsi="Arial" w:cs="Arial"/>
          <w:spacing w:val="-3"/>
          <w:lang w:val="es-CO"/>
        </w:rPr>
        <w:t xml:space="preserve">Gerente de Defensa Judicial </w:t>
      </w:r>
      <w:r w:rsidR="001C69C0">
        <w:rPr>
          <w:rFonts w:ascii="Arial" w:hAnsi="Arial" w:cs="Arial"/>
          <w:spacing w:val="-3"/>
          <w:lang w:val="es-CO"/>
        </w:rPr>
        <w:t>de esa entidad</w:t>
      </w:r>
      <w:r w:rsidR="00DC2EEC">
        <w:rPr>
          <w:rFonts w:ascii="Arial" w:hAnsi="Arial" w:cs="Arial"/>
          <w:spacing w:val="-3"/>
          <w:lang w:val="es-CO"/>
        </w:rPr>
        <w:t>,</w:t>
      </w:r>
      <w:r w:rsidR="001C69C0">
        <w:rPr>
          <w:rFonts w:ascii="Arial" w:hAnsi="Arial" w:cs="Arial"/>
          <w:spacing w:val="-3"/>
          <w:lang w:val="es-CO"/>
        </w:rPr>
        <w:t xml:space="preserve"> </w:t>
      </w:r>
      <w:r w:rsidR="00DC2EEC">
        <w:rPr>
          <w:rFonts w:ascii="Arial" w:hAnsi="Arial" w:cs="Arial"/>
          <w:spacing w:val="-3"/>
          <w:lang w:val="es-CO"/>
        </w:rPr>
        <w:t>pues debe</w:t>
      </w:r>
      <w:r w:rsidR="001C69C0">
        <w:rPr>
          <w:rFonts w:ascii="Arial" w:hAnsi="Arial" w:cs="Arial"/>
          <w:spacing w:val="-3"/>
          <w:lang w:val="es-CO"/>
        </w:rPr>
        <w:t>:</w:t>
      </w:r>
      <w:r w:rsidR="008757F4">
        <w:rPr>
          <w:rFonts w:ascii="Arial" w:hAnsi="Arial" w:cs="Arial"/>
          <w:spacing w:val="-3"/>
          <w:lang w:val="es-CO"/>
        </w:rPr>
        <w:t xml:space="preserve"> </w:t>
      </w:r>
      <w:r w:rsidR="008757F4" w:rsidRPr="001C69C0">
        <w:rPr>
          <w:rFonts w:ascii="Arial" w:hAnsi="Arial" w:cs="Arial"/>
          <w:i/>
          <w:spacing w:val="-3"/>
          <w:sz w:val="22"/>
          <w:lang w:val="es-CO"/>
        </w:rPr>
        <w:t>“(…) E) realizar las acciones tendientes al efectivo cumplimiento de (…) tramites incidentales (…) F) dar cumplimiento a las sanciones impuestas (…)”</w:t>
      </w:r>
      <w:r w:rsidR="008757F4" w:rsidRPr="001C69C0">
        <w:rPr>
          <w:rFonts w:ascii="Arial" w:hAnsi="Arial" w:cs="Arial"/>
          <w:spacing w:val="-3"/>
          <w:sz w:val="22"/>
          <w:lang w:val="es-CO"/>
        </w:rPr>
        <w:t xml:space="preserve"> </w:t>
      </w:r>
      <w:r w:rsidR="008757F4">
        <w:rPr>
          <w:rFonts w:ascii="Arial" w:hAnsi="Arial" w:cs="Arial"/>
          <w:spacing w:val="-3"/>
          <w:lang w:val="es-CO"/>
        </w:rPr>
        <w:t xml:space="preserve"> </w:t>
      </w:r>
      <w:r w:rsidR="00800CE0">
        <w:rPr>
          <w:rFonts w:ascii="Arial" w:hAnsi="Arial" w:cs="Arial"/>
          <w:spacing w:val="-3"/>
          <w:lang w:val="es-CO"/>
        </w:rPr>
        <w:t>(</w:t>
      </w:r>
      <w:r w:rsidR="001C69C0">
        <w:rPr>
          <w:rFonts w:ascii="Arial" w:hAnsi="Arial" w:cs="Arial"/>
          <w:spacing w:val="-3"/>
          <w:lang w:val="es-CO"/>
        </w:rPr>
        <w:t>F</w:t>
      </w:r>
      <w:r w:rsidR="008757F4">
        <w:rPr>
          <w:rFonts w:ascii="Arial" w:hAnsi="Arial" w:cs="Arial"/>
          <w:spacing w:val="-3"/>
          <w:lang w:val="es-CO"/>
        </w:rPr>
        <w:t xml:space="preserve">olios </w:t>
      </w:r>
      <w:r w:rsidR="001C69C0">
        <w:rPr>
          <w:rFonts w:ascii="Arial" w:hAnsi="Arial" w:cs="Arial"/>
          <w:spacing w:val="-3"/>
          <w:lang w:val="es-CO"/>
        </w:rPr>
        <w:t>42, cuaderno No.1)</w:t>
      </w:r>
      <w:r w:rsidRPr="00D34405">
        <w:rPr>
          <w:rFonts w:ascii="Arial" w:hAnsi="Arial" w:cs="Arial"/>
          <w:spacing w:val="-3"/>
          <w:lang w:val="es-CO"/>
        </w:rPr>
        <w:t xml:space="preserve">. </w:t>
      </w:r>
      <w:r w:rsidR="001C69C0">
        <w:rPr>
          <w:rFonts w:ascii="Arial" w:hAnsi="Arial" w:cs="Arial"/>
          <w:spacing w:val="-3"/>
          <w:lang w:val="es-CO"/>
        </w:rPr>
        <w:t>En este asunto fue vinculado, pero para que hiciera cumplir la orden de tutela</w:t>
      </w:r>
      <w:r w:rsidR="00DC2EEC">
        <w:rPr>
          <w:rFonts w:ascii="Arial" w:hAnsi="Arial" w:cs="Arial"/>
          <w:spacing w:val="-3"/>
          <w:lang w:val="es-CO"/>
        </w:rPr>
        <w:t>, no para que la cumpliera directamente como obligado</w:t>
      </w:r>
      <w:r w:rsidR="001C69C0">
        <w:rPr>
          <w:rFonts w:ascii="Arial" w:hAnsi="Arial" w:cs="Arial"/>
          <w:spacing w:val="-3"/>
          <w:lang w:val="es-CO"/>
        </w:rPr>
        <w:t xml:space="preserve"> (Folio 20, cuaderno No.1)</w:t>
      </w:r>
      <w:r w:rsidR="001C69C0" w:rsidRPr="009C5B79">
        <w:rPr>
          <w:rFonts w:ascii="Arial" w:hAnsi="Arial" w:cs="Arial"/>
          <w:spacing w:val="-3"/>
          <w:lang w:val="es-CO"/>
        </w:rPr>
        <w:t>.</w:t>
      </w:r>
    </w:p>
    <w:p w:rsidR="001C69C0" w:rsidRPr="00DC2EEC" w:rsidRDefault="001C69C0" w:rsidP="00C97F75">
      <w:pPr>
        <w:pStyle w:val="Sansinterligne"/>
        <w:widowControl/>
        <w:tabs>
          <w:tab w:val="left" w:pos="720"/>
        </w:tabs>
        <w:autoSpaceDE/>
        <w:autoSpaceDN/>
        <w:adjustRightInd/>
        <w:spacing w:line="360" w:lineRule="auto"/>
        <w:jc w:val="both"/>
        <w:rPr>
          <w:rFonts w:ascii="Arial" w:hAnsi="Arial" w:cs="Arial"/>
          <w:spacing w:val="-3"/>
          <w:sz w:val="20"/>
          <w:lang w:val="es-CO"/>
        </w:rPr>
      </w:pPr>
      <w:r>
        <w:rPr>
          <w:rFonts w:ascii="Arial" w:hAnsi="Arial" w:cs="Arial"/>
          <w:spacing w:val="-3"/>
          <w:lang w:val="es-CO"/>
        </w:rPr>
        <w:t xml:space="preserve"> </w:t>
      </w:r>
    </w:p>
    <w:p w:rsidR="00E141A7" w:rsidRDefault="00D34405" w:rsidP="00E141A7">
      <w:pPr>
        <w:widowControl w:val="0"/>
        <w:spacing w:line="360" w:lineRule="auto"/>
        <w:jc w:val="both"/>
        <w:rPr>
          <w:rFonts w:ascii="Arial" w:hAnsi="Arial" w:cs="Arial"/>
          <w:spacing w:val="-3"/>
          <w:sz w:val="24"/>
          <w:szCs w:val="24"/>
          <w:lang w:val="es-CO"/>
        </w:rPr>
      </w:pPr>
      <w:r w:rsidRPr="00883240">
        <w:rPr>
          <w:rFonts w:ascii="Arial" w:hAnsi="Arial" w:cs="Arial"/>
          <w:spacing w:val="-3"/>
          <w:sz w:val="24"/>
          <w:szCs w:val="24"/>
          <w:lang w:val="es-CO"/>
        </w:rPr>
        <w:t xml:space="preserve">Así las cosas y no obstante que las sentencias están arropadas por la intangibilidad de la cosa juzgada, tiene dicho la </w:t>
      </w:r>
      <w:r w:rsidR="001C69C0">
        <w:rPr>
          <w:rFonts w:ascii="Arial" w:hAnsi="Arial" w:cs="Arial"/>
          <w:spacing w:val="-3"/>
          <w:sz w:val="24"/>
          <w:szCs w:val="24"/>
          <w:lang w:val="es-CO"/>
        </w:rPr>
        <w:t xml:space="preserve">CC </w:t>
      </w:r>
      <w:r w:rsidRPr="00883240">
        <w:rPr>
          <w:rFonts w:ascii="Arial" w:hAnsi="Arial" w:cs="Arial"/>
          <w:spacing w:val="-3"/>
          <w:sz w:val="24"/>
          <w:szCs w:val="24"/>
          <w:lang w:val="es-CO"/>
        </w:rPr>
        <w:t xml:space="preserve">que excepcionalmente es posible modificarlas en tres (3) casos, a efectos de dotarlas de efectividad en el amparo de los derechos fundamentales.  </w:t>
      </w:r>
      <w:r w:rsidR="00E141A7" w:rsidRPr="009011A6">
        <w:rPr>
          <w:rFonts w:ascii="Arial" w:hAnsi="Arial" w:cs="Arial"/>
          <w:spacing w:val="-3"/>
          <w:sz w:val="24"/>
          <w:szCs w:val="24"/>
          <w:lang w:val="es-CO"/>
        </w:rPr>
        <w:t>Explica la citada Colegiatura</w:t>
      </w:r>
      <w:r w:rsidR="00E141A7" w:rsidRPr="009011A6">
        <w:rPr>
          <w:rStyle w:val="Appelnotedebasdep"/>
          <w:rFonts w:ascii="Arial" w:hAnsi="Arial" w:cs="Arial"/>
          <w:spacing w:val="-3"/>
          <w:sz w:val="24"/>
          <w:szCs w:val="24"/>
          <w:lang w:val="es-CO"/>
        </w:rPr>
        <w:footnoteReference w:id="8"/>
      </w:r>
      <w:r w:rsidR="00E141A7" w:rsidRPr="009011A6">
        <w:rPr>
          <w:rFonts w:ascii="Arial" w:hAnsi="Arial" w:cs="Arial"/>
          <w:spacing w:val="-3"/>
          <w:sz w:val="24"/>
          <w:szCs w:val="24"/>
          <w:lang w:val="es-CO"/>
        </w:rPr>
        <w:t>, en criterio acogido por esta Sala</w:t>
      </w:r>
      <w:r w:rsidR="00E141A7" w:rsidRPr="009011A6">
        <w:rPr>
          <w:rStyle w:val="Appelnotedebasdep"/>
          <w:rFonts w:ascii="Arial" w:hAnsi="Arial"/>
          <w:spacing w:val="-3"/>
          <w:sz w:val="24"/>
          <w:szCs w:val="24"/>
          <w:lang w:val="es-CO"/>
        </w:rPr>
        <w:footnoteReference w:id="9"/>
      </w:r>
      <w:r w:rsidR="00E141A7" w:rsidRPr="009011A6">
        <w:rPr>
          <w:rFonts w:ascii="Arial" w:hAnsi="Arial" w:cs="Arial"/>
          <w:spacing w:val="-3"/>
          <w:sz w:val="24"/>
          <w:szCs w:val="24"/>
          <w:vertAlign w:val="superscript"/>
          <w:lang w:val="es-CO"/>
        </w:rPr>
        <w:t>-</w:t>
      </w:r>
      <w:r w:rsidR="00E141A7" w:rsidRPr="009011A6">
        <w:rPr>
          <w:rStyle w:val="Appelnotedebasdep"/>
          <w:rFonts w:ascii="Arial" w:hAnsi="Arial" w:cs="Arial"/>
          <w:spacing w:val="-3"/>
          <w:sz w:val="24"/>
          <w:szCs w:val="24"/>
          <w:lang w:val="es-CO"/>
        </w:rPr>
        <w:footnoteReference w:id="10"/>
      </w:r>
      <w:r w:rsidR="00E141A7" w:rsidRPr="009011A6">
        <w:rPr>
          <w:rFonts w:ascii="Arial" w:hAnsi="Arial" w:cs="Arial"/>
          <w:spacing w:val="-3"/>
          <w:sz w:val="24"/>
          <w:szCs w:val="24"/>
          <w:lang w:val="es-CO"/>
        </w:rPr>
        <w:t>:</w:t>
      </w:r>
    </w:p>
    <w:p w:rsidR="00764769" w:rsidRPr="00764769" w:rsidRDefault="00764769" w:rsidP="00D34405">
      <w:pPr>
        <w:widowControl w:val="0"/>
        <w:spacing w:line="360" w:lineRule="auto"/>
        <w:jc w:val="both"/>
        <w:rPr>
          <w:rFonts w:ascii="Arial" w:hAnsi="Arial" w:cs="Arial"/>
          <w:spacing w:val="-3"/>
          <w:sz w:val="16"/>
          <w:szCs w:val="24"/>
          <w:lang w:val="es-CO"/>
        </w:rPr>
      </w:pPr>
    </w:p>
    <w:p w:rsidR="00D34405" w:rsidRPr="00B3550C" w:rsidRDefault="00D34405" w:rsidP="00D34405">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xml:space="preserve">… la modificación de la orden impartida por el juez no puede tener lugar en </w:t>
      </w:r>
      <w:r w:rsidRPr="00B3550C">
        <w:rPr>
          <w:rFonts w:ascii="Arial" w:hAnsi="Arial" w:cs="Arial"/>
          <w:sz w:val="24"/>
          <w:szCs w:val="24"/>
          <w:lang w:val="es-CO"/>
        </w:rPr>
        <w:lastRenderedPageBreak/>
        <w:t>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E141A7" w:rsidRPr="00DC2EEC" w:rsidRDefault="00E141A7" w:rsidP="00E141A7">
      <w:pPr>
        <w:widowControl w:val="0"/>
        <w:spacing w:line="360" w:lineRule="auto"/>
        <w:jc w:val="both"/>
        <w:rPr>
          <w:rFonts w:ascii="Arial" w:hAnsi="Arial" w:cs="Arial"/>
          <w:spacing w:val="-3"/>
          <w:sz w:val="24"/>
          <w:szCs w:val="24"/>
          <w:lang w:val="es-CO"/>
        </w:rPr>
      </w:pPr>
    </w:p>
    <w:p w:rsidR="00E141A7" w:rsidRPr="009011A6" w:rsidRDefault="00E141A7" w:rsidP="00E141A7">
      <w:pPr>
        <w:widowControl w:val="0"/>
        <w:spacing w:line="360" w:lineRule="auto"/>
        <w:jc w:val="both"/>
        <w:rPr>
          <w:rFonts w:ascii="Arial" w:hAnsi="Arial" w:cs="Arial"/>
          <w:sz w:val="22"/>
          <w:szCs w:val="22"/>
          <w:lang w:val="es-CO"/>
        </w:rPr>
      </w:pPr>
      <w:r w:rsidRPr="009011A6">
        <w:rPr>
          <w:rFonts w:ascii="Arial" w:hAnsi="Arial" w:cs="Arial"/>
          <w:spacing w:val="-3"/>
          <w:sz w:val="24"/>
          <w:szCs w:val="24"/>
          <w:lang w:val="es-CO"/>
        </w:rPr>
        <w:t>También el máximo ente constitucional expuso en torno a la autoridad judicial que debe</w:t>
      </w:r>
      <w:r w:rsidR="004F2B5D">
        <w:rPr>
          <w:rFonts w:ascii="Arial" w:hAnsi="Arial" w:cs="Arial"/>
          <w:spacing w:val="-3"/>
          <w:sz w:val="24"/>
          <w:szCs w:val="24"/>
          <w:lang w:val="es-CO"/>
        </w:rPr>
        <w:t xml:space="preserve"> </w:t>
      </w:r>
      <w:r w:rsidRPr="009011A6">
        <w:rPr>
          <w:rFonts w:ascii="Arial" w:hAnsi="Arial" w:cs="Arial"/>
          <w:spacing w:val="-3"/>
          <w:sz w:val="24"/>
          <w:szCs w:val="24"/>
          <w:lang w:val="es-CO"/>
        </w:rPr>
        <w:t>ajustar la orden impartida que</w:t>
      </w:r>
      <w:r w:rsidRPr="009011A6">
        <w:rPr>
          <w:rStyle w:val="Appelnotedebasdep"/>
          <w:rFonts w:ascii="Arial" w:hAnsi="Arial"/>
          <w:spacing w:val="-3"/>
          <w:sz w:val="24"/>
          <w:szCs w:val="24"/>
          <w:lang w:val="es-CO"/>
        </w:rPr>
        <w:footnoteReference w:id="11"/>
      </w:r>
      <w:r w:rsidRPr="009011A6">
        <w:rPr>
          <w:rFonts w:ascii="Arial" w:hAnsi="Arial" w:cs="Arial"/>
          <w:spacing w:val="-3"/>
          <w:sz w:val="24"/>
          <w:szCs w:val="24"/>
          <w:lang w:val="es-CO"/>
        </w:rPr>
        <w:t xml:space="preserve">: “(…) </w:t>
      </w:r>
      <w:r w:rsidRPr="009011A6">
        <w:rPr>
          <w:rFonts w:ascii="Arial" w:hAnsi="Arial" w:cs="Arial"/>
          <w:i/>
          <w:sz w:val="22"/>
          <w:szCs w:val="22"/>
          <w:u w:val="single"/>
          <w:lang w:val="es-CO"/>
        </w:rPr>
        <w:t>cuando el juez de la consulta también conoció en segunda instancia de la acción de tutela, conserva la competencia especial en materia de órdenes y, por tanto, puede modificar en sede de consulta los aspectos accidentales de la orden que hubiese sido impartida en la sentencia</w:t>
      </w:r>
      <w:r w:rsidRPr="009011A6">
        <w:rPr>
          <w:rFonts w:ascii="Arial" w:hAnsi="Arial" w:cs="Arial"/>
          <w:i/>
          <w:sz w:val="22"/>
          <w:szCs w:val="22"/>
          <w:lang w:val="es-CO"/>
        </w:rPr>
        <w:t>, respetando los parámetros señalados anteriormente, con miras a asegurar el goce efectivo del derecho fundamental tutelado y previendo, además, las medidas compensatorias que sean necesarias. No ocurre lo mismo cuando el juez que resuelve la consulta no tuvo competencia sobre el caso y, en esa medida, no puede preservar ningún tipo de competencia especial en cuanto a poder establecer modificaciones al remedio ordenado.</w:t>
      </w:r>
      <w:r w:rsidRPr="009011A6">
        <w:rPr>
          <w:rFonts w:ascii="Arial" w:hAnsi="Arial" w:cs="Arial"/>
          <w:sz w:val="22"/>
          <w:szCs w:val="22"/>
          <w:lang w:val="es-CO"/>
        </w:rPr>
        <w:t xml:space="preserve"> (…)” </w:t>
      </w:r>
      <w:r w:rsidRPr="009011A6">
        <w:rPr>
          <w:rFonts w:ascii="Arial" w:hAnsi="Arial" w:cs="Arial"/>
          <w:sz w:val="24"/>
          <w:szCs w:val="22"/>
          <w:lang w:val="es-CO"/>
        </w:rPr>
        <w:t>(Subrayas de la Sala).</w:t>
      </w:r>
    </w:p>
    <w:p w:rsidR="00E141A7" w:rsidRPr="00DC2EEC" w:rsidRDefault="00E141A7" w:rsidP="00D34405">
      <w:pPr>
        <w:widowControl w:val="0"/>
        <w:spacing w:line="360" w:lineRule="auto"/>
        <w:jc w:val="both"/>
        <w:rPr>
          <w:rFonts w:ascii="Arial" w:hAnsi="Arial" w:cs="Arial"/>
          <w:spacing w:val="-3"/>
          <w:szCs w:val="24"/>
          <w:lang w:val="es-CO"/>
        </w:rPr>
      </w:pPr>
    </w:p>
    <w:p w:rsidR="00D34405" w:rsidRDefault="00D34405" w:rsidP="00DC2EEC">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Consecuente </w:t>
      </w:r>
      <w:r w:rsidR="00E9554A">
        <w:rPr>
          <w:rFonts w:ascii="Arial" w:hAnsi="Arial" w:cs="Arial"/>
          <w:spacing w:val="-3"/>
          <w:sz w:val="24"/>
          <w:szCs w:val="24"/>
          <w:lang w:val="es-CO"/>
        </w:rPr>
        <w:t>con</w:t>
      </w:r>
      <w:r w:rsidRPr="00BD7126">
        <w:rPr>
          <w:rFonts w:ascii="Arial" w:hAnsi="Arial" w:cs="Arial"/>
          <w:spacing w:val="-3"/>
          <w:sz w:val="24"/>
          <w:szCs w:val="24"/>
          <w:lang w:val="es-CO"/>
        </w:rPr>
        <w:t xml:space="preserve"> lo transcrito, </w:t>
      </w:r>
      <w:r w:rsidR="00E141A7">
        <w:rPr>
          <w:rFonts w:ascii="Arial" w:hAnsi="Arial" w:cs="Arial"/>
          <w:spacing w:val="-3"/>
          <w:sz w:val="24"/>
          <w:szCs w:val="24"/>
          <w:lang w:val="es-CO"/>
        </w:rPr>
        <w:t>como este asunto no tuvo segunda instancia</w:t>
      </w:r>
      <w:r w:rsidR="004F2B5D">
        <w:rPr>
          <w:rFonts w:ascii="Arial" w:hAnsi="Arial" w:cs="Arial"/>
          <w:spacing w:val="-3"/>
          <w:sz w:val="24"/>
          <w:szCs w:val="24"/>
          <w:lang w:val="es-CO"/>
        </w:rPr>
        <w:t xml:space="preserve"> (Folio 3 vuelto, este cuaderno)</w:t>
      </w:r>
      <w:r w:rsidR="00E141A7">
        <w:rPr>
          <w:rFonts w:ascii="Arial" w:hAnsi="Arial" w:cs="Arial"/>
          <w:spacing w:val="-3"/>
          <w:sz w:val="24"/>
          <w:szCs w:val="24"/>
          <w:lang w:val="es-CO"/>
        </w:rPr>
        <w:t xml:space="preserve">, </w:t>
      </w:r>
      <w:r w:rsidRPr="00BD7126">
        <w:rPr>
          <w:rFonts w:ascii="Arial" w:hAnsi="Arial" w:cs="Arial"/>
          <w:spacing w:val="-3"/>
          <w:sz w:val="24"/>
          <w:szCs w:val="24"/>
          <w:lang w:val="es-CO"/>
        </w:rPr>
        <w:t>ha debido el juez ajustar la orden de la sentencia en garantía de los derechos protegidos con la acción de tutela, para procurar la efectividad del amparo prodigado.</w:t>
      </w:r>
      <w:r w:rsidR="00DC2EEC">
        <w:rPr>
          <w:rFonts w:ascii="Arial" w:hAnsi="Arial" w:cs="Arial"/>
          <w:spacing w:val="-3"/>
          <w:sz w:val="24"/>
          <w:szCs w:val="24"/>
          <w:lang w:val="es-CO"/>
        </w:rPr>
        <w:t xml:space="preserve"> </w:t>
      </w:r>
      <w:r w:rsidR="00E141A7">
        <w:rPr>
          <w:rFonts w:ascii="Arial" w:hAnsi="Arial" w:cs="Arial"/>
          <w:spacing w:val="-3"/>
          <w:sz w:val="24"/>
          <w:szCs w:val="24"/>
          <w:lang w:val="es-CO"/>
        </w:rPr>
        <w:t xml:space="preserve">En este asunto se aplicó parcialmente </w:t>
      </w:r>
      <w:r w:rsidR="00E141A7">
        <w:rPr>
          <w:rFonts w:ascii="Arial" w:hAnsi="Arial" w:cs="Arial"/>
          <w:sz w:val="24"/>
          <w:szCs w:val="24"/>
          <w:lang w:val="es-CO"/>
        </w:rPr>
        <w:t xml:space="preserve">el </w:t>
      </w:r>
      <w:r w:rsidR="00E141A7" w:rsidRPr="009011A6">
        <w:rPr>
          <w:rFonts w:ascii="Arial" w:hAnsi="Arial" w:cs="Arial"/>
          <w:spacing w:val="-3"/>
          <w:sz w:val="24"/>
          <w:szCs w:val="24"/>
          <w:lang w:val="es-CO"/>
        </w:rPr>
        <w:t xml:space="preserve">Acuerdo No.PSAA10-6979 de 2010 de la Sala Administrativa del CSJ, </w:t>
      </w:r>
      <w:r w:rsidR="00CC30B1">
        <w:rPr>
          <w:rFonts w:ascii="Arial" w:hAnsi="Arial" w:cs="Arial"/>
          <w:spacing w:val="-3"/>
          <w:sz w:val="24"/>
          <w:szCs w:val="24"/>
          <w:lang w:val="es-CO"/>
        </w:rPr>
        <w:t xml:space="preserve">mediante el cual se </w:t>
      </w:r>
      <w:r w:rsidR="00275060">
        <w:rPr>
          <w:rFonts w:ascii="Arial" w:hAnsi="Arial" w:cs="Arial"/>
          <w:spacing w:val="-3"/>
          <w:sz w:val="24"/>
          <w:szCs w:val="24"/>
          <w:lang w:val="es-CO"/>
        </w:rPr>
        <w:t xml:space="preserve">establecen los requisitos que deben reunir las decisiones judiciales o actos administrativos que impongan obligaciones a favor de la Nación – CSJ (Número de cuenta, </w:t>
      </w:r>
      <w:r w:rsidR="0032657E">
        <w:rPr>
          <w:rFonts w:ascii="Arial" w:hAnsi="Arial" w:cs="Arial"/>
          <w:spacing w:val="-3"/>
          <w:sz w:val="24"/>
          <w:szCs w:val="24"/>
          <w:lang w:val="es-CO"/>
        </w:rPr>
        <w:t xml:space="preserve">plazo, </w:t>
      </w:r>
      <w:r w:rsidR="00275060">
        <w:rPr>
          <w:rFonts w:ascii="Arial" w:hAnsi="Arial" w:cs="Arial"/>
          <w:spacing w:val="-3"/>
          <w:sz w:val="24"/>
          <w:szCs w:val="24"/>
          <w:lang w:val="es-CO"/>
        </w:rPr>
        <w:t>copias para cobro coactivo, etc.)</w:t>
      </w:r>
      <w:r>
        <w:rPr>
          <w:rFonts w:ascii="Arial" w:hAnsi="Arial" w:cs="Arial"/>
          <w:spacing w:val="-3"/>
          <w:sz w:val="24"/>
          <w:szCs w:val="24"/>
          <w:lang w:val="es-CO"/>
        </w:rPr>
        <w:t>.</w:t>
      </w:r>
    </w:p>
    <w:p w:rsidR="00E141A7" w:rsidRPr="00DC2EEC" w:rsidRDefault="00E141A7" w:rsidP="00D34405">
      <w:pPr>
        <w:tabs>
          <w:tab w:val="left" w:pos="-720"/>
        </w:tabs>
        <w:suppressAutoHyphens/>
        <w:spacing w:line="360" w:lineRule="auto"/>
        <w:jc w:val="both"/>
        <w:rPr>
          <w:rFonts w:ascii="Arial" w:hAnsi="Arial" w:cs="Arial"/>
          <w:spacing w:val="-3"/>
          <w:szCs w:val="24"/>
          <w:lang w:val="es-CO"/>
        </w:rPr>
      </w:pPr>
    </w:p>
    <w:p w:rsidR="00883240" w:rsidRDefault="00883240" w:rsidP="00883240">
      <w:pPr>
        <w:pStyle w:val="Paragraphedeliste"/>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DC2EEC" w:rsidRPr="00DC2EEC" w:rsidRDefault="00DC2EEC" w:rsidP="00DC2EEC">
      <w:pPr>
        <w:pStyle w:val="Paragraphedeliste"/>
        <w:spacing w:line="360" w:lineRule="auto"/>
        <w:ind w:left="360"/>
        <w:jc w:val="both"/>
        <w:rPr>
          <w:rFonts w:ascii="Arial" w:hAnsi="Arial" w:cs="Arial"/>
          <w:szCs w:val="24"/>
          <w:lang w:val="es-CO"/>
        </w:rPr>
      </w:pPr>
    </w:p>
    <w:p w:rsidR="00883240" w:rsidRDefault="00883240" w:rsidP="00883240">
      <w:pPr>
        <w:pStyle w:val="Corpsdetexte"/>
        <w:tabs>
          <w:tab w:val="left" w:pos="8647"/>
          <w:tab w:val="left" w:pos="9498"/>
        </w:tabs>
        <w:spacing w:line="360" w:lineRule="auto"/>
        <w:ind w:right="79"/>
        <w:rPr>
          <w:rFonts w:ascii="Arial" w:hAnsi="Arial" w:cs="Arial"/>
          <w:lang w:val="es-CO"/>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evocará</w:t>
      </w:r>
      <w:r w:rsidR="00D01FA2">
        <w:rPr>
          <w:rFonts w:ascii="Arial" w:hAnsi="Arial" w:cs="Arial"/>
          <w:szCs w:val="22"/>
          <w:lang w:val="es-CO"/>
        </w:rPr>
        <w:t>n</w:t>
      </w:r>
      <w:r>
        <w:rPr>
          <w:rFonts w:ascii="Arial" w:hAnsi="Arial" w:cs="Arial"/>
          <w:szCs w:val="22"/>
          <w:lang w:val="es-CO"/>
        </w:rPr>
        <w:t xml:space="preserve"> </w:t>
      </w:r>
      <w:r w:rsidRPr="00B3550C">
        <w:rPr>
          <w:rFonts w:ascii="Arial" w:hAnsi="Arial" w:cs="Arial"/>
          <w:lang w:val="es-CO"/>
        </w:rPr>
        <w:t>la</w:t>
      </w:r>
      <w:r w:rsidR="00D01FA2">
        <w:rPr>
          <w:rFonts w:ascii="Arial" w:hAnsi="Arial" w:cs="Arial"/>
          <w:lang w:val="es-CO"/>
        </w:rPr>
        <w:t>s</w:t>
      </w:r>
      <w:r w:rsidRPr="00B3550C">
        <w:rPr>
          <w:rFonts w:ascii="Arial" w:hAnsi="Arial" w:cs="Arial"/>
          <w:lang w:val="es-CO"/>
        </w:rPr>
        <w:t xml:space="preserve"> </w:t>
      </w:r>
      <w:r w:rsidR="00D01FA2">
        <w:rPr>
          <w:rFonts w:ascii="Arial" w:hAnsi="Arial" w:cs="Arial"/>
          <w:lang w:val="es-CO"/>
        </w:rPr>
        <w:t>sanciones impuestas.</w:t>
      </w:r>
    </w:p>
    <w:p w:rsidR="00DC2EEC" w:rsidRPr="00DC2EEC" w:rsidRDefault="00DC2EEC" w:rsidP="00883240">
      <w:pPr>
        <w:pStyle w:val="Corpsdetexte"/>
        <w:tabs>
          <w:tab w:val="left" w:pos="8647"/>
          <w:tab w:val="left" w:pos="9498"/>
        </w:tabs>
        <w:spacing w:line="360" w:lineRule="auto"/>
        <w:ind w:right="79"/>
        <w:rPr>
          <w:rFonts w:ascii="Arial" w:hAnsi="Arial" w:cs="Arial"/>
          <w:sz w:val="20"/>
        </w:rPr>
      </w:pPr>
    </w:p>
    <w:p w:rsidR="00297A63" w:rsidRDefault="00297A63" w:rsidP="00297A63">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DC2EEC" w:rsidRPr="00DC2EEC" w:rsidRDefault="00DC2EEC" w:rsidP="00297A63">
      <w:pPr>
        <w:tabs>
          <w:tab w:val="left" w:pos="-720"/>
        </w:tabs>
        <w:suppressAutoHyphens/>
        <w:spacing w:line="360" w:lineRule="auto"/>
        <w:jc w:val="both"/>
        <w:rPr>
          <w:rFonts w:ascii="Arial" w:hAnsi="Arial" w:cs="Arial"/>
          <w:smallCaps/>
          <w:sz w:val="14"/>
          <w:szCs w:val="24"/>
          <w:lang w:val="es-CO"/>
        </w:rPr>
      </w:pPr>
    </w:p>
    <w:p w:rsidR="00883240" w:rsidRDefault="00883240" w:rsidP="00883240">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DC2EEC" w:rsidRPr="00DC2EEC" w:rsidRDefault="00DC2EEC" w:rsidP="00883240">
      <w:pPr>
        <w:tabs>
          <w:tab w:val="left" w:pos="-720"/>
        </w:tabs>
        <w:suppressAutoHyphens/>
        <w:spacing w:line="360" w:lineRule="auto"/>
        <w:jc w:val="center"/>
        <w:rPr>
          <w:rFonts w:ascii="Arial" w:hAnsi="Arial" w:cs="Arial"/>
          <w:smallCaps/>
          <w:sz w:val="18"/>
          <w:szCs w:val="24"/>
          <w:lang w:val="es-CO"/>
        </w:rPr>
      </w:pPr>
    </w:p>
    <w:p w:rsidR="00883240" w:rsidRPr="00DC2EEC" w:rsidRDefault="00883240" w:rsidP="00883240">
      <w:pPr>
        <w:pStyle w:val="Paragraphedeliste"/>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w:t>
      </w:r>
      <w:r w:rsidR="0032657E">
        <w:rPr>
          <w:rFonts w:ascii="Arial" w:hAnsi="Arial" w:cs="Arial"/>
          <w:sz w:val="24"/>
          <w:szCs w:val="24"/>
          <w:lang w:val="es-CO"/>
        </w:rPr>
        <w:t xml:space="preserve">proferida el </w:t>
      </w:r>
      <w:r w:rsidR="004F2B5D">
        <w:rPr>
          <w:rFonts w:ascii="Arial" w:hAnsi="Arial" w:cs="Arial"/>
          <w:sz w:val="24"/>
          <w:szCs w:val="24"/>
          <w:lang w:val="es-CO"/>
        </w:rPr>
        <w:t xml:space="preserve">17-04-2017 </w:t>
      </w:r>
      <w:r w:rsidR="0032657E">
        <w:rPr>
          <w:rFonts w:ascii="Arial" w:hAnsi="Arial" w:cs="Arial"/>
          <w:sz w:val="24"/>
          <w:szCs w:val="24"/>
          <w:lang w:val="es-CO"/>
        </w:rPr>
        <w:t xml:space="preserve">por el </w:t>
      </w:r>
      <w:r w:rsidR="00297A63" w:rsidRPr="005E034C">
        <w:rPr>
          <w:rFonts w:ascii="Arial" w:hAnsi="Arial" w:cs="Arial"/>
          <w:sz w:val="24"/>
          <w:szCs w:val="24"/>
          <w:lang w:val="es-CO"/>
        </w:rPr>
        <w:t xml:space="preserve">Juzgado </w:t>
      </w:r>
      <w:r w:rsidR="004F2B5D">
        <w:rPr>
          <w:rFonts w:ascii="Arial" w:hAnsi="Arial" w:cs="Arial"/>
          <w:sz w:val="24"/>
          <w:szCs w:val="24"/>
          <w:lang w:val="es-CO"/>
        </w:rPr>
        <w:t>Cuarto Civil del Circuito de Pereira</w:t>
      </w:r>
      <w:r w:rsidRPr="00312CAF">
        <w:rPr>
          <w:rFonts w:ascii="Arial" w:hAnsi="Arial" w:cs="Arial"/>
          <w:sz w:val="24"/>
          <w:szCs w:val="24"/>
          <w:lang w:val="es-CO"/>
        </w:rPr>
        <w:t>.</w:t>
      </w:r>
    </w:p>
    <w:p w:rsidR="00DC2EEC" w:rsidRPr="00DC2EEC" w:rsidRDefault="00DC2EEC" w:rsidP="00DC2EEC">
      <w:pPr>
        <w:pStyle w:val="Paragraphedeliste"/>
        <w:widowControl w:val="0"/>
        <w:spacing w:line="360" w:lineRule="auto"/>
        <w:ind w:left="360"/>
        <w:jc w:val="both"/>
        <w:rPr>
          <w:rFonts w:ascii="Arial" w:hAnsi="Arial" w:cs="Arial"/>
          <w:sz w:val="18"/>
          <w:szCs w:val="22"/>
          <w:lang w:val="es-CO"/>
        </w:rPr>
      </w:pPr>
    </w:p>
    <w:p w:rsidR="002F4F28" w:rsidRPr="00DC2EEC" w:rsidRDefault="002F4F28" w:rsidP="002F4F28">
      <w:pPr>
        <w:pStyle w:val="Paragraphedeliste"/>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lastRenderedPageBreak/>
        <w:t xml:space="preserve">ORDENAR, en consecuencia, </w:t>
      </w:r>
      <w:r w:rsidR="00275060">
        <w:rPr>
          <w:rFonts w:ascii="Arial" w:hAnsi="Arial" w:cs="Arial"/>
          <w:sz w:val="24"/>
          <w:szCs w:val="24"/>
          <w:lang w:val="es-CO"/>
        </w:rPr>
        <w:t xml:space="preserve">al juez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sidR="004F2B5D">
        <w:rPr>
          <w:rFonts w:ascii="Arial" w:hAnsi="Arial" w:cs="Arial"/>
          <w:sz w:val="24"/>
          <w:szCs w:val="24"/>
          <w:lang w:val="es-CO"/>
        </w:rPr>
        <w:t>21-09-2016</w:t>
      </w:r>
      <w:r w:rsidRPr="0063543E">
        <w:rPr>
          <w:rFonts w:ascii="Arial" w:hAnsi="Arial" w:cs="Arial"/>
          <w:sz w:val="24"/>
          <w:szCs w:val="24"/>
          <w:lang w:val="es-CO"/>
        </w:rPr>
        <w:t xml:space="preserve">, </w:t>
      </w:r>
      <w:r w:rsidR="004F2B5D">
        <w:rPr>
          <w:rFonts w:ascii="Arial" w:hAnsi="Arial" w:cs="Arial"/>
          <w:sz w:val="24"/>
          <w:szCs w:val="24"/>
          <w:lang w:val="es-CO"/>
        </w:rPr>
        <w:t xml:space="preserve">e incluya </w:t>
      </w:r>
      <w:r w:rsidR="00DC2EEC">
        <w:rPr>
          <w:rFonts w:ascii="Arial" w:hAnsi="Arial" w:cs="Arial"/>
          <w:sz w:val="24"/>
          <w:szCs w:val="24"/>
          <w:lang w:val="es-CO"/>
        </w:rPr>
        <w:t>como destinatario de la orden</w:t>
      </w:r>
      <w:r w:rsidRPr="0063543E">
        <w:rPr>
          <w:rFonts w:ascii="Arial" w:hAnsi="Arial" w:cs="Arial"/>
          <w:spacing w:val="-3"/>
          <w:sz w:val="24"/>
          <w:szCs w:val="24"/>
          <w:lang w:val="es-CO"/>
        </w:rPr>
        <w:t xml:space="preserve">, </w:t>
      </w:r>
      <w:r w:rsidR="004F2B5D">
        <w:rPr>
          <w:rFonts w:ascii="Arial" w:hAnsi="Arial" w:cs="Arial"/>
          <w:spacing w:val="-3"/>
          <w:sz w:val="24"/>
          <w:szCs w:val="24"/>
          <w:lang w:val="es-CO"/>
        </w:rPr>
        <w:t xml:space="preserve">al Gerente de Defensa Judicial de </w:t>
      </w:r>
      <w:proofErr w:type="spellStart"/>
      <w:r w:rsidR="004F2B5D">
        <w:rPr>
          <w:rFonts w:ascii="Arial" w:hAnsi="Arial" w:cs="Arial"/>
          <w:spacing w:val="-3"/>
          <w:sz w:val="24"/>
          <w:szCs w:val="24"/>
          <w:lang w:val="es-CO"/>
        </w:rPr>
        <w:t>Cafesalud</w:t>
      </w:r>
      <w:proofErr w:type="spellEnd"/>
      <w:r w:rsidRPr="0063543E">
        <w:rPr>
          <w:rFonts w:ascii="Arial" w:hAnsi="Arial" w:cs="Arial"/>
          <w:spacing w:val="-3"/>
          <w:sz w:val="24"/>
          <w:szCs w:val="24"/>
          <w:lang w:val="es-CO"/>
        </w:rPr>
        <w:t xml:space="preserve">. </w:t>
      </w:r>
    </w:p>
    <w:p w:rsidR="00DC2EEC" w:rsidRPr="00DC2EEC" w:rsidRDefault="00DC2EEC" w:rsidP="00DC2EEC">
      <w:pPr>
        <w:widowControl w:val="0"/>
        <w:spacing w:line="360" w:lineRule="auto"/>
        <w:jc w:val="both"/>
        <w:rPr>
          <w:rFonts w:ascii="Arial" w:hAnsi="Arial" w:cs="Arial"/>
          <w:sz w:val="14"/>
          <w:szCs w:val="24"/>
          <w:lang w:val="es-CO"/>
        </w:rPr>
      </w:pPr>
    </w:p>
    <w:p w:rsidR="00883240"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DC2EEC" w:rsidRPr="00DC2EEC" w:rsidRDefault="00DC2EEC" w:rsidP="00DC2EEC">
      <w:pPr>
        <w:spacing w:line="360" w:lineRule="auto"/>
        <w:jc w:val="both"/>
        <w:rPr>
          <w:rFonts w:ascii="Arial" w:hAnsi="Arial" w:cs="Arial"/>
          <w:sz w:val="18"/>
          <w:szCs w:val="24"/>
          <w:lang w:val="es-CO"/>
        </w:rPr>
      </w:pPr>
    </w:p>
    <w:p w:rsidR="00003AFC" w:rsidRPr="00153B26" w:rsidRDefault="00883240" w:rsidP="00883240">
      <w:pPr>
        <w:pStyle w:val="Paragraphedeliste"/>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ADVERTIR que contra esta providencia es improcedente recurso alguno.</w:t>
      </w:r>
    </w:p>
    <w:p w:rsidR="00DC2EEC" w:rsidRPr="00DC2EEC" w:rsidRDefault="00DC2EEC" w:rsidP="002C220C">
      <w:pPr>
        <w:spacing w:line="360" w:lineRule="auto"/>
        <w:jc w:val="center"/>
        <w:rPr>
          <w:rFonts w:ascii="Arial" w:hAnsi="Arial" w:cs="Arial"/>
          <w:smallCaps/>
          <w:sz w:val="12"/>
          <w:szCs w:val="24"/>
          <w:lang w:val="es-CO"/>
        </w:rPr>
      </w:pPr>
    </w:p>
    <w:p w:rsidR="002C220C" w:rsidRPr="006A677B" w:rsidRDefault="002C220C" w:rsidP="002C220C">
      <w:pPr>
        <w:spacing w:line="360" w:lineRule="auto"/>
        <w:jc w:val="center"/>
        <w:rPr>
          <w:rFonts w:ascii="Arial" w:hAnsi="Arial" w:cs="Arial"/>
          <w:smallCaps/>
          <w:sz w:val="28"/>
          <w:szCs w:val="24"/>
        </w:rPr>
      </w:pPr>
      <w:proofErr w:type="spellStart"/>
      <w:r w:rsidRPr="006A677B">
        <w:rPr>
          <w:rFonts w:ascii="Arial" w:hAnsi="Arial" w:cs="Arial"/>
          <w:smallCaps/>
          <w:sz w:val="28"/>
          <w:szCs w:val="24"/>
        </w:rPr>
        <w:t>Notifíquese</w:t>
      </w:r>
      <w:proofErr w:type="spellEnd"/>
      <w:r w:rsidRPr="006A677B">
        <w:rPr>
          <w:rFonts w:ascii="Arial" w:hAnsi="Arial" w:cs="Arial"/>
          <w:smallCaps/>
          <w:sz w:val="28"/>
          <w:szCs w:val="24"/>
        </w:rPr>
        <w:t>,</w:t>
      </w: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D27BF4" w:rsidRPr="0032657E" w:rsidRDefault="00D27BF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4"/>
          <w:szCs w:val="16"/>
          <w:lang w:val="en-US"/>
        </w:rPr>
      </w:pPr>
    </w:p>
    <w:p w:rsidR="00275060" w:rsidRPr="00702936" w:rsidRDefault="00275060"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4"/>
          <w:szCs w:val="16"/>
          <w:lang w:val="en-US"/>
        </w:rPr>
      </w:pPr>
    </w:p>
    <w:p w:rsidR="005424FE" w:rsidRPr="00DC2EEC"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AA531B" w:rsidRPr="00DC2EEC" w:rsidRDefault="00AA531B"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6"/>
          <w:szCs w:val="16"/>
          <w:lang w:val="en-US"/>
        </w:rPr>
      </w:pPr>
    </w:p>
    <w:p w:rsidR="002C220C" w:rsidRPr="006A677B"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rPr>
      </w:pPr>
      <w:proofErr w:type="spellStart"/>
      <w:r w:rsidRPr="006A677B">
        <w:rPr>
          <w:rFonts w:ascii="Arial" w:hAnsi="Arial" w:cs="Arial"/>
          <w:i/>
          <w:spacing w:val="-3"/>
          <w:w w:val="150"/>
          <w:sz w:val="28"/>
          <w:szCs w:val="22"/>
        </w:rPr>
        <w:t>D</w:t>
      </w:r>
      <w:r w:rsidRPr="006A677B">
        <w:rPr>
          <w:rFonts w:ascii="Arial" w:hAnsi="Arial" w:cs="Arial"/>
          <w:i/>
          <w:spacing w:val="-3"/>
          <w:w w:val="150"/>
          <w:sz w:val="18"/>
          <w:szCs w:val="16"/>
        </w:rPr>
        <w:t>UBERNEY</w:t>
      </w:r>
      <w:proofErr w:type="spellEnd"/>
      <w:r w:rsidRPr="006A677B">
        <w:rPr>
          <w:rFonts w:ascii="Arial" w:hAnsi="Arial" w:cs="Arial"/>
          <w:i/>
          <w:spacing w:val="-3"/>
          <w:w w:val="150"/>
          <w:szCs w:val="18"/>
        </w:rPr>
        <w:t xml:space="preserve"> </w:t>
      </w:r>
      <w:proofErr w:type="spellStart"/>
      <w:r w:rsidRPr="006A677B">
        <w:rPr>
          <w:rFonts w:ascii="Arial" w:hAnsi="Arial" w:cs="Arial"/>
          <w:i/>
          <w:spacing w:val="-3"/>
          <w:w w:val="150"/>
          <w:sz w:val="28"/>
          <w:szCs w:val="22"/>
        </w:rPr>
        <w:t>G</w:t>
      </w:r>
      <w:r w:rsidRPr="006A677B">
        <w:rPr>
          <w:rFonts w:ascii="Arial" w:hAnsi="Arial" w:cs="Arial"/>
          <w:i/>
          <w:spacing w:val="-3"/>
          <w:w w:val="150"/>
          <w:sz w:val="18"/>
          <w:szCs w:val="16"/>
        </w:rPr>
        <w:t>RISALES</w:t>
      </w:r>
      <w:proofErr w:type="spellEnd"/>
      <w:r w:rsidRPr="006A677B">
        <w:rPr>
          <w:rFonts w:ascii="Arial" w:hAnsi="Arial" w:cs="Arial"/>
          <w:i/>
          <w:spacing w:val="-3"/>
          <w:w w:val="150"/>
          <w:szCs w:val="18"/>
        </w:rPr>
        <w:t xml:space="preserve"> </w:t>
      </w:r>
      <w:r w:rsidRPr="006A677B">
        <w:rPr>
          <w:rFonts w:ascii="Arial" w:hAnsi="Arial" w:cs="Arial"/>
          <w:i/>
          <w:spacing w:val="-3"/>
          <w:w w:val="150"/>
          <w:sz w:val="28"/>
          <w:szCs w:val="22"/>
        </w:rPr>
        <w:t>H</w:t>
      </w:r>
      <w:r w:rsidRPr="006A677B">
        <w:rPr>
          <w:rFonts w:ascii="Arial" w:hAnsi="Arial" w:cs="Arial"/>
          <w:i/>
          <w:spacing w:val="-3"/>
          <w:w w:val="150"/>
          <w:sz w:val="18"/>
          <w:szCs w:val="16"/>
        </w:rPr>
        <w:t>ERRERA</w:t>
      </w:r>
    </w:p>
    <w:p w:rsidR="00D27BF4" w:rsidRPr="006A677B" w:rsidRDefault="00DC2EE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rPr>
      </w:pPr>
      <w:r w:rsidRPr="006A677B">
        <w:rPr>
          <w:rFonts w:ascii="Arial" w:hAnsi="Arial" w:cs="Arial"/>
          <w:i/>
          <w:iCs/>
          <w:spacing w:val="-3"/>
          <w:w w:val="150"/>
          <w:szCs w:val="16"/>
        </w:rPr>
        <w:t>M</w:t>
      </w:r>
      <w:r w:rsidR="002C220C" w:rsidRPr="006A677B">
        <w:rPr>
          <w:rFonts w:ascii="Arial" w:hAnsi="Arial" w:cs="Arial"/>
          <w:i/>
          <w:iCs/>
          <w:spacing w:val="-3"/>
          <w:w w:val="150"/>
          <w:szCs w:val="16"/>
        </w:rPr>
        <w:t xml:space="preserve"> </w:t>
      </w:r>
      <w:r w:rsidR="002C220C" w:rsidRPr="006A677B">
        <w:rPr>
          <w:rFonts w:ascii="Arial" w:hAnsi="Arial" w:cs="Arial"/>
          <w:i/>
          <w:iCs/>
          <w:spacing w:val="-3"/>
          <w:w w:val="150"/>
          <w:sz w:val="18"/>
          <w:szCs w:val="14"/>
        </w:rPr>
        <w:t>A G I S T R A D O</w:t>
      </w:r>
    </w:p>
    <w:sectPr w:rsidR="00D27BF4" w:rsidRPr="006A677B" w:rsidSect="00786D1D">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80" w:rsidRDefault="001D0B80" w:rsidP="0005223F">
      <w:r>
        <w:separator/>
      </w:r>
    </w:p>
  </w:endnote>
  <w:endnote w:type="continuationSeparator" w:id="0">
    <w:p w:rsidR="001D0B80" w:rsidRDefault="001D0B80"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Default="000F08DD"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depage"/>
      <w:spacing w:line="360" w:lineRule="auto"/>
      <w:jc w:val="right"/>
      <w:rPr>
        <w:rFonts w:ascii="Arial" w:hAnsi="Arial" w:cs="Arial"/>
        <w:spacing w:val="20"/>
        <w:w w:val="200"/>
        <w:sz w:val="14"/>
        <w:szCs w:val="14"/>
        <w:lang w:val="es-CO"/>
      </w:rPr>
    </w:pPr>
  </w:p>
  <w:p w:rsidR="000F08DD" w:rsidRPr="003E18D8" w:rsidRDefault="000F08DD"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80" w:rsidRDefault="001D0B80" w:rsidP="0005223F">
      <w:r>
        <w:separator/>
      </w:r>
    </w:p>
  </w:footnote>
  <w:footnote w:type="continuationSeparator" w:id="0">
    <w:p w:rsidR="001D0B80" w:rsidRDefault="001D0B80" w:rsidP="0005223F">
      <w:r>
        <w:continuationSeparator/>
      </w:r>
    </w:p>
  </w:footnote>
  <w:footnote w:id="1">
    <w:p w:rsidR="00B710D9" w:rsidRPr="00953975" w:rsidRDefault="00B710D9" w:rsidP="00B710D9">
      <w:pPr>
        <w:pStyle w:val="Notedebasdepage"/>
        <w:rPr>
          <w:rFonts w:asciiTheme="minorHAnsi" w:hAnsiTheme="minorHAnsi"/>
          <w:lang w:val="es-ES_tradnl"/>
        </w:rPr>
      </w:pPr>
      <w:r w:rsidRPr="00953975">
        <w:rPr>
          <w:rStyle w:val="Appelnotedebasdep"/>
          <w:rFonts w:asciiTheme="minorHAnsi" w:hAnsiTheme="minorHAnsi"/>
        </w:rPr>
        <w:footnoteRef/>
      </w:r>
      <w:r w:rsidRPr="006A677B">
        <w:rPr>
          <w:rFonts w:asciiTheme="minorHAnsi" w:hAnsiTheme="minorHAnsi"/>
          <w:lang w:val="fr-FR"/>
        </w:rPr>
        <w:t xml:space="preserve"> </w:t>
      </w:r>
      <w:proofErr w:type="spellStart"/>
      <w:r w:rsidRPr="006A677B">
        <w:rPr>
          <w:rFonts w:asciiTheme="minorHAnsi" w:hAnsiTheme="minorHAnsi"/>
          <w:lang w:val="fr-FR"/>
        </w:rPr>
        <w:t>TSP</w:t>
      </w:r>
      <w:proofErr w:type="spellEnd"/>
      <w:r w:rsidRPr="006A677B">
        <w:rPr>
          <w:rFonts w:asciiTheme="minorHAnsi" w:hAnsiTheme="minorHAnsi"/>
          <w:lang w:val="fr-FR"/>
        </w:rPr>
        <w:t>, Sala Civil-</w:t>
      </w:r>
      <w:proofErr w:type="spellStart"/>
      <w:r w:rsidRPr="006A677B">
        <w:rPr>
          <w:rFonts w:asciiTheme="minorHAnsi" w:hAnsiTheme="minorHAnsi"/>
          <w:lang w:val="fr-FR"/>
        </w:rPr>
        <w:t>Familia</w:t>
      </w:r>
      <w:proofErr w:type="spellEnd"/>
      <w:r w:rsidRPr="006A677B">
        <w:rPr>
          <w:rFonts w:asciiTheme="minorHAnsi" w:hAnsiTheme="minorHAnsi"/>
          <w:lang w:val="fr-FR"/>
        </w:rPr>
        <w:t xml:space="preserve">. </w:t>
      </w:r>
      <w:r w:rsidRPr="00953975">
        <w:rPr>
          <w:rFonts w:asciiTheme="minorHAnsi" w:hAnsiTheme="minorHAnsi"/>
          <w:lang w:val="es-CO"/>
        </w:rPr>
        <w:t xml:space="preserve">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r w:rsidR="004F2B5D">
        <w:rPr>
          <w:rFonts w:asciiTheme="minorHAnsi" w:hAnsiTheme="minorHAnsi"/>
          <w:lang w:val="es-CO"/>
        </w:rPr>
        <w:t>No.</w:t>
      </w:r>
      <w:r w:rsidRPr="00953975">
        <w:rPr>
          <w:rFonts w:asciiTheme="minorHAnsi" w:hAnsiTheme="minorHAnsi"/>
          <w:lang w:val="es-ES_tradnl"/>
        </w:rPr>
        <w:t>2016-00047-01</w:t>
      </w:r>
      <w:r>
        <w:rPr>
          <w:rFonts w:asciiTheme="minorHAnsi" w:hAnsiTheme="minorHAnsi"/>
          <w:lang w:val="es-ES_tradnl"/>
        </w:rPr>
        <w:t>.</w:t>
      </w:r>
    </w:p>
  </w:footnote>
  <w:footnote w:id="2">
    <w:p w:rsidR="00B92864" w:rsidRPr="006A677B" w:rsidRDefault="00B92864" w:rsidP="00B92864">
      <w:pPr>
        <w:pStyle w:val="Notedebasdepage"/>
        <w:jc w:val="both"/>
        <w:rPr>
          <w:lang w:val="fr-FR"/>
        </w:rPr>
      </w:pPr>
      <w:r w:rsidRPr="008B1B0C">
        <w:rPr>
          <w:rStyle w:val="Appelnotedebasdep"/>
          <w:rFonts w:ascii="Calibri" w:hAnsi="Calibri" w:cs="Calibri"/>
        </w:rPr>
        <w:footnoteRef/>
      </w:r>
      <w:r w:rsidRPr="006A677B">
        <w:rPr>
          <w:rFonts w:ascii="Calibri" w:hAnsi="Calibri" w:cs="Calibri"/>
          <w:lang w:val="fr-FR"/>
        </w:rPr>
        <w:t xml:space="preserve"> CC. </w:t>
      </w:r>
      <w:r w:rsidRPr="006A677B">
        <w:rPr>
          <w:rFonts w:ascii="Calibri" w:hAnsi="Calibri" w:cs="Calibri"/>
          <w:bCs/>
          <w:lang w:val="fr-FR"/>
        </w:rPr>
        <w:t>T-271 de 2015, C-367 de 2014 y</w:t>
      </w:r>
      <w:r w:rsidRPr="006A677B">
        <w:rPr>
          <w:rFonts w:ascii="Calibri" w:hAnsi="Calibri" w:cs="Calibri"/>
          <w:lang w:val="fr-FR"/>
        </w:rPr>
        <w:t xml:space="preserve"> T-343 de 2011.</w:t>
      </w:r>
    </w:p>
  </w:footnote>
  <w:footnote w:id="3">
    <w:p w:rsidR="00B92864" w:rsidRPr="006A677B" w:rsidRDefault="00B92864" w:rsidP="00B92864">
      <w:pPr>
        <w:pStyle w:val="Notedebasdepage"/>
        <w:jc w:val="both"/>
        <w:rPr>
          <w:lang w:val="fr-FR"/>
        </w:rPr>
      </w:pPr>
      <w:r w:rsidRPr="008B1B0C">
        <w:rPr>
          <w:rStyle w:val="Appelnotedebasdep"/>
          <w:rFonts w:ascii="Calibri" w:hAnsi="Calibri" w:cs="Calibri"/>
        </w:rPr>
        <w:footnoteRef/>
      </w:r>
      <w:r w:rsidRPr="008B1B0C">
        <w:rPr>
          <w:rFonts w:ascii="Calibri" w:hAnsi="Calibri" w:cs="Calibri"/>
          <w:lang w:val="fr-FR"/>
        </w:rPr>
        <w:t xml:space="preserve"> </w:t>
      </w:r>
      <w:r w:rsidRPr="006A677B">
        <w:rPr>
          <w:rFonts w:ascii="Calibri" w:hAnsi="Calibri" w:cs="Calibri"/>
          <w:lang w:val="fr-FR"/>
        </w:rPr>
        <w:t xml:space="preserve">CC.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4">
    <w:p w:rsidR="00B92864" w:rsidRPr="006A677B" w:rsidRDefault="00B92864" w:rsidP="00B92864">
      <w:pPr>
        <w:pStyle w:val="Notedebasdepage"/>
        <w:rPr>
          <w:lang w:val="fr-FR"/>
        </w:rPr>
      </w:pPr>
      <w:r>
        <w:rPr>
          <w:rStyle w:val="Appelnotedebasdep"/>
          <w:rFonts w:cs="Tms Rmn"/>
        </w:rPr>
        <w:footnoteRef/>
      </w:r>
      <w:r w:rsidRPr="006A677B">
        <w:rPr>
          <w:lang w:val="fr-FR"/>
        </w:rPr>
        <w:t xml:space="preserve"> </w:t>
      </w:r>
      <w:r w:rsidRPr="006A677B">
        <w:rPr>
          <w:rFonts w:ascii="Calibri" w:hAnsi="Calibri" w:cs="Calibri"/>
          <w:lang w:val="fr-FR"/>
        </w:rPr>
        <w:t xml:space="preserve">CC. </w:t>
      </w:r>
      <w:r w:rsidRPr="008B1B0C">
        <w:rPr>
          <w:rFonts w:ascii="Calibri" w:hAnsi="Calibri" w:cs="Calibri"/>
          <w:lang w:val="fr-FR"/>
        </w:rPr>
        <w:t>T-553 de 2002</w:t>
      </w:r>
      <w:r>
        <w:rPr>
          <w:rFonts w:ascii="Calibri" w:hAnsi="Calibri" w:cs="Calibri"/>
          <w:lang w:val="fr-FR"/>
        </w:rPr>
        <w:t>,</w:t>
      </w:r>
      <w:r w:rsidRPr="008B1B0C">
        <w:rPr>
          <w:rFonts w:ascii="Calibri" w:hAnsi="Calibri" w:cs="Calibri"/>
          <w:lang w:val="fr-FR"/>
        </w:rPr>
        <w:t xml:space="preserve"> T-368 de 2005.</w:t>
      </w:r>
    </w:p>
  </w:footnote>
  <w:footnote w:id="5">
    <w:p w:rsidR="00B92864" w:rsidRPr="006A677B" w:rsidRDefault="00B92864" w:rsidP="00B92864">
      <w:pPr>
        <w:pStyle w:val="Notedebasdepage"/>
        <w:jc w:val="both"/>
        <w:rPr>
          <w:lang w:val="es-CO"/>
        </w:rPr>
      </w:pPr>
      <w:r w:rsidRPr="008B1B0C">
        <w:rPr>
          <w:rStyle w:val="Appelnotedebasdep"/>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xml:space="preserve">, Catalina. La acción de tutela en el ordenamiento constitucional colombiano, Escuela Judicial Rodrigo Lara Bonilla y Consejo Superior de la Judicatura, Bogotá DC, 2006, </w:t>
      </w:r>
      <w:proofErr w:type="spellStart"/>
      <w:r w:rsidRPr="008B1B0C">
        <w:rPr>
          <w:rFonts w:ascii="Calibri" w:hAnsi="Calibri" w:cs="Calibri"/>
          <w:lang w:val="es-CO"/>
        </w:rPr>
        <w:t>p.150</w:t>
      </w:r>
      <w:proofErr w:type="spellEnd"/>
      <w:r w:rsidRPr="008B1B0C">
        <w:rPr>
          <w:rFonts w:ascii="Calibri" w:hAnsi="Calibri" w:cs="Calibri"/>
          <w:lang w:val="es-CO"/>
        </w:rPr>
        <w:t>.</w:t>
      </w:r>
    </w:p>
  </w:footnote>
  <w:footnote w:id="6">
    <w:p w:rsidR="00B92864" w:rsidRPr="006A677B" w:rsidRDefault="00B92864" w:rsidP="00B92864">
      <w:pPr>
        <w:pStyle w:val="Notedebasdepage"/>
        <w:jc w:val="both"/>
        <w:rPr>
          <w:lang w:val="fr-FR"/>
        </w:rPr>
      </w:pPr>
      <w:r w:rsidRPr="008B1B0C">
        <w:rPr>
          <w:rStyle w:val="Appelnotedebasdep"/>
          <w:rFonts w:ascii="Calibri" w:hAnsi="Calibri" w:cs="Calibri"/>
        </w:rPr>
        <w:footnoteRef/>
      </w:r>
      <w:r w:rsidRPr="006A677B">
        <w:rPr>
          <w:rFonts w:ascii="Calibri" w:hAnsi="Calibri" w:cs="Calibri"/>
          <w:lang w:val="fr-FR"/>
        </w:rPr>
        <w:t xml:space="preserve"> CC. T-271 de 2015, </w:t>
      </w:r>
      <w:r w:rsidRPr="006A677B">
        <w:rPr>
          <w:rFonts w:ascii="Calibri" w:hAnsi="Calibri" w:cs="Calibri"/>
          <w:bCs/>
          <w:lang w:val="fr-FR"/>
        </w:rPr>
        <w:t>T-</w:t>
      </w:r>
      <w:proofErr w:type="spellStart"/>
      <w:r w:rsidRPr="006A677B">
        <w:rPr>
          <w:rFonts w:ascii="Calibri" w:hAnsi="Calibri" w:cs="Calibri"/>
          <w:bCs/>
          <w:lang w:val="fr-FR"/>
        </w:rPr>
        <w:t>280A</w:t>
      </w:r>
      <w:proofErr w:type="spellEnd"/>
      <w:r w:rsidRPr="006A677B">
        <w:rPr>
          <w:rFonts w:ascii="Calibri" w:hAnsi="Calibri" w:cs="Calibri"/>
          <w:bCs/>
          <w:lang w:val="fr-FR"/>
        </w:rPr>
        <w:t xml:space="preserve"> de 2012 y </w:t>
      </w:r>
      <w:r w:rsidRPr="006A677B">
        <w:rPr>
          <w:rFonts w:ascii="Calibri" w:hAnsi="Calibri" w:cs="Calibri"/>
          <w:lang w:val="fr-FR"/>
        </w:rPr>
        <w:t>T-606 de 2011.</w:t>
      </w:r>
    </w:p>
  </w:footnote>
  <w:footnote w:id="7">
    <w:p w:rsidR="00B92864" w:rsidRPr="006A677B" w:rsidRDefault="00B92864" w:rsidP="00B92864">
      <w:pPr>
        <w:pStyle w:val="Notedebasdepage"/>
        <w:jc w:val="both"/>
        <w:rPr>
          <w:lang w:val="fr-FR"/>
        </w:rPr>
      </w:pPr>
      <w:r w:rsidRPr="008B1B0C">
        <w:rPr>
          <w:rStyle w:val="Appelnotedebasdep"/>
          <w:rFonts w:ascii="Calibri" w:hAnsi="Calibri" w:cs="Calibri"/>
        </w:rPr>
        <w:footnoteRef/>
      </w:r>
      <w:r w:rsidRPr="006A677B">
        <w:rPr>
          <w:rFonts w:ascii="Calibri" w:hAnsi="Calibri" w:cs="Calibri"/>
          <w:lang w:val="fr-FR"/>
        </w:rPr>
        <w:t xml:space="preserve"> CC. T-939 de 2005,  T-897 de 2008 y Autos </w:t>
      </w:r>
      <w:r w:rsidRPr="006A677B">
        <w:rPr>
          <w:rFonts w:ascii="Calibri" w:hAnsi="Calibri" w:cs="Calibri"/>
          <w:bCs/>
          <w:lang w:val="fr-FR"/>
        </w:rPr>
        <w:t xml:space="preserve">075 de 2017,  </w:t>
      </w:r>
      <w:r w:rsidRPr="006A677B">
        <w:rPr>
          <w:rFonts w:ascii="Calibri" w:hAnsi="Calibri" w:cs="Calibri"/>
          <w:lang w:val="fr-FR"/>
        </w:rPr>
        <w:t xml:space="preserve">285 de 2008, 122 de 2006. </w:t>
      </w:r>
    </w:p>
  </w:footnote>
  <w:footnote w:id="8">
    <w:p w:rsidR="00E141A7" w:rsidRPr="006A677B" w:rsidRDefault="00E141A7" w:rsidP="00E141A7">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004F2B5D">
        <w:rPr>
          <w:rFonts w:asciiTheme="minorHAnsi" w:hAnsiTheme="minorHAnsi" w:cs="Calibri"/>
          <w:lang w:val="es-CO"/>
        </w:rPr>
        <w:t>CC</w:t>
      </w:r>
      <w:r w:rsidRPr="0063543E">
        <w:rPr>
          <w:rFonts w:asciiTheme="minorHAnsi" w:hAnsiTheme="minorHAnsi" w:cs="Calibri"/>
          <w:lang w:val="es-CO"/>
        </w:rPr>
        <w:t>. T-218 del 2012.  Reitera la T-086 de 2003.</w:t>
      </w:r>
    </w:p>
  </w:footnote>
  <w:footnote w:id="9">
    <w:p w:rsidR="00E141A7" w:rsidRPr="0063543E" w:rsidRDefault="00E141A7" w:rsidP="00E141A7">
      <w:pPr>
        <w:pStyle w:val="Notedebasdepage"/>
        <w:jc w:val="both"/>
        <w:rPr>
          <w:rFonts w:asciiTheme="minorHAnsi" w:hAnsiTheme="minorHAnsi"/>
          <w:lang w:val="es-CO"/>
        </w:rPr>
      </w:pPr>
      <w:r w:rsidRPr="0063543E">
        <w:rPr>
          <w:rStyle w:val="Appelnotedebasdep"/>
          <w:rFonts w:asciiTheme="minorHAnsi" w:hAnsiTheme="minorHAnsi"/>
        </w:rPr>
        <w:footnoteRef/>
      </w:r>
      <w:r w:rsidRPr="006A677B">
        <w:rPr>
          <w:rFonts w:asciiTheme="minorHAnsi" w:hAnsiTheme="minorHAnsi"/>
          <w:lang w:val="es-CO"/>
        </w:rPr>
        <w:t xml:space="preserve"> </w:t>
      </w:r>
      <w:proofErr w:type="spellStart"/>
      <w:r w:rsidR="004F2B5D">
        <w:rPr>
          <w:rFonts w:asciiTheme="minorHAnsi" w:hAnsiTheme="minorHAnsi" w:cs="Calibri"/>
          <w:lang w:val="es-CO"/>
        </w:rPr>
        <w:t>TSP</w:t>
      </w:r>
      <w:proofErr w:type="spellEnd"/>
      <w:r w:rsidRPr="0063543E">
        <w:rPr>
          <w:rFonts w:asciiTheme="minorHAnsi" w:hAnsiTheme="minorHAnsi" w:cs="Calibri"/>
          <w:lang w:val="es-CO"/>
        </w:rPr>
        <w:t>, Sala Civil – Familia. Auto del</w:t>
      </w:r>
      <w:r w:rsidRPr="0063543E">
        <w:rPr>
          <w:rFonts w:asciiTheme="minorHAnsi" w:hAnsiTheme="minorHAnsi" w:cs="Calibri"/>
          <w:lang w:val="es-ES"/>
        </w:rPr>
        <w:t xml:space="preserve"> 06-02-2013; MP: Claudia Ma. Arcila R., No.2011-00608-01.</w:t>
      </w:r>
    </w:p>
  </w:footnote>
  <w:footnote w:id="10">
    <w:p w:rsidR="00E141A7" w:rsidRPr="006A677B" w:rsidRDefault="00E141A7" w:rsidP="00E141A7">
      <w:pPr>
        <w:pStyle w:val="Notedebasdepage"/>
        <w:jc w:val="both"/>
        <w:rPr>
          <w:rFonts w:asciiTheme="minorHAnsi" w:hAnsiTheme="minorHAnsi"/>
          <w:lang w:val="es-CO"/>
        </w:rPr>
      </w:pPr>
      <w:r w:rsidRPr="0063543E">
        <w:rPr>
          <w:rStyle w:val="Appelnotedebasdep"/>
          <w:rFonts w:asciiTheme="minorHAnsi" w:hAnsiTheme="minorHAnsi" w:cs="Calibri"/>
        </w:rPr>
        <w:footnoteRef/>
      </w:r>
      <w:r w:rsidRPr="0063543E">
        <w:rPr>
          <w:rFonts w:asciiTheme="minorHAnsi" w:hAnsiTheme="minorHAnsi" w:cs="Calibri"/>
          <w:lang w:val="es-ES"/>
        </w:rPr>
        <w:t xml:space="preserve"> </w:t>
      </w:r>
      <w:r w:rsidR="004F2B5D">
        <w:rPr>
          <w:rFonts w:asciiTheme="minorHAnsi" w:hAnsiTheme="minorHAnsi" w:cs="Calibri"/>
          <w:lang w:val="es-CO"/>
        </w:rPr>
        <w:t>TSP</w:t>
      </w:r>
      <w:r w:rsidRPr="0063543E">
        <w:rPr>
          <w:rFonts w:asciiTheme="minorHAnsi" w:hAnsiTheme="minorHAnsi" w:cs="Calibri"/>
          <w:lang w:val="es-CO"/>
        </w:rPr>
        <w:t>, Sala Civil – Familia. Auto del</w:t>
      </w:r>
      <w:r w:rsidRPr="0063543E">
        <w:rPr>
          <w:rFonts w:asciiTheme="minorHAnsi" w:hAnsiTheme="minorHAnsi" w:cs="Calibri"/>
          <w:lang w:val="es-ES"/>
        </w:rPr>
        <w:t xml:space="preserve"> </w:t>
      </w:r>
      <w:r>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xml:space="preserve">: </w:t>
      </w:r>
      <w:proofErr w:type="spellStart"/>
      <w:r w:rsidRPr="0063543E">
        <w:rPr>
          <w:rFonts w:asciiTheme="minorHAnsi" w:hAnsiTheme="minorHAnsi" w:cs="Calibri"/>
          <w:lang w:val="es-ES"/>
        </w:rPr>
        <w:t>Duberney</w:t>
      </w:r>
      <w:proofErr w:type="spellEnd"/>
      <w:r w:rsidRPr="0063543E">
        <w:rPr>
          <w:rFonts w:asciiTheme="minorHAnsi" w:hAnsiTheme="minorHAnsi" w:cs="Calibri"/>
          <w:lang w:val="es-ES"/>
        </w:rPr>
        <w:t xml:space="preserve"> Grisales H</w:t>
      </w:r>
      <w:r w:rsidR="004F2B5D">
        <w:rPr>
          <w:rFonts w:asciiTheme="minorHAnsi" w:hAnsiTheme="minorHAnsi" w:cs="Calibri"/>
          <w:lang w:val="es-ES"/>
        </w:rPr>
        <w:t>.</w:t>
      </w:r>
      <w:r w:rsidRPr="0063543E">
        <w:rPr>
          <w:rFonts w:asciiTheme="minorHAnsi" w:hAnsiTheme="minorHAnsi" w:cs="Calibri"/>
          <w:lang w:val="es-ES"/>
        </w:rPr>
        <w:t xml:space="preserve">, </w:t>
      </w:r>
      <w:proofErr w:type="spellStart"/>
      <w:r w:rsidRPr="0063543E">
        <w:rPr>
          <w:rFonts w:asciiTheme="minorHAnsi" w:hAnsiTheme="minorHAnsi" w:cs="Calibri"/>
          <w:lang w:val="es-ES"/>
        </w:rPr>
        <w:t>No.201</w:t>
      </w:r>
      <w:r>
        <w:rPr>
          <w:rFonts w:asciiTheme="minorHAnsi" w:hAnsiTheme="minorHAnsi" w:cs="Calibri"/>
          <w:lang w:val="es-ES"/>
        </w:rPr>
        <w:t>4</w:t>
      </w:r>
      <w:proofErr w:type="spellEnd"/>
      <w:r w:rsidRPr="0063543E">
        <w:rPr>
          <w:rFonts w:asciiTheme="minorHAnsi" w:hAnsiTheme="minorHAnsi" w:cs="Calibri"/>
          <w:lang w:val="es-ES"/>
        </w:rPr>
        <w:t>-00</w:t>
      </w:r>
      <w:r>
        <w:rPr>
          <w:rFonts w:asciiTheme="minorHAnsi" w:hAnsiTheme="minorHAnsi" w:cs="Calibri"/>
          <w:lang w:val="es-ES"/>
        </w:rPr>
        <w:t>202</w:t>
      </w:r>
      <w:r w:rsidRPr="0063543E">
        <w:rPr>
          <w:rFonts w:asciiTheme="minorHAnsi" w:hAnsiTheme="minorHAnsi" w:cs="Calibri"/>
          <w:lang w:val="es-ES"/>
        </w:rPr>
        <w:t>-01.</w:t>
      </w:r>
    </w:p>
  </w:footnote>
  <w:footnote w:id="11">
    <w:p w:rsidR="00E141A7" w:rsidRPr="006A677B" w:rsidRDefault="00E141A7" w:rsidP="00E141A7">
      <w:pPr>
        <w:pStyle w:val="Notedebasdepage"/>
        <w:jc w:val="both"/>
        <w:rPr>
          <w:rFonts w:asciiTheme="minorHAnsi" w:hAnsiTheme="minorHAnsi"/>
          <w:lang w:val="es-CO"/>
        </w:rPr>
      </w:pPr>
      <w:r>
        <w:rPr>
          <w:rStyle w:val="Appelnotedebasdep"/>
        </w:rPr>
        <w:footnoteRef/>
      </w:r>
      <w:r w:rsidRPr="006A677B">
        <w:rPr>
          <w:lang w:val="es-CO"/>
        </w:rPr>
        <w:t xml:space="preserve"> </w:t>
      </w:r>
      <w:r w:rsidR="004F2B5D">
        <w:rPr>
          <w:rFonts w:asciiTheme="minorHAnsi" w:hAnsiTheme="minorHAnsi" w:cs="Calibri"/>
          <w:lang w:val="es-CO"/>
        </w:rPr>
        <w:t>CC</w:t>
      </w:r>
      <w:r w:rsidRPr="0063543E">
        <w:rPr>
          <w:rFonts w:asciiTheme="minorHAnsi" w:hAnsiTheme="minorHAnsi" w:cs="Calibri"/>
          <w:lang w:val="es-CO"/>
        </w:rPr>
        <w:t>. T-086 de 2003</w:t>
      </w:r>
      <w:r>
        <w:rPr>
          <w:rFonts w:asciiTheme="minorHAnsi" w:hAnsiTheme="minorHAnsi" w:cs="Calibri"/>
          <w:lang w:val="es-CO"/>
        </w:rPr>
        <w:t xml:space="preserve">, reiterada en los autos </w:t>
      </w:r>
      <w:r w:rsidRPr="006A677B">
        <w:rPr>
          <w:rFonts w:asciiTheme="minorHAnsi" w:hAnsiTheme="minorHAnsi" w:cs="Calibri"/>
          <w:bCs/>
          <w:lang w:val="es-CO"/>
        </w:rPr>
        <w:t>181 de 2015</w:t>
      </w:r>
      <w:r>
        <w:rPr>
          <w:rFonts w:asciiTheme="minorHAnsi" w:hAnsiTheme="minorHAnsi" w:cs="Calibri"/>
          <w:lang w:val="es-CO"/>
        </w:rPr>
        <w:t xml:space="preserve"> y </w:t>
      </w:r>
      <w:r w:rsidRPr="006A677B">
        <w:rPr>
          <w:rFonts w:asciiTheme="minorHAnsi" w:hAnsiTheme="minorHAnsi" w:cs="Calibri"/>
          <w:bCs/>
          <w:lang w:val="es-CO"/>
        </w:rPr>
        <w:t>100</w:t>
      </w:r>
      <w:r w:rsidR="004F2B5D" w:rsidRPr="006A677B">
        <w:rPr>
          <w:rFonts w:asciiTheme="minorHAnsi" w:hAnsiTheme="minorHAnsi" w:cs="Calibri"/>
          <w:bCs/>
          <w:lang w:val="es-CO"/>
        </w:rPr>
        <w:t xml:space="preserve"> de 20</w:t>
      </w:r>
      <w:r w:rsidRPr="006A677B">
        <w:rPr>
          <w:rFonts w:asciiTheme="minorHAnsi" w:hAnsiTheme="minorHAnsi" w:cs="Calibri"/>
          <w:bCs/>
          <w:lang w:val="es-CO"/>
        </w:rPr>
        <w:t>16</w:t>
      </w:r>
      <w:r>
        <w:rPr>
          <w:rFonts w:asciiTheme="minorHAnsi" w:hAnsiTheme="minorHAnsi" w:cs="Calibri"/>
          <w:lang w:val="es-CO"/>
        </w:rPr>
        <w:t>, entre otros</w:t>
      </w:r>
      <w:r w:rsidRPr="0063543E">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D" w:rsidRPr="00B6233A" w:rsidRDefault="000F08DD">
    <w:pPr>
      <w:pStyle w:val="En-tte"/>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6A677B" w:rsidRPr="006A677B">
      <w:rPr>
        <w:rFonts w:ascii="Cambria" w:hAnsi="Cambria" w:cs="Cambria"/>
        <w:i/>
        <w:iCs/>
        <w:noProof/>
        <w:sz w:val="22"/>
        <w:szCs w:val="22"/>
        <w:lang w:val="es-ES"/>
      </w:rPr>
      <w:t>1</w:t>
    </w:r>
    <w:r w:rsidRPr="00B6233A">
      <w:rPr>
        <w:rFonts w:ascii="Cambria" w:hAnsi="Cambria" w:cs="Cambria"/>
        <w:i/>
        <w:iCs/>
        <w:sz w:val="22"/>
        <w:szCs w:val="22"/>
      </w:rPr>
      <w:fldChar w:fldCharType="end"/>
    </w:r>
  </w:p>
  <w:p w:rsidR="000F08DD" w:rsidRPr="00B6233A" w:rsidRDefault="000F08DD">
    <w:pPr>
      <w:pStyle w:val="En-tte"/>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45345">
      <w:rPr>
        <w:rFonts w:ascii="Calibri" w:hAnsi="Calibri" w:cs="Calibri"/>
        <w:i/>
        <w:iCs/>
        <w:lang w:val="es-CO"/>
      </w:rPr>
      <w:t>2016-00345-01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23FA"/>
    <w:rsid w:val="000864A3"/>
    <w:rsid w:val="00087130"/>
    <w:rsid w:val="0009024D"/>
    <w:rsid w:val="0009141E"/>
    <w:rsid w:val="00091466"/>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9C0"/>
    <w:rsid w:val="001C6F8C"/>
    <w:rsid w:val="001C79D2"/>
    <w:rsid w:val="001C7EBD"/>
    <w:rsid w:val="001D056A"/>
    <w:rsid w:val="001D0B80"/>
    <w:rsid w:val="001D29E8"/>
    <w:rsid w:val="001D2DDE"/>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500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5060"/>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3154"/>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2F735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657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2ADA"/>
    <w:rsid w:val="003B2BB7"/>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55D72"/>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B5D"/>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0CA3"/>
    <w:rsid w:val="005A146E"/>
    <w:rsid w:val="005A24C4"/>
    <w:rsid w:val="005A3336"/>
    <w:rsid w:val="005A5C2D"/>
    <w:rsid w:val="005A5E17"/>
    <w:rsid w:val="005A7483"/>
    <w:rsid w:val="005B042C"/>
    <w:rsid w:val="005B0851"/>
    <w:rsid w:val="005B2CBE"/>
    <w:rsid w:val="005B30A2"/>
    <w:rsid w:val="005B4ED9"/>
    <w:rsid w:val="005B68BD"/>
    <w:rsid w:val="005B7F95"/>
    <w:rsid w:val="005C15C8"/>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5345"/>
    <w:rsid w:val="0064664E"/>
    <w:rsid w:val="00651980"/>
    <w:rsid w:val="00651A5E"/>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A677B"/>
    <w:rsid w:val="006B0AF3"/>
    <w:rsid w:val="006B2806"/>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0C52"/>
    <w:rsid w:val="006F1BC1"/>
    <w:rsid w:val="006F1D37"/>
    <w:rsid w:val="006F2820"/>
    <w:rsid w:val="006F46C6"/>
    <w:rsid w:val="006F4EB8"/>
    <w:rsid w:val="006F5731"/>
    <w:rsid w:val="006F5825"/>
    <w:rsid w:val="006F61BB"/>
    <w:rsid w:val="00700D68"/>
    <w:rsid w:val="00702936"/>
    <w:rsid w:val="0070536C"/>
    <w:rsid w:val="007073F8"/>
    <w:rsid w:val="00710851"/>
    <w:rsid w:val="00710DE1"/>
    <w:rsid w:val="007125F0"/>
    <w:rsid w:val="00713855"/>
    <w:rsid w:val="0071418C"/>
    <w:rsid w:val="00714814"/>
    <w:rsid w:val="0071507D"/>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4769"/>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6D1D"/>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0CE0"/>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43D6"/>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7F4"/>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34AE"/>
    <w:rsid w:val="00984094"/>
    <w:rsid w:val="00985BC7"/>
    <w:rsid w:val="00986C0B"/>
    <w:rsid w:val="00990365"/>
    <w:rsid w:val="0099147E"/>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16B1"/>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1643"/>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0D9"/>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2864"/>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090"/>
    <w:rsid w:val="00BD59C5"/>
    <w:rsid w:val="00BD6522"/>
    <w:rsid w:val="00BD6B9F"/>
    <w:rsid w:val="00BD6BDC"/>
    <w:rsid w:val="00BD7787"/>
    <w:rsid w:val="00BD7FE5"/>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BF7D3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1"/>
    <w:rsid w:val="00CC605C"/>
    <w:rsid w:val="00CC6906"/>
    <w:rsid w:val="00CD18AC"/>
    <w:rsid w:val="00CD1AA9"/>
    <w:rsid w:val="00CD26BC"/>
    <w:rsid w:val="00CD3C00"/>
    <w:rsid w:val="00CD3EB2"/>
    <w:rsid w:val="00CD438E"/>
    <w:rsid w:val="00CD45B3"/>
    <w:rsid w:val="00CD4ADE"/>
    <w:rsid w:val="00CD4FBC"/>
    <w:rsid w:val="00CD513B"/>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4C9"/>
    <w:rsid w:val="00DC1D9B"/>
    <w:rsid w:val="00DC2EEC"/>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1A7"/>
    <w:rsid w:val="00E1431F"/>
    <w:rsid w:val="00E14C38"/>
    <w:rsid w:val="00E14DDD"/>
    <w:rsid w:val="00E15EC6"/>
    <w:rsid w:val="00E16C00"/>
    <w:rsid w:val="00E1738C"/>
    <w:rsid w:val="00E201E6"/>
    <w:rsid w:val="00E20583"/>
    <w:rsid w:val="00E2066C"/>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44DD"/>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5195"/>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2B46"/>
    <w:rsid w:val="00EF3A74"/>
    <w:rsid w:val="00F00909"/>
    <w:rsid w:val="00F00C95"/>
    <w:rsid w:val="00F03FF6"/>
    <w:rsid w:val="00F050A4"/>
    <w:rsid w:val="00F05211"/>
    <w:rsid w:val="00F05A4E"/>
    <w:rsid w:val="00F05F19"/>
    <w:rsid w:val="00F07CB3"/>
    <w:rsid w:val="00F10BF7"/>
    <w:rsid w:val="00F10C90"/>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40"/>
    <w:rsid w:val="00F3556C"/>
    <w:rsid w:val="00F35A43"/>
    <w:rsid w:val="00F41442"/>
    <w:rsid w:val="00F41B48"/>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styleId="Lienhypertexte">
    <w:name w:val="Hyperlink"/>
    <w:basedOn w:val="Policepardfaut"/>
    <w:uiPriority w:val="99"/>
    <w:rsid w:val="00651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styleId="Lienhypertexte">
    <w:name w:val="Hyperlink"/>
    <w:basedOn w:val="Policepardfaut"/>
    <w:uiPriority w:val="99"/>
    <w:rsid w:val="00651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67641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C247C-18E5-4343-A3D3-9815F21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1550</Words>
  <Characters>8528</Characters>
  <Application>Microsoft Office Word</Application>
  <DocSecurity>0</DocSecurity>
  <Lines>71</Lines>
  <Paragraphs>20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lpstr> </vt:lpstr>
    </vt:vector>
  </TitlesOfParts>
  <Company>Hewlett-Packard Company</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9</cp:revision>
  <cp:lastPrinted>2017-05-30T14:01:00Z</cp:lastPrinted>
  <dcterms:created xsi:type="dcterms:W3CDTF">2017-05-26T18:35:00Z</dcterms:created>
  <dcterms:modified xsi:type="dcterms:W3CDTF">2017-06-26T14:29:00Z</dcterms:modified>
</cp:coreProperties>
</file>