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FC" w:rsidRDefault="007E2CFC" w:rsidP="002403C8">
      <w:pPr>
        <w:pStyle w:val="Sansinterligne"/>
        <w:tabs>
          <w:tab w:val="left" w:pos="3579"/>
        </w:tabs>
        <w:spacing w:line="360" w:lineRule="auto"/>
        <w:jc w:val="center"/>
        <w:rPr>
          <w:rFonts w:ascii="Arial" w:hAnsi="Arial" w:cs="Arial"/>
          <w:w w:val="140"/>
          <w:sz w:val="14"/>
        </w:rPr>
      </w:pPr>
    </w:p>
    <w:p w:rsidR="007E2CFC" w:rsidRPr="006E4540" w:rsidRDefault="007E2CFC" w:rsidP="007E2CF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7E2CFC">
      <w:pPr>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7E2CFC">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7E2CFC">
        <w:rPr>
          <w:rFonts w:ascii="Arial" w:hAnsi="Arial" w:cs="Arial"/>
          <w:sz w:val="22"/>
          <w:szCs w:val="22"/>
        </w:rPr>
        <w:t>– 1ª instancia – 03 de mayo de 2017</w:t>
      </w:r>
    </w:p>
    <w:p w:rsidR="007E2CFC" w:rsidRDefault="007E2CFC"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03D28">
        <w:rPr>
          <w:rFonts w:ascii="Arial" w:hAnsi="Arial" w:cs="Arial"/>
          <w:sz w:val="22"/>
        </w:rPr>
        <w:t>Promiscuo del Circuito de L</w:t>
      </w:r>
      <w:r w:rsidR="00BF5B11">
        <w:rPr>
          <w:rFonts w:ascii="Arial" w:hAnsi="Arial" w:cs="Arial"/>
          <w:sz w:val="22"/>
        </w:rPr>
        <w:t>a Virginia</w:t>
      </w:r>
      <w:r w:rsidR="00F366E9">
        <w:rPr>
          <w:rFonts w:ascii="Arial" w:hAnsi="Arial" w:cs="Arial"/>
          <w:sz w:val="22"/>
        </w:rPr>
        <w:t xml:space="preserve"> y otros</w:t>
      </w:r>
    </w:p>
    <w:p w:rsidR="00A00766" w:rsidRPr="00A00766" w:rsidRDefault="00A00766" w:rsidP="00345B98">
      <w:pPr>
        <w:pStyle w:val="Corpsdetexte"/>
        <w:tabs>
          <w:tab w:val="clear" w:pos="3540"/>
        </w:tabs>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w:t>
      </w:r>
      <w:r w:rsidR="00345B98">
        <w:rPr>
          <w:rFonts w:ascii="Arial" w:hAnsi="Arial" w:cs="Arial"/>
          <w:sz w:val="22"/>
          <w:szCs w:val="22"/>
        </w:rPr>
        <w:t xml:space="preserve"> </w:t>
      </w:r>
      <w:r w:rsidR="00F366E9">
        <w:rPr>
          <w:rFonts w:ascii="Arial" w:hAnsi="Arial" w:cs="Arial"/>
          <w:sz w:val="22"/>
          <w:szCs w:val="22"/>
        </w:rPr>
        <w:t>Defensoría del Pueblo, Regional Risaralda y otros</w:t>
      </w:r>
      <w:r w:rsidR="00283DCB">
        <w:rPr>
          <w:rFonts w:ascii="Arial" w:hAnsi="Arial" w:cs="Arial"/>
          <w:sz w:val="22"/>
          <w:szCs w:val="22"/>
        </w:rPr>
        <w:t xml:space="preserve">  </w:t>
      </w:r>
    </w:p>
    <w:p w:rsidR="00A00766" w:rsidRPr="00A00766" w:rsidRDefault="00345B98" w:rsidP="00A00766">
      <w:pPr>
        <w:pStyle w:val="Corpsdetexte"/>
        <w:spacing w:line="360" w:lineRule="auto"/>
        <w:ind w:left="1416"/>
        <w:rPr>
          <w:rFonts w:ascii="Arial" w:hAnsi="Arial" w:cs="Arial"/>
          <w:sz w:val="22"/>
        </w:rPr>
      </w:pPr>
      <w:r>
        <w:rPr>
          <w:rFonts w:ascii="Arial" w:hAnsi="Arial" w:cs="Arial"/>
          <w:sz w:val="22"/>
        </w:rPr>
        <w:t>R</w:t>
      </w:r>
      <w:r w:rsidR="00A00766" w:rsidRPr="00A00766">
        <w:rPr>
          <w:rFonts w:ascii="Arial" w:hAnsi="Arial" w:cs="Arial"/>
          <w:sz w:val="22"/>
        </w:rPr>
        <w:t>adicación</w:t>
      </w:r>
      <w:r w:rsidR="00A00766" w:rsidRPr="00A00766">
        <w:rPr>
          <w:rFonts w:ascii="Arial" w:hAnsi="Arial" w:cs="Arial"/>
          <w:sz w:val="22"/>
        </w:rPr>
        <w:tab/>
      </w:r>
      <w:r w:rsidR="00A00766" w:rsidRPr="00A00766">
        <w:rPr>
          <w:rFonts w:ascii="Arial" w:hAnsi="Arial" w:cs="Arial"/>
          <w:sz w:val="22"/>
        </w:rPr>
        <w:tab/>
        <w:t xml:space="preserve">: </w:t>
      </w:r>
      <w:r w:rsidR="0041111B">
        <w:rPr>
          <w:rFonts w:ascii="Arial" w:hAnsi="Arial" w:cs="Arial"/>
          <w:sz w:val="22"/>
        </w:rPr>
        <w:t>2017-00</w:t>
      </w:r>
      <w:r w:rsidR="00BF5B11">
        <w:rPr>
          <w:rFonts w:ascii="Arial" w:hAnsi="Arial" w:cs="Arial"/>
          <w:sz w:val="22"/>
        </w:rPr>
        <w:t>409</w:t>
      </w:r>
      <w:r w:rsidR="00D27466">
        <w:rPr>
          <w:rFonts w:ascii="Arial" w:hAnsi="Arial" w:cs="Arial"/>
          <w:sz w:val="22"/>
        </w:rPr>
        <w:t>-</w:t>
      </w:r>
      <w:r w:rsidR="0041111B">
        <w:rPr>
          <w:rFonts w:ascii="Arial" w:hAnsi="Arial" w:cs="Arial"/>
          <w:sz w:val="22"/>
        </w:rPr>
        <w:t>00</w:t>
      </w:r>
      <w:r w:rsidR="00B60C39">
        <w:rPr>
          <w:rFonts w:ascii="Arial" w:hAnsi="Arial" w:cs="Arial"/>
          <w:sz w:val="22"/>
        </w:rPr>
        <w:t xml:space="preserve"> </w:t>
      </w:r>
      <w:r w:rsidR="00F366E9">
        <w:rPr>
          <w:rFonts w:ascii="Arial" w:hAnsi="Arial" w:cs="Arial"/>
          <w:sz w:val="22"/>
        </w:rPr>
        <w:t xml:space="preserve">(Interno </w:t>
      </w:r>
      <w:proofErr w:type="spellStart"/>
      <w:r w:rsidR="00F366E9">
        <w:rPr>
          <w:rFonts w:ascii="Arial" w:hAnsi="Arial" w:cs="Arial"/>
          <w:sz w:val="22"/>
        </w:rPr>
        <w:t>No.</w:t>
      </w:r>
      <w:r w:rsidR="00BF5B11">
        <w:rPr>
          <w:rFonts w:ascii="Arial" w:hAnsi="Arial" w:cs="Arial"/>
          <w:sz w:val="22"/>
        </w:rPr>
        <w:t>409</w:t>
      </w:r>
      <w:proofErr w:type="spellEnd"/>
      <w:r w:rsidR="00F366E9">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56E3A">
        <w:rPr>
          <w:rFonts w:ascii="Arial" w:hAnsi="Arial"/>
          <w:sz w:val="22"/>
          <w:szCs w:val="22"/>
        </w:rPr>
        <w:t>229</w:t>
      </w:r>
      <w:r w:rsidR="0065134C">
        <w:rPr>
          <w:rFonts w:ascii="Arial" w:hAnsi="Arial"/>
          <w:sz w:val="22"/>
          <w:szCs w:val="22"/>
        </w:rPr>
        <w:t xml:space="preserve"> </w:t>
      </w:r>
      <w:r w:rsidR="00167C8F">
        <w:rPr>
          <w:rFonts w:ascii="Arial" w:hAnsi="Arial"/>
          <w:sz w:val="22"/>
          <w:szCs w:val="22"/>
        </w:rPr>
        <w:t xml:space="preserve">de </w:t>
      </w:r>
      <w:r w:rsidR="00656E3A">
        <w:rPr>
          <w:rFonts w:ascii="Arial" w:hAnsi="Arial"/>
          <w:sz w:val="22"/>
          <w:szCs w:val="22"/>
        </w:rPr>
        <w:t>03</w:t>
      </w:r>
      <w:r w:rsidR="00167C8F">
        <w:rPr>
          <w:rFonts w:ascii="Arial" w:hAnsi="Arial"/>
          <w:sz w:val="22"/>
          <w:szCs w:val="22"/>
        </w:rPr>
        <w:t>-0</w:t>
      </w:r>
      <w:r w:rsidR="00991A48">
        <w:rPr>
          <w:rFonts w:ascii="Arial" w:hAnsi="Arial"/>
          <w:sz w:val="22"/>
          <w:szCs w:val="22"/>
        </w:rPr>
        <w:t>5</w:t>
      </w:r>
      <w:r w:rsidR="00167C8F">
        <w:rPr>
          <w:rFonts w:ascii="Arial" w:hAnsi="Arial"/>
          <w:sz w:val="22"/>
          <w:szCs w:val="22"/>
        </w:rPr>
        <w:t>-2017</w:t>
      </w:r>
    </w:p>
    <w:p w:rsidR="007E2CFC" w:rsidRPr="007E2CFC" w:rsidRDefault="007E2CFC" w:rsidP="007E2CFC">
      <w:pPr>
        <w:ind w:left="708" w:firstLine="708"/>
        <w:rPr>
          <w:rFonts w:ascii="Arial" w:hAnsi="Arial"/>
          <w:sz w:val="10"/>
          <w:szCs w:val="10"/>
        </w:rPr>
      </w:pPr>
    </w:p>
    <w:p w:rsidR="007E2CFC" w:rsidRPr="007E2CFC" w:rsidRDefault="007E2CFC" w:rsidP="007E2CFC">
      <w:pPr>
        <w:ind w:left="1416"/>
        <w:jc w:val="both"/>
        <w:rPr>
          <w:rFonts w:ascii="Arial" w:hAnsi="Arial" w:cs="Arial"/>
          <w:b/>
          <w:bCs/>
          <w:sz w:val="22"/>
          <w:szCs w:val="22"/>
        </w:rPr>
      </w:pPr>
      <w:r w:rsidRPr="007E2CFC">
        <w:rPr>
          <w:rFonts w:ascii="Arial" w:hAnsi="Arial" w:cs="Arial"/>
          <w:b/>
          <w:sz w:val="22"/>
          <w:szCs w:val="22"/>
        </w:rPr>
        <w:t>Temas</w:t>
      </w:r>
      <w:r w:rsidRPr="007E2CFC">
        <w:rPr>
          <w:rFonts w:ascii="Arial" w:hAnsi="Arial" w:cs="Arial"/>
          <w:b/>
          <w:sz w:val="22"/>
          <w:szCs w:val="22"/>
        </w:rPr>
        <w:tab/>
      </w:r>
      <w:r w:rsidRPr="007E2CFC">
        <w:rPr>
          <w:rFonts w:ascii="Arial" w:hAnsi="Arial" w:cs="Arial"/>
          <w:b/>
          <w:sz w:val="22"/>
          <w:szCs w:val="22"/>
        </w:rPr>
        <w:tab/>
      </w:r>
      <w:r w:rsidRPr="007E2CFC">
        <w:rPr>
          <w:rFonts w:ascii="Arial" w:hAnsi="Arial" w:cs="Arial"/>
          <w:b/>
          <w:sz w:val="22"/>
          <w:szCs w:val="22"/>
        </w:rPr>
        <w:tab/>
        <w:t xml:space="preserve">: </w:t>
      </w:r>
      <w:r w:rsidRPr="007E2CFC">
        <w:rPr>
          <w:rFonts w:ascii="Arial" w:hAnsi="Arial" w:cs="Arial"/>
          <w:b/>
          <w:sz w:val="22"/>
          <w:szCs w:val="21"/>
        </w:rPr>
        <w:t>SUBSIDIARIEDAD</w:t>
      </w:r>
      <w:r>
        <w:rPr>
          <w:rFonts w:ascii="Arial" w:hAnsi="Arial" w:cs="Arial"/>
          <w:b/>
          <w:sz w:val="22"/>
          <w:szCs w:val="21"/>
        </w:rPr>
        <w:t xml:space="preserve">. </w:t>
      </w:r>
      <w:r w:rsidRPr="007E2CFC">
        <w:rPr>
          <w:rFonts w:ascii="Arial" w:hAnsi="Arial" w:cs="Arial"/>
          <w:sz w:val="22"/>
          <w:szCs w:val="21"/>
        </w:rPr>
        <w:t xml:space="preserve">[E]l accionante pretermitió agotar el recurso de reposición frente al aludido proveído, cuando ese era el mecanismo ordinario y expedito que tenía para que el estrado judicial reconsiderara su decisión. </w:t>
      </w:r>
      <w:r w:rsidRPr="007E2CFC">
        <w:rPr>
          <w:rFonts w:ascii="Arial" w:hAnsi="Arial" w:cs="Arial"/>
          <w:sz w:val="22"/>
          <w:szCs w:val="21"/>
          <w:lang w:val="es-ES_tradnl"/>
        </w:rPr>
        <w:t xml:space="preserve">Evidente, entonces, es la falta de agotamiento del supuesto de subsidiariedad, como ha explicado </w:t>
      </w:r>
      <w:r w:rsidRPr="007E2CFC">
        <w:rPr>
          <w:rFonts w:ascii="Arial" w:hAnsi="Arial" w:cs="Arial"/>
          <w:sz w:val="22"/>
          <w:szCs w:val="21"/>
        </w:rPr>
        <w:t xml:space="preserve">la CC, que reiteradamente ha referido que la acción de tutela no puede implementarse como mecanismo alternativo o paralelo para resolver problemas jurídicos que deben ser resueltos al interior del trámite ordinario. (…) </w:t>
      </w:r>
      <w:r w:rsidRPr="007E2CFC">
        <w:rPr>
          <w:rFonts w:ascii="Arial" w:hAnsi="Arial" w:cs="Arial"/>
          <w:sz w:val="22"/>
          <w:szCs w:val="21"/>
          <w:lang w:val="es-ES_tradnl"/>
        </w:rPr>
        <w:t>En ese contexto, el presente amparo es improcedente toda vez que se incumple con uno de los siete (7) requisitos generales de procedibilidad, como lo es el de la subsidiariedad, dado que no se agotó el recurso de reposición</w:t>
      </w:r>
      <w:r w:rsidRPr="007E2CFC">
        <w:rPr>
          <w:rFonts w:ascii="Arial" w:hAnsi="Arial" w:cs="Arial"/>
          <w:sz w:val="22"/>
          <w:szCs w:val="21"/>
          <w:lang w:val="es-CO"/>
        </w:rPr>
        <w:t>.</w:t>
      </w:r>
      <w:r w:rsidRPr="007E2CFC">
        <w:rPr>
          <w:rFonts w:ascii="Arial" w:hAnsi="Arial" w:cs="Arial"/>
          <w:b/>
          <w:sz w:val="22"/>
          <w:szCs w:val="21"/>
        </w:rPr>
        <w:t xml:space="preserve"> </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7E2CFC">
      <w:pPr>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991A48">
        <w:rPr>
          <w:rFonts w:ascii="Arial" w:hAnsi="Arial" w:cs="Arial"/>
          <w:iCs/>
          <w:smallCaps/>
          <w:sz w:val="28"/>
          <w:szCs w:val="28"/>
          <w:lang w:val="es-CO"/>
        </w:rPr>
        <w:t xml:space="preserve"> </w:t>
      </w:r>
      <w:r w:rsidR="00656E3A">
        <w:rPr>
          <w:rFonts w:ascii="Arial" w:hAnsi="Arial" w:cs="Arial"/>
          <w:iCs/>
          <w:smallCaps/>
          <w:sz w:val="28"/>
          <w:szCs w:val="28"/>
          <w:lang w:val="es-CO"/>
        </w:rPr>
        <w:t>tres</w:t>
      </w:r>
      <w:r w:rsidR="00167C8F">
        <w:rPr>
          <w:rFonts w:ascii="Arial" w:hAnsi="Arial" w:cs="Arial"/>
          <w:iCs/>
          <w:smallCaps/>
          <w:sz w:val="28"/>
          <w:szCs w:val="28"/>
          <w:lang w:val="es-CO"/>
        </w:rPr>
        <w:t xml:space="preserve"> </w:t>
      </w:r>
      <w:r w:rsidR="00437198" w:rsidRPr="00303E85">
        <w:rPr>
          <w:rFonts w:ascii="Arial" w:hAnsi="Arial" w:cs="Arial"/>
          <w:iCs/>
          <w:smallCaps/>
          <w:sz w:val="28"/>
          <w:szCs w:val="28"/>
          <w:lang w:val="es-CO"/>
        </w:rPr>
        <w:t>(</w:t>
      </w:r>
      <w:r w:rsidR="00656E3A">
        <w:rPr>
          <w:rFonts w:ascii="Arial" w:hAnsi="Arial" w:cs="Arial"/>
          <w:iCs/>
          <w:smallCaps/>
          <w:sz w:val="28"/>
          <w:szCs w:val="28"/>
          <w:lang w:val="es-CO"/>
        </w:rPr>
        <w:t>3</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w:t>
      </w:r>
      <w:r w:rsidR="00991A48">
        <w:rPr>
          <w:rFonts w:ascii="Arial" w:hAnsi="Arial" w:cs="Arial"/>
          <w:iCs/>
          <w:smallCaps/>
          <w:sz w:val="28"/>
          <w:szCs w:val="28"/>
          <w:lang w:val="es-CO"/>
        </w:rPr>
        <w:t xml:space="preserve"> </w:t>
      </w:r>
      <w:r w:rsidRPr="00303E85">
        <w:rPr>
          <w:rFonts w:ascii="Arial" w:hAnsi="Arial" w:cs="Arial"/>
          <w:iCs/>
          <w:smallCaps/>
          <w:sz w:val="28"/>
          <w:szCs w:val="28"/>
          <w:lang w:val="es-CO"/>
        </w:rPr>
        <w:t xml:space="preserve"> </w:t>
      </w:r>
      <w:r w:rsidR="00991A48">
        <w:rPr>
          <w:rFonts w:ascii="Arial" w:hAnsi="Arial" w:cs="Arial"/>
          <w:iCs/>
          <w:smallCaps/>
          <w:sz w:val="28"/>
          <w:szCs w:val="28"/>
          <w:lang w:val="es-CO"/>
        </w:rPr>
        <w:t>mayo</w:t>
      </w:r>
      <w:r w:rsidR="0041111B">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7E2CFC">
      <w:pPr>
        <w:pStyle w:val="Corpsdetexte"/>
        <w:spacing w:line="24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7E2CFC">
      <w:pPr>
        <w:pStyle w:val="Corpsdetexte"/>
        <w:spacing w:line="240" w:lineRule="auto"/>
        <w:rPr>
          <w:rFonts w:ascii="Arial" w:hAnsi="Arial"/>
          <w:sz w:val="20"/>
          <w:szCs w:val="24"/>
        </w:rPr>
      </w:pPr>
    </w:p>
    <w:p w:rsidR="00283DCB" w:rsidRDefault="00552DAE" w:rsidP="00271459">
      <w:pPr>
        <w:spacing w:line="360" w:lineRule="auto"/>
        <w:jc w:val="both"/>
        <w:rPr>
          <w:rFonts w:ascii="Times New Roman" w:hAnsi="Times New Roman" w:cs="Times New Roman"/>
        </w:rPr>
      </w:pPr>
      <w:r>
        <w:rPr>
          <w:rFonts w:ascii="Arial" w:hAnsi="Arial" w:cs="Arial"/>
        </w:rPr>
        <w:t xml:space="preserve">Señaló </w:t>
      </w:r>
      <w:r w:rsidR="00104367">
        <w:rPr>
          <w:rFonts w:ascii="Arial" w:hAnsi="Arial" w:cs="Arial"/>
        </w:rPr>
        <w:t xml:space="preserve">el actor </w:t>
      </w:r>
      <w:r w:rsidR="0041111B">
        <w:rPr>
          <w:rFonts w:ascii="Arial" w:hAnsi="Arial" w:cs="Arial"/>
        </w:rPr>
        <w:t xml:space="preserve">que </w:t>
      </w:r>
      <w:r w:rsidR="00F366E9">
        <w:rPr>
          <w:rFonts w:ascii="Arial" w:hAnsi="Arial" w:cs="Arial"/>
        </w:rPr>
        <w:t>en</w:t>
      </w:r>
      <w:r w:rsidR="0065134C">
        <w:rPr>
          <w:rFonts w:ascii="Arial" w:hAnsi="Arial" w:cs="Arial"/>
        </w:rPr>
        <w:t xml:space="preserve"> la acción popular </w:t>
      </w:r>
      <w:proofErr w:type="spellStart"/>
      <w:r w:rsidR="00612C75">
        <w:rPr>
          <w:rFonts w:ascii="Arial" w:hAnsi="Arial" w:cs="Arial"/>
        </w:rPr>
        <w:t>No</w:t>
      </w:r>
      <w:r w:rsidR="00A319E9">
        <w:rPr>
          <w:rFonts w:ascii="Arial" w:hAnsi="Arial" w:cs="Arial"/>
        </w:rPr>
        <w:t>.</w:t>
      </w:r>
      <w:r w:rsidR="0041111B">
        <w:rPr>
          <w:rFonts w:ascii="Arial" w:hAnsi="Arial" w:cs="Arial"/>
        </w:rPr>
        <w:t>201</w:t>
      </w:r>
      <w:r w:rsidR="00F366E9">
        <w:rPr>
          <w:rFonts w:ascii="Arial" w:hAnsi="Arial" w:cs="Arial"/>
        </w:rPr>
        <w:t>5</w:t>
      </w:r>
      <w:proofErr w:type="spellEnd"/>
      <w:r w:rsidR="0041111B">
        <w:rPr>
          <w:rFonts w:ascii="Arial" w:hAnsi="Arial" w:cs="Arial"/>
        </w:rPr>
        <w:t>-00</w:t>
      </w:r>
      <w:r>
        <w:rPr>
          <w:rFonts w:ascii="Arial" w:hAnsi="Arial" w:cs="Arial"/>
        </w:rPr>
        <w:t>321</w:t>
      </w:r>
      <w:r w:rsidR="0073791A">
        <w:rPr>
          <w:rFonts w:ascii="Arial" w:hAnsi="Arial" w:cs="Arial"/>
        </w:rPr>
        <w:t>-0</w:t>
      </w:r>
      <w:r>
        <w:rPr>
          <w:rFonts w:ascii="Arial" w:hAnsi="Arial" w:cs="Arial"/>
        </w:rPr>
        <w:t>1</w:t>
      </w:r>
      <w:r w:rsidR="00271459">
        <w:rPr>
          <w:rFonts w:ascii="Arial" w:hAnsi="Arial" w:cs="Arial"/>
        </w:rPr>
        <w:t xml:space="preserve"> el Juzgado accionado</w:t>
      </w:r>
      <w:r w:rsidR="002F65DF">
        <w:rPr>
          <w:rFonts w:ascii="Arial" w:hAnsi="Arial" w:cs="Arial"/>
        </w:rPr>
        <w:t xml:space="preserve"> </w:t>
      </w:r>
      <w:r w:rsidR="00AD3F43">
        <w:rPr>
          <w:rFonts w:ascii="Arial" w:hAnsi="Arial" w:cs="Arial"/>
        </w:rPr>
        <w:t xml:space="preserve">autorizó realizar </w:t>
      </w:r>
      <w:r>
        <w:rPr>
          <w:rFonts w:ascii="Arial" w:hAnsi="Arial" w:cs="Arial"/>
        </w:rPr>
        <w:t>audiencia por videoconferencia,</w:t>
      </w:r>
      <w:r w:rsidR="00F83487">
        <w:rPr>
          <w:rFonts w:ascii="Arial" w:hAnsi="Arial" w:cs="Arial"/>
        </w:rPr>
        <w:t xml:space="preserve"> pese </w:t>
      </w:r>
      <w:r w:rsidR="008E7338">
        <w:rPr>
          <w:rFonts w:ascii="Arial" w:hAnsi="Arial" w:cs="Arial"/>
        </w:rPr>
        <w:t xml:space="preserve">a que esta Sala </w:t>
      </w:r>
      <w:r w:rsidR="00AD3F43">
        <w:rPr>
          <w:rFonts w:ascii="Arial" w:hAnsi="Arial" w:cs="Arial"/>
        </w:rPr>
        <w:t xml:space="preserve">de la Corporación </w:t>
      </w:r>
      <w:r w:rsidR="007C2D59">
        <w:rPr>
          <w:rFonts w:ascii="Arial" w:hAnsi="Arial" w:cs="Arial"/>
        </w:rPr>
        <w:t xml:space="preserve">le </w:t>
      </w:r>
      <w:r w:rsidR="008E7338">
        <w:rPr>
          <w:rFonts w:ascii="Arial" w:hAnsi="Arial" w:cs="Arial"/>
        </w:rPr>
        <w:t xml:space="preserve">ha negado </w:t>
      </w:r>
      <w:r w:rsidR="00AD3F43">
        <w:rPr>
          <w:rFonts w:ascii="Arial" w:hAnsi="Arial" w:cs="Arial"/>
        </w:rPr>
        <w:t xml:space="preserve">ese </w:t>
      </w:r>
      <w:r w:rsidR="008E7338">
        <w:rPr>
          <w:rFonts w:ascii="Arial" w:hAnsi="Arial" w:cs="Arial"/>
        </w:rPr>
        <w:t>tipo de pedimento</w:t>
      </w:r>
      <w:r w:rsidR="00F366E9">
        <w:rPr>
          <w:rFonts w:ascii="Arial" w:hAnsi="Arial" w:cs="Arial"/>
        </w:rPr>
        <w:t xml:space="preserve"> </w:t>
      </w:r>
      <w:r w:rsidR="004A16F3">
        <w:rPr>
          <w:rFonts w:ascii="Arial" w:hAnsi="Arial" w:cs="Arial"/>
        </w:rPr>
        <w:t>(Folio</w:t>
      </w:r>
      <w:r w:rsidR="003525B5">
        <w:rPr>
          <w:rFonts w:ascii="Arial" w:hAnsi="Arial" w:cs="Arial"/>
        </w:rPr>
        <w:t xml:space="preserve"> 1, </w:t>
      </w:r>
      <w:r w:rsidR="004A16F3">
        <w:rPr>
          <w:rFonts w:ascii="Arial" w:hAnsi="Arial" w:cs="Arial"/>
        </w:rPr>
        <w:t xml:space="preserve">de </w:t>
      </w:r>
      <w:r w:rsidR="00AB69A6">
        <w:rPr>
          <w:rFonts w:ascii="Arial" w:hAnsi="Arial" w:cs="Arial"/>
        </w:rPr>
        <w:t>este</w:t>
      </w:r>
      <w:r w:rsidR="003525B5">
        <w:rPr>
          <w:rFonts w:ascii="Arial" w:hAnsi="Arial" w:cs="Arial"/>
        </w:rPr>
        <w:t xml:space="preserve"> cuaderno).</w:t>
      </w:r>
    </w:p>
    <w:p w:rsidR="002B0607" w:rsidRPr="008907D4" w:rsidRDefault="002B0607" w:rsidP="00283DCB">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E2CFC">
      <w:pPr>
        <w:pStyle w:val="Corpsdetexte"/>
        <w:spacing w:line="24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w:t>
      </w:r>
      <w:r w:rsidR="001B4C53">
        <w:rPr>
          <w:rFonts w:ascii="Arial" w:hAnsi="Arial" w:cs="Arial"/>
          <w:i/>
          <w:spacing w:val="-3"/>
          <w:sz w:val="22"/>
          <w:lang w:val="es-ES_tradnl"/>
        </w:rPr>
        <w:t xml:space="preserve"> </w:t>
      </w:r>
      <w:r w:rsidRPr="00EA458D">
        <w:rPr>
          <w:rFonts w:ascii="Arial" w:hAnsi="Arial" w:cs="Arial"/>
          <w:i/>
          <w:spacing w:val="-3"/>
          <w:sz w:val="22"/>
          <w:lang w:val="es-ES_tradnl"/>
        </w:rPr>
        <w:t>(…)”</w:t>
      </w:r>
      <w:r w:rsidR="007C2D59">
        <w:rPr>
          <w:rFonts w:ascii="Arial" w:hAnsi="Arial" w:cs="Arial"/>
          <w:i/>
          <w:spacing w:val="-3"/>
          <w:sz w:val="22"/>
          <w:lang w:val="es-ES_tradnl"/>
        </w:rPr>
        <w:t xml:space="preserve"> </w:t>
      </w:r>
      <w:r w:rsidR="007C2D59" w:rsidRPr="007C2D59">
        <w:rPr>
          <w:rFonts w:ascii="Arial" w:hAnsi="Arial" w:cs="Arial"/>
          <w:spacing w:val="-3"/>
          <w:lang w:val="es-ES_tradnl"/>
        </w:rPr>
        <w:t>y el debido proceso</w:t>
      </w:r>
      <w:r w:rsidRPr="007C2D59">
        <w:rPr>
          <w:rFonts w:ascii="Arial" w:hAnsi="Arial" w:cs="Arial"/>
          <w:spacing w:val="-3"/>
          <w:lang w:val="es-ES_tradnl"/>
        </w:rPr>
        <w:t xml:space="preserve"> </w:t>
      </w:r>
      <w:r>
        <w:rPr>
          <w:rFonts w:ascii="Arial" w:hAnsi="Arial" w:cs="Arial"/>
          <w:spacing w:val="-3"/>
          <w:lang w:val="es-ES_tradnl"/>
        </w:rPr>
        <w:t>(Folio</w:t>
      </w:r>
      <w:r w:rsidR="004A16F3">
        <w:rPr>
          <w:rFonts w:ascii="Arial" w:hAnsi="Arial" w:cs="Arial"/>
          <w:spacing w:val="-3"/>
          <w:lang w:val="es-ES_tradnl"/>
        </w:rPr>
        <w:t xml:space="preserve"> 2</w:t>
      </w:r>
      <w:r>
        <w:rPr>
          <w:rFonts w:ascii="Arial" w:hAnsi="Arial" w:cs="Arial"/>
          <w:spacing w:val="-3"/>
          <w:lang w:val="es-ES_tradnl"/>
        </w:rPr>
        <w:t>, este cuaderno).</w:t>
      </w: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303E85" w:rsidRPr="00001BE1" w:rsidRDefault="00303E85" w:rsidP="004B1EB8">
      <w:pPr>
        <w:pStyle w:val="Sansinterligne"/>
        <w:spacing w:line="360" w:lineRule="auto"/>
        <w:jc w:val="both"/>
        <w:rPr>
          <w:rFonts w:ascii="Arial" w:hAnsi="Arial" w:cs="Arial"/>
          <w:szCs w:val="24"/>
        </w:rPr>
      </w:pPr>
    </w:p>
    <w:p w:rsidR="00D669DC" w:rsidRPr="000E283B" w:rsidRDefault="004B1EB8" w:rsidP="000E283B">
      <w:pPr>
        <w:spacing w:line="360" w:lineRule="auto"/>
        <w:jc w:val="both"/>
        <w:rPr>
          <w:rFonts w:ascii="Arial" w:hAnsi="Arial" w:cs="Arial"/>
        </w:rPr>
      </w:pPr>
      <w:r>
        <w:rPr>
          <w:rFonts w:ascii="Arial" w:hAnsi="Arial" w:cs="Arial"/>
        </w:rPr>
        <w:t>Se pretende que</w:t>
      </w:r>
      <w:r w:rsidR="000E283B">
        <w:rPr>
          <w:rFonts w:ascii="Arial" w:hAnsi="Arial" w:cs="Arial"/>
        </w:rPr>
        <w:t>: (i) S</w:t>
      </w:r>
      <w:r w:rsidR="00D669DC">
        <w:rPr>
          <w:rFonts w:ascii="Arial" w:hAnsi="Arial" w:cs="Arial"/>
        </w:rPr>
        <w:t xml:space="preserve">e ordene al </w:t>
      </w:r>
      <w:r w:rsidR="007C2D59">
        <w:rPr>
          <w:rFonts w:ascii="Arial" w:hAnsi="Arial" w:cs="Arial"/>
        </w:rPr>
        <w:t xml:space="preserve">despacho judicial revocar </w:t>
      </w:r>
      <w:r w:rsidR="001B4C53">
        <w:rPr>
          <w:rFonts w:ascii="Arial" w:hAnsi="Arial" w:cs="Arial"/>
        </w:rPr>
        <w:t>el auto que dispuso realizar la audiencia por video conferencia</w:t>
      </w:r>
      <w:r w:rsidR="000E283B">
        <w:rPr>
          <w:rFonts w:ascii="Arial" w:hAnsi="Arial" w:cs="Arial"/>
        </w:rPr>
        <w:t xml:space="preserve">; (ii) Se ordene al Procurador </w:t>
      </w:r>
      <w:r w:rsidR="007C2D59">
        <w:rPr>
          <w:rFonts w:ascii="Arial" w:hAnsi="Arial" w:cs="Arial"/>
        </w:rPr>
        <w:t xml:space="preserve">delegado informar </w:t>
      </w:r>
      <w:r w:rsidR="000E283B">
        <w:rPr>
          <w:rFonts w:ascii="Arial" w:hAnsi="Arial" w:cs="Arial"/>
        </w:rPr>
        <w:t xml:space="preserve">las gestiones iniciadas </w:t>
      </w:r>
      <w:r w:rsidR="007C2D59">
        <w:rPr>
          <w:rFonts w:ascii="Arial" w:hAnsi="Arial" w:cs="Arial"/>
        </w:rPr>
        <w:t xml:space="preserve">en procura </w:t>
      </w:r>
      <w:r w:rsidR="006E718B">
        <w:rPr>
          <w:rFonts w:ascii="Arial" w:hAnsi="Arial" w:cs="Arial"/>
        </w:rPr>
        <w:t>de</w:t>
      </w:r>
      <w:r w:rsidR="000E283B">
        <w:rPr>
          <w:rFonts w:ascii="Arial" w:hAnsi="Arial" w:cs="Arial"/>
        </w:rPr>
        <w:t xml:space="preserve"> sus garantías procesales; </w:t>
      </w:r>
      <w:r w:rsidR="006E718B">
        <w:rPr>
          <w:rFonts w:ascii="Arial" w:hAnsi="Arial" w:cs="Arial"/>
        </w:rPr>
        <w:t xml:space="preserve">(iii) Se </w:t>
      </w:r>
      <w:r w:rsidR="007C2D59">
        <w:rPr>
          <w:rFonts w:ascii="Arial" w:hAnsi="Arial" w:cs="Arial"/>
        </w:rPr>
        <w:t xml:space="preserve">solicite </w:t>
      </w:r>
      <w:r w:rsidR="00656E3A">
        <w:rPr>
          <w:rFonts w:ascii="Arial" w:hAnsi="Arial" w:cs="Arial"/>
        </w:rPr>
        <w:t xml:space="preserve">al </w:t>
      </w:r>
      <w:r w:rsidR="007C2D59">
        <w:rPr>
          <w:rFonts w:ascii="Arial" w:hAnsi="Arial" w:cs="Arial"/>
        </w:rPr>
        <w:t xml:space="preserve">CSJ efectuar </w:t>
      </w:r>
      <w:r w:rsidR="006E718B">
        <w:rPr>
          <w:rFonts w:ascii="Arial" w:hAnsi="Arial" w:cs="Arial"/>
        </w:rPr>
        <w:t>vigilanci</w:t>
      </w:r>
      <w:r w:rsidR="00656E3A">
        <w:rPr>
          <w:rFonts w:ascii="Arial" w:hAnsi="Arial" w:cs="Arial"/>
        </w:rPr>
        <w:t xml:space="preserve">a judicial administrativa a las acciones populares que se tramitan </w:t>
      </w:r>
      <w:r w:rsidR="006E718B">
        <w:rPr>
          <w:rFonts w:ascii="Arial" w:hAnsi="Arial" w:cs="Arial"/>
        </w:rPr>
        <w:t xml:space="preserve">ante </w:t>
      </w:r>
      <w:r w:rsidR="007C2D59">
        <w:rPr>
          <w:rFonts w:ascii="Arial" w:hAnsi="Arial" w:cs="Arial"/>
        </w:rPr>
        <w:t xml:space="preserve">el juzgado </w:t>
      </w:r>
      <w:r w:rsidR="00612C75" w:rsidRPr="000E283B">
        <w:rPr>
          <w:rFonts w:ascii="Arial" w:hAnsi="Arial" w:cs="Arial"/>
        </w:rPr>
        <w:t>(Folio</w:t>
      </w:r>
      <w:r w:rsidR="006E718B">
        <w:rPr>
          <w:rFonts w:ascii="Arial" w:hAnsi="Arial" w:cs="Arial"/>
        </w:rPr>
        <w:t>s</w:t>
      </w:r>
      <w:r w:rsidR="00710FF3" w:rsidRPr="000E283B">
        <w:rPr>
          <w:rFonts w:ascii="Arial" w:hAnsi="Arial" w:cs="Arial"/>
        </w:rPr>
        <w:t xml:space="preserve"> 1</w:t>
      </w:r>
      <w:r w:rsidR="006E718B">
        <w:rPr>
          <w:rFonts w:ascii="Arial" w:hAnsi="Arial" w:cs="Arial"/>
        </w:rPr>
        <w:t xml:space="preserve"> a 2</w:t>
      </w:r>
      <w:r w:rsidR="00D669DC" w:rsidRPr="000E283B">
        <w:rPr>
          <w:rFonts w:ascii="Arial" w:hAnsi="Arial" w:cs="Arial"/>
        </w:rPr>
        <w:t>,</w:t>
      </w:r>
      <w:r w:rsidR="00710FF3" w:rsidRPr="000E283B">
        <w:rPr>
          <w:rFonts w:ascii="Arial" w:hAnsi="Arial" w:cs="Arial"/>
        </w:rPr>
        <w:t xml:space="preserve"> </w:t>
      </w:r>
      <w:r w:rsidR="00D669DC" w:rsidRPr="000E283B">
        <w:rPr>
          <w:rFonts w:ascii="Arial" w:hAnsi="Arial" w:cs="Arial"/>
        </w:rPr>
        <w:t>este cuaderno).</w:t>
      </w:r>
    </w:p>
    <w:p w:rsidR="00CE71D8" w:rsidRPr="000E283B" w:rsidRDefault="00CE71D8" w:rsidP="000E283B">
      <w:pPr>
        <w:spacing w:line="360" w:lineRule="auto"/>
        <w:jc w:val="both"/>
        <w:rPr>
          <w:rFonts w:ascii="Arial" w:hAnsi="Arial" w:cs="Aria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ansinterligne"/>
        <w:spacing w:line="360" w:lineRule="auto"/>
        <w:ind w:left="360"/>
        <w:jc w:val="both"/>
        <w:rPr>
          <w:rFonts w:ascii="Arial" w:hAnsi="Arial"/>
          <w:szCs w:val="24"/>
        </w:rPr>
      </w:pPr>
    </w:p>
    <w:p w:rsidR="00343D68" w:rsidRDefault="00971166" w:rsidP="009C57DE">
      <w:pPr>
        <w:spacing w:line="360" w:lineRule="auto"/>
        <w:jc w:val="both"/>
        <w:rPr>
          <w:rFonts w:ascii="Arial" w:hAnsi="Arial" w:cs="Arial"/>
          <w:color w:val="000000"/>
        </w:rPr>
      </w:pPr>
      <w:r w:rsidRPr="00B74361">
        <w:rPr>
          <w:rFonts w:ascii="Arial" w:hAnsi="Arial"/>
        </w:rPr>
        <w:t xml:space="preserve">En reparto ordinario del </w:t>
      </w:r>
      <w:r w:rsidR="003B7696">
        <w:rPr>
          <w:rFonts w:ascii="Arial" w:hAnsi="Arial"/>
        </w:rPr>
        <w:t>2</w:t>
      </w:r>
      <w:r w:rsidR="000F5903">
        <w:rPr>
          <w:rFonts w:ascii="Arial" w:hAnsi="Arial"/>
        </w:rPr>
        <w:t>1</w:t>
      </w:r>
      <w:r w:rsidR="0069231C">
        <w:rPr>
          <w:rFonts w:ascii="Arial" w:hAnsi="Arial"/>
        </w:rPr>
        <w:t>-</w:t>
      </w:r>
      <w:r w:rsidR="00EA458D">
        <w:rPr>
          <w:rFonts w:ascii="Arial" w:hAnsi="Arial"/>
        </w:rPr>
        <w:t>0</w:t>
      </w:r>
      <w:r w:rsidR="000F5903">
        <w:rPr>
          <w:rFonts w:ascii="Arial" w:hAnsi="Arial"/>
        </w:rPr>
        <w:t>4</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0F5903">
        <w:rPr>
          <w:rFonts w:ascii="Arial" w:hAnsi="Arial" w:cs="Arial"/>
          <w:color w:val="000000"/>
        </w:rPr>
        <w:t>26</w:t>
      </w:r>
      <w:r w:rsidR="00343D68">
        <w:rPr>
          <w:rFonts w:ascii="Arial" w:hAnsi="Arial" w:cs="Arial"/>
          <w:color w:val="000000"/>
        </w:rPr>
        <w:t>-0</w:t>
      </w:r>
      <w:r w:rsidR="000F5903">
        <w:rPr>
          <w:rFonts w:ascii="Arial" w:hAnsi="Arial" w:cs="Arial"/>
          <w:color w:val="000000"/>
        </w:rPr>
        <w:t>4</w:t>
      </w:r>
      <w:r w:rsidR="00343D6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AB69A6">
        <w:rPr>
          <w:rFonts w:ascii="Arial" w:hAnsi="Arial" w:cs="Arial"/>
          <w:color w:val="000000"/>
        </w:rPr>
        <w:t>admiti</w:t>
      </w:r>
      <w:r w:rsidR="00343D68">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C45338">
        <w:rPr>
          <w:rFonts w:ascii="Arial" w:hAnsi="Arial"/>
        </w:rPr>
        <w:t>s</w:t>
      </w:r>
      <w:r w:rsidR="00343D68">
        <w:rPr>
          <w:rFonts w:ascii="Arial" w:hAnsi="Arial"/>
        </w:rPr>
        <w:t xml:space="preserve"> 5</w:t>
      </w:r>
      <w:r w:rsidR="00C45338">
        <w:rPr>
          <w:rFonts w:ascii="Arial" w:hAnsi="Arial"/>
        </w:rPr>
        <w:t xml:space="preserve"> a 6</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C45338">
        <w:rPr>
          <w:rFonts w:ascii="Arial" w:hAnsi="Arial" w:cs="Arial"/>
          <w:color w:val="000000"/>
        </w:rPr>
        <w:t>7</w:t>
      </w:r>
      <w:r w:rsidR="00BB4CEF">
        <w:rPr>
          <w:rFonts w:ascii="Arial" w:hAnsi="Arial" w:cs="Arial"/>
          <w:color w:val="000000"/>
        </w:rPr>
        <w:t xml:space="preserve"> a </w:t>
      </w:r>
      <w:r w:rsidR="00C45338">
        <w:rPr>
          <w:rFonts w:ascii="Arial" w:hAnsi="Arial" w:cs="Arial"/>
          <w:color w:val="000000"/>
        </w:rPr>
        <w:t>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w:t>
      </w:r>
      <w:r w:rsidR="00C45338">
        <w:rPr>
          <w:rFonts w:ascii="Arial" w:hAnsi="Arial" w:cs="Arial"/>
          <w:color w:val="000000"/>
        </w:rPr>
        <w:t>bídem</w:t>
      </w:r>
      <w:r w:rsidR="00343D68">
        <w:rPr>
          <w:rFonts w:ascii="Arial" w:hAnsi="Arial" w:cs="Arial"/>
          <w:color w:val="000000"/>
        </w:rPr>
        <w:t>).</w:t>
      </w:r>
      <w:r w:rsidR="001E3291">
        <w:rPr>
          <w:rFonts w:ascii="Arial" w:hAnsi="Arial" w:cs="Arial"/>
          <w:color w:val="000000"/>
        </w:rPr>
        <w:t xml:space="preserve"> </w:t>
      </w:r>
      <w:r w:rsidR="00EA458D">
        <w:rPr>
          <w:rFonts w:ascii="Arial" w:hAnsi="Arial" w:cs="Arial"/>
          <w:color w:val="000000"/>
        </w:rPr>
        <w:t>Contestaron</w:t>
      </w:r>
      <w:r w:rsidR="00C45338">
        <w:rPr>
          <w:rFonts w:ascii="Arial" w:hAnsi="Arial" w:cs="Arial"/>
          <w:color w:val="000000"/>
        </w:rPr>
        <w:t xml:space="preserve"> </w:t>
      </w:r>
      <w:r w:rsidR="00AC3708">
        <w:rPr>
          <w:rFonts w:ascii="Arial" w:hAnsi="Arial" w:cs="Arial"/>
          <w:color w:val="000000"/>
        </w:rPr>
        <w:t>la Alcald</w:t>
      </w:r>
      <w:r w:rsidR="009C57DE">
        <w:rPr>
          <w:rFonts w:ascii="Arial" w:hAnsi="Arial" w:cs="Arial"/>
          <w:color w:val="000000"/>
        </w:rPr>
        <w:t>ía de Piedecuesta</w:t>
      </w:r>
      <w:r w:rsidR="00AC3708">
        <w:rPr>
          <w:rFonts w:ascii="Arial" w:hAnsi="Arial" w:cs="Arial"/>
          <w:color w:val="000000"/>
        </w:rPr>
        <w:t xml:space="preserve">, S. (Folio 9, </w:t>
      </w:r>
      <w:r w:rsidR="0018784E">
        <w:rPr>
          <w:rFonts w:ascii="Arial" w:hAnsi="Arial" w:cs="Arial"/>
          <w:color w:val="000000"/>
        </w:rPr>
        <w:t>ibídem)</w:t>
      </w:r>
      <w:r w:rsidR="009C57DE">
        <w:rPr>
          <w:rFonts w:ascii="Arial" w:hAnsi="Arial" w:cs="Arial"/>
          <w:color w:val="000000"/>
        </w:rPr>
        <w:t>. El Juzgado accionado (Folio 24, ib.) y el CSJ Seccional Risaralda (Folios 27 a 28, ib.).</w:t>
      </w:r>
    </w:p>
    <w:p w:rsidR="00343D68" w:rsidRDefault="00343D68" w:rsidP="004B1EB8">
      <w:pPr>
        <w:spacing w:line="360" w:lineRule="auto"/>
        <w:jc w:val="both"/>
        <w:rPr>
          <w:rFonts w:ascii="Arial" w:hAnsi="Arial" w:cs="Arial"/>
          <w:color w:val="00000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6E3D4C" w:rsidRDefault="00707E1E" w:rsidP="00C323F1">
      <w:pPr>
        <w:widowControl/>
        <w:spacing w:line="360" w:lineRule="auto"/>
        <w:jc w:val="both"/>
        <w:rPr>
          <w:rFonts w:ascii="Arial" w:hAnsi="Arial"/>
        </w:rPr>
      </w:pPr>
      <w:r>
        <w:rPr>
          <w:rFonts w:ascii="Arial" w:hAnsi="Arial"/>
        </w:rPr>
        <w:t xml:space="preserve">La Alcaldía de Piedecuesta </w:t>
      </w:r>
      <w:r w:rsidR="009E408D">
        <w:rPr>
          <w:rFonts w:ascii="Arial" w:hAnsi="Arial"/>
        </w:rPr>
        <w:t xml:space="preserve">señaló </w:t>
      </w:r>
      <w:r w:rsidR="003B3C40">
        <w:rPr>
          <w:rFonts w:ascii="Arial" w:hAnsi="Arial"/>
        </w:rPr>
        <w:t xml:space="preserve">que </w:t>
      </w:r>
      <w:r w:rsidR="009E408D">
        <w:rPr>
          <w:rFonts w:ascii="Arial" w:hAnsi="Arial"/>
        </w:rPr>
        <w:t>como no es parte, ni accionado o demandado en la acción popular, pidió su desvinculación</w:t>
      </w:r>
      <w:r w:rsidR="00F83487">
        <w:rPr>
          <w:rFonts w:ascii="Arial" w:hAnsi="Arial"/>
        </w:rPr>
        <w:t xml:space="preserve"> (Folio 9, ib.). El </w:t>
      </w:r>
      <w:r w:rsidR="007C2D59">
        <w:rPr>
          <w:rFonts w:ascii="Arial" w:hAnsi="Arial"/>
        </w:rPr>
        <w:t xml:space="preserve">despacho judicial </w:t>
      </w:r>
      <w:r w:rsidR="00F83487">
        <w:rPr>
          <w:rFonts w:ascii="Arial" w:hAnsi="Arial"/>
        </w:rPr>
        <w:t xml:space="preserve">informó que el 03-04-2017 declaró fracasado el pacto de cumplimiento ante la inasistencia del accionante. Que </w:t>
      </w:r>
      <w:r w:rsidR="000C5A4E">
        <w:rPr>
          <w:rFonts w:ascii="Arial" w:hAnsi="Arial"/>
        </w:rPr>
        <w:t>para la realización de la audiencia se acud</w:t>
      </w:r>
      <w:r w:rsidR="003B3C40">
        <w:rPr>
          <w:rFonts w:ascii="Arial" w:hAnsi="Arial"/>
        </w:rPr>
        <w:t>ió</w:t>
      </w:r>
      <w:r w:rsidR="000C5A4E">
        <w:rPr>
          <w:rFonts w:ascii="Arial" w:hAnsi="Arial"/>
        </w:rPr>
        <w:t xml:space="preserve"> a la vía </w:t>
      </w:r>
      <w:r w:rsidR="007C2D59" w:rsidRPr="007C2D59">
        <w:rPr>
          <w:rFonts w:ascii="Arial" w:hAnsi="Arial"/>
          <w:i/>
        </w:rPr>
        <w:t>“</w:t>
      </w:r>
      <w:proofErr w:type="spellStart"/>
      <w:r w:rsidR="000C5A4E" w:rsidRPr="007C2D59">
        <w:rPr>
          <w:rFonts w:ascii="Arial" w:hAnsi="Arial"/>
          <w:i/>
        </w:rPr>
        <w:t>Skype</w:t>
      </w:r>
      <w:proofErr w:type="spellEnd"/>
      <w:r w:rsidR="007C2D59" w:rsidRPr="007C2D59">
        <w:rPr>
          <w:rFonts w:ascii="Arial" w:hAnsi="Arial"/>
          <w:i/>
        </w:rPr>
        <w:t>”</w:t>
      </w:r>
      <w:r w:rsidR="000C5A4E">
        <w:rPr>
          <w:rFonts w:ascii="Arial" w:hAnsi="Arial"/>
        </w:rPr>
        <w:t xml:space="preserve"> para facilitar el acceso a las partes y contin</w:t>
      </w:r>
      <w:r w:rsidR="003B3C40">
        <w:rPr>
          <w:rFonts w:ascii="Arial" w:hAnsi="Arial"/>
        </w:rPr>
        <w:t>uar</w:t>
      </w:r>
      <w:r w:rsidR="000C5A4E">
        <w:rPr>
          <w:rFonts w:ascii="Arial" w:hAnsi="Arial"/>
        </w:rPr>
        <w:t xml:space="preserve"> con las dem</w:t>
      </w:r>
      <w:r w:rsidR="003B3C40">
        <w:rPr>
          <w:rFonts w:ascii="Arial" w:hAnsi="Arial"/>
        </w:rPr>
        <w:t>ás etapas procesales (Folio 24, ib.)</w:t>
      </w:r>
      <w:r w:rsidR="007C2D59">
        <w:rPr>
          <w:rFonts w:ascii="Arial" w:hAnsi="Arial"/>
        </w:rPr>
        <w:t>. Y</w:t>
      </w:r>
      <w:r w:rsidR="003B3C40">
        <w:rPr>
          <w:rFonts w:ascii="Arial" w:hAnsi="Arial"/>
        </w:rPr>
        <w:t xml:space="preserve"> el </w:t>
      </w:r>
      <w:r w:rsidR="00BA12FF">
        <w:rPr>
          <w:rFonts w:ascii="Arial" w:hAnsi="Arial"/>
        </w:rPr>
        <w:t xml:space="preserve">CSJ Seccional Risaralda, </w:t>
      </w:r>
      <w:r w:rsidR="003B3C40">
        <w:rPr>
          <w:rFonts w:ascii="Arial" w:hAnsi="Arial"/>
        </w:rPr>
        <w:t>expresó</w:t>
      </w:r>
      <w:r w:rsidR="00BA7438">
        <w:rPr>
          <w:rFonts w:ascii="Arial" w:hAnsi="Arial"/>
        </w:rPr>
        <w:t xml:space="preserve"> que </w:t>
      </w:r>
      <w:r w:rsidR="007C2D59">
        <w:rPr>
          <w:rFonts w:ascii="Arial" w:hAnsi="Arial"/>
        </w:rPr>
        <w:t xml:space="preserve">no se le </w:t>
      </w:r>
      <w:r w:rsidR="00BA7438" w:rsidRPr="001136A5">
        <w:rPr>
          <w:rFonts w:ascii="Arial" w:hAnsi="Arial"/>
        </w:rPr>
        <w:t xml:space="preserve">ha solicitado </w:t>
      </w:r>
      <w:r w:rsidR="007C2D59">
        <w:rPr>
          <w:rFonts w:ascii="Arial" w:hAnsi="Arial"/>
        </w:rPr>
        <w:t xml:space="preserve">adelantar </w:t>
      </w:r>
      <w:r w:rsidR="00BA7438" w:rsidRPr="001136A5">
        <w:rPr>
          <w:rFonts w:ascii="Arial" w:hAnsi="Arial"/>
        </w:rPr>
        <w:t xml:space="preserve">vigilancia administrativa </w:t>
      </w:r>
      <w:r w:rsidR="007C2D59">
        <w:rPr>
          <w:rFonts w:ascii="Arial" w:hAnsi="Arial"/>
        </w:rPr>
        <w:t xml:space="preserve">al asunto radicado </w:t>
      </w:r>
      <w:proofErr w:type="spellStart"/>
      <w:r w:rsidR="007C2D59">
        <w:rPr>
          <w:rFonts w:ascii="Arial" w:hAnsi="Arial"/>
        </w:rPr>
        <w:t>No.2015</w:t>
      </w:r>
      <w:proofErr w:type="spellEnd"/>
      <w:r w:rsidR="007C2D59">
        <w:rPr>
          <w:rFonts w:ascii="Arial" w:hAnsi="Arial"/>
        </w:rPr>
        <w:t>-00321-01</w:t>
      </w:r>
      <w:r w:rsidR="00BA7438" w:rsidRPr="001136A5">
        <w:rPr>
          <w:rFonts w:ascii="Arial" w:hAnsi="Arial"/>
        </w:rPr>
        <w:t xml:space="preserve"> y que los hechos relatados son ajenos a esa Corporación; </w:t>
      </w:r>
      <w:r w:rsidR="007C2D59">
        <w:rPr>
          <w:rFonts w:ascii="Arial" w:hAnsi="Arial"/>
        </w:rPr>
        <w:t xml:space="preserve">solicitó </w:t>
      </w:r>
      <w:r w:rsidR="00BA7438" w:rsidRPr="001136A5">
        <w:rPr>
          <w:rFonts w:ascii="Arial" w:hAnsi="Arial"/>
        </w:rPr>
        <w:t>su desvinculación (Folios</w:t>
      </w:r>
      <w:r w:rsidR="001A23A0">
        <w:rPr>
          <w:rFonts w:ascii="Arial" w:hAnsi="Arial"/>
        </w:rPr>
        <w:t xml:space="preserve"> 27 a 28,</w:t>
      </w:r>
      <w:r w:rsidR="00BA7438" w:rsidRPr="001136A5">
        <w:rPr>
          <w:rFonts w:ascii="Arial" w:hAnsi="Arial"/>
        </w:rPr>
        <w:t xml:space="preserve"> ib.). </w:t>
      </w:r>
    </w:p>
    <w:p w:rsidR="00991A48" w:rsidRDefault="00991A48" w:rsidP="00C323F1">
      <w:pPr>
        <w:widowControl/>
        <w:spacing w:line="360" w:lineRule="auto"/>
        <w:jc w:val="both"/>
        <w:rPr>
          <w:rFonts w:ascii="Arial" w:hAnsi="Arial"/>
        </w:rPr>
      </w:pP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A15670" w:rsidRPr="005764A9">
        <w:rPr>
          <w:rFonts w:ascii="Arial" w:hAnsi="Arial" w:cs="Arial"/>
          <w:szCs w:val="24"/>
        </w:rPr>
        <w:t>acci</w:t>
      </w:r>
      <w:r w:rsidR="00182140">
        <w:rPr>
          <w:rFonts w:ascii="Arial" w:hAnsi="Arial" w:cs="Arial"/>
          <w:szCs w:val="24"/>
        </w:rPr>
        <w:t>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5276B5">
        <w:rPr>
          <w:rFonts w:ascii="Arial" w:hAnsi="Arial" w:cs="Arial"/>
          <w:color w:val="000000"/>
          <w:szCs w:val="24"/>
        </w:rPr>
        <w:t>tutelado</w:t>
      </w:r>
      <w:r w:rsidR="00D33789" w:rsidRPr="005764A9">
        <w:rPr>
          <w:rFonts w:ascii="Arial" w:hAnsi="Arial" w:cs="Arial"/>
          <w:color w:val="000000"/>
          <w:szCs w:val="24"/>
        </w:rPr>
        <w:t>.</w:t>
      </w:r>
    </w:p>
    <w:p w:rsidR="00991A48" w:rsidRDefault="00991A48" w:rsidP="00991A48">
      <w:pPr>
        <w:pStyle w:val="Corpsdetexte"/>
        <w:tabs>
          <w:tab w:val="clear" w:pos="0"/>
          <w:tab w:val="clear" w:pos="708"/>
          <w:tab w:val="left" w:pos="709"/>
        </w:tabs>
        <w:spacing w:line="360" w:lineRule="auto"/>
        <w:ind w:left="709"/>
        <w:rPr>
          <w:rFonts w:ascii="Arial" w:hAnsi="Arial" w:cs="Arial"/>
          <w:color w:val="000000"/>
          <w:szCs w:val="24"/>
        </w:rPr>
      </w:pPr>
    </w:p>
    <w:p w:rsidR="00991A48" w:rsidRPr="007E2CFC" w:rsidRDefault="00991A48" w:rsidP="00991A48">
      <w:pPr>
        <w:pStyle w:val="Corpsdetexte"/>
        <w:numPr>
          <w:ilvl w:val="1"/>
          <w:numId w:val="32"/>
        </w:numPr>
        <w:tabs>
          <w:tab w:val="clear" w:pos="0"/>
          <w:tab w:val="clear" w:pos="708"/>
          <w:tab w:val="clear" w:pos="1416"/>
          <w:tab w:val="left" w:pos="709"/>
        </w:tabs>
        <w:spacing w:line="360" w:lineRule="auto"/>
        <w:ind w:left="709" w:hanging="709"/>
        <w:rPr>
          <w:rFonts w:ascii="Arial" w:hAnsi="Arial" w:cs="Arial"/>
          <w:lang w:val="es-CO"/>
        </w:rPr>
      </w:pPr>
      <w:r w:rsidRPr="007E2CFC">
        <w:rPr>
          <w:rFonts w:ascii="Arial" w:hAnsi="Arial"/>
          <w:smallCaps/>
          <w:szCs w:val="24"/>
        </w:rPr>
        <w:t xml:space="preserve">El problema jurídico a resolver. </w:t>
      </w:r>
      <w:r w:rsidR="007C2D59" w:rsidRPr="007E2CFC">
        <w:rPr>
          <w:rFonts w:ascii="Arial" w:hAnsi="Arial" w:cs="Arial"/>
        </w:rPr>
        <w:t xml:space="preserve">¿El </w:t>
      </w:r>
      <w:r w:rsidR="007C2D59" w:rsidRPr="007E2CFC">
        <w:rPr>
          <w:rFonts w:ascii="Arial" w:hAnsi="Arial" w:cs="Arial"/>
          <w:szCs w:val="24"/>
        </w:rPr>
        <w:t>Juzgado Promiscuo del Circuito de La Virginia, R.</w:t>
      </w:r>
      <w:r w:rsidRPr="007E2CFC">
        <w:rPr>
          <w:rFonts w:ascii="Arial" w:hAnsi="Arial" w:cs="Arial"/>
        </w:rPr>
        <w:t xml:space="preserve">, la Procuraduría General de la Nación, Regional Santander y la Sala Administrativa del CSJ, Seccional Pereira, han vulnerado o amenazado los derechos fundamentales del accionante con ocasión del trámite surtido en la acción popular, según lo expuesto en el escrito de tutela?  </w:t>
      </w:r>
    </w:p>
    <w:p w:rsidR="00991A48" w:rsidRPr="00991A48" w:rsidRDefault="007E1C7B" w:rsidP="007E1C7B">
      <w:pPr>
        <w:pStyle w:val="Corpsdetexte"/>
        <w:numPr>
          <w:ilvl w:val="1"/>
          <w:numId w:val="35"/>
        </w:numPr>
        <w:tabs>
          <w:tab w:val="clear" w:pos="0"/>
          <w:tab w:val="clear" w:pos="708"/>
          <w:tab w:val="clear" w:pos="1416"/>
          <w:tab w:val="left" w:pos="709"/>
        </w:tabs>
        <w:spacing w:line="360" w:lineRule="auto"/>
        <w:ind w:hanging="1440"/>
        <w:rPr>
          <w:rFonts w:ascii="Arial" w:hAnsi="Arial"/>
          <w:smallCaps/>
          <w:szCs w:val="24"/>
        </w:rPr>
      </w:pPr>
      <w:r>
        <w:rPr>
          <w:rFonts w:ascii="Arial" w:hAnsi="Arial"/>
          <w:smallCaps/>
          <w:szCs w:val="24"/>
        </w:rPr>
        <w:lastRenderedPageBreak/>
        <w:t>Los presupuestos generales de procedencia</w:t>
      </w:r>
      <w:r w:rsidR="00991A48" w:rsidRPr="00991A48">
        <w:rPr>
          <w:rFonts w:ascii="Arial" w:hAnsi="Arial"/>
          <w:smallCaps/>
          <w:szCs w:val="24"/>
        </w:rPr>
        <w:t xml:space="preserve"> </w:t>
      </w:r>
    </w:p>
    <w:p w:rsidR="00730CA7" w:rsidRPr="004B7598"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7E1C7B" w:rsidRPr="00001BE1" w:rsidRDefault="005764A9" w:rsidP="00991A48">
      <w:pPr>
        <w:pStyle w:val="Corpsdetexte"/>
        <w:numPr>
          <w:ilvl w:val="2"/>
          <w:numId w:val="33"/>
        </w:numPr>
        <w:tabs>
          <w:tab w:val="clear" w:pos="1416"/>
          <w:tab w:val="left" w:pos="851"/>
        </w:tabs>
        <w:spacing w:line="360" w:lineRule="auto"/>
        <w:ind w:left="709" w:hanging="709"/>
        <w:rPr>
          <w:rFonts w:ascii="Arial" w:hAnsi="Arial" w:cs="Arial"/>
          <w:sz w:val="22"/>
          <w:szCs w:val="24"/>
        </w:rPr>
      </w:pPr>
      <w:r w:rsidRPr="00001BE1">
        <w:rPr>
          <w:rFonts w:ascii="Arial" w:hAnsi="Arial"/>
          <w:smallCaps/>
          <w:sz w:val="22"/>
          <w:szCs w:val="24"/>
        </w:rPr>
        <w:t xml:space="preserve">La legitimación en la causa. </w:t>
      </w:r>
    </w:p>
    <w:p w:rsidR="007C2D59" w:rsidRPr="007E1C7B" w:rsidRDefault="007C2D59" w:rsidP="007C2D59">
      <w:pPr>
        <w:pStyle w:val="Corpsdetexte"/>
        <w:tabs>
          <w:tab w:val="clear" w:pos="1416"/>
          <w:tab w:val="left" w:pos="851"/>
        </w:tabs>
        <w:spacing w:line="360" w:lineRule="auto"/>
        <w:ind w:left="709"/>
        <w:rPr>
          <w:rFonts w:ascii="Arial" w:hAnsi="Arial" w:cs="Arial"/>
          <w:szCs w:val="24"/>
        </w:rPr>
      </w:pPr>
    </w:p>
    <w:p w:rsidR="00187CDA" w:rsidRDefault="005764A9" w:rsidP="007E1C7B">
      <w:pPr>
        <w:pStyle w:val="Corpsdetexte"/>
        <w:tabs>
          <w:tab w:val="clear" w:pos="1416"/>
          <w:tab w:val="left" w:pos="851"/>
        </w:tabs>
        <w:spacing w:line="360" w:lineRule="auto"/>
        <w:rPr>
          <w:rFonts w:ascii="Arial" w:hAnsi="Arial" w:cs="Arial"/>
          <w:szCs w:val="24"/>
        </w:rPr>
      </w:pP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182140">
        <w:rPr>
          <w:rFonts w:ascii="Arial" w:hAnsi="Arial" w:cs="Arial"/>
          <w:szCs w:val="24"/>
        </w:rPr>
        <w:t>la acción</w:t>
      </w:r>
      <w:r w:rsidR="0021559F" w:rsidRPr="005764A9">
        <w:rPr>
          <w:rFonts w:ascii="Arial" w:hAnsi="Arial" w:cs="Arial"/>
          <w:szCs w:val="24"/>
        </w:rPr>
        <w:t xml:space="preserve"> popular </w:t>
      </w:r>
      <w:r w:rsidR="005C50E4" w:rsidRPr="005764A9">
        <w:rPr>
          <w:rFonts w:ascii="Arial" w:hAnsi="Arial" w:cs="Arial"/>
          <w:szCs w:val="24"/>
        </w:rPr>
        <w:t xml:space="preserve">donde </w:t>
      </w:r>
      <w:r w:rsidR="00411947">
        <w:rPr>
          <w:rFonts w:ascii="Arial" w:hAnsi="Arial" w:cs="Arial"/>
          <w:szCs w:val="24"/>
        </w:rPr>
        <w:t xml:space="preserve">se reprocha la </w:t>
      </w:r>
      <w:r w:rsidR="00885A62" w:rsidRPr="005764A9">
        <w:rPr>
          <w:rFonts w:ascii="Arial" w:hAnsi="Arial" w:cs="Arial"/>
          <w:szCs w:val="24"/>
        </w:rPr>
        <w:t xml:space="preserve">falta al debido proceso. </w:t>
      </w:r>
      <w:r w:rsidR="0021559F" w:rsidRPr="005764A9">
        <w:rPr>
          <w:rFonts w:ascii="Arial" w:hAnsi="Arial" w:cs="Arial"/>
          <w:szCs w:val="24"/>
        </w:rPr>
        <w:t xml:space="preserve">Y por pasiva, </w:t>
      </w:r>
      <w:r w:rsidR="00885A62" w:rsidRPr="005764A9">
        <w:rPr>
          <w:rFonts w:ascii="Arial" w:hAnsi="Arial" w:cs="Arial"/>
          <w:szCs w:val="24"/>
        </w:rPr>
        <w:t xml:space="preserve">el </w:t>
      </w:r>
      <w:r w:rsidR="005276B5">
        <w:rPr>
          <w:rFonts w:ascii="Arial" w:hAnsi="Arial" w:cs="Arial"/>
          <w:szCs w:val="24"/>
        </w:rPr>
        <w:t xml:space="preserve">Juzgado </w:t>
      </w:r>
      <w:r w:rsidR="007B300F">
        <w:rPr>
          <w:rFonts w:ascii="Arial" w:hAnsi="Arial" w:cs="Arial"/>
          <w:szCs w:val="24"/>
        </w:rPr>
        <w:t xml:space="preserve">Promiscuo </w:t>
      </w:r>
      <w:r w:rsidR="007C2D59">
        <w:rPr>
          <w:rFonts w:ascii="Arial" w:hAnsi="Arial" w:cs="Arial"/>
          <w:szCs w:val="24"/>
        </w:rPr>
        <w:t xml:space="preserve">del Circuito </w:t>
      </w:r>
      <w:r w:rsidR="007B300F">
        <w:rPr>
          <w:rFonts w:ascii="Arial" w:hAnsi="Arial" w:cs="Arial"/>
          <w:szCs w:val="24"/>
        </w:rPr>
        <w:t xml:space="preserve">de La Virginia, R., </w:t>
      </w:r>
      <w:r w:rsidR="007C2D59">
        <w:rPr>
          <w:rFonts w:ascii="Arial" w:hAnsi="Arial" w:cs="Arial"/>
          <w:szCs w:val="24"/>
        </w:rPr>
        <w:t xml:space="preserve">porque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182140">
        <w:rPr>
          <w:rFonts w:ascii="Arial" w:hAnsi="Arial" w:cs="Arial"/>
          <w:szCs w:val="24"/>
        </w:rPr>
        <w:t>del</w:t>
      </w:r>
      <w:r w:rsidR="0021559F" w:rsidRPr="005764A9">
        <w:rPr>
          <w:rFonts w:ascii="Arial" w:hAnsi="Arial" w:cs="Arial"/>
          <w:szCs w:val="24"/>
        </w:rPr>
        <w:t xml:space="preserve"> juicio</w:t>
      </w:r>
      <w:r w:rsidR="00411947">
        <w:rPr>
          <w:rFonts w:ascii="Arial" w:hAnsi="Arial" w:cs="Arial"/>
          <w:szCs w:val="24"/>
        </w:rPr>
        <w:t xml:space="preserve"> y la CSJ Seccional Risaralda, en razón a que es la competente para adelantar la vigilancia judicial administrativa del despacho judicial</w:t>
      </w:r>
      <w:r w:rsidR="00411947" w:rsidRPr="00E17BC5">
        <w:rPr>
          <w:rFonts w:ascii="Arial" w:hAnsi="Arial" w:cs="Arial"/>
        </w:rPr>
        <w:t>.</w:t>
      </w:r>
    </w:p>
    <w:p w:rsidR="00B839A6" w:rsidRPr="00696EF1" w:rsidRDefault="00B839A6" w:rsidP="007E2CFC">
      <w:pPr>
        <w:pStyle w:val="Corpsdetexte"/>
        <w:spacing w:line="240" w:lineRule="auto"/>
        <w:rPr>
          <w:rFonts w:ascii="Arial" w:hAnsi="Arial" w:cs="Arial"/>
          <w:sz w:val="22"/>
          <w:szCs w:val="24"/>
        </w:rPr>
      </w:pPr>
    </w:p>
    <w:p w:rsidR="007C2D59" w:rsidRDefault="007C2D59" w:rsidP="007C2D59">
      <w:pPr>
        <w:pStyle w:val="Corpsdetexte"/>
        <w:spacing w:line="360" w:lineRule="auto"/>
        <w:rPr>
          <w:rFonts w:ascii="Arial" w:hAnsi="Arial" w:cs="Arial"/>
          <w:szCs w:val="24"/>
        </w:rPr>
      </w:pPr>
      <w:r>
        <w:rPr>
          <w:rFonts w:ascii="Arial" w:hAnsi="Arial" w:cs="Arial"/>
          <w:szCs w:val="24"/>
        </w:rPr>
        <w:t xml:space="preserve">Diferente es respecto de la Procuraduría General de la Nación, Regional Santander, toda vez que no ha sido vinculada a la acción popular y el petitorio de tutela carece de prueba que acredite que se le haya solicitado su intervención en procura de garantizar los derechos procesales del accionante. </w:t>
      </w:r>
    </w:p>
    <w:p w:rsidR="007C2D59" w:rsidRPr="00696EF1" w:rsidRDefault="007C2D59" w:rsidP="007E2CFC">
      <w:pPr>
        <w:pStyle w:val="Corpsdetexte"/>
        <w:spacing w:line="240" w:lineRule="auto"/>
        <w:rPr>
          <w:rFonts w:ascii="Arial" w:hAnsi="Arial" w:cs="Arial"/>
          <w:sz w:val="22"/>
          <w:szCs w:val="24"/>
        </w:rPr>
      </w:pPr>
    </w:p>
    <w:p w:rsidR="007C2D59" w:rsidRDefault="007C2D59" w:rsidP="007C2D59">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7C2D59" w:rsidRDefault="007C2D59" w:rsidP="007E2CFC">
      <w:pPr>
        <w:pStyle w:val="Corpsdetexte"/>
        <w:spacing w:line="240" w:lineRule="auto"/>
        <w:rPr>
          <w:rFonts w:ascii="Arial" w:hAnsi="Arial" w:cs="Arial"/>
          <w:szCs w:val="24"/>
        </w:rPr>
      </w:pPr>
    </w:p>
    <w:p w:rsidR="007C2D59" w:rsidRDefault="007C2D59" w:rsidP="007C2D59">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7C2D59" w:rsidRDefault="007C2D59" w:rsidP="007C2D59">
      <w:pPr>
        <w:pStyle w:val="Corpsdetexte"/>
        <w:tabs>
          <w:tab w:val="clear" w:pos="0"/>
        </w:tabs>
        <w:spacing w:line="240" w:lineRule="auto"/>
        <w:ind w:left="567" w:right="618"/>
        <w:rPr>
          <w:rFonts w:ascii="Arial" w:hAnsi="Arial"/>
          <w:szCs w:val="24"/>
          <w:lang w:val="es-ES"/>
        </w:rPr>
      </w:pPr>
      <w:r>
        <w:rPr>
          <w:rFonts w:ascii="Arial" w:hAnsi="Arial"/>
          <w:szCs w:val="24"/>
        </w:rPr>
        <w:t> </w:t>
      </w:r>
    </w:p>
    <w:p w:rsidR="007C2D59" w:rsidRDefault="007C2D59" w:rsidP="007C2D59">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7C2D59" w:rsidRPr="00696EF1" w:rsidRDefault="007C2D59" w:rsidP="007C2D59">
      <w:pPr>
        <w:pStyle w:val="Corpsdetexte"/>
        <w:spacing w:line="360" w:lineRule="auto"/>
        <w:rPr>
          <w:rFonts w:ascii="Arial" w:hAnsi="Arial" w:cs="Arial"/>
          <w:sz w:val="28"/>
          <w:szCs w:val="24"/>
          <w:lang w:val="es-CO"/>
        </w:rPr>
      </w:pPr>
    </w:p>
    <w:p w:rsidR="007C2D59" w:rsidRDefault="007C2D59" w:rsidP="007C2D59">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7C2D59" w:rsidRPr="00AB5228" w:rsidRDefault="007C2D59" w:rsidP="007E2CFC">
      <w:pPr>
        <w:ind w:left="567" w:right="335"/>
        <w:jc w:val="both"/>
        <w:rPr>
          <w:rFonts w:ascii="Arial" w:hAnsi="Arial" w:cs="Arial"/>
          <w:lang w:val="es-CO"/>
        </w:rPr>
      </w:pPr>
    </w:p>
    <w:p w:rsidR="007C2D59" w:rsidRDefault="007C2D59" w:rsidP="007C2D59">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7C2D59" w:rsidRPr="007E2CFC" w:rsidRDefault="007C2D59" w:rsidP="007C2D59">
      <w:pPr>
        <w:ind w:left="567" w:right="567"/>
        <w:jc w:val="both"/>
        <w:rPr>
          <w:rFonts w:ascii="Arial" w:hAnsi="Arial" w:cs="Arial"/>
          <w:sz w:val="10"/>
          <w:szCs w:val="10"/>
          <w:u w:val="single"/>
          <w:lang w:val="es-CO"/>
        </w:rPr>
      </w:pPr>
    </w:p>
    <w:p w:rsidR="007C2D59" w:rsidRDefault="007C2D59" w:rsidP="007C2D59">
      <w:pPr>
        <w:ind w:left="567" w:right="567"/>
        <w:jc w:val="both"/>
        <w:rPr>
          <w:rFonts w:ascii="Arial" w:hAnsi="Arial" w:cs="Arial"/>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7E2CFC" w:rsidRDefault="007E2CFC" w:rsidP="007C2D59">
      <w:pPr>
        <w:ind w:left="567" w:right="567"/>
        <w:jc w:val="both"/>
        <w:rPr>
          <w:rFonts w:ascii="Arial" w:hAnsi="Arial" w:cs="Arial"/>
          <w:u w:val="single"/>
          <w:lang w:val="es-CO"/>
        </w:rPr>
      </w:pPr>
    </w:p>
    <w:p w:rsidR="007C2D59" w:rsidRPr="00DC53D1" w:rsidRDefault="007C2D59" w:rsidP="007C2D59">
      <w:pPr>
        <w:spacing w:line="360" w:lineRule="auto"/>
        <w:jc w:val="both"/>
        <w:rPr>
          <w:rFonts w:ascii="Arial" w:hAnsi="Arial" w:cs="Arial"/>
          <w:lang w:val="es-ES_tradnl"/>
        </w:rPr>
      </w:pPr>
      <w:r w:rsidRPr="00DC53D1">
        <w:rPr>
          <w:rFonts w:ascii="Arial" w:hAnsi="Arial" w:cs="Arial"/>
          <w:lang w:val="es-ES_tradnl"/>
        </w:rPr>
        <w:lastRenderedPageBreak/>
        <w:t xml:space="preserve">Así las cosas, se declarará improcedente el amparo en su contra, pues, se itera, nunca ha sido destinataria de petición alguna y ni siquiera </w:t>
      </w:r>
      <w:r>
        <w:rPr>
          <w:rFonts w:ascii="Arial" w:hAnsi="Arial" w:cs="Arial"/>
          <w:lang w:val="es-ES_tradnl"/>
        </w:rPr>
        <w:t xml:space="preserve">fue </w:t>
      </w:r>
      <w:r w:rsidRPr="00DC53D1">
        <w:rPr>
          <w:rFonts w:ascii="Arial" w:hAnsi="Arial" w:cs="Arial"/>
          <w:lang w:val="es-ES_tradnl"/>
        </w:rPr>
        <w:t xml:space="preserve">notificada de la existencia del trámite popular. </w:t>
      </w:r>
    </w:p>
    <w:p w:rsidR="005764A9" w:rsidRPr="007C2D59" w:rsidRDefault="005764A9" w:rsidP="005764A9">
      <w:pPr>
        <w:pStyle w:val="Paragraphedeliste"/>
        <w:rPr>
          <w:rFonts w:ascii="Arial" w:hAnsi="Arial" w:cs="Arial"/>
          <w:sz w:val="28"/>
          <w:lang w:val="es-CO"/>
        </w:rPr>
      </w:pPr>
    </w:p>
    <w:p w:rsidR="00D10AEC" w:rsidRPr="00001BE1" w:rsidRDefault="00D10AEC" w:rsidP="00A04EE2">
      <w:pPr>
        <w:pStyle w:val="Corpsdetexte"/>
        <w:numPr>
          <w:ilvl w:val="2"/>
          <w:numId w:val="3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hanging="1440"/>
        <w:jc w:val="left"/>
        <w:textAlignment w:val="auto"/>
        <w:rPr>
          <w:rFonts w:ascii="Arial" w:hAnsi="Arial"/>
          <w:smallCaps/>
          <w:sz w:val="22"/>
          <w:szCs w:val="24"/>
        </w:rPr>
      </w:pPr>
      <w:r w:rsidRPr="00001BE1">
        <w:rPr>
          <w:rFonts w:ascii="Arial" w:hAnsi="Arial"/>
          <w:smallCaps/>
          <w:sz w:val="22"/>
          <w:szCs w:val="24"/>
        </w:rPr>
        <w:t>Las sub-reglas de análisis en la procedibilidad frente a decisiones judiciales</w:t>
      </w:r>
    </w:p>
    <w:p w:rsidR="00411947" w:rsidRPr="008555AE" w:rsidRDefault="00411947" w:rsidP="007E2CF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40" w:lineRule="auto"/>
        <w:ind w:left="1440"/>
        <w:jc w:val="left"/>
        <w:textAlignment w:val="auto"/>
        <w:rPr>
          <w:rFonts w:ascii="Arial" w:hAnsi="Arial"/>
          <w:smallCaps/>
          <w:szCs w:val="24"/>
        </w:rPr>
      </w:pPr>
    </w:p>
    <w:p w:rsidR="00303CDA" w:rsidRDefault="00303CDA" w:rsidP="00303CDA">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básicamente sustituyó la expresión “vías de</w:t>
      </w:r>
      <w:r>
        <w:rPr>
          <w:rFonts w:ascii="Arial" w:hAnsi="Arial" w:cs="Arial"/>
          <w:szCs w:val="24"/>
        </w:rPr>
        <w:t xml:space="preserve"> </w:t>
      </w:r>
      <w:r w:rsidRPr="00DC6BEA">
        <w:rPr>
          <w:rFonts w:ascii="Arial" w:hAnsi="Arial" w:cs="Arial"/>
          <w:szCs w:val="24"/>
        </w:rPr>
        <w:t>hecho” por la de “causales genéricas de procedibilidad” y ensanchó las causales especiales, pasando de cuatro (4) a ocho (8).  En el mismo sentido Quiroga N</w:t>
      </w:r>
      <w:r>
        <w:rPr>
          <w:rFonts w:ascii="Arial" w:hAnsi="Arial" w:cs="Arial"/>
          <w:szCs w:val="24"/>
        </w:rPr>
        <w:t>.</w:t>
      </w:r>
      <w:r w:rsidRPr="00DC6BEA">
        <w:rPr>
          <w:rStyle w:val="Appelnotedebasdep"/>
          <w:rFonts w:ascii="Arial" w:hAnsi="Arial"/>
          <w:szCs w:val="24"/>
        </w:rPr>
        <w:footnoteReference w:id="5"/>
      </w:r>
      <w:r w:rsidRPr="00DC6BEA">
        <w:rPr>
          <w:rFonts w:ascii="Arial" w:hAnsi="Arial" w:cs="Arial"/>
          <w:szCs w:val="24"/>
        </w:rPr>
        <w:t>.</w:t>
      </w:r>
    </w:p>
    <w:p w:rsidR="00303CDA" w:rsidRPr="00696EF1" w:rsidRDefault="00303CDA" w:rsidP="00303CDA">
      <w:pPr>
        <w:pStyle w:val="Corpsdetexte"/>
        <w:spacing w:line="360" w:lineRule="auto"/>
        <w:rPr>
          <w:rFonts w:ascii="Arial" w:hAnsi="Arial" w:cs="Arial"/>
          <w:sz w:val="22"/>
          <w:szCs w:val="24"/>
        </w:rPr>
      </w:pPr>
    </w:p>
    <w:p w:rsidR="00303CDA" w:rsidRPr="00907C22" w:rsidRDefault="00303CDA" w:rsidP="00303CDA">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303CDA" w:rsidRPr="00696EF1" w:rsidRDefault="00303CDA" w:rsidP="007E2CFC">
      <w:pPr>
        <w:pStyle w:val="Corpsdetexte"/>
        <w:spacing w:line="240" w:lineRule="auto"/>
        <w:rPr>
          <w:rFonts w:ascii="Arial" w:hAnsi="Arial" w:cs="Arial"/>
          <w:sz w:val="22"/>
          <w:szCs w:val="24"/>
        </w:rPr>
      </w:pPr>
    </w:p>
    <w:p w:rsidR="00303CDA" w:rsidRDefault="00303CDA" w:rsidP="00303CDA">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303CDA" w:rsidRPr="00001BE1" w:rsidRDefault="00303CDA" w:rsidP="007E2CFC">
      <w:pPr>
        <w:pStyle w:val="Corpsdetexte"/>
        <w:spacing w:line="240" w:lineRule="auto"/>
        <w:rPr>
          <w:rFonts w:ascii="Arial" w:hAnsi="Arial" w:cs="Arial"/>
          <w:szCs w:val="24"/>
        </w:rPr>
      </w:pPr>
    </w:p>
    <w:p w:rsidR="00303CDA" w:rsidRDefault="00303CDA" w:rsidP="00303CDA">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303CDA" w:rsidRDefault="00303CDA" w:rsidP="00303CDA">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Pr>
          <w:rFonts w:ascii="Arial" w:hAnsi="Arial" w:cs="Arial"/>
          <w:szCs w:val="24"/>
        </w:rPr>
        <w:t xml:space="preserve">a de la Carta. </w:t>
      </w:r>
      <w:r w:rsidRPr="00907C22">
        <w:rPr>
          <w:rFonts w:ascii="Arial" w:hAnsi="Arial" w:cs="Arial"/>
          <w:szCs w:val="24"/>
        </w:rPr>
        <w:t xml:space="preserve">Un </w:t>
      </w:r>
      <w:r w:rsidRPr="00907C22">
        <w:rPr>
          <w:rFonts w:ascii="Arial" w:hAnsi="Arial" w:cs="Arial"/>
          <w:szCs w:val="24"/>
        </w:rPr>
        <w:lastRenderedPageBreak/>
        <w:t xml:space="preserve">sistemático </w:t>
      </w:r>
      <w:r>
        <w:rPr>
          <w:rFonts w:ascii="Arial" w:hAnsi="Arial" w:cs="Arial"/>
          <w:szCs w:val="24"/>
        </w:rPr>
        <w:t xml:space="preserve"> </w:t>
      </w:r>
      <w:r w:rsidRPr="00907C22">
        <w:rPr>
          <w:rFonts w:ascii="Arial" w:hAnsi="Arial" w:cs="Arial"/>
          <w:szCs w:val="24"/>
        </w:rPr>
        <w:t xml:space="preserve">recuento </w:t>
      </w:r>
      <w:r>
        <w:rPr>
          <w:rFonts w:ascii="Arial" w:hAnsi="Arial" w:cs="Arial"/>
          <w:szCs w:val="24"/>
        </w:rPr>
        <w:t xml:space="preserve"> </w:t>
      </w:r>
      <w:r w:rsidRPr="00907C22">
        <w:rPr>
          <w:rFonts w:ascii="Arial" w:hAnsi="Arial" w:cs="Arial"/>
          <w:szCs w:val="24"/>
        </w:rPr>
        <w:t xml:space="preserve">puede </w:t>
      </w:r>
      <w:r>
        <w:rPr>
          <w:rFonts w:ascii="Arial" w:hAnsi="Arial" w:cs="Arial"/>
          <w:szCs w:val="24"/>
        </w:rPr>
        <w:t xml:space="preserve"> </w:t>
      </w:r>
      <w:r w:rsidRPr="00907C22">
        <w:rPr>
          <w:rFonts w:ascii="Arial" w:hAnsi="Arial" w:cs="Arial"/>
          <w:szCs w:val="24"/>
        </w:rPr>
        <w:t>leerse</w:t>
      </w:r>
      <w:r>
        <w:rPr>
          <w:rFonts w:ascii="Arial" w:hAnsi="Arial" w:cs="Arial"/>
          <w:szCs w:val="24"/>
        </w:rPr>
        <w:t xml:space="preserve"> </w:t>
      </w:r>
      <w:r w:rsidRPr="00907C22">
        <w:rPr>
          <w:rFonts w:ascii="Arial" w:hAnsi="Arial" w:cs="Arial"/>
          <w:szCs w:val="24"/>
        </w:rPr>
        <w:t xml:space="preserve"> en</w:t>
      </w:r>
      <w:r>
        <w:rPr>
          <w:rFonts w:ascii="Arial" w:hAnsi="Arial" w:cs="Arial"/>
          <w:szCs w:val="24"/>
        </w:rPr>
        <w:t xml:space="preserve"> </w:t>
      </w:r>
      <w:r w:rsidRPr="00907C22">
        <w:rPr>
          <w:rFonts w:ascii="Arial" w:hAnsi="Arial" w:cs="Arial"/>
          <w:szCs w:val="24"/>
        </w:rPr>
        <w:t xml:space="preserve"> la </w:t>
      </w:r>
      <w:r>
        <w:rPr>
          <w:rFonts w:ascii="Arial" w:hAnsi="Arial" w:cs="Arial"/>
          <w:szCs w:val="24"/>
        </w:rPr>
        <w:t xml:space="preserve"> </w:t>
      </w:r>
      <w:r w:rsidRPr="00907C22">
        <w:rPr>
          <w:rFonts w:ascii="Arial" w:hAnsi="Arial" w:cs="Arial"/>
          <w:szCs w:val="24"/>
        </w:rPr>
        <w:t>obra de los doctores Catalina Botero M</w:t>
      </w:r>
      <w:r>
        <w:rPr>
          <w:rFonts w:ascii="Arial" w:hAnsi="Arial" w:cs="Arial"/>
          <w:szCs w:val="24"/>
        </w:rPr>
        <w:t>.</w:t>
      </w:r>
      <w:r w:rsidRPr="00907C22">
        <w:rPr>
          <w:rFonts w:ascii="Arial" w:hAnsi="Arial" w:cs="Arial"/>
          <w:szCs w:val="24"/>
          <w:vertAlign w:val="superscript"/>
        </w:rPr>
        <w:footnoteReference w:id="10"/>
      </w:r>
      <w:r w:rsidRPr="00907C22">
        <w:rPr>
          <w:rFonts w:ascii="Arial" w:hAnsi="Arial" w:cs="Arial"/>
          <w:szCs w:val="24"/>
        </w:rPr>
        <w:t xml:space="preserve"> y Quinche R</w:t>
      </w:r>
      <w:r>
        <w:rPr>
          <w:rFonts w:ascii="Arial" w:hAnsi="Arial" w:cs="Arial"/>
          <w:szCs w:val="24"/>
        </w:rPr>
        <w:t>.</w:t>
      </w:r>
      <w:r w:rsidRPr="00907C22">
        <w:rPr>
          <w:rStyle w:val="Appelnotedebasdep"/>
          <w:rFonts w:ascii="Arial" w:hAnsi="Arial" w:cs="Arial"/>
          <w:szCs w:val="24"/>
        </w:rPr>
        <w:footnoteReference w:id="11"/>
      </w:r>
      <w:r w:rsidRPr="00907C22">
        <w:rPr>
          <w:rFonts w:ascii="Arial" w:hAnsi="Arial" w:cs="Arial"/>
          <w:szCs w:val="24"/>
        </w:rPr>
        <w:t>.</w:t>
      </w:r>
    </w:p>
    <w:p w:rsidR="007E2CFC" w:rsidRDefault="007E2CFC" w:rsidP="00303CDA">
      <w:pPr>
        <w:pStyle w:val="Corpsdetexte"/>
        <w:spacing w:line="360" w:lineRule="auto"/>
        <w:rPr>
          <w:rFonts w:ascii="Arial" w:hAnsi="Arial" w:cs="Arial"/>
          <w:szCs w:val="24"/>
        </w:rPr>
      </w:pPr>
    </w:p>
    <w:p w:rsidR="00D10AEC" w:rsidRPr="00001BE1" w:rsidRDefault="00D10AEC" w:rsidP="00A04EE2">
      <w:pPr>
        <w:pStyle w:val="Corpsdetexte"/>
        <w:numPr>
          <w:ilvl w:val="2"/>
          <w:numId w:val="33"/>
        </w:numPr>
        <w:tabs>
          <w:tab w:val="clear" w:pos="0"/>
          <w:tab w:val="clear" w:pos="708"/>
          <w:tab w:val="left" w:pos="709"/>
        </w:tabs>
        <w:suppressAutoHyphens w:val="0"/>
        <w:overflowPunct/>
        <w:autoSpaceDE/>
        <w:adjustRightInd/>
        <w:spacing w:line="360" w:lineRule="auto"/>
        <w:ind w:hanging="1440"/>
        <w:textAlignment w:val="auto"/>
        <w:rPr>
          <w:rFonts w:ascii="Arial" w:hAnsi="Arial" w:cs="Arial"/>
          <w:sz w:val="22"/>
          <w:szCs w:val="24"/>
        </w:rPr>
      </w:pPr>
      <w:r w:rsidRPr="00001BE1">
        <w:rPr>
          <w:rFonts w:ascii="Arial" w:hAnsi="Arial"/>
          <w:smallCaps/>
          <w:sz w:val="22"/>
          <w:szCs w:val="24"/>
        </w:rPr>
        <w:t>El carácter subsidiario de la acción de tutela</w:t>
      </w:r>
      <w:r w:rsidRPr="00001BE1">
        <w:rPr>
          <w:rFonts w:ascii="Arial" w:hAnsi="Arial" w:cs="Arial"/>
          <w:sz w:val="22"/>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D10AEC" w:rsidRDefault="00D10AEC" w:rsidP="00D10AE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proofErr w:type="spellStart"/>
      <w:r w:rsidR="00AB69A6">
        <w:rPr>
          <w:rFonts w:ascii="Arial" w:hAnsi="Arial" w:cs="Arial"/>
          <w:szCs w:val="24"/>
        </w:rPr>
        <w:t>CP</w:t>
      </w:r>
      <w:proofErr w:type="spellEnd"/>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10AEC" w:rsidRPr="004B7598" w:rsidRDefault="00D10AEC" w:rsidP="00D10AEC">
      <w:pPr>
        <w:pStyle w:val="Corpsdetexte"/>
        <w:tabs>
          <w:tab w:val="clear" w:pos="0"/>
        </w:tabs>
        <w:spacing w:line="360" w:lineRule="auto"/>
        <w:rPr>
          <w:rFonts w:ascii="Arial" w:hAnsi="Arial" w:cs="Arial"/>
          <w:sz w:val="20"/>
          <w:szCs w:val="24"/>
          <w:u w:val="single"/>
        </w:rPr>
      </w:pPr>
    </w:p>
    <w:p w:rsidR="00D10AEC" w:rsidRDefault="00D10AEC" w:rsidP="00D10AE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2"/>
      </w:r>
      <w:r>
        <w:rPr>
          <w:rFonts w:ascii="Arial" w:hAnsi="Arial" w:cs="Arial"/>
          <w:i/>
          <w:sz w:val="22"/>
          <w:szCs w:val="22"/>
        </w:rPr>
        <w:t>.</w:t>
      </w:r>
    </w:p>
    <w:p w:rsidR="00D10AEC" w:rsidRPr="00511FE0" w:rsidRDefault="00D10AEC" w:rsidP="00D10AEC">
      <w:pPr>
        <w:widowControl/>
        <w:autoSpaceDE/>
        <w:adjustRightInd/>
        <w:spacing w:line="360" w:lineRule="auto"/>
        <w:jc w:val="both"/>
        <w:rPr>
          <w:rFonts w:ascii="Arial" w:hAnsi="Arial" w:cs="Arial"/>
          <w:sz w:val="20"/>
          <w:szCs w:val="22"/>
          <w:lang w:val="es-ES_tradnl"/>
        </w:rPr>
      </w:pPr>
    </w:p>
    <w:p w:rsidR="00D10AEC" w:rsidRDefault="00D10AEC" w:rsidP="00511FE0">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3"/>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4"/>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5"/>
      </w:r>
      <w:r w:rsidR="00167C8F">
        <w:rPr>
          <w:rFonts w:ascii="Arial" w:hAnsi="Arial" w:cs="Arial"/>
          <w:szCs w:val="24"/>
          <w:vertAlign w:val="superscript"/>
        </w:rPr>
        <w:t>-</w:t>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6"/>
      </w:r>
      <w:r>
        <w:rPr>
          <w:rFonts w:ascii="Arial" w:hAnsi="Arial" w:cs="Arial"/>
          <w:vertAlign w:val="superscript"/>
        </w:rPr>
        <w:t>-</w:t>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991A48">
      <w:pPr>
        <w:pStyle w:val="Corpsdetexte"/>
        <w:numPr>
          <w:ilvl w:val="0"/>
          <w:numId w:val="33"/>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411947" w:rsidRDefault="00411947" w:rsidP="007E2CFC">
      <w:pPr>
        <w:pStyle w:val="Corpsdetexte"/>
        <w:spacing w:line="240" w:lineRule="auto"/>
        <w:rPr>
          <w:rFonts w:ascii="Arial" w:hAnsi="Arial"/>
          <w:sz w:val="20"/>
          <w:szCs w:val="24"/>
        </w:rPr>
      </w:pPr>
    </w:p>
    <w:p w:rsidR="00411947" w:rsidRPr="00411947" w:rsidRDefault="00411947" w:rsidP="00411947">
      <w:pPr>
        <w:pStyle w:val="Corpsdetexte"/>
        <w:spacing w:line="360" w:lineRule="auto"/>
        <w:rPr>
          <w:rFonts w:ascii="Arial" w:hAnsi="Arial"/>
          <w:smallCaps/>
          <w:szCs w:val="24"/>
        </w:rPr>
      </w:pPr>
      <w:r w:rsidRPr="00411947">
        <w:rPr>
          <w:rFonts w:ascii="Arial" w:hAnsi="Arial"/>
          <w:smallCaps/>
          <w:szCs w:val="24"/>
        </w:rPr>
        <w:t xml:space="preserve">8.1. </w:t>
      </w:r>
      <w:r>
        <w:rPr>
          <w:rFonts w:ascii="Arial" w:hAnsi="Arial"/>
          <w:smallCaps/>
          <w:szCs w:val="24"/>
        </w:rPr>
        <w:t xml:space="preserve">   </w:t>
      </w:r>
      <w:r w:rsidRPr="00411947">
        <w:rPr>
          <w:rFonts w:ascii="Arial" w:hAnsi="Arial"/>
          <w:smallCaps/>
          <w:szCs w:val="24"/>
        </w:rPr>
        <w:t xml:space="preserve">La </w:t>
      </w:r>
      <w:r>
        <w:rPr>
          <w:rFonts w:ascii="Arial" w:hAnsi="Arial"/>
          <w:smallCaps/>
          <w:szCs w:val="24"/>
        </w:rPr>
        <w:t>s</w:t>
      </w:r>
      <w:r w:rsidRPr="00411947">
        <w:rPr>
          <w:rFonts w:ascii="Arial" w:hAnsi="Arial"/>
          <w:smallCaps/>
          <w:szCs w:val="24"/>
        </w:rPr>
        <w:t>ubsidiariedad</w:t>
      </w:r>
    </w:p>
    <w:p w:rsidR="00411947" w:rsidRPr="00424EC5" w:rsidRDefault="00411947" w:rsidP="007E2CFC">
      <w:pPr>
        <w:pStyle w:val="Corpsdetexte"/>
        <w:spacing w:line="240" w:lineRule="auto"/>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w:t>
      </w:r>
      <w:r w:rsidRPr="003E0E8A">
        <w:rPr>
          <w:rFonts w:ascii="Arial" w:hAnsi="Arial" w:cs="Arial"/>
          <w:lang w:val="es-ES_tradnl"/>
        </w:rPr>
        <w:lastRenderedPageBreak/>
        <w:t xml:space="preserve">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EB74CB" w:rsidP="00EB74CB">
      <w:pPr>
        <w:tabs>
          <w:tab w:val="left" w:pos="2615"/>
        </w:tabs>
        <w:spacing w:line="360" w:lineRule="auto"/>
        <w:jc w:val="both"/>
        <w:rPr>
          <w:rFonts w:ascii="Arial" w:hAnsi="Arial" w:cs="Arial"/>
          <w:sz w:val="20"/>
          <w:lang w:val="es-ES_tradnl"/>
        </w:rPr>
      </w:pPr>
      <w:r>
        <w:rPr>
          <w:rFonts w:ascii="Arial" w:hAnsi="Arial" w:cs="Arial"/>
          <w:sz w:val="20"/>
          <w:lang w:val="es-ES_tradnl"/>
        </w:rPr>
        <w:tab/>
      </w:r>
    </w:p>
    <w:p w:rsidR="00DC6BEA" w:rsidRDefault="00677AA0" w:rsidP="00AA2028">
      <w:pPr>
        <w:widowControl/>
        <w:spacing w:line="360" w:lineRule="auto"/>
        <w:jc w:val="both"/>
        <w:rPr>
          <w:rFonts w:ascii="Arial" w:hAnsi="Arial" w:cs="Arial"/>
        </w:rPr>
      </w:pPr>
      <w:r>
        <w:rPr>
          <w:rFonts w:ascii="Arial" w:hAnsi="Arial" w:cs="Arial"/>
        </w:rPr>
        <w:t>El actor se duele porque</w:t>
      </w:r>
      <w:r w:rsidR="00B320F4">
        <w:rPr>
          <w:rFonts w:ascii="Arial" w:hAnsi="Arial" w:cs="Arial"/>
        </w:rPr>
        <w:t xml:space="preserve"> </w:t>
      </w:r>
      <w:r w:rsidR="00B320F4" w:rsidRPr="00EB74CB">
        <w:rPr>
          <w:rFonts w:ascii="Arial" w:hAnsi="Arial" w:cs="Arial"/>
        </w:rPr>
        <w:t>el</w:t>
      </w:r>
      <w:r w:rsidRPr="00EB74CB">
        <w:rPr>
          <w:rFonts w:ascii="Arial" w:hAnsi="Arial" w:cs="Arial"/>
        </w:rPr>
        <w:t xml:space="preserve"> accionado</w:t>
      </w:r>
      <w:r w:rsidR="00B877F0" w:rsidRPr="00EB74CB">
        <w:rPr>
          <w:rFonts w:ascii="Arial" w:hAnsi="Arial" w:cs="Arial"/>
        </w:rPr>
        <w:t xml:space="preserve"> en </w:t>
      </w:r>
      <w:r w:rsidR="00016DFF" w:rsidRPr="00EB74CB">
        <w:rPr>
          <w:rFonts w:ascii="Arial" w:hAnsi="Arial" w:cs="Arial"/>
        </w:rPr>
        <w:t>e</w:t>
      </w:r>
      <w:r w:rsidR="006F2F43" w:rsidRPr="00EB74CB">
        <w:rPr>
          <w:rFonts w:ascii="Arial" w:hAnsi="Arial" w:cs="Arial"/>
        </w:rPr>
        <w:t>l juicio</w:t>
      </w:r>
      <w:r w:rsidR="00F853E6" w:rsidRPr="00EB74CB">
        <w:rPr>
          <w:rFonts w:ascii="Arial" w:hAnsi="Arial" w:cs="Arial"/>
        </w:rPr>
        <w:t xml:space="preserve"> </w:t>
      </w:r>
      <w:r w:rsidR="00333D71" w:rsidRPr="00EB74CB">
        <w:rPr>
          <w:rFonts w:ascii="Arial" w:hAnsi="Arial" w:cs="Arial"/>
        </w:rPr>
        <w:t xml:space="preserve">radicado al </w:t>
      </w:r>
      <w:proofErr w:type="spellStart"/>
      <w:r w:rsidR="00333D71" w:rsidRPr="00EB74CB">
        <w:rPr>
          <w:rFonts w:ascii="Arial" w:hAnsi="Arial" w:cs="Arial"/>
        </w:rPr>
        <w:t>No.</w:t>
      </w:r>
      <w:r w:rsidR="006F2F43" w:rsidRPr="00EB74CB">
        <w:rPr>
          <w:rFonts w:ascii="Arial" w:hAnsi="Arial" w:cs="Arial"/>
        </w:rPr>
        <w:t>201</w:t>
      </w:r>
      <w:r w:rsidR="003F33A7" w:rsidRPr="00EB74CB">
        <w:rPr>
          <w:rFonts w:ascii="Arial" w:hAnsi="Arial" w:cs="Arial"/>
        </w:rPr>
        <w:t>5</w:t>
      </w:r>
      <w:proofErr w:type="spellEnd"/>
      <w:r w:rsidR="006F2F43" w:rsidRPr="00EB74CB">
        <w:rPr>
          <w:rFonts w:ascii="Arial" w:hAnsi="Arial" w:cs="Arial"/>
        </w:rPr>
        <w:t>-00</w:t>
      </w:r>
      <w:r w:rsidR="00B877F0" w:rsidRPr="00EB74CB">
        <w:rPr>
          <w:rFonts w:ascii="Arial" w:hAnsi="Arial" w:cs="Arial"/>
        </w:rPr>
        <w:t>321-01</w:t>
      </w:r>
      <w:r w:rsidR="008E7338" w:rsidRPr="00EB74CB">
        <w:rPr>
          <w:rFonts w:ascii="Arial" w:hAnsi="Arial" w:cs="Arial"/>
        </w:rPr>
        <w:t xml:space="preserve">, </w:t>
      </w:r>
      <w:r w:rsidR="007C09EA">
        <w:rPr>
          <w:rFonts w:ascii="Arial" w:hAnsi="Arial" w:cs="Arial"/>
        </w:rPr>
        <w:t xml:space="preserve">realizó </w:t>
      </w:r>
      <w:r w:rsidR="008E7338" w:rsidRPr="00EB74CB">
        <w:rPr>
          <w:rFonts w:ascii="Arial" w:hAnsi="Arial" w:cs="Arial"/>
        </w:rPr>
        <w:t>audiencia</w:t>
      </w:r>
      <w:r w:rsidR="00EB74CB" w:rsidRPr="00EB74CB">
        <w:rPr>
          <w:rFonts w:ascii="Arial" w:hAnsi="Arial" w:cs="Arial"/>
        </w:rPr>
        <w:t xml:space="preserve"> (Pacto de cumplimiento) por el sistema </w:t>
      </w:r>
      <w:r w:rsidR="008E7338" w:rsidRPr="00EB74CB">
        <w:rPr>
          <w:rFonts w:ascii="Arial" w:hAnsi="Arial" w:cs="Arial"/>
        </w:rPr>
        <w:t>de</w:t>
      </w:r>
      <w:r w:rsidR="00B877F0" w:rsidRPr="00EB74CB">
        <w:rPr>
          <w:rFonts w:ascii="Arial" w:hAnsi="Arial" w:cs="Arial"/>
        </w:rPr>
        <w:t xml:space="preserve"> videoconferencia, desconociendo </w:t>
      </w:r>
      <w:r w:rsidR="00EB74CB" w:rsidRPr="00EB74CB">
        <w:rPr>
          <w:rFonts w:ascii="Arial" w:hAnsi="Arial" w:cs="Arial"/>
        </w:rPr>
        <w:t>que esta Corporación</w:t>
      </w:r>
      <w:r w:rsidR="004230A8">
        <w:rPr>
          <w:rFonts w:ascii="Arial" w:hAnsi="Arial" w:cs="Arial"/>
        </w:rPr>
        <w:t xml:space="preserve"> le</w:t>
      </w:r>
      <w:r w:rsidR="00EB74CB" w:rsidRPr="00EB74CB">
        <w:rPr>
          <w:rFonts w:ascii="Arial" w:hAnsi="Arial" w:cs="Arial"/>
        </w:rPr>
        <w:t xml:space="preserve"> ha denegado </w:t>
      </w:r>
      <w:r w:rsidR="004230A8">
        <w:rPr>
          <w:rFonts w:ascii="Arial" w:hAnsi="Arial" w:cs="Arial"/>
        </w:rPr>
        <w:t>ese</w:t>
      </w:r>
      <w:r w:rsidR="00EB74CB" w:rsidRPr="00EB74CB">
        <w:rPr>
          <w:rFonts w:ascii="Arial" w:hAnsi="Arial" w:cs="Arial"/>
        </w:rPr>
        <w:t xml:space="preserve"> tipo de peticiones</w:t>
      </w:r>
      <w:r w:rsidR="00EB74CB">
        <w:rPr>
          <w:rFonts w:ascii="Arial" w:hAnsi="Arial" w:cs="Arial"/>
        </w:rPr>
        <w:t>.</w:t>
      </w:r>
    </w:p>
    <w:p w:rsidR="00016DFF" w:rsidRDefault="00016DFF" w:rsidP="007E2CFC">
      <w:pPr>
        <w:widowControl/>
        <w:jc w:val="both"/>
        <w:rPr>
          <w:rFonts w:ascii="Arial" w:hAnsi="Arial" w:cs="Arial"/>
        </w:rPr>
      </w:pPr>
    </w:p>
    <w:p w:rsidR="001178E9" w:rsidRDefault="00677AA0" w:rsidP="00AA2028">
      <w:pPr>
        <w:widowControl/>
        <w:spacing w:line="360" w:lineRule="auto"/>
        <w:jc w:val="both"/>
        <w:rPr>
          <w:rFonts w:ascii="Arial" w:hAnsi="Arial" w:cs="Arial"/>
        </w:rPr>
      </w:pPr>
      <w:r>
        <w:rPr>
          <w:rFonts w:ascii="Arial" w:hAnsi="Arial" w:cs="Arial"/>
        </w:rPr>
        <w:t>C</w:t>
      </w:r>
      <w:r w:rsidR="00D10AEC" w:rsidRPr="003E0E8A">
        <w:rPr>
          <w:rFonts w:ascii="Arial" w:hAnsi="Arial" w:cs="Arial"/>
        </w:rPr>
        <w:t xml:space="preserve">onforme al acervo probatorio </w:t>
      </w:r>
      <w:r w:rsidR="00D10AEC">
        <w:rPr>
          <w:rFonts w:ascii="Arial" w:hAnsi="Arial" w:cs="Arial"/>
        </w:rPr>
        <w:t xml:space="preserve">el </w:t>
      </w:r>
      <w:r w:rsidR="00B839A6">
        <w:rPr>
          <w:rFonts w:ascii="Arial" w:hAnsi="Arial" w:cs="Arial"/>
        </w:rPr>
        <w:t xml:space="preserve">Juzgado </w:t>
      </w:r>
      <w:r w:rsidR="00D10AEC">
        <w:rPr>
          <w:rFonts w:ascii="Arial" w:hAnsi="Arial" w:cs="Arial"/>
        </w:rPr>
        <w:t xml:space="preserve">accionado </w:t>
      </w:r>
      <w:r w:rsidR="00465FE1">
        <w:rPr>
          <w:rFonts w:ascii="Arial" w:hAnsi="Arial" w:cs="Arial"/>
        </w:rPr>
        <w:t xml:space="preserve">mediante proveído del 31-03-2017, </w:t>
      </w:r>
      <w:r w:rsidR="00A5576A">
        <w:rPr>
          <w:rFonts w:ascii="Arial" w:hAnsi="Arial" w:cs="Arial"/>
          <w:lang w:val="es-CO"/>
        </w:rPr>
        <w:t xml:space="preserve">señaló </w:t>
      </w:r>
      <w:r w:rsidR="00465FE1">
        <w:rPr>
          <w:rFonts w:ascii="Arial" w:hAnsi="Arial" w:cs="Arial"/>
          <w:lang w:val="es-CO"/>
        </w:rPr>
        <w:t xml:space="preserve">fecha </w:t>
      </w:r>
      <w:r w:rsidR="00A5576A">
        <w:rPr>
          <w:rFonts w:ascii="Arial" w:hAnsi="Arial" w:cs="Arial"/>
          <w:lang w:val="es-CO"/>
        </w:rPr>
        <w:t xml:space="preserve">para </w:t>
      </w:r>
      <w:r w:rsidR="007C09EA">
        <w:rPr>
          <w:rFonts w:ascii="Arial" w:hAnsi="Arial" w:cs="Arial"/>
          <w:lang w:val="es-CO"/>
        </w:rPr>
        <w:t>llevar a cabo</w:t>
      </w:r>
      <w:r w:rsidR="00A5576A">
        <w:rPr>
          <w:rFonts w:ascii="Arial" w:hAnsi="Arial" w:cs="Arial"/>
          <w:lang w:val="es-CO"/>
        </w:rPr>
        <w:t xml:space="preserve"> la audiencia virtual de pacto de cumplimiento por video</w:t>
      </w:r>
      <w:r w:rsidR="00465FE1">
        <w:rPr>
          <w:rFonts w:ascii="Arial" w:hAnsi="Arial" w:cs="Arial"/>
          <w:lang w:val="es-CO"/>
        </w:rPr>
        <w:t>-</w:t>
      </w:r>
      <w:r w:rsidR="00A5576A">
        <w:rPr>
          <w:rFonts w:ascii="Arial" w:hAnsi="Arial" w:cs="Arial"/>
          <w:lang w:val="es-CO"/>
        </w:rPr>
        <w:t>llamada</w:t>
      </w:r>
      <w:r w:rsidR="00B839A6">
        <w:rPr>
          <w:rFonts w:ascii="Arial" w:hAnsi="Arial" w:cs="Arial"/>
          <w:lang w:val="es-CO"/>
        </w:rPr>
        <w:t xml:space="preserve"> </w:t>
      </w:r>
      <w:r w:rsidR="00465FE1" w:rsidRPr="00465FE1">
        <w:rPr>
          <w:rFonts w:ascii="Arial" w:hAnsi="Arial" w:cs="Arial"/>
          <w:i/>
          <w:lang w:val="es-CO"/>
        </w:rPr>
        <w:t>“</w:t>
      </w:r>
      <w:proofErr w:type="spellStart"/>
      <w:r w:rsidR="00A5576A" w:rsidRPr="00465FE1">
        <w:rPr>
          <w:rFonts w:ascii="Arial" w:hAnsi="Arial" w:cs="Arial"/>
          <w:i/>
          <w:lang w:val="es-CO"/>
        </w:rPr>
        <w:t>Skipe</w:t>
      </w:r>
      <w:proofErr w:type="spellEnd"/>
      <w:r w:rsidR="00465FE1" w:rsidRPr="00465FE1">
        <w:rPr>
          <w:rFonts w:ascii="Arial" w:hAnsi="Arial" w:cs="Arial"/>
          <w:i/>
          <w:lang w:val="es-CO"/>
        </w:rPr>
        <w:t>”</w:t>
      </w:r>
      <w:r w:rsidR="00A5576A">
        <w:rPr>
          <w:rFonts w:ascii="Arial" w:hAnsi="Arial" w:cs="Arial"/>
          <w:lang w:val="es-CO"/>
        </w:rPr>
        <w:t xml:space="preserve"> (Folio 13</w:t>
      </w:r>
      <w:r w:rsidR="00930D34">
        <w:rPr>
          <w:rFonts w:ascii="Arial" w:hAnsi="Arial" w:cs="Arial"/>
          <w:lang w:val="es-CO"/>
        </w:rPr>
        <w:t>8</w:t>
      </w:r>
      <w:r w:rsidR="00A5576A">
        <w:rPr>
          <w:rFonts w:ascii="Arial" w:hAnsi="Arial" w:cs="Arial"/>
          <w:lang w:val="es-CO"/>
        </w:rPr>
        <w:t>, del disco compacto visible a folio 25</w:t>
      </w:r>
      <w:r w:rsidR="00930D34">
        <w:rPr>
          <w:rFonts w:ascii="Arial" w:hAnsi="Arial" w:cs="Arial"/>
          <w:lang w:val="es-CO"/>
        </w:rPr>
        <w:t xml:space="preserve"> del cuaderno </w:t>
      </w:r>
      <w:proofErr w:type="spellStart"/>
      <w:r w:rsidR="00930D34">
        <w:rPr>
          <w:rFonts w:ascii="Arial" w:hAnsi="Arial" w:cs="Arial"/>
          <w:lang w:val="es-CO"/>
        </w:rPr>
        <w:t>No.1</w:t>
      </w:r>
      <w:proofErr w:type="spellEnd"/>
      <w:r w:rsidR="00A5576A">
        <w:rPr>
          <w:rFonts w:ascii="Arial" w:hAnsi="Arial" w:cs="Arial"/>
          <w:lang w:val="es-CO"/>
        </w:rPr>
        <w:t>)</w:t>
      </w:r>
      <w:r w:rsidR="00930D34">
        <w:rPr>
          <w:rFonts w:ascii="Arial" w:hAnsi="Arial" w:cs="Arial"/>
          <w:lang w:val="es-CO"/>
        </w:rPr>
        <w:t>; decisión</w:t>
      </w:r>
      <w:r w:rsidR="00BF0D9E">
        <w:rPr>
          <w:rFonts w:ascii="Arial" w:hAnsi="Arial" w:cs="Arial"/>
        </w:rPr>
        <w:t xml:space="preserve"> notificad</w:t>
      </w:r>
      <w:r w:rsidR="00930D34">
        <w:rPr>
          <w:rFonts w:ascii="Arial" w:hAnsi="Arial" w:cs="Arial"/>
        </w:rPr>
        <w:t>a</w:t>
      </w:r>
      <w:r w:rsidR="00BF0D9E">
        <w:rPr>
          <w:rFonts w:ascii="Arial" w:hAnsi="Arial" w:cs="Arial"/>
        </w:rPr>
        <w:t xml:space="preserve"> </w:t>
      </w:r>
      <w:r w:rsidR="00465FE1">
        <w:rPr>
          <w:rFonts w:ascii="Arial" w:hAnsi="Arial" w:cs="Arial"/>
        </w:rPr>
        <w:t xml:space="preserve">con </w:t>
      </w:r>
      <w:r w:rsidR="00BF0D9E">
        <w:rPr>
          <w:rFonts w:ascii="Arial" w:hAnsi="Arial" w:cs="Arial"/>
        </w:rPr>
        <w:t xml:space="preserve">fijación en </w:t>
      </w:r>
      <w:r w:rsidR="00465FE1">
        <w:rPr>
          <w:rFonts w:ascii="Arial" w:hAnsi="Arial" w:cs="Arial"/>
        </w:rPr>
        <w:t xml:space="preserve">el </w:t>
      </w:r>
      <w:r w:rsidR="00BF0D9E">
        <w:rPr>
          <w:rFonts w:ascii="Arial" w:hAnsi="Arial" w:cs="Arial"/>
        </w:rPr>
        <w:t xml:space="preserve">estado </w:t>
      </w:r>
      <w:r w:rsidR="00930D34">
        <w:rPr>
          <w:rFonts w:ascii="Arial" w:hAnsi="Arial" w:cs="Arial"/>
        </w:rPr>
        <w:t xml:space="preserve">del 03-04-2017, sin </w:t>
      </w:r>
      <w:r w:rsidR="00411947">
        <w:rPr>
          <w:rFonts w:ascii="Arial" w:hAnsi="Arial" w:cs="Arial"/>
        </w:rPr>
        <w:t>que haya sido recurrida (F</w:t>
      </w:r>
      <w:r w:rsidR="00930D34">
        <w:rPr>
          <w:rFonts w:ascii="Arial" w:hAnsi="Arial" w:cs="Arial"/>
        </w:rPr>
        <w:t>olio 31</w:t>
      </w:r>
      <w:r w:rsidR="00411947">
        <w:rPr>
          <w:rFonts w:ascii="Arial" w:hAnsi="Arial" w:cs="Arial"/>
        </w:rPr>
        <w:t>,</w:t>
      </w:r>
      <w:r w:rsidR="00930D34">
        <w:rPr>
          <w:rFonts w:ascii="Arial" w:hAnsi="Arial" w:cs="Arial"/>
        </w:rPr>
        <w:t xml:space="preserve"> </w:t>
      </w:r>
      <w:proofErr w:type="spellStart"/>
      <w:r w:rsidR="00930D34">
        <w:rPr>
          <w:rFonts w:ascii="Arial" w:hAnsi="Arial" w:cs="Arial"/>
        </w:rPr>
        <w:t>ib</w:t>
      </w:r>
      <w:proofErr w:type="spellEnd"/>
      <w:r w:rsidR="00411947">
        <w:rPr>
          <w:rFonts w:ascii="Arial" w:hAnsi="Arial" w:cs="Arial"/>
        </w:rPr>
        <w:t>)</w:t>
      </w:r>
      <w:r w:rsidR="001178E9">
        <w:rPr>
          <w:rFonts w:ascii="Arial" w:hAnsi="Arial" w:cs="Arial"/>
        </w:rPr>
        <w:t>.</w:t>
      </w:r>
    </w:p>
    <w:p w:rsidR="001178E9" w:rsidRDefault="001178E9" w:rsidP="007E2CFC">
      <w:pPr>
        <w:widowControl/>
        <w:jc w:val="both"/>
        <w:rPr>
          <w:rFonts w:ascii="Arial" w:hAnsi="Arial" w:cs="Arial"/>
        </w:rPr>
      </w:pPr>
    </w:p>
    <w:p w:rsidR="00A344D0" w:rsidRDefault="007806D0" w:rsidP="007806D0">
      <w:pPr>
        <w:widowControl/>
        <w:spacing w:line="360" w:lineRule="auto"/>
        <w:jc w:val="both"/>
        <w:rPr>
          <w:rFonts w:ascii="Arial" w:hAnsi="Arial" w:cs="Arial"/>
        </w:rPr>
      </w:pPr>
      <w:r>
        <w:rPr>
          <w:rFonts w:ascii="Arial" w:hAnsi="Arial" w:cs="Arial"/>
        </w:rPr>
        <w:t>Bajo esta óptica</w:t>
      </w:r>
      <w:r w:rsidR="00A344D0" w:rsidRPr="0004784E">
        <w:rPr>
          <w:rFonts w:ascii="Arial" w:hAnsi="Arial" w:cs="Arial"/>
        </w:rPr>
        <w:t xml:space="preserve">, </w:t>
      </w:r>
      <w:r w:rsidR="00A344D0">
        <w:rPr>
          <w:rFonts w:ascii="Arial" w:hAnsi="Arial" w:cs="Arial"/>
        </w:rPr>
        <w:t xml:space="preserve">se tiene que en el </w:t>
      </w:r>
      <w:r w:rsidR="00A344D0" w:rsidRPr="00403DB2">
        <w:rPr>
          <w:rFonts w:ascii="Arial" w:hAnsi="Arial" w:cs="Arial"/>
        </w:rPr>
        <w:t>presente asunto constitucional el accionante pretermitió agotar el recurso de reposición frente a</w:t>
      </w:r>
      <w:r w:rsidR="00A344D0">
        <w:rPr>
          <w:rFonts w:ascii="Arial" w:hAnsi="Arial" w:cs="Arial"/>
        </w:rPr>
        <w:t xml:space="preserve">l </w:t>
      </w:r>
      <w:r w:rsidR="00411947">
        <w:rPr>
          <w:rFonts w:ascii="Arial" w:hAnsi="Arial" w:cs="Arial"/>
        </w:rPr>
        <w:t xml:space="preserve">aludido proveído, </w:t>
      </w:r>
      <w:r w:rsidR="00A344D0" w:rsidRPr="00403DB2">
        <w:rPr>
          <w:rFonts w:ascii="Arial" w:hAnsi="Arial" w:cs="Arial"/>
        </w:rPr>
        <w:t xml:space="preserve">cuando ese era el mecanismo ordinario </w:t>
      </w:r>
      <w:r w:rsidR="00A15106">
        <w:rPr>
          <w:rFonts w:ascii="Arial" w:hAnsi="Arial" w:cs="Arial"/>
        </w:rPr>
        <w:t xml:space="preserve">y expedito que tenía para </w:t>
      </w:r>
      <w:r w:rsidR="00A344D0" w:rsidRPr="00403DB2">
        <w:rPr>
          <w:rFonts w:ascii="Arial" w:hAnsi="Arial" w:cs="Arial"/>
        </w:rPr>
        <w:t xml:space="preserve">que el estrado judicial </w:t>
      </w:r>
      <w:r w:rsidR="00411947">
        <w:rPr>
          <w:rFonts w:ascii="Arial" w:hAnsi="Arial" w:cs="Arial"/>
        </w:rPr>
        <w:t xml:space="preserve">reconsiderara su </w:t>
      </w:r>
      <w:r w:rsidR="005F4F1B">
        <w:rPr>
          <w:rFonts w:ascii="Arial" w:hAnsi="Arial" w:cs="Arial"/>
        </w:rPr>
        <w:t>decisión</w:t>
      </w:r>
      <w:r>
        <w:rPr>
          <w:rFonts w:ascii="Arial" w:hAnsi="Arial" w:cs="Arial"/>
        </w:rPr>
        <w:t>.</w:t>
      </w:r>
    </w:p>
    <w:p w:rsidR="007806D0" w:rsidRDefault="007806D0" w:rsidP="007E2CFC">
      <w:pPr>
        <w:widowControl/>
        <w:jc w:val="both"/>
        <w:rPr>
          <w:rFonts w:ascii="Arial" w:hAnsi="Arial" w:cs="Arial"/>
          <w:lang w:val="es-ES_tradnl"/>
        </w:rPr>
      </w:pPr>
    </w:p>
    <w:p w:rsidR="00AB69A6" w:rsidRDefault="00AB69A6" w:rsidP="00AB69A6">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7"/>
      </w:r>
      <w:r w:rsidRPr="00A80FCC">
        <w:rPr>
          <w:rFonts w:ascii="Arial" w:hAnsi="Arial" w:cs="Arial"/>
        </w:rPr>
        <w:t xml:space="preserve">. </w:t>
      </w:r>
    </w:p>
    <w:p w:rsidR="00D10AEC" w:rsidRPr="004B7598" w:rsidRDefault="00D10AEC" w:rsidP="00AB69A6">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8"/>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A15106" w:rsidRDefault="00D10AEC" w:rsidP="00D10AEC">
      <w:pPr>
        <w:spacing w:line="360" w:lineRule="auto"/>
        <w:ind w:right="51"/>
        <w:jc w:val="both"/>
        <w:rPr>
          <w:rFonts w:ascii="Arial" w:hAnsi="Arial" w:cs="Arial"/>
          <w:lang w:val="es-CO"/>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w:t>
      </w:r>
      <w:r w:rsidRPr="00813269">
        <w:rPr>
          <w:rFonts w:ascii="Arial" w:hAnsi="Arial" w:cs="Arial"/>
          <w:lang w:val="es-ES_tradnl"/>
        </w:rPr>
        <w:t xml:space="preserve">procedibilidad, como lo es el de la subsidiariedad, </w:t>
      </w:r>
      <w:r w:rsidR="005E276A" w:rsidRPr="00813269">
        <w:rPr>
          <w:rFonts w:ascii="Arial" w:hAnsi="Arial" w:cs="Arial"/>
          <w:lang w:val="es-ES_tradnl"/>
        </w:rPr>
        <w:t>dado que</w:t>
      </w:r>
      <w:r w:rsidR="002C34FF" w:rsidRPr="00813269">
        <w:rPr>
          <w:rFonts w:ascii="Arial" w:hAnsi="Arial" w:cs="Arial"/>
          <w:lang w:val="es-ES_tradnl"/>
        </w:rPr>
        <w:t xml:space="preserve"> no </w:t>
      </w:r>
      <w:r w:rsidR="00411947">
        <w:rPr>
          <w:rFonts w:ascii="Arial" w:hAnsi="Arial" w:cs="Arial"/>
          <w:lang w:val="es-ES_tradnl"/>
        </w:rPr>
        <w:t>se agotó el recurso de reposición</w:t>
      </w:r>
      <w:r w:rsidR="00A15106">
        <w:rPr>
          <w:rFonts w:ascii="Arial" w:hAnsi="Arial" w:cs="Arial"/>
          <w:lang w:val="es-CO"/>
        </w:rPr>
        <w:t>.</w:t>
      </w:r>
    </w:p>
    <w:p w:rsidR="001D4D7B" w:rsidRDefault="00813269" w:rsidP="00D10AEC">
      <w:pPr>
        <w:spacing w:line="360" w:lineRule="auto"/>
        <w:ind w:right="51"/>
        <w:jc w:val="both"/>
        <w:rPr>
          <w:rFonts w:ascii="Arial" w:hAnsi="Arial"/>
        </w:rPr>
      </w:pPr>
      <w:r>
        <w:rPr>
          <w:rFonts w:ascii="Arial" w:hAnsi="Arial"/>
        </w:rPr>
        <w:t xml:space="preserve"> </w:t>
      </w:r>
    </w:p>
    <w:p w:rsidR="00446B54" w:rsidRPr="00411947" w:rsidRDefault="00446B54" w:rsidP="00411947">
      <w:pPr>
        <w:pStyle w:val="Paragraphedeliste"/>
        <w:widowControl/>
        <w:numPr>
          <w:ilvl w:val="1"/>
          <w:numId w:val="37"/>
        </w:numPr>
        <w:spacing w:line="360" w:lineRule="auto"/>
        <w:ind w:left="567" w:hanging="567"/>
        <w:jc w:val="both"/>
        <w:rPr>
          <w:rFonts w:ascii="Arial" w:hAnsi="Arial"/>
          <w:smallCaps/>
          <w:lang w:val="es-CO"/>
        </w:rPr>
      </w:pPr>
      <w:r w:rsidRPr="00411947">
        <w:rPr>
          <w:rFonts w:ascii="Arial" w:hAnsi="Arial"/>
          <w:smallCaps/>
          <w:lang w:val="es-CO"/>
        </w:rPr>
        <w:t xml:space="preserve">La Inexistencia de hechos </w:t>
      </w:r>
    </w:p>
    <w:p w:rsidR="00446B54" w:rsidRPr="00411947" w:rsidRDefault="00446B54" w:rsidP="007E2CFC">
      <w:pPr>
        <w:pStyle w:val="Paragraphedeliste"/>
        <w:widowControl/>
        <w:ind w:left="720"/>
        <w:jc w:val="both"/>
        <w:rPr>
          <w:rFonts w:ascii="Arial" w:hAnsi="Arial"/>
          <w:smallCaps/>
          <w:lang w:val="es-CO"/>
        </w:rPr>
      </w:pPr>
    </w:p>
    <w:p w:rsidR="00446B54" w:rsidRDefault="00A15106" w:rsidP="00446B54">
      <w:pPr>
        <w:spacing w:line="360" w:lineRule="auto"/>
        <w:jc w:val="both"/>
        <w:rPr>
          <w:rFonts w:ascii="Arial" w:hAnsi="Arial"/>
          <w:lang w:val="es-CO"/>
        </w:rPr>
      </w:pPr>
      <w:r>
        <w:rPr>
          <w:rFonts w:ascii="Arial" w:hAnsi="Arial"/>
          <w:lang w:val="es-CO"/>
        </w:rPr>
        <w:t xml:space="preserve">En cuanto </w:t>
      </w:r>
      <w:r w:rsidR="00446B54" w:rsidRPr="000D646D">
        <w:rPr>
          <w:rFonts w:ascii="Arial" w:hAnsi="Arial"/>
          <w:lang w:val="es-CO"/>
        </w:rPr>
        <w:t>a</w:t>
      </w:r>
      <w:r w:rsidR="00446B54">
        <w:rPr>
          <w:rFonts w:ascii="Arial" w:hAnsi="Arial"/>
          <w:lang w:val="es-CO"/>
        </w:rPr>
        <w:t>l</w:t>
      </w:r>
      <w:r w:rsidR="00446B54" w:rsidRPr="000D646D">
        <w:rPr>
          <w:rFonts w:ascii="Arial" w:hAnsi="Arial"/>
          <w:lang w:val="es-CO"/>
        </w:rPr>
        <w:t xml:space="preserve"> amparo presentado contra</w:t>
      </w:r>
      <w:r w:rsidR="00446B54" w:rsidRPr="000A23B9">
        <w:rPr>
          <w:rFonts w:ascii="Arial" w:hAnsi="Arial"/>
          <w:lang w:val="es-CO"/>
        </w:rPr>
        <w:t xml:space="preserve"> </w:t>
      </w:r>
      <w:r w:rsidR="008B7FEA">
        <w:rPr>
          <w:rFonts w:ascii="Arial" w:hAnsi="Arial"/>
          <w:lang w:val="es-CO"/>
        </w:rPr>
        <w:t>el</w:t>
      </w:r>
      <w:r w:rsidR="00446B54" w:rsidRPr="000A23B9">
        <w:rPr>
          <w:rFonts w:ascii="Arial" w:hAnsi="Arial"/>
          <w:lang w:val="es-CO"/>
        </w:rPr>
        <w:t xml:space="preserve"> CSJ Seccional Risaralda, </w:t>
      </w:r>
      <w:r w:rsidR="00446B54">
        <w:rPr>
          <w:rFonts w:ascii="Arial" w:hAnsi="Arial"/>
          <w:lang w:val="es-CO"/>
        </w:rPr>
        <w:t xml:space="preserve">encuentra </w:t>
      </w:r>
      <w:r w:rsidR="00446B54" w:rsidRPr="000A23B9">
        <w:rPr>
          <w:rFonts w:ascii="Arial" w:hAnsi="Arial"/>
          <w:lang w:val="es-CO"/>
        </w:rPr>
        <w:t>la Sala</w:t>
      </w:r>
      <w:r w:rsidR="00446B54">
        <w:rPr>
          <w:rFonts w:ascii="Arial" w:hAnsi="Arial"/>
          <w:lang w:val="es-CO"/>
        </w:rPr>
        <w:t>,</w:t>
      </w:r>
      <w:r w:rsidR="00446B54" w:rsidRPr="000A23B9">
        <w:rPr>
          <w:rFonts w:ascii="Arial" w:hAnsi="Arial"/>
          <w:lang w:val="es-CO"/>
        </w:rPr>
        <w:t xml:space="preserve"> sin mayor </w:t>
      </w:r>
      <w:r w:rsidR="00446B54">
        <w:rPr>
          <w:rFonts w:ascii="Arial" w:hAnsi="Arial"/>
          <w:lang w:val="es-CO"/>
        </w:rPr>
        <w:t>análisis,</w:t>
      </w:r>
      <w:r w:rsidR="00446B54" w:rsidRPr="000A23B9">
        <w:rPr>
          <w:rFonts w:ascii="Arial" w:hAnsi="Arial"/>
          <w:lang w:val="es-CO"/>
        </w:rPr>
        <w:t xml:space="preserve"> que también debe </w:t>
      </w:r>
      <w:r w:rsidR="00446B54">
        <w:rPr>
          <w:rFonts w:ascii="Arial" w:hAnsi="Arial"/>
          <w:lang w:val="es-CO"/>
        </w:rPr>
        <w:t>negarse</w:t>
      </w:r>
      <w:r w:rsidR="00446B54" w:rsidRPr="000A23B9">
        <w:rPr>
          <w:rFonts w:ascii="Arial" w:hAnsi="Arial"/>
          <w:lang w:val="es-CO"/>
        </w:rPr>
        <w:t xml:space="preserve">, por cuenta de la inexistencia de hechos </w:t>
      </w:r>
      <w:r w:rsidR="00446B54" w:rsidRPr="000A23B9">
        <w:rPr>
          <w:rFonts w:ascii="Arial" w:hAnsi="Arial"/>
          <w:lang w:val="es-CO"/>
        </w:rPr>
        <w:lastRenderedPageBreak/>
        <w:t xml:space="preserve">vulneradores de los derechos fundamentales invocados; el accionante no </w:t>
      </w:r>
      <w:r w:rsidR="00446B54">
        <w:rPr>
          <w:rFonts w:ascii="Arial" w:hAnsi="Arial"/>
          <w:lang w:val="es-CO"/>
        </w:rPr>
        <w:t xml:space="preserve">tuvo a bien acercar </w:t>
      </w:r>
      <w:r w:rsidR="00446B54" w:rsidRPr="000A23B9">
        <w:rPr>
          <w:rFonts w:ascii="Arial" w:hAnsi="Arial"/>
          <w:lang w:val="es-CO"/>
        </w:rPr>
        <w:t>con</w:t>
      </w:r>
      <w:r w:rsidR="00446B54">
        <w:rPr>
          <w:rFonts w:ascii="Arial" w:hAnsi="Arial"/>
          <w:lang w:val="es-CO"/>
        </w:rPr>
        <w:t xml:space="preserve"> el </w:t>
      </w:r>
      <w:r w:rsidR="00446B54" w:rsidRPr="000A23B9">
        <w:rPr>
          <w:rFonts w:ascii="Arial" w:hAnsi="Arial"/>
          <w:lang w:val="es-CO"/>
        </w:rPr>
        <w:t xml:space="preserve">petitorio de tutela </w:t>
      </w:r>
      <w:r w:rsidR="00446B54">
        <w:rPr>
          <w:rFonts w:ascii="Arial" w:hAnsi="Arial"/>
          <w:lang w:val="es-CO"/>
        </w:rPr>
        <w:t xml:space="preserve">un documento que acreditara la presentación de </w:t>
      </w:r>
      <w:r w:rsidR="00446B54" w:rsidRPr="000A23B9">
        <w:rPr>
          <w:rFonts w:ascii="Arial" w:hAnsi="Arial"/>
          <w:lang w:val="es-CO"/>
        </w:rPr>
        <w:t>la solicitud de vigilancia administrativa</w:t>
      </w:r>
      <w:r w:rsidR="002057E4">
        <w:rPr>
          <w:rFonts w:ascii="Arial" w:hAnsi="Arial"/>
          <w:lang w:val="es-CO"/>
        </w:rPr>
        <w:t xml:space="preserve"> en aquel pro</w:t>
      </w:r>
      <w:r w:rsidR="008B7FEA">
        <w:rPr>
          <w:rFonts w:ascii="Arial" w:hAnsi="Arial"/>
          <w:lang w:val="es-CO"/>
        </w:rPr>
        <w:t xml:space="preserve">ceso, </w:t>
      </w:r>
      <w:r w:rsidR="00446B54">
        <w:rPr>
          <w:rFonts w:ascii="Arial" w:hAnsi="Arial"/>
          <w:lang w:val="es-CO"/>
        </w:rPr>
        <w:t xml:space="preserve">por el contrario </w:t>
      </w:r>
      <w:r w:rsidR="00446B54" w:rsidRPr="000A23B9">
        <w:rPr>
          <w:rFonts w:ascii="Arial" w:hAnsi="Arial"/>
          <w:lang w:val="es-CO"/>
        </w:rPr>
        <w:t xml:space="preserve">la autoridad accionada </w:t>
      </w:r>
      <w:r w:rsidR="002057E4">
        <w:rPr>
          <w:rFonts w:ascii="Arial" w:hAnsi="Arial"/>
          <w:lang w:val="es-CO"/>
        </w:rPr>
        <w:t xml:space="preserve">afirmó </w:t>
      </w:r>
      <w:r w:rsidR="00446B54" w:rsidRPr="000A23B9">
        <w:rPr>
          <w:rFonts w:ascii="Arial" w:hAnsi="Arial"/>
          <w:lang w:val="es-CO"/>
        </w:rPr>
        <w:t>que no ha recibido ninguna petición relacio</w:t>
      </w:r>
      <w:r w:rsidR="00446B54">
        <w:rPr>
          <w:rFonts w:ascii="Arial" w:hAnsi="Arial"/>
          <w:lang w:val="es-CO"/>
        </w:rPr>
        <w:t>nada con la acción descrita anteriormente.</w:t>
      </w:r>
    </w:p>
    <w:p w:rsidR="00411947" w:rsidRDefault="00411947" w:rsidP="00446B54">
      <w:pPr>
        <w:spacing w:line="360" w:lineRule="auto"/>
        <w:jc w:val="both"/>
        <w:rPr>
          <w:rFonts w:ascii="Arial" w:hAnsi="Arial"/>
          <w:lang w:val="es-CO"/>
        </w:rPr>
      </w:pPr>
    </w:p>
    <w:p w:rsidR="00446B54" w:rsidRDefault="00446B54" w:rsidP="00411947">
      <w:pPr>
        <w:pStyle w:val="Corpsdetexte"/>
        <w:numPr>
          <w:ilvl w:val="0"/>
          <w:numId w:val="37"/>
        </w:numPr>
        <w:spacing w:line="360" w:lineRule="auto"/>
        <w:rPr>
          <w:rFonts w:ascii="Arial" w:hAnsi="Arial"/>
          <w:szCs w:val="24"/>
        </w:rPr>
      </w:pPr>
      <w:r w:rsidRPr="00F36F9C">
        <w:rPr>
          <w:rFonts w:ascii="Arial" w:hAnsi="Arial"/>
          <w:szCs w:val="24"/>
        </w:rPr>
        <w:t xml:space="preserve">LAS CONCLUSIONES </w:t>
      </w:r>
    </w:p>
    <w:p w:rsidR="00446B54" w:rsidRDefault="00446B54" w:rsidP="00446B54">
      <w:pPr>
        <w:pStyle w:val="Corpsdetexte"/>
        <w:spacing w:line="360" w:lineRule="auto"/>
        <w:rPr>
          <w:rFonts w:ascii="Arial" w:hAnsi="Arial" w:cs="Arial"/>
          <w:sz w:val="20"/>
          <w:szCs w:val="24"/>
          <w:lang w:val="es-ES"/>
        </w:rPr>
      </w:pPr>
    </w:p>
    <w:p w:rsidR="00446B54" w:rsidRDefault="00446B54" w:rsidP="00446B54">
      <w:pPr>
        <w:spacing w:line="360" w:lineRule="auto"/>
        <w:jc w:val="both"/>
        <w:rPr>
          <w:rFonts w:ascii="Arial" w:hAnsi="Arial" w:cs="Arial"/>
        </w:rPr>
      </w:pPr>
      <w:r w:rsidRPr="005B66E9">
        <w:rPr>
          <w:rFonts w:ascii="Arial" w:hAnsi="Arial" w:cs="Arial"/>
        </w:rPr>
        <w:t>Con fundamento en las consideraciones expuestas se declarará improcedente la tutela</w:t>
      </w:r>
      <w:r>
        <w:rPr>
          <w:rFonts w:ascii="Arial" w:hAnsi="Arial" w:cs="Arial"/>
        </w:rPr>
        <w:t xml:space="preserve"> </w:t>
      </w:r>
      <w:r w:rsidR="007806D0">
        <w:rPr>
          <w:rFonts w:ascii="Arial" w:hAnsi="Arial" w:cs="Arial"/>
        </w:rPr>
        <w:t>interpuesta contra el</w:t>
      </w:r>
      <w:r>
        <w:rPr>
          <w:rFonts w:ascii="Arial" w:hAnsi="Arial" w:cs="Arial"/>
        </w:rPr>
        <w:t xml:space="preserve"> Juzgado </w:t>
      </w:r>
      <w:r w:rsidR="002057E4">
        <w:rPr>
          <w:rFonts w:ascii="Arial" w:hAnsi="Arial" w:cs="Arial"/>
        </w:rPr>
        <w:t>Promiscuo del Circuito de La Virginia</w:t>
      </w:r>
      <w:r w:rsidR="00462B0C">
        <w:rPr>
          <w:rFonts w:ascii="Arial" w:hAnsi="Arial" w:cs="Arial"/>
        </w:rPr>
        <w:t xml:space="preserve"> y la Procuraduría General de la Nación, Regional Santander</w:t>
      </w:r>
      <w:r>
        <w:rPr>
          <w:rFonts w:ascii="Arial" w:hAnsi="Arial" w:cs="Arial"/>
        </w:rPr>
        <w:t>, y se negará frente a la Sala Administrativa de la CSJ, Seccional Risaralda</w:t>
      </w:r>
      <w:r w:rsidR="00875B84">
        <w:rPr>
          <w:rFonts w:ascii="Arial" w:hAnsi="Arial" w:cs="Arial"/>
        </w:rPr>
        <w:t>.</w:t>
      </w:r>
    </w:p>
    <w:p w:rsidR="00446B54" w:rsidRPr="00001BE1" w:rsidRDefault="00446B54" w:rsidP="00446B54">
      <w:pPr>
        <w:pStyle w:val="Corpsdetexte"/>
        <w:tabs>
          <w:tab w:val="clear" w:pos="708"/>
        </w:tabs>
        <w:spacing w:line="360" w:lineRule="auto"/>
        <w:rPr>
          <w:rFonts w:ascii="Arial" w:hAnsi="Arial" w:cs="Arial"/>
          <w:szCs w:val="24"/>
          <w:lang w:val="es-CO"/>
        </w:rPr>
      </w:pPr>
    </w:p>
    <w:p w:rsidR="00446B54" w:rsidRPr="00A30437" w:rsidRDefault="00446B54" w:rsidP="00446B54">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446B54" w:rsidRPr="003F6C16" w:rsidRDefault="00446B54" w:rsidP="00446B54">
      <w:pPr>
        <w:tabs>
          <w:tab w:val="left" w:pos="-720"/>
        </w:tabs>
        <w:suppressAutoHyphens/>
        <w:spacing w:line="360" w:lineRule="auto"/>
        <w:jc w:val="both"/>
        <w:rPr>
          <w:rFonts w:ascii="Arial" w:hAnsi="Arial" w:cs="Arial"/>
          <w:sz w:val="4"/>
        </w:rPr>
      </w:pPr>
    </w:p>
    <w:p w:rsidR="00446B54" w:rsidRPr="009D5231" w:rsidRDefault="00446B54" w:rsidP="00446B54">
      <w:pPr>
        <w:pStyle w:val="Corpsdetexte"/>
        <w:spacing w:line="360" w:lineRule="auto"/>
        <w:jc w:val="center"/>
        <w:rPr>
          <w:rFonts w:ascii="Arial" w:hAnsi="Arial" w:cs="Arial"/>
          <w:bCs/>
          <w:smallCaps/>
          <w:sz w:val="2"/>
          <w:szCs w:val="24"/>
        </w:rPr>
      </w:pPr>
    </w:p>
    <w:p w:rsidR="00446B54" w:rsidRDefault="00446B54" w:rsidP="00446B54">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446B54" w:rsidRPr="00656E3A" w:rsidRDefault="00446B54" w:rsidP="00446B54">
      <w:pPr>
        <w:pStyle w:val="Corpsdetexte"/>
        <w:spacing w:line="360" w:lineRule="auto"/>
        <w:jc w:val="center"/>
        <w:rPr>
          <w:rFonts w:ascii="Arial" w:hAnsi="Arial" w:cs="Arial"/>
          <w:bCs/>
          <w:smallCaps/>
          <w:sz w:val="16"/>
          <w:szCs w:val="24"/>
        </w:rPr>
      </w:pPr>
    </w:p>
    <w:p w:rsidR="00446B54" w:rsidRDefault="00446B54" w:rsidP="00446B5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B317D">
        <w:rPr>
          <w:rFonts w:ascii="Arial" w:hAnsi="Arial"/>
        </w:rPr>
        <w:t>DECLARAR</w:t>
      </w:r>
      <w:r w:rsidRPr="00CB317D">
        <w:rPr>
          <w:rFonts w:ascii="Arial" w:hAnsi="Arial" w:cs="Arial"/>
        </w:rPr>
        <w:t xml:space="preserve"> improcedente la tutela propuesta por el señor Javier Elías Arias </w:t>
      </w:r>
      <w:proofErr w:type="spellStart"/>
      <w:r w:rsidRPr="00CB317D">
        <w:rPr>
          <w:rFonts w:ascii="Arial" w:hAnsi="Arial" w:cs="Arial"/>
        </w:rPr>
        <w:t>Idárraga</w:t>
      </w:r>
      <w:proofErr w:type="spellEnd"/>
      <w:r w:rsidRPr="00CB317D">
        <w:rPr>
          <w:rFonts w:ascii="Arial" w:hAnsi="Arial" w:cs="Arial"/>
        </w:rPr>
        <w:t xml:space="preserve"> contra el Juzgado</w:t>
      </w:r>
      <w:r w:rsidR="00604F79">
        <w:rPr>
          <w:rFonts w:ascii="Arial" w:hAnsi="Arial" w:cs="Arial"/>
        </w:rPr>
        <w:t xml:space="preserve"> Promiscuo del Circuito de La Virginia y la Procuraduría General de la Nación, Regional Santander.</w:t>
      </w:r>
      <w:r w:rsidRPr="00CB317D">
        <w:rPr>
          <w:rFonts w:ascii="Arial" w:hAnsi="Arial" w:cs="Arial"/>
        </w:rPr>
        <w:t xml:space="preserve"> </w:t>
      </w:r>
    </w:p>
    <w:p w:rsidR="00656E3A" w:rsidRDefault="00656E3A" w:rsidP="00656E3A">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446B54" w:rsidRDefault="00446B54" w:rsidP="00446B5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el amparo constitucional presentado frente al CSJ Seccional Risaralda, por inexistencia de vulneración o amenaza de los derechos fundamentales deprecados.</w:t>
      </w:r>
    </w:p>
    <w:p w:rsidR="00656E3A" w:rsidRPr="00656E3A" w:rsidRDefault="00656E3A" w:rsidP="00656E3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656E3A" w:rsidRPr="00656E3A" w:rsidRDefault="00656E3A" w:rsidP="00656E3A">
      <w:pPr>
        <w:pStyle w:val="Corpsdetexte"/>
        <w:tabs>
          <w:tab w:val="clear" w:pos="708"/>
        </w:tabs>
        <w:spacing w:line="360" w:lineRule="auto"/>
        <w:ind w:left="360"/>
        <w:rPr>
          <w:rFonts w:ascii="Arial" w:hAnsi="Arial" w:cs="Arial"/>
          <w:sz w:val="22"/>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656E3A" w:rsidRPr="00656E3A" w:rsidRDefault="00656E3A" w:rsidP="00656E3A">
      <w:pPr>
        <w:pStyle w:val="Paragraphedeliste"/>
        <w:widowControl/>
        <w:autoSpaceDE/>
        <w:autoSpaceDN/>
        <w:adjustRightInd/>
        <w:spacing w:line="360" w:lineRule="auto"/>
        <w:ind w:left="360" w:right="51"/>
        <w:contextualSpacing/>
        <w:jc w:val="both"/>
        <w:rPr>
          <w:rFonts w:ascii="Arial" w:hAnsi="Arial"/>
          <w:sz w:val="22"/>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7E2CFC" w:rsidRDefault="00167C8F" w:rsidP="00193C99">
      <w:pPr>
        <w:pStyle w:val="Corpsdetexte"/>
        <w:tabs>
          <w:tab w:val="left" w:pos="3944"/>
          <w:tab w:val="center" w:pos="4703"/>
        </w:tabs>
        <w:spacing w:line="360" w:lineRule="auto"/>
        <w:jc w:val="left"/>
        <w:rPr>
          <w:rFonts w:ascii="Arial" w:hAnsi="Arial"/>
          <w:smallCaps/>
          <w:sz w:val="10"/>
          <w:szCs w:val="24"/>
          <w:lang w:val="es-CO"/>
        </w:rPr>
      </w:pPr>
    </w:p>
    <w:p w:rsidR="00B30152" w:rsidRPr="00167C8F" w:rsidRDefault="00193C99" w:rsidP="00193C99">
      <w:pPr>
        <w:pStyle w:val="Corpsdetexte"/>
        <w:tabs>
          <w:tab w:val="left" w:pos="3944"/>
          <w:tab w:val="center" w:pos="4703"/>
        </w:tabs>
        <w:spacing w:line="360" w:lineRule="auto"/>
        <w:jc w:val="left"/>
        <w:rPr>
          <w:rFonts w:ascii="Arial" w:hAnsi="Arial"/>
          <w:smallCaps/>
          <w:sz w:val="28"/>
          <w:szCs w:val="24"/>
          <w:lang w:val="en-US"/>
        </w:rPr>
      </w:pPr>
      <w:r w:rsidRPr="007E2CFC">
        <w:rPr>
          <w:rFonts w:ascii="Arial" w:hAnsi="Arial"/>
          <w:smallCaps/>
          <w:sz w:val="28"/>
          <w:szCs w:val="24"/>
          <w:lang w:val="es-CO"/>
        </w:rPr>
        <w:tab/>
      </w:r>
      <w:r w:rsidRPr="007E2CFC">
        <w:rPr>
          <w:rFonts w:ascii="Arial" w:hAnsi="Arial"/>
          <w:smallCaps/>
          <w:sz w:val="28"/>
          <w:szCs w:val="24"/>
          <w:lang w:val="es-CO"/>
        </w:rPr>
        <w:tab/>
      </w:r>
      <w:r w:rsidRPr="007E2CFC">
        <w:rPr>
          <w:rFonts w:ascii="Arial" w:hAnsi="Arial"/>
          <w:smallCaps/>
          <w:sz w:val="28"/>
          <w:szCs w:val="24"/>
          <w:lang w:val="es-CO"/>
        </w:rPr>
        <w:tab/>
      </w:r>
      <w:r w:rsidRPr="007E2CFC">
        <w:rPr>
          <w:rFonts w:ascii="Arial" w:hAnsi="Arial"/>
          <w:smallCaps/>
          <w:sz w:val="28"/>
          <w:szCs w:val="24"/>
          <w:lang w:val="es-CO"/>
        </w:rPr>
        <w:tab/>
      </w:r>
      <w:r w:rsidRPr="007E2CFC">
        <w:rPr>
          <w:rFonts w:ascii="Arial" w:hAnsi="Arial"/>
          <w:smallCaps/>
          <w:sz w:val="28"/>
          <w:szCs w:val="24"/>
          <w:lang w:val="es-CO"/>
        </w:rPr>
        <w:tab/>
      </w:r>
      <w:r w:rsidRPr="007E2CFC">
        <w:rPr>
          <w:rFonts w:ascii="Arial" w:hAnsi="Arial"/>
          <w:smallCaps/>
          <w:sz w:val="28"/>
          <w:szCs w:val="24"/>
          <w:lang w:val="es-CO"/>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4B7598" w:rsidRPr="00656E3A" w:rsidRDefault="004B7598" w:rsidP="00167C8F">
      <w:pPr>
        <w:pStyle w:val="Corpsdetexte"/>
        <w:spacing w:line="360" w:lineRule="auto"/>
        <w:jc w:val="center"/>
        <w:rPr>
          <w:rFonts w:ascii="Arial" w:hAnsi="Arial"/>
          <w:smallCaps/>
          <w:sz w:val="16"/>
          <w:szCs w:val="24"/>
          <w:lang w:val="en-US"/>
        </w:rPr>
      </w:pPr>
    </w:p>
    <w:p w:rsidR="00411947" w:rsidRDefault="00411947" w:rsidP="00167C8F">
      <w:pPr>
        <w:pStyle w:val="Corpsdetexte"/>
        <w:spacing w:line="360" w:lineRule="auto"/>
        <w:jc w:val="center"/>
        <w:rPr>
          <w:rFonts w:ascii="Arial" w:hAnsi="Arial"/>
          <w:smallCaps/>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69231C">
        <w:rPr>
          <w:rFonts w:ascii="Arial" w:hAnsi="Arial" w:cs="Arial"/>
          <w:spacing w:val="-3"/>
          <w:w w:val="150"/>
          <w:sz w:val="28"/>
          <w:lang w:val="en-US"/>
        </w:rPr>
        <w:t>D</w:t>
      </w:r>
      <w:r w:rsidRPr="0069231C">
        <w:rPr>
          <w:rFonts w:ascii="Arial" w:hAnsi="Arial" w:cs="Arial"/>
          <w:spacing w:val="-3"/>
          <w:w w:val="150"/>
          <w:sz w:val="18"/>
          <w:szCs w:val="16"/>
          <w:lang w:val="en-US"/>
        </w:rPr>
        <w:t>UBERNEY</w:t>
      </w:r>
      <w:proofErr w:type="spellEnd"/>
      <w:r w:rsidRPr="0069231C">
        <w:rPr>
          <w:rFonts w:ascii="Arial" w:hAnsi="Arial" w:cs="Arial"/>
          <w:spacing w:val="-3"/>
          <w:w w:val="150"/>
          <w:sz w:val="18"/>
          <w:szCs w:val="16"/>
          <w:lang w:val="en-US"/>
        </w:rPr>
        <w:t xml:space="preserve"> </w:t>
      </w:r>
      <w:proofErr w:type="spellStart"/>
      <w:r w:rsidRPr="0069231C">
        <w:rPr>
          <w:rFonts w:ascii="Arial" w:hAnsi="Arial" w:cs="Arial"/>
          <w:spacing w:val="-3"/>
          <w:w w:val="150"/>
          <w:sz w:val="28"/>
          <w:lang w:val="en-US"/>
        </w:rPr>
        <w:t>G</w:t>
      </w:r>
      <w:r w:rsidRPr="0069231C">
        <w:rPr>
          <w:rFonts w:ascii="Arial" w:hAnsi="Arial" w:cs="Arial"/>
          <w:spacing w:val="-3"/>
          <w:w w:val="150"/>
          <w:sz w:val="18"/>
          <w:szCs w:val="16"/>
          <w:lang w:val="en-US"/>
        </w:rPr>
        <w:t>RISALES</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Pr="00656E3A" w:rsidRDefault="006660E4" w:rsidP="00167C8F">
      <w:pPr>
        <w:pStyle w:val="Corpsdetexte"/>
        <w:spacing w:line="360" w:lineRule="auto"/>
        <w:jc w:val="center"/>
        <w:rPr>
          <w:rFonts w:ascii="Arial" w:hAnsi="Arial"/>
          <w:smallCaps/>
          <w:szCs w:val="24"/>
          <w:lang w:val="en-US"/>
        </w:rPr>
      </w:pPr>
    </w:p>
    <w:p w:rsidR="004B7598" w:rsidRPr="00656E3A" w:rsidRDefault="004B7598" w:rsidP="00167C8F">
      <w:pPr>
        <w:pStyle w:val="Corpsdetexte"/>
        <w:spacing w:line="360" w:lineRule="auto"/>
        <w:jc w:val="center"/>
        <w:rPr>
          <w:rFonts w:ascii="Arial" w:hAnsi="Arial"/>
          <w:smallCaps/>
          <w:sz w:val="2"/>
          <w:szCs w:val="24"/>
          <w:lang w:val="en-US"/>
        </w:rPr>
      </w:pPr>
    </w:p>
    <w:p w:rsidR="004B7598" w:rsidRPr="004B7598" w:rsidRDefault="004B7598" w:rsidP="00167C8F">
      <w:pPr>
        <w:pStyle w:val="Corpsdetexte"/>
        <w:spacing w:line="360" w:lineRule="auto"/>
        <w:jc w:val="center"/>
        <w:rPr>
          <w:rFonts w:ascii="Arial" w:hAnsi="Arial"/>
          <w:sz w:val="1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r w:rsidRPr="0069231C">
        <w:rPr>
          <w:rFonts w:ascii="Arial" w:hAnsi="Arial"/>
          <w:w w:val="150"/>
          <w:sz w:val="28"/>
          <w:szCs w:val="18"/>
          <w:lang w:val="en-US"/>
        </w:rPr>
        <w:lastRenderedPageBreak/>
        <w:t>E</w:t>
      </w:r>
      <w:r w:rsidRPr="0069231C">
        <w:rPr>
          <w:rFonts w:ascii="Arial" w:hAnsi="Arial"/>
          <w:w w:val="150"/>
          <w:sz w:val="18"/>
          <w:szCs w:val="18"/>
          <w:lang w:val="en-US"/>
        </w:rPr>
        <w:t>DDER</w:t>
      </w:r>
      <w:proofErr w:type="spellEnd"/>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proofErr w:type="spellStart"/>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ARAZA</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BF5B11" w:rsidRDefault="00E5393F" w:rsidP="00656E3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proofErr w:type="spellStart"/>
      <w:r w:rsidR="00157CDD">
        <w:rPr>
          <w:rFonts w:ascii="Arial" w:hAnsi="Arial"/>
          <w:w w:val="150"/>
          <w:sz w:val="8"/>
          <w:szCs w:val="10"/>
          <w:lang w:val="en-US"/>
        </w:rPr>
        <w:t>DGH</w:t>
      </w:r>
      <w:proofErr w:type="spellEnd"/>
      <w:r w:rsidR="00157CDD">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proofErr w:type="spellStart"/>
      <w:r>
        <w:rPr>
          <w:rFonts w:ascii="Arial" w:hAnsi="Arial"/>
          <w:w w:val="150"/>
          <w:sz w:val="8"/>
          <w:szCs w:val="10"/>
          <w:lang w:val="en-US"/>
        </w:rPr>
        <w:t>LSCL</w:t>
      </w:r>
      <w:proofErr w:type="spellEnd"/>
      <w:r>
        <w:rPr>
          <w:rFonts w:ascii="Arial" w:hAnsi="Arial"/>
          <w:w w:val="150"/>
          <w:sz w:val="8"/>
          <w:szCs w:val="10"/>
          <w:lang w:val="en-US"/>
        </w:rPr>
        <w:t>/</w:t>
      </w:r>
      <w:r w:rsidR="00081FDD">
        <w:rPr>
          <w:rFonts w:ascii="Arial" w:hAnsi="Arial"/>
          <w:w w:val="150"/>
          <w:sz w:val="8"/>
          <w:szCs w:val="10"/>
          <w:lang w:val="en-US"/>
        </w:rPr>
        <w:t>2017</w:t>
      </w:r>
    </w:p>
    <w:sectPr w:rsidR="00BF5B11" w:rsidSect="00E72615">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48" w:rsidRDefault="00016348" w:rsidP="0099045D">
      <w:r>
        <w:separator/>
      </w:r>
    </w:p>
  </w:endnote>
  <w:endnote w:type="continuationSeparator" w:id="0">
    <w:p w:rsidR="00016348" w:rsidRDefault="0001634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48" w:rsidRDefault="00016348" w:rsidP="0099045D">
      <w:r>
        <w:separator/>
      </w:r>
    </w:p>
  </w:footnote>
  <w:footnote w:type="continuationSeparator" w:id="0">
    <w:p w:rsidR="00016348" w:rsidRDefault="00016348" w:rsidP="0099045D">
      <w:r>
        <w:continuationSeparator/>
      </w:r>
    </w:p>
  </w:footnote>
  <w:footnote w:id="1">
    <w:p w:rsidR="007C2D59" w:rsidRPr="007E2CFC" w:rsidRDefault="007C2D59" w:rsidP="007C2D59">
      <w:pPr>
        <w:pStyle w:val="Notedebasdepage"/>
        <w:rPr>
          <w:rFonts w:ascii="Calibri" w:hAnsi="Calibri"/>
          <w:lang w:val="fr-FR"/>
        </w:rPr>
      </w:pPr>
      <w:r>
        <w:rPr>
          <w:rStyle w:val="Appelnotedebasdep"/>
          <w:rFonts w:ascii="Calibri" w:hAnsi="Calibri"/>
        </w:rPr>
        <w:footnoteRef/>
      </w:r>
      <w:r w:rsidRPr="007E2CFC">
        <w:rPr>
          <w:rFonts w:ascii="Calibri" w:hAnsi="Calibri"/>
          <w:lang w:val="fr-FR"/>
        </w:rPr>
        <w:t xml:space="preserve"> CC. T-382 de 2016</w:t>
      </w:r>
    </w:p>
  </w:footnote>
  <w:footnote w:id="2">
    <w:p w:rsidR="007C2D59" w:rsidRPr="007E2CFC" w:rsidRDefault="007C2D59" w:rsidP="007C2D59">
      <w:pPr>
        <w:pStyle w:val="Notedebasdepage"/>
        <w:rPr>
          <w:rFonts w:ascii="Calibri" w:hAnsi="Calibri"/>
          <w:lang w:val="fr-FR"/>
        </w:rPr>
      </w:pPr>
      <w:r>
        <w:rPr>
          <w:rStyle w:val="Appelnotedebasdep"/>
          <w:rFonts w:ascii="Calibri" w:hAnsi="Calibri"/>
        </w:rPr>
        <w:footnoteRef/>
      </w:r>
      <w:r w:rsidRPr="007E2CFC">
        <w:rPr>
          <w:rFonts w:ascii="Calibri" w:hAnsi="Calibri"/>
          <w:lang w:val="fr-FR"/>
        </w:rPr>
        <w:t xml:space="preserve"> CC. T–1191 de 2004 </w:t>
      </w:r>
    </w:p>
  </w:footnote>
  <w:footnote w:id="3">
    <w:p w:rsidR="007C2D59" w:rsidRDefault="007C2D59" w:rsidP="007C2D59">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303CDA" w:rsidRPr="00E17BD7" w:rsidRDefault="00303CDA" w:rsidP="00303CDA">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7E2CFC">
        <w:rPr>
          <w:rFonts w:asciiTheme="minorHAnsi" w:hAnsiTheme="minorHAnsi" w:cs="Calibri"/>
          <w:spacing w:val="-10"/>
        </w:rPr>
        <w:t xml:space="preserve">QUINCHE R., Manuel F. Vías de hecho, acción de tutela contra providencias, Editorial Temis </w:t>
      </w:r>
      <w:proofErr w:type="spellStart"/>
      <w:r w:rsidRPr="007E2CFC">
        <w:rPr>
          <w:rFonts w:asciiTheme="minorHAnsi" w:hAnsiTheme="minorHAnsi" w:cs="Calibri"/>
          <w:spacing w:val="-10"/>
        </w:rPr>
        <w:t>SA</w:t>
      </w:r>
      <w:proofErr w:type="spellEnd"/>
      <w:r w:rsidRPr="007E2CFC">
        <w:rPr>
          <w:rFonts w:asciiTheme="minorHAnsi" w:hAnsiTheme="minorHAnsi" w:cs="Calibri"/>
          <w:spacing w:val="-10"/>
        </w:rPr>
        <w:t xml:space="preserve">, Bogotá, 2013, </w:t>
      </w:r>
      <w:proofErr w:type="spellStart"/>
      <w:r w:rsidRPr="007E2CFC">
        <w:rPr>
          <w:rFonts w:asciiTheme="minorHAnsi" w:hAnsiTheme="minorHAnsi" w:cs="Calibri"/>
          <w:spacing w:val="-10"/>
        </w:rPr>
        <w:t>p.103</w:t>
      </w:r>
      <w:proofErr w:type="spellEnd"/>
      <w:r w:rsidRPr="007E2CFC">
        <w:rPr>
          <w:rFonts w:asciiTheme="minorHAnsi" w:hAnsiTheme="minorHAnsi" w:cs="Calibri"/>
          <w:spacing w:val="-10"/>
        </w:rPr>
        <w:t>.</w:t>
      </w:r>
    </w:p>
  </w:footnote>
  <w:footnote w:id="5">
    <w:p w:rsidR="00303CDA" w:rsidRPr="00E17BD7" w:rsidRDefault="00303CDA" w:rsidP="00303CDA">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xml:space="preserve">, Édgar A. Tutela contra decisiones judiciales, Universidad Santo Tomás y editorial Ibáñez, Bogotá DC, 2014, </w:t>
      </w:r>
      <w:proofErr w:type="spellStart"/>
      <w:r w:rsidRPr="00E17BD7">
        <w:rPr>
          <w:rFonts w:asciiTheme="minorHAnsi" w:hAnsiTheme="minorHAnsi" w:cs="Calibri"/>
        </w:rPr>
        <w:t>p.83</w:t>
      </w:r>
      <w:proofErr w:type="spellEnd"/>
      <w:r w:rsidRPr="00E17BD7">
        <w:rPr>
          <w:rFonts w:asciiTheme="minorHAnsi" w:hAnsiTheme="minorHAnsi" w:cs="Calibri"/>
        </w:rPr>
        <w:t>.</w:t>
      </w:r>
    </w:p>
  </w:footnote>
  <w:footnote w:id="6">
    <w:p w:rsidR="00303CDA" w:rsidRPr="007E2CFC" w:rsidRDefault="00303CDA" w:rsidP="00303CDA">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7E2CFC">
        <w:rPr>
          <w:rFonts w:asciiTheme="minorHAnsi" w:hAnsiTheme="minorHAnsi" w:cs="Calibri"/>
          <w:lang w:val="fr-FR"/>
        </w:rPr>
        <w:t xml:space="preserve"> CC. T-917 de 2011.</w:t>
      </w:r>
    </w:p>
  </w:footnote>
  <w:footnote w:id="7">
    <w:p w:rsidR="00303CDA" w:rsidRPr="007E2CFC" w:rsidRDefault="00303CDA" w:rsidP="00303CDA">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7E2CFC">
        <w:rPr>
          <w:rFonts w:asciiTheme="minorHAnsi" w:hAnsiTheme="minorHAnsi" w:cs="Calibri"/>
          <w:lang w:val="fr-FR"/>
        </w:rPr>
        <w:t xml:space="preserve"> CC. C-590 de 2005.</w:t>
      </w:r>
    </w:p>
  </w:footnote>
  <w:footnote w:id="8">
    <w:p w:rsidR="00303CDA" w:rsidRPr="007E2CFC" w:rsidRDefault="00303CDA" w:rsidP="00303CDA">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7E2CFC">
        <w:rPr>
          <w:rFonts w:asciiTheme="minorHAnsi" w:hAnsiTheme="minorHAnsi" w:cs="Calibri"/>
          <w:lang w:val="fr-FR"/>
        </w:rPr>
        <w:t xml:space="preserve"> CC. </w:t>
      </w:r>
      <w:proofErr w:type="spellStart"/>
      <w:r w:rsidRPr="007E2CFC">
        <w:rPr>
          <w:rFonts w:asciiTheme="minorHAnsi" w:hAnsiTheme="minorHAnsi" w:cs="Calibri"/>
          <w:bCs/>
          <w:lang w:val="fr-FR"/>
        </w:rPr>
        <w:t>SU-222</w:t>
      </w:r>
      <w:proofErr w:type="spellEnd"/>
      <w:r w:rsidRPr="007E2CFC">
        <w:rPr>
          <w:rFonts w:asciiTheme="minorHAnsi" w:hAnsiTheme="minorHAnsi" w:cs="Calibri"/>
          <w:bCs/>
          <w:lang w:val="fr-FR"/>
        </w:rPr>
        <w:t xml:space="preserve"> de 2016</w:t>
      </w:r>
      <w:r w:rsidRPr="007E2CFC">
        <w:rPr>
          <w:rFonts w:asciiTheme="minorHAnsi" w:hAnsiTheme="minorHAnsi" w:cs="Calibri"/>
          <w:lang w:val="fr-FR"/>
        </w:rPr>
        <w:t>.</w:t>
      </w:r>
    </w:p>
  </w:footnote>
  <w:footnote w:id="9">
    <w:p w:rsidR="00303CDA" w:rsidRPr="007E2CFC" w:rsidRDefault="00303CDA" w:rsidP="00303CDA">
      <w:pPr>
        <w:pStyle w:val="Notedebasdepage"/>
        <w:rPr>
          <w:rFonts w:asciiTheme="minorHAnsi" w:hAnsiTheme="minorHAnsi"/>
          <w:lang w:val="fr-FR"/>
        </w:rPr>
      </w:pPr>
      <w:r w:rsidRPr="00E17BD7">
        <w:rPr>
          <w:rStyle w:val="Appelnotedebasdep"/>
          <w:rFonts w:asciiTheme="minorHAnsi" w:hAnsiTheme="minorHAnsi"/>
        </w:rPr>
        <w:footnoteRef/>
      </w:r>
      <w:r w:rsidRPr="007E2CFC">
        <w:rPr>
          <w:rFonts w:asciiTheme="minorHAnsi" w:hAnsiTheme="minorHAnsi"/>
          <w:lang w:val="fr-FR"/>
        </w:rPr>
        <w:t xml:space="preserve"> </w:t>
      </w:r>
      <w:r w:rsidRPr="007E2CFC">
        <w:rPr>
          <w:rFonts w:asciiTheme="minorHAnsi" w:hAnsiTheme="minorHAnsi" w:cs="Calibri"/>
          <w:lang w:val="fr-FR"/>
        </w:rPr>
        <w:t>CC. T-307 de 2015.</w:t>
      </w:r>
    </w:p>
  </w:footnote>
  <w:footnote w:id="10">
    <w:p w:rsidR="00303CDA" w:rsidRPr="00E17BD7" w:rsidRDefault="00303CDA" w:rsidP="00303CDA">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w:t>
      </w:r>
      <w:proofErr w:type="spellStart"/>
      <w:r w:rsidRPr="00E17BD7">
        <w:rPr>
          <w:rFonts w:asciiTheme="minorHAnsi" w:hAnsiTheme="minorHAnsi" w:cs="Calibri"/>
          <w:lang w:val="es-CO"/>
        </w:rPr>
        <w:t>p.61</w:t>
      </w:r>
      <w:proofErr w:type="spellEnd"/>
      <w:r w:rsidRPr="00E17BD7">
        <w:rPr>
          <w:rFonts w:asciiTheme="minorHAnsi" w:hAnsiTheme="minorHAnsi" w:cs="Calibri"/>
          <w:lang w:val="es-CO"/>
        </w:rPr>
        <w:t>-75.</w:t>
      </w:r>
    </w:p>
  </w:footnote>
  <w:footnote w:id="11">
    <w:p w:rsidR="00303CDA" w:rsidRPr="00E17BD7" w:rsidRDefault="00303CDA" w:rsidP="00303CDA">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xml:space="preserve">, Manuel F. La acción de tutela, el amparo en Colombia, Bogotá DC, 2011, </w:t>
      </w:r>
      <w:proofErr w:type="spellStart"/>
      <w:r w:rsidRPr="00E17BD7">
        <w:rPr>
          <w:rFonts w:asciiTheme="minorHAnsi" w:hAnsiTheme="minorHAnsi" w:cs="Calibri"/>
        </w:rPr>
        <w:t>p.233</w:t>
      </w:r>
      <w:proofErr w:type="spellEnd"/>
      <w:r w:rsidRPr="00E17BD7">
        <w:rPr>
          <w:rFonts w:asciiTheme="minorHAnsi" w:hAnsiTheme="minorHAnsi" w:cs="Calibri"/>
        </w:rPr>
        <w:t>-285.</w:t>
      </w:r>
    </w:p>
  </w:footnote>
  <w:footnote w:id="12">
    <w:p w:rsidR="00D10AEC" w:rsidRPr="007E2CFC" w:rsidRDefault="00D10AEC" w:rsidP="00D10AEC">
      <w:pPr>
        <w:pStyle w:val="Notedebasdepage"/>
        <w:jc w:val="both"/>
        <w:rPr>
          <w:lang w:val="fr-FR"/>
        </w:rPr>
      </w:pPr>
      <w:r>
        <w:rPr>
          <w:rStyle w:val="Appelnotedebasdep"/>
          <w:rFonts w:asciiTheme="minorHAnsi" w:hAnsiTheme="minorHAnsi"/>
        </w:rPr>
        <w:footnoteRef/>
      </w:r>
      <w:r w:rsidRPr="007E2CFC">
        <w:rPr>
          <w:rFonts w:asciiTheme="minorHAnsi" w:hAnsiTheme="minorHAnsi"/>
          <w:lang w:val="fr-FR"/>
        </w:rPr>
        <w:t xml:space="preserve"> </w:t>
      </w:r>
      <w:r w:rsidRPr="007E2CFC">
        <w:rPr>
          <w:rFonts w:asciiTheme="minorHAnsi" w:hAnsiTheme="minorHAnsi" w:cs="Calibri"/>
          <w:lang w:val="fr-FR"/>
        </w:rPr>
        <w:t>CC. T-134 de 1994</w:t>
      </w:r>
      <w:r w:rsidR="00B877F0" w:rsidRPr="007E2CFC">
        <w:rPr>
          <w:rFonts w:asciiTheme="minorHAnsi" w:hAnsiTheme="minorHAnsi" w:cs="Calibri"/>
          <w:lang w:val="fr-FR"/>
        </w:rPr>
        <w:t>.</w:t>
      </w:r>
      <w:r w:rsidRPr="007E2CFC">
        <w:rPr>
          <w:rFonts w:asciiTheme="minorHAnsi" w:hAnsiTheme="minorHAnsi" w:cs="Calibri"/>
          <w:lang w:val="fr-FR"/>
        </w:rPr>
        <w:t xml:space="preserve"> </w:t>
      </w:r>
    </w:p>
  </w:footnote>
  <w:footnote w:id="13">
    <w:p w:rsidR="00D10AEC" w:rsidRPr="007E2CFC" w:rsidRDefault="00D10AEC" w:rsidP="00D10AEC">
      <w:pPr>
        <w:pStyle w:val="Notedebasdepage"/>
        <w:rPr>
          <w:lang w:val="fr-FR"/>
        </w:rPr>
      </w:pPr>
      <w:r>
        <w:rPr>
          <w:rStyle w:val="Appelnotedebasdep"/>
        </w:rPr>
        <w:footnoteRef/>
      </w:r>
      <w:r w:rsidRPr="007E2CFC">
        <w:rPr>
          <w:lang w:val="fr-FR"/>
        </w:rPr>
        <w:t xml:space="preserve"> </w:t>
      </w:r>
      <w:r w:rsidRPr="007E2CFC">
        <w:rPr>
          <w:rFonts w:asciiTheme="minorHAnsi" w:hAnsiTheme="minorHAnsi" w:cs="Calibri"/>
          <w:lang w:val="fr-FR"/>
        </w:rPr>
        <w:t>CC. T-103 de 2014.</w:t>
      </w:r>
    </w:p>
  </w:footnote>
  <w:footnote w:id="14">
    <w:p w:rsidR="00D10AEC" w:rsidRPr="007E2CFC" w:rsidRDefault="00D10AEC" w:rsidP="00D10AEC">
      <w:pPr>
        <w:pStyle w:val="Notedebasdepage"/>
        <w:jc w:val="both"/>
        <w:rPr>
          <w:lang w:val="fr-FR"/>
        </w:rPr>
      </w:pPr>
      <w:r>
        <w:rPr>
          <w:rStyle w:val="Appelnotedebasdep"/>
          <w:rFonts w:asciiTheme="minorHAnsi" w:hAnsiTheme="minorHAnsi" w:cs="Calibri"/>
        </w:rPr>
        <w:footnoteRef/>
      </w:r>
      <w:r w:rsidRPr="007E2CFC">
        <w:rPr>
          <w:rFonts w:asciiTheme="minorHAnsi" w:hAnsiTheme="minorHAnsi" w:cs="Calibri"/>
          <w:lang w:val="fr-FR"/>
        </w:rPr>
        <w:t xml:space="preserve"> CC. T-567 de 1998.</w:t>
      </w:r>
    </w:p>
  </w:footnote>
  <w:footnote w:id="15">
    <w:p w:rsidR="00D10AEC" w:rsidRPr="007E2CFC" w:rsidRDefault="00D10AEC" w:rsidP="00D10AEC">
      <w:pPr>
        <w:pStyle w:val="Notedebasdepage"/>
        <w:jc w:val="both"/>
        <w:rPr>
          <w:lang w:val="fr-FR"/>
        </w:rPr>
      </w:pPr>
      <w:r>
        <w:rPr>
          <w:rStyle w:val="Appelnotedebasdep"/>
          <w:rFonts w:asciiTheme="minorHAnsi" w:hAnsiTheme="minorHAnsi"/>
        </w:rPr>
        <w:footnoteRef/>
      </w:r>
      <w:r w:rsidRPr="007E2CFC">
        <w:rPr>
          <w:rFonts w:asciiTheme="minorHAnsi" w:hAnsiTheme="minorHAnsi"/>
          <w:lang w:val="fr-FR"/>
        </w:rPr>
        <w:t xml:space="preserve"> </w:t>
      </w:r>
      <w:r w:rsidRPr="007E2CFC">
        <w:rPr>
          <w:rFonts w:asciiTheme="minorHAnsi" w:hAnsiTheme="minorHAnsi" w:cs="Calibri"/>
          <w:lang w:val="fr-FR"/>
        </w:rPr>
        <w:t>CC. T-662 de 2013</w:t>
      </w:r>
      <w:r w:rsidR="003F33A7" w:rsidRPr="007E2CFC">
        <w:rPr>
          <w:rFonts w:asciiTheme="minorHAnsi" w:hAnsiTheme="minorHAnsi" w:cs="Calibri"/>
          <w:lang w:val="fr-FR"/>
        </w:rPr>
        <w:t xml:space="preserve">, T-037 y T-120 </w:t>
      </w:r>
      <w:proofErr w:type="spellStart"/>
      <w:r w:rsidR="003F33A7" w:rsidRPr="007E2CFC">
        <w:rPr>
          <w:rFonts w:asciiTheme="minorHAnsi" w:hAnsiTheme="minorHAnsi" w:cs="Calibri"/>
          <w:lang w:val="fr-FR"/>
        </w:rPr>
        <w:t>de-2016</w:t>
      </w:r>
      <w:proofErr w:type="spellEnd"/>
      <w:r w:rsidR="003F33A7" w:rsidRPr="007E2CFC">
        <w:rPr>
          <w:rFonts w:asciiTheme="minorHAnsi" w:hAnsiTheme="minorHAnsi" w:cs="Calibri"/>
          <w:lang w:val="fr-FR"/>
        </w:rPr>
        <w:t>, T-001 y T-038 de 2017</w:t>
      </w:r>
      <w:r w:rsidR="00B877F0" w:rsidRPr="007E2CFC">
        <w:rPr>
          <w:rFonts w:asciiTheme="minorHAnsi" w:hAnsiTheme="minorHAnsi" w:cs="Calibri"/>
          <w:lang w:val="fr-FR"/>
        </w:rPr>
        <w:t>.</w:t>
      </w:r>
      <w:r w:rsidRPr="007E2CFC">
        <w:rPr>
          <w:b/>
          <w:bCs/>
          <w:color w:val="2D2D2D"/>
          <w:sz w:val="28"/>
          <w:szCs w:val="28"/>
          <w:bdr w:val="none" w:sz="0" w:space="0" w:color="auto" w:frame="1"/>
          <w:shd w:val="clear" w:color="auto" w:fill="FFFFFF"/>
          <w:lang w:val="fr-FR"/>
        </w:rPr>
        <w:t xml:space="preserve"> </w:t>
      </w:r>
    </w:p>
  </w:footnote>
  <w:footnote w:id="16">
    <w:p w:rsidR="00D10AEC" w:rsidRDefault="00D10AEC" w:rsidP="00D10AE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Pr="007E2CFC">
        <w:rPr>
          <w:rFonts w:asciiTheme="minorHAnsi" w:hAnsiTheme="minorHAnsi" w:cs="Calibri"/>
          <w:spacing w:val="-20"/>
          <w:lang w:val="es-CO"/>
        </w:rPr>
        <w:t xml:space="preserve">CSJ, Civil. </w:t>
      </w:r>
      <w:r w:rsidR="00623280" w:rsidRPr="007E2CFC">
        <w:rPr>
          <w:rFonts w:asciiTheme="minorHAnsi" w:hAnsiTheme="minorHAnsi" w:cs="Calibri"/>
          <w:spacing w:val="-20"/>
          <w:lang w:val="es-CO"/>
        </w:rPr>
        <w:t>S</w:t>
      </w:r>
      <w:r w:rsidRPr="007E2CFC">
        <w:rPr>
          <w:rFonts w:asciiTheme="minorHAnsi" w:hAnsiTheme="minorHAnsi" w:cs="Calibri"/>
          <w:spacing w:val="-20"/>
          <w:lang w:val="es-CO"/>
        </w:rPr>
        <w:t xml:space="preserve">entencia del 02-09-2014, </w:t>
      </w:r>
      <w:proofErr w:type="spellStart"/>
      <w:r w:rsidRPr="007E2CFC">
        <w:rPr>
          <w:rFonts w:asciiTheme="minorHAnsi" w:hAnsiTheme="minorHAnsi" w:cs="Calibri"/>
          <w:spacing w:val="-20"/>
          <w:lang w:val="es-CO"/>
        </w:rPr>
        <w:t>MP</w:t>
      </w:r>
      <w:proofErr w:type="spellEnd"/>
      <w:r w:rsidRPr="007E2CFC">
        <w:rPr>
          <w:rFonts w:asciiTheme="minorHAnsi" w:hAnsiTheme="minorHAnsi" w:cs="Calibri"/>
          <w:spacing w:val="-20"/>
          <w:lang w:val="es-CO"/>
        </w:rPr>
        <w:t>: Margarita Cabello B</w:t>
      </w:r>
      <w:r w:rsidR="00167C8F" w:rsidRPr="007E2CFC">
        <w:rPr>
          <w:rFonts w:asciiTheme="minorHAnsi" w:hAnsiTheme="minorHAnsi" w:cs="Calibri"/>
          <w:spacing w:val="-20"/>
          <w:lang w:val="es-CO"/>
        </w:rPr>
        <w:t>.</w:t>
      </w:r>
      <w:r w:rsidRPr="007E2CFC">
        <w:rPr>
          <w:rFonts w:asciiTheme="minorHAnsi" w:hAnsiTheme="minorHAnsi" w:cs="Calibri"/>
          <w:spacing w:val="-20"/>
          <w:lang w:val="es-CO"/>
        </w:rPr>
        <w:t xml:space="preserve">, </w:t>
      </w:r>
      <w:proofErr w:type="spellStart"/>
      <w:r w:rsidRPr="007E2CFC">
        <w:rPr>
          <w:rFonts w:asciiTheme="minorHAnsi" w:hAnsiTheme="minorHAnsi" w:cs="Calibri"/>
          <w:spacing w:val="-20"/>
          <w:lang w:val="es-CO"/>
        </w:rPr>
        <w:t>No.23001</w:t>
      </w:r>
      <w:proofErr w:type="spellEnd"/>
      <w:r w:rsidRPr="007E2CFC">
        <w:rPr>
          <w:rFonts w:asciiTheme="minorHAnsi" w:hAnsiTheme="minorHAnsi" w:cs="Calibri"/>
          <w:spacing w:val="-20"/>
          <w:lang w:val="es-CO"/>
        </w:rPr>
        <w:t>-22-14-000-2014-00097-01</w:t>
      </w:r>
      <w:r w:rsidR="00D278C5" w:rsidRPr="007E2CFC">
        <w:rPr>
          <w:rFonts w:asciiTheme="minorHAnsi" w:hAnsiTheme="minorHAnsi" w:cs="Calibri"/>
          <w:spacing w:val="-20"/>
          <w:lang w:val="es-CO"/>
        </w:rPr>
        <w:t xml:space="preserve">, </w:t>
      </w:r>
      <w:proofErr w:type="spellStart"/>
      <w:r w:rsidR="00D278C5" w:rsidRPr="007E2CFC">
        <w:rPr>
          <w:rFonts w:asciiTheme="minorHAnsi" w:hAnsiTheme="minorHAnsi" w:cs="Calibri"/>
          <w:spacing w:val="-20"/>
        </w:rPr>
        <w:t>STC6121</w:t>
      </w:r>
      <w:proofErr w:type="spellEnd"/>
      <w:r w:rsidR="00D278C5" w:rsidRPr="007E2CFC">
        <w:rPr>
          <w:rFonts w:asciiTheme="minorHAnsi" w:hAnsiTheme="minorHAnsi" w:cs="Calibri"/>
          <w:spacing w:val="-20"/>
        </w:rPr>
        <w:t>-2015</w:t>
      </w:r>
      <w:r w:rsidR="003F33A7" w:rsidRPr="007E2CFC">
        <w:rPr>
          <w:rFonts w:asciiTheme="minorHAnsi" w:hAnsiTheme="minorHAnsi" w:cs="Calibri"/>
          <w:spacing w:val="-20"/>
        </w:rPr>
        <w:t xml:space="preserve"> y  </w:t>
      </w:r>
      <w:proofErr w:type="spellStart"/>
      <w:r w:rsidR="003F33A7" w:rsidRPr="007E2CFC">
        <w:rPr>
          <w:rFonts w:asciiTheme="minorHAnsi" w:hAnsiTheme="minorHAnsi"/>
          <w:spacing w:val="-20"/>
          <w:lang w:val="es-CO"/>
        </w:rPr>
        <w:t>STC3931</w:t>
      </w:r>
      <w:proofErr w:type="spellEnd"/>
      <w:r w:rsidRPr="007E2CFC">
        <w:rPr>
          <w:rFonts w:asciiTheme="minorHAnsi" w:hAnsiTheme="minorHAnsi" w:cs="Calibri"/>
          <w:spacing w:val="-20"/>
          <w:w w:val="110"/>
          <w:lang w:val="es-CO"/>
        </w:rPr>
        <w:t>.</w:t>
      </w:r>
    </w:p>
  </w:footnote>
  <w:footnote w:id="17">
    <w:p w:rsidR="00AB69A6" w:rsidRPr="007E2CFC" w:rsidRDefault="00AB69A6" w:rsidP="00AB69A6">
      <w:pPr>
        <w:pStyle w:val="Notedebasdepage"/>
        <w:jc w:val="both"/>
        <w:rPr>
          <w:lang w:val="fr-FR"/>
        </w:rPr>
      </w:pPr>
      <w:r>
        <w:rPr>
          <w:rStyle w:val="Appelnotedebasdep"/>
          <w:rFonts w:asciiTheme="minorHAnsi" w:hAnsiTheme="minorHAnsi" w:cs="Calibri"/>
        </w:rPr>
        <w:footnoteRef/>
      </w:r>
      <w:r w:rsidRPr="007E2CFC">
        <w:rPr>
          <w:rFonts w:asciiTheme="minorHAnsi" w:hAnsiTheme="minorHAnsi" w:cs="Calibri"/>
          <w:lang w:val="fr-FR"/>
        </w:rPr>
        <w:t xml:space="preserve"> CC. T-103 de 2014</w:t>
      </w:r>
      <w:r w:rsidR="005E276A" w:rsidRPr="007E2CFC">
        <w:rPr>
          <w:rFonts w:asciiTheme="minorHAnsi" w:hAnsiTheme="minorHAnsi" w:cs="Calibri"/>
          <w:lang w:val="fr-FR"/>
        </w:rPr>
        <w:t xml:space="preserve"> y </w:t>
      </w:r>
      <w:proofErr w:type="spellStart"/>
      <w:r w:rsidRPr="007E2CFC">
        <w:rPr>
          <w:rFonts w:asciiTheme="minorHAnsi" w:hAnsiTheme="minorHAnsi" w:cs="Calibri"/>
          <w:bCs/>
          <w:lang w:val="fr-FR"/>
        </w:rPr>
        <w:t>SU-297</w:t>
      </w:r>
      <w:proofErr w:type="spellEnd"/>
      <w:r w:rsidRPr="007E2CFC">
        <w:rPr>
          <w:rFonts w:asciiTheme="minorHAnsi" w:hAnsiTheme="minorHAnsi" w:cs="Calibri"/>
          <w:bCs/>
          <w:lang w:val="fr-FR"/>
        </w:rPr>
        <w:t xml:space="preserve"> de 2015.</w:t>
      </w:r>
    </w:p>
  </w:footnote>
  <w:footnote w:id="18">
    <w:p w:rsidR="00D10AEC" w:rsidRPr="007E2CFC" w:rsidRDefault="00D10AEC" w:rsidP="00D10AEC">
      <w:pPr>
        <w:pStyle w:val="Notedebasdepage"/>
        <w:rPr>
          <w:lang w:val="fr-FR"/>
        </w:rPr>
      </w:pPr>
      <w:r>
        <w:rPr>
          <w:rStyle w:val="Appelnotedebasdep"/>
        </w:rPr>
        <w:footnoteRef/>
      </w:r>
      <w:r w:rsidRPr="007E2CFC">
        <w:rPr>
          <w:lang w:val="fr-FR"/>
        </w:rPr>
        <w:t xml:space="preserve"> </w:t>
      </w:r>
      <w:r w:rsidRPr="007E2CFC">
        <w:rPr>
          <w:rFonts w:asciiTheme="minorHAnsi" w:hAnsiTheme="minorHAnsi" w:cs="Calibri"/>
          <w:lang w:val="fr-FR"/>
        </w:rPr>
        <w:t>CC. T-717 de 2011.</w:t>
      </w:r>
    </w:p>
  </w:footnote>
  <w:footnote w:id="19">
    <w:p w:rsidR="00D10AEC" w:rsidRPr="008B43C6" w:rsidRDefault="00D10AEC" w:rsidP="00D10AEC">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43" w:rsidRPr="006414F7" w:rsidRDefault="00AD3F43" w:rsidP="00AD3F43">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E2CFC">
      <w:rPr>
        <w:rFonts w:ascii="Calibri" w:hAnsi="Calibri" w:cs="Calibri"/>
        <w:i/>
        <w:noProof/>
        <w:sz w:val="20"/>
      </w:rPr>
      <w:t>1</w:t>
    </w:r>
    <w:r w:rsidRPr="006414F7">
      <w:rPr>
        <w:rFonts w:ascii="Calibri" w:hAnsi="Calibri" w:cs="Calibri"/>
        <w:i/>
        <w:sz w:val="20"/>
      </w:rPr>
      <w:fldChar w:fldCharType="end"/>
    </w:r>
  </w:p>
  <w:p w:rsidR="00AD3F43" w:rsidRPr="006414F7" w:rsidRDefault="00AD3F43" w:rsidP="00AD3F43">
    <w:pPr>
      <w:pStyle w:val="En-tte"/>
      <w:ind w:right="360"/>
      <w:jc w:val="both"/>
      <w:rPr>
        <w:rFonts w:ascii="Calibri" w:hAnsi="Calibri" w:cs="Calibri"/>
        <w:i/>
        <w:sz w:val="20"/>
        <w:szCs w:val="22"/>
      </w:rPr>
    </w:pPr>
    <w:r w:rsidRPr="006414F7">
      <w:rPr>
        <w:rFonts w:ascii="Calibri" w:hAnsi="Calibri" w:cs="Calibri"/>
        <w:i/>
        <w:sz w:val="20"/>
        <w:szCs w:val="22"/>
      </w:rPr>
      <w:t xml:space="preserve">EXPEDIENTE </w:t>
    </w:r>
    <w:proofErr w:type="spellStart"/>
    <w:r w:rsidRPr="006414F7">
      <w:rPr>
        <w:rFonts w:ascii="Calibri" w:hAnsi="Calibri" w:cs="Calibri"/>
        <w:i/>
        <w:sz w:val="20"/>
        <w:szCs w:val="22"/>
      </w:rPr>
      <w:t>No.</w:t>
    </w:r>
    <w:r>
      <w:rPr>
        <w:rFonts w:ascii="Calibri" w:hAnsi="Calibri" w:cs="Calibri"/>
        <w:i/>
        <w:sz w:val="20"/>
        <w:szCs w:val="22"/>
      </w:rPr>
      <w:t>2017</w:t>
    </w:r>
    <w:proofErr w:type="spellEnd"/>
    <w:r w:rsidRPr="006414F7">
      <w:rPr>
        <w:rFonts w:ascii="Calibri" w:hAnsi="Calibri" w:cs="Calibri"/>
        <w:i/>
        <w:sz w:val="20"/>
        <w:szCs w:val="22"/>
      </w:rPr>
      <w:t>-</w:t>
    </w:r>
    <w:r>
      <w:rPr>
        <w:rFonts w:ascii="Calibri" w:hAnsi="Calibri" w:cs="Calibri"/>
        <w:i/>
        <w:sz w:val="20"/>
        <w:szCs w:val="22"/>
      </w:rPr>
      <w:t>00409</w:t>
    </w:r>
    <w:r w:rsidRPr="006414F7">
      <w:rPr>
        <w:rFonts w:ascii="Calibri" w:hAnsi="Calibri" w:cs="Calibri"/>
        <w:i/>
        <w:sz w:val="20"/>
        <w:szCs w:val="22"/>
      </w:rPr>
      <w:t>-00</w:t>
    </w:r>
  </w:p>
  <w:p w:rsidR="00800180" w:rsidRPr="00AD3F43" w:rsidRDefault="00800180" w:rsidP="00AD3F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76695A"/>
    <w:multiLevelType w:val="multilevel"/>
    <w:tmpl w:val="BA561BBC"/>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FAA464D"/>
    <w:multiLevelType w:val="multilevel"/>
    <w:tmpl w:val="7610B8B2"/>
    <w:lvl w:ilvl="0">
      <w:start w:val="7"/>
      <w:numFmt w:val="decimal"/>
      <w:lvlText w:val="%1."/>
      <w:lvlJc w:val="left"/>
      <w:pPr>
        <w:ind w:left="585" w:hanging="58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5BA0DD5"/>
    <w:multiLevelType w:val="multilevel"/>
    <w:tmpl w:val="C0F61AF8"/>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A3273FB"/>
    <w:multiLevelType w:val="multilevel"/>
    <w:tmpl w:val="5A0E22FA"/>
    <w:lvl w:ilvl="0">
      <w:start w:val="8"/>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E076C5E"/>
    <w:multiLevelType w:val="multilevel"/>
    <w:tmpl w:val="3758A4A4"/>
    <w:lvl w:ilvl="0">
      <w:start w:val="7"/>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nsid w:val="60C25004"/>
    <w:multiLevelType w:val="multilevel"/>
    <w:tmpl w:val="E9120370"/>
    <w:lvl w:ilvl="0">
      <w:start w:val="7"/>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8"/>
  </w:num>
  <w:num w:numId="3">
    <w:abstractNumId w:val="16"/>
  </w:num>
  <w:num w:numId="4">
    <w:abstractNumId w:val="4"/>
  </w:num>
  <w:num w:numId="5">
    <w:abstractNumId w:val="32"/>
  </w:num>
  <w:num w:numId="6">
    <w:abstractNumId w:val="0"/>
  </w:num>
  <w:num w:numId="7">
    <w:abstractNumId w:val="23"/>
  </w:num>
  <w:num w:numId="8">
    <w:abstractNumId w:val="2"/>
  </w:num>
  <w:num w:numId="9">
    <w:abstractNumId w:val="33"/>
  </w:num>
  <w:num w:numId="10">
    <w:abstractNumId w:val="24"/>
  </w:num>
  <w:num w:numId="11">
    <w:abstractNumId w:val="21"/>
  </w:num>
  <w:num w:numId="12">
    <w:abstractNumId w:val="27"/>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2"/>
  </w:num>
  <w:num w:numId="22">
    <w:abstractNumId w:val="25"/>
  </w:num>
  <w:num w:numId="23">
    <w:abstractNumId w:val="8"/>
  </w:num>
  <w:num w:numId="24">
    <w:abstractNumId w:val="13"/>
  </w:num>
  <w:num w:numId="25">
    <w:abstractNumId w:val="9"/>
  </w:num>
  <w:num w:numId="26">
    <w:abstractNumId w:val="3"/>
  </w:num>
  <w:num w:numId="27">
    <w:abstractNumId w:val="34"/>
  </w:num>
  <w:num w:numId="28">
    <w:abstractNumId w:val="7"/>
  </w:num>
  <w:num w:numId="29">
    <w:abstractNumId w:val="30"/>
  </w:num>
  <w:num w:numId="30">
    <w:abstractNumId w:val="12"/>
  </w:num>
  <w:num w:numId="31">
    <w:abstractNumId w:val="17"/>
  </w:num>
  <w:num w:numId="32">
    <w:abstractNumId w:val="26"/>
  </w:num>
  <w:num w:numId="33">
    <w:abstractNumId w:val="10"/>
  </w:num>
  <w:num w:numId="34">
    <w:abstractNumId w:val="29"/>
  </w:num>
  <w:num w:numId="35">
    <w:abstractNumId w:val="31"/>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1"/>
    <w:rsid w:val="00001BE7"/>
    <w:rsid w:val="00001BED"/>
    <w:rsid w:val="00001F7C"/>
    <w:rsid w:val="000020DD"/>
    <w:rsid w:val="00002429"/>
    <w:rsid w:val="0000292B"/>
    <w:rsid w:val="00002AEB"/>
    <w:rsid w:val="00002D5D"/>
    <w:rsid w:val="00002ED5"/>
    <w:rsid w:val="000033C9"/>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1E2"/>
    <w:rsid w:val="00015311"/>
    <w:rsid w:val="000158E3"/>
    <w:rsid w:val="00016253"/>
    <w:rsid w:val="00016348"/>
    <w:rsid w:val="00016DFF"/>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660"/>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CC5"/>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98"/>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9C4"/>
    <w:rsid w:val="00093C3D"/>
    <w:rsid w:val="00095798"/>
    <w:rsid w:val="00095EAB"/>
    <w:rsid w:val="000965B3"/>
    <w:rsid w:val="00096A82"/>
    <w:rsid w:val="000970D6"/>
    <w:rsid w:val="0009797E"/>
    <w:rsid w:val="00097B03"/>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5A4E"/>
    <w:rsid w:val="000C6119"/>
    <w:rsid w:val="000C69DD"/>
    <w:rsid w:val="000C71EA"/>
    <w:rsid w:val="000C727F"/>
    <w:rsid w:val="000C74DD"/>
    <w:rsid w:val="000D152C"/>
    <w:rsid w:val="000D1769"/>
    <w:rsid w:val="000D2B3D"/>
    <w:rsid w:val="000D2D98"/>
    <w:rsid w:val="000D31B6"/>
    <w:rsid w:val="000D3627"/>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83B"/>
    <w:rsid w:val="000E29AA"/>
    <w:rsid w:val="000E2EA2"/>
    <w:rsid w:val="000E3170"/>
    <w:rsid w:val="000E3231"/>
    <w:rsid w:val="000E3403"/>
    <w:rsid w:val="000E34BB"/>
    <w:rsid w:val="000E34BD"/>
    <w:rsid w:val="000E34CA"/>
    <w:rsid w:val="000E37B6"/>
    <w:rsid w:val="000E3874"/>
    <w:rsid w:val="000E3E05"/>
    <w:rsid w:val="000E5788"/>
    <w:rsid w:val="000E5BD6"/>
    <w:rsid w:val="000E60BB"/>
    <w:rsid w:val="000E6695"/>
    <w:rsid w:val="000E69FE"/>
    <w:rsid w:val="000E6B90"/>
    <w:rsid w:val="000E6F57"/>
    <w:rsid w:val="000E7FBA"/>
    <w:rsid w:val="000F116A"/>
    <w:rsid w:val="000F195F"/>
    <w:rsid w:val="000F1AD0"/>
    <w:rsid w:val="000F1D48"/>
    <w:rsid w:val="000F1FDE"/>
    <w:rsid w:val="000F2939"/>
    <w:rsid w:val="000F33DC"/>
    <w:rsid w:val="000F3C5A"/>
    <w:rsid w:val="000F3CF5"/>
    <w:rsid w:val="000F3D69"/>
    <w:rsid w:val="000F4326"/>
    <w:rsid w:val="000F5903"/>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36A5"/>
    <w:rsid w:val="001144AE"/>
    <w:rsid w:val="001149F2"/>
    <w:rsid w:val="00114A7D"/>
    <w:rsid w:val="00114CED"/>
    <w:rsid w:val="00115830"/>
    <w:rsid w:val="00116FD6"/>
    <w:rsid w:val="001178D1"/>
    <w:rsid w:val="001178E9"/>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9E6"/>
    <w:rsid w:val="00141D52"/>
    <w:rsid w:val="00142676"/>
    <w:rsid w:val="0014281B"/>
    <w:rsid w:val="0014313C"/>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2140"/>
    <w:rsid w:val="00183208"/>
    <w:rsid w:val="00183C2E"/>
    <w:rsid w:val="00183D25"/>
    <w:rsid w:val="001844E9"/>
    <w:rsid w:val="001846DE"/>
    <w:rsid w:val="0018505B"/>
    <w:rsid w:val="001850F3"/>
    <w:rsid w:val="00185571"/>
    <w:rsid w:val="00186D6D"/>
    <w:rsid w:val="00187240"/>
    <w:rsid w:val="001877B0"/>
    <w:rsid w:val="0018784E"/>
    <w:rsid w:val="00187CDA"/>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3A0"/>
    <w:rsid w:val="001A2A8F"/>
    <w:rsid w:val="001A6A5E"/>
    <w:rsid w:val="001A6BD6"/>
    <w:rsid w:val="001A7270"/>
    <w:rsid w:val="001B024F"/>
    <w:rsid w:val="001B0E0F"/>
    <w:rsid w:val="001B1B9D"/>
    <w:rsid w:val="001B20E8"/>
    <w:rsid w:val="001B2927"/>
    <w:rsid w:val="001B3C41"/>
    <w:rsid w:val="001B3C58"/>
    <w:rsid w:val="001B4781"/>
    <w:rsid w:val="001B4C53"/>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2E"/>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4D7B"/>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6F78"/>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7E4"/>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3A3"/>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2BD"/>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4FF"/>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5DF"/>
    <w:rsid w:val="002F6CFE"/>
    <w:rsid w:val="0030086F"/>
    <w:rsid w:val="00301345"/>
    <w:rsid w:val="00301699"/>
    <w:rsid w:val="00301CAF"/>
    <w:rsid w:val="00302001"/>
    <w:rsid w:val="00302228"/>
    <w:rsid w:val="0030262F"/>
    <w:rsid w:val="00303CDA"/>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39"/>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CC8"/>
    <w:rsid w:val="003327BC"/>
    <w:rsid w:val="00333B52"/>
    <w:rsid w:val="00333D71"/>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3D68"/>
    <w:rsid w:val="003449E4"/>
    <w:rsid w:val="00344DAF"/>
    <w:rsid w:val="003451E1"/>
    <w:rsid w:val="00345352"/>
    <w:rsid w:val="0034557F"/>
    <w:rsid w:val="00345944"/>
    <w:rsid w:val="00345B98"/>
    <w:rsid w:val="00345CC6"/>
    <w:rsid w:val="00345F28"/>
    <w:rsid w:val="00346FBC"/>
    <w:rsid w:val="00347373"/>
    <w:rsid w:val="00347381"/>
    <w:rsid w:val="003473C6"/>
    <w:rsid w:val="00350667"/>
    <w:rsid w:val="00350E31"/>
    <w:rsid w:val="00350F45"/>
    <w:rsid w:val="00350FC4"/>
    <w:rsid w:val="00351921"/>
    <w:rsid w:val="00351BD0"/>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1C5A"/>
    <w:rsid w:val="00362CB1"/>
    <w:rsid w:val="003632B0"/>
    <w:rsid w:val="003641DE"/>
    <w:rsid w:val="003648A3"/>
    <w:rsid w:val="00365254"/>
    <w:rsid w:val="00365E29"/>
    <w:rsid w:val="0036612F"/>
    <w:rsid w:val="003705F3"/>
    <w:rsid w:val="00370D1D"/>
    <w:rsid w:val="00371880"/>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EBD"/>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40"/>
    <w:rsid w:val="003B4005"/>
    <w:rsid w:val="003B4FF8"/>
    <w:rsid w:val="003B50F3"/>
    <w:rsid w:val="003B5178"/>
    <w:rsid w:val="003B691D"/>
    <w:rsid w:val="003B6DD2"/>
    <w:rsid w:val="003B6E96"/>
    <w:rsid w:val="003B746D"/>
    <w:rsid w:val="003B7696"/>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C3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3A7"/>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1947"/>
    <w:rsid w:val="00412707"/>
    <w:rsid w:val="00412781"/>
    <w:rsid w:val="004127DC"/>
    <w:rsid w:val="00413322"/>
    <w:rsid w:val="00413340"/>
    <w:rsid w:val="00413677"/>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0A8"/>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B54"/>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B0C"/>
    <w:rsid w:val="00462F25"/>
    <w:rsid w:val="0046344B"/>
    <w:rsid w:val="00463819"/>
    <w:rsid w:val="00463C79"/>
    <w:rsid w:val="00464F84"/>
    <w:rsid w:val="00465137"/>
    <w:rsid w:val="00465173"/>
    <w:rsid w:val="00465C0B"/>
    <w:rsid w:val="00465FE1"/>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1EA1"/>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6F3"/>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2A7"/>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838"/>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30"/>
    <w:rsid w:val="005208C0"/>
    <w:rsid w:val="00520ECF"/>
    <w:rsid w:val="00522292"/>
    <w:rsid w:val="00522FCF"/>
    <w:rsid w:val="005235D5"/>
    <w:rsid w:val="005246A7"/>
    <w:rsid w:val="00524FB1"/>
    <w:rsid w:val="0052500D"/>
    <w:rsid w:val="0052570A"/>
    <w:rsid w:val="00525CF8"/>
    <w:rsid w:val="00525D07"/>
    <w:rsid w:val="00525F1A"/>
    <w:rsid w:val="005268D5"/>
    <w:rsid w:val="00526D7F"/>
    <w:rsid w:val="00527022"/>
    <w:rsid w:val="005274AC"/>
    <w:rsid w:val="005276B5"/>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2DAE"/>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16D5"/>
    <w:rsid w:val="005A28DF"/>
    <w:rsid w:val="005A2A11"/>
    <w:rsid w:val="005A2EBC"/>
    <w:rsid w:val="005A2F5B"/>
    <w:rsid w:val="005A340F"/>
    <w:rsid w:val="005A3516"/>
    <w:rsid w:val="005A3B67"/>
    <w:rsid w:val="005A406E"/>
    <w:rsid w:val="005A492B"/>
    <w:rsid w:val="005A4BD8"/>
    <w:rsid w:val="005A4EB0"/>
    <w:rsid w:val="005A4FEC"/>
    <w:rsid w:val="005A57A4"/>
    <w:rsid w:val="005A6143"/>
    <w:rsid w:val="005A6386"/>
    <w:rsid w:val="005A652C"/>
    <w:rsid w:val="005A6593"/>
    <w:rsid w:val="005A6759"/>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2F8"/>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4F1B"/>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4F79"/>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6E14"/>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57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4C"/>
    <w:rsid w:val="00651F25"/>
    <w:rsid w:val="00651F3C"/>
    <w:rsid w:val="00652120"/>
    <w:rsid w:val="006532D1"/>
    <w:rsid w:val="00653540"/>
    <w:rsid w:val="00653C27"/>
    <w:rsid w:val="00653C29"/>
    <w:rsid w:val="006542CC"/>
    <w:rsid w:val="006546C4"/>
    <w:rsid w:val="00654D0B"/>
    <w:rsid w:val="00654DB6"/>
    <w:rsid w:val="006557DB"/>
    <w:rsid w:val="00655E18"/>
    <w:rsid w:val="00656E3A"/>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5E9E"/>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5C19"/>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3D4C"/>
    <w:rsid w:val="006E48D1"/>
    <w:rsid w:val="006E4A22"/>
    <w:rsid w:val="006E5299"/>
    <w:rsid w:val="006E5F93"/>
    <w:rsid w:val="006E69BE"/>
    <w:rsid w:val="006E6BD7"/>
    <w:rsid w:val="006E718B"/>
    <w:rsid w:val="006E72C2"/>
    <w:rsid w:val="006E7847"/>
    <w:rsid w:val="006E7BBA"/>
    <w:rsid w:val="006E7CF0"/>
    <w:rsid w:val="006F0172"/>
    <w:rsid w:val="006F07D5"/>
    <w:rsid w:val="006F0C81"/>
    <w:rsid w:val="006F104D"/>
    <w:rsid w:val="006F1077"/>
    <w:rsid w:val="006F1601"/>
    <w:rsid w:val="006F21D4"/>
    <w:rsid w:val="006F2376"/>
    <w:rsid w:val="006F2D04"/>
    <w:rsid w:val="006F2F43"/>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6D0"/>
    <w:rsid w:val="007049D2"/>
    <w:rsid w:val="00704CBD"/>
    <w:rsid w:val="00704D44"/>
    <w:rsid w:val="00705F12"/>
    <w:rsid w:val="0070650E"/>
    <w:rsid w:val="007073D1"/>
    <w:rsid w:val="00707472"/>
    <w:rsid w:val="00707648"/>
    <w:rsid w:val="00707B0A"/>
    <w:rsid w:val="00707E1E"/>
    <w:rsid w:val="007106FD"/>
    <w:rsid w:val="00710A01"/>
    <w:rsid w:val="00710FF3"/>
    <w:rsid w:val="0071180F"/>
    <w:rsid w:val="007118F0"/>
    <w:rsid w:val="0071194E"/>
    <w:rsid w:val="00711C9A"/>
    <w:rsid w:val="00712527"/>
    <w:rsid w:val="00713A83"/>
    <w:rsid w:val="007149F4"/>
    <w:rsid w:val="0071543E"/>
    <w:rsid w:val="007154A5"/>
    <w:rsid w:val="007154F9"/>
    <w:rsid w:val="007161AC"/>
    <w:rsid w:val="007167F2"/>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1A"/>
    <w:rsid w:val="00737D3F"/>
    <w:rsid w:val="007400D3"/>
    <w:rsid w:val="00740C9E"/>
    <w:rsid w:val="0074163A"/>
    <w:rsid w:val="007418F2"/>
    <w:rsid w:val="007422B7"/>
    <w:rsid w:val="00742DAD"/>
    <w:rsid w:val="00742E38"/>
    <w:rsid w:val="00744984"/>
    <w:rsid w:val="00744FF6"/>
    <w:rsid w:val="00745751"/>
    <w:rsid w:val="00746514"/>
    <w:rsid w:val="00746707"/>
    <w:rsid w:val="00746775"/>
    <w:rsid w:val="00746A59"/>
    <w:rsid w:val="00746D51"/>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6D0"/>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914"/>
    <w:rsid w:val="007B1CE6"/>
    <w:rsid w:val="007B255A"/>
    <w:rsid w:val="007B261E"/>
    <w:rsid w:val="007B28E5"/>
    <w:rsid w:val="007B300F"/>
    <w:rsid w:val="007B3A5B"/>
    <w:rsid w:val="007B43C4"/>
    <w:rsid w:val="007B4AC7"/>
    <w:rsid w:val="007B534D"/>
    <w:rsid w:val="007B5924"/>
    <w:rsid w:val="007B5BC5"/>
    <w:rsid w:val="007B5CAC"/>
    <w:rsid w:val="007B5DF3"/>
    <w:rsid w:val="007B6BF8"/>
    <w:rsid w:val="007B7607"/>
    <w:rsid w:val="007B7AA0"/>
    <w:rsid w:val="007B7F39"/>
    <w:rsid w:val="007C0320"/>
    <w:rsid w:val="007C09EA"/>
    <w:rsid w:val="007C0DC9"/>
    <w:rsid w:val="007C11F8"/>
    <w:rsid w:val="007C1CC5"/>
    <w:rsid w:val="007C251C"/>
    <w:rsid w:val="007C2976"/>
    <w:rsid w:val="007C2D59"/>
    <w:rsid w:val="007C2FA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C7B"/>
    <w:rsid w:val="007E1F07"/>
    <w:rsid w:val="007E247C"/>
    <w:rsid w:val="007E25A8"/>
    <w:rsid w:val="007E2877"/>
    <w:rsid w:val="007E293D"/>
    <w:rsid w:val="007E2CFC"/>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0F77"/>
    <w:rsid w:val="0081161B"/>
    <w:rsid w:val="008119F0"/>
    <w:rsid w:val="00811A3A"/>
    <w:rsid w:val="00811CD1"/>
    <w:rsid w:val="00812556"/>
    <w:rsid w:val="0081322E"/>
    <w:rsid w:val="00813269"/>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013"/>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48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30"/>
    <w:rsid w:val="0085168A"/>
    <w:rsid w:val="00851CB4"/>
    <w:rsid w:val="008520C1"/>
    <w:rsid w:val="008522BF"/>
    <w:rsid w:val="008524DF"/>
    <w:rsid w:val="0085265A"/>
    <w:rsid w:val="00852887"/>
    <w:rsid w:val="008531F1"/>
    <w:rsid w:val="008536EF"/>
    <w:rsid w:val="00853956"/>
    <w:rsid w:val="00853E40"/>
    <w:rsid w:val="0085406F"/>
    <w:rsid w:val="00854A6C"/>
    <w:rsid w:val="00854E1C"/>
    <w:rsid w:val="008555AE"/>
    <w:rsid w:val="008555E3"/>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B84"/>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07A"/>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39C"/>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B7FEA"/>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911"/>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0FD"/>
    <w:rsid w:val="008E412D"/>
    <w:rsid w:val="008E50E4"/>
    <w:rsid w:val="008E5334"/>
    <w:rsid w:val="008E5A62"/>
    <w:rsid w:val="008E638B"/>
    <w:rsid w:val="008E6592"/>
    <w:rsid w:val="008E7338"/>
    <w:rsid w:val="008E7427"/>
    <w:rsid w:val="008E742B"/>
    <w:rsid w:val="008E747D"/>
    <w:rsid w:val="008E75D4"/>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0D34"/>
    <w:rsid w:val="0093106E"/>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0E8C"/>
    <w:rsid w:val="009411E1"/>
    <w:rsid w:val="0094149C"/>
    <w:rsid w:val="00941907"/>
    <w:rsid w:val="00941F87"/>
    <w:rsid w:val="00942112"/>
    <w:rsid w:val="009428B0"/>
    <w:rsid w:val="00942DC7"/>
    <w:rsid w:val="00943D7C"/>
    <w:rsid w:val="0094409D"/>
    <w:rsid w:val="0094417D"/>
    <w:rsid w:val="00944803"/>
    <w:rsid w:val="009448A8"/>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A48"/>
    <w:rsid w:val="00992012"/>
    <w:rsid w:val="00992104"/>
    <w:rsid w:val="00992468"/>
    <w:rsid w:val="00992EF5"/>
    <w:rsid w:val="00992F8C"/>
    <w:rsid w:val="009939D3"/>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57DE"/>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08D"/>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4EE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106"/>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486"/>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4D0"/>
    <w:rsid w:val="00A35AFF"/>
    <w:rsid w:val="00A35E06"/>
    <w:rsid w:val="00A35E6F"/>
    <w:rsid w:val="00A35EE2"/>
    <w:rsid w:val="00A35FC0"/>
    <w:rsid w:val="00A371B5"/>
    <w:rsid w:val="00A37426"/>
    <w:rsid w:val="00A37508"/>
    <w:rsid w:val="00A37BA7"/>
    <w:rsid w:val="00A40041"/>
    <w:rsid w:val="00A41013"/>
    <w:rsid w:val="00A41250"/>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576A"/>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048"/>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B70"/>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26D1"/>
    <w:rsid w:val="00AC3708"/>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F43"/>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3D28"/>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9A6"/>
    <w:rsid w:val="00B8416D"/>
    <w:rsid w:val="00B84891"/>
    <w:rsid w:val="00B8498B"/>
    <w:rsid w:val="00B84E5C"/>
    <w:rsid w:val="00B84F9B"/>
    <w:rsid w:val="00B84FC1"/>
    <w:rsid w:val="00B850D9"/>
    <w:rsid w:val="00B8548E"/>
    <w:rsid w:val="00B85511"/>
    <w:rsid w:val="00B8613F"/>
    <w:rsid w:val="00B877F0"/>
    <w:rsid w:val="00B87979"/>
    <w:rsid w:val="00B9094C"/>
    <w:rsid w:val="00B90A43"/>
    <w:rsid w:val="00B9124E"/>
    <w:rsid w:val="00B9150F"/>
    <w:rsid w:val="00B91A8C"/>
    <w:rsid w:val="00B91A94"/>
    <w:rsid w:val="00B9240C"/>
    <w:rsid w:val="00B92701"/>
    <w:rsid w:val="00B927A1"/>
    <w:rsid w:val="00B9372D"/>
    <w:rsid w:val="00B940F0"/>
    <w:rsid w:val="00B9504A"/>
    <w:rsid w:val="00B951B9"/>
    <w:rsid w:val="00B95252"/>
    <w:rsid w:val="00B95ABC"/>
    <w:rsid w:val="00B95C12"/>
    <w:rsid w:val="00B95C6F"/>
    <w:rsid w:val="00B963B3"/>
    <w:rsid w:val="00B965E6"/>
    <w:rsid w:val="00B96811"/>
    <w:rsid w:val="00B969CB"/>
    <w:rsid w:val="00B96BED"/>
    <w:rsid w:val="00B97303"/>
    <w:rsid w:val="00BA0742"/>
    <w:rsid w:val="00BA12FF"/>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438"/>
    <w:rsid w:val="00BA772B"/>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D9E"/>
    <w:rsid w:val="00BF0F5B"/>
    <w:rsid w:val="00BF12EF"/>
    <w:rsid w:val="00BF16E2"/>
    <w:rsid w:val="00BF180D"/>
    <w:rsid w:val="00BF1A03"/>
    <w:rsid w:val="00BF2425"/>
    <w:rsid w:val="00BF2A90"/>
    <w:rsid w:val="00BF2BAF"/>
    <w:rsid w:val="00BF3772"/>
    <w:rsid w:val="00BF4C74"/>
    <w:rsid w:val="00BF548B"/>
    <w:rsid w:val="00BF559A"/>
    <w:rsid w:val="00BF587D"/>
    <w:rsid w:val="00BF5B11"/>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32"/>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338"/>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B24"/>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1FD9"/>
    <w:rsid w:val="00CC2232"/>
    <w:rsid w:val="00CC2A00"/>
    <w:rsid w:val="00CC31E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9E9"/>
    <w:rsid w:val="00CF113F"/>
    <w:rsid w:val="00CF15BA"/>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CB"/>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8C5"/>
    <w:rsid w:val="00D27E1B"/>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3CD"/>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2C"/>
    <w:rsid w:val="00D5409A"/>
    <w:rsid w:val="00D54D1A"/>
    <w:rsid w:val="00D55142"/>
    <w:rsid w:val="00D55187"/>
    <w:rsid w:val="00D5529A"/>
    <w:rsid w:val="00D55593"/>
    <w:rsid w:val="00D55A12"/>
    <w:rsid w:val="00D55C77"/>
    <w:rsid w:val="00D55DC7"/>
    <w:rsid w:val="00D55DE1"/>
    <w:rsid w:val="00D560D5"/>
    <w:rsid w:val="00D56844"/>
    <w:rsid w:val="00D57F7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0F17"/>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BA3"/>
    <w:rsid w:val="00DB0C3D"/>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2615"/>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4CB"/>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04"/>
    <w:rsid w:val="00ED3D37"/>
    <w:rsid w:val="00ED3F97"/>
    <w:rsid w:val="00ED4333"/>
    <w:rsid w:val="00ED4790"/>
    <w:rsid w:val="00ED4826"/>
    <w:rsid w:val="00ED49A3"/>
    <w:rsid w:val="00ED4B67"/>
    <w:rsid w:val="00ED5117"/>
    <w:rsid w:val="00ED594C"/>
    <w:rsid w:val="00ED5FF4"/>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66E9"/>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487"/>
    <w:rsid w:val="00F8363D"/>
    <w:rsid w:val="00F8470C"/>
    <w:rsid w:val="00F853E6"/>
    <w:rsid w:val="00F859D9"/>
    <w:rsid w:val="00F86773"/>
    <w:rsid w:val="00F867CE"/>
    <w:rsid w:val="00F86FB8"/>
    <w:rsid w:val="00F86FBC"/>
    <w:rsid w:val="00F8738D"/>
    <w:rsid w:val="00F87514"/>
    <w:rsid w:val="00F87C59"/>
    <w:rsid w:val="00F910E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69B"/>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3AFD-7C83-47FE-A4F0-9ED28F8A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2363</Words>
  <Characters>13001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2017-05-03T18:41:00Z</cp:lastPrinted>
  <dcterms:created xsi:type="dcterms:W3CDTF">2017-05-02T21:27:00Z</dcterms:created>
  <dcterms:modified xsi:type="dcterms:W3CDTF">2017-06-26T15:52:00Z</dcterms:modified>
</cp:coreProperties>
</file>