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BF" w:rsidRDefault="004F5CBF" w:rsidP="004F5CB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4F5CBF" w:rsidRDefault="004F5CBF" w:rsidP="004F5CBF">
      <w:pPr>
        <w:pStyle w:val="Sinespaciado"/>
        <w:jc w:val="both"/>
        <w:rPr>
          <w:rFonts w:asciiTheme="minorHAnsi" w:hAnsiTheme="minorHAnsi"/>
          <w:sz w:val="18"/>
          <w:szCs w:val="18"/>
        </w:rPr>
      </w:pPr>
    </w:p>
    <w:p w:rsidR="004F5CBF" w:rsidRPr="004F5CBF" w:rsidRDefault="004F5CBF" w:rsidP="004F5CBF">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SUSPENSIÓN CUOTA ALIMENTARIA</w:t>
      </w:r>
      <w:r>
        <w:rPr>
          <w:rFonts w:asciiTheme="minorHAnsi" w:hAnsiTheme="minorHAnsi"/>
          <w:b/>
          <w:sz w:val="18"/>
          <w:szCs w:val="18"/>
        </w:rPr>
        <w:t xml:space="preserve"> - SUBSIDIARIEDAD - IMPROCEDENTE - “</w:t>
      </w:r>
      <w:r w:rsidRPr="004F5CBF">
        <w:rPr>
          <w:rFonts w:asciiTheme="minorHAnsi" w:hAnsiTheme="minorHAnsi"/>
          <w:sz w:val="18"/>
          <w:szCs w:val="18"/>
        </w:rPr>
        <w:t>Conforme al material probatorio (Folios 14 a 27, ib.), halla la Sala que el Juzgado accionado mediante auto del 03-03-2017 resolvió negativamente la solicitud de la señora Rosalba Hernández de Cardona, porque carecía de legitimación para representar a sus hijos mayores de edad (Folios 22 vuelto, ib.), notificado con fijación en el estado del 06-03-2017, sin ser recurrido (Folio 14, ib.).</w:t>
      </w:r>
    </w:p>
    <w:p w:rsidR="004F5CBF" w:rsidRPr="004F5CBF" w:rsidRDefault="004F5CBF" w:rsidP="004F5CBF">
      <w:pPr>
        <w:pStyle w:val="Sinespaciado"/>
        <w:jc w:val="both"/>
        <w:rPr>
          <w:rFonts w:asciiTheme="minorHAnsi" w:hAnsiTheme="minorHAnsi"/>
          <w:sz w:val="18"/>
          <w:szCs w:val="18"/>
        </w:rPr>
      </w:pPr>
    </w:p>
    <w:p w:rsidR="004F5CBF" w:rsidRDefault="004F5CBF" w:rsidP="004F5CBF">
      <w:pPr>
        <w:pStyle w:val="Sinespaciado"/>
        <w:jc w:val="both"/>
        <w:rPr>
          <w:rFonts w:asciiTheme="minorHAnsi" w:hAnsiTheme="minorHAnsi"/>
          <w:sz w:val="18"/>
          <w:szCs w:val="18"/>
        </w:rPr>
      </w:pPr>
      <w:r w:rsidRPr="004F5CBF">
        <w:rPr>
          <w:rFonts w:asciiTheme="minorHAnsi" w:hAnsiTheme="minorHAnsi"/>
          <w:sz w:val="18"/>
          <w:szCs w:val="18"/>
        </w:rPr>
        <w:t xml:space="preserve">Bajo esta óptica, se tiene que en el proceso de alimentos la actora pretermitió agotar el recurso de reposición frente al aludido proveído (Artículo 318, </w:t>
      </w:r>
      <w:proofErr w:type="spellStart"/>
      <w:r w:rsidRPr="004F5CBF">
        <w:rPr>
          <w:rFonts w:asciiTheme="minorHAnsi" w:hAnsiTheme="minorHAnsi"/>
          <w:sz w:val="18"/>
          <w:szCs w:val="18"/>
        </w:rPr>
        <w:t>CGP</w:t>
      </w:r>
      <w:proofErr w:type="spellEnd"/>
      <w:r w:rsidRPr="004F5CBF">
        <w:rPr>
          <w:rFonts w:asciiTheme="minorHAnsi" w:hAnsiTheme="minorHAnsi"/>
          <w:sz w:val="18"/>
          <w:szCs w:val="18"/>
        </w:rPr>
        <w:t>), cuando ese era el mecanismo ordinario y expedito que tenía para que el estrado judicial reconsiderara su decisión, si es que disentía de ella</w:t>
      </w:r>
      <w:r>
        <w:rPr>
          <w:rFonts w:asciiTheme="minorHAnsi" w:hAnsiTheme="minorHAnsi"/>
          <w:sz w:val="18"/>
          <w:szCs w:val="18"/>
        </w:rPr>
        <w:t xml:space="preserve">. Al respecto ha dicho la </w:t>
      </w:r>
      <w:proofErr w:type="gramStart"/>
      <w:r>
        <w:rPr>
          <w:rFonts w:asciiTheme="minorHAnsi" w:hAnsiTheme="minorHAnsi"/>
          <w:sz w:val="18"/>
          <w:szCs w:val="18"/>
        </w:rPr>
        <w:t>CSJ :</w:t>
      </w:r>
      <w:proofErr w:type="gramEnd"/>
    </w:p>
    <w:p w:rsidR="004F5CBF" w:rsidRDefault="004F5CBF" w:rsidP="004F5CBF">
      <w:pPr>
        <w:pStyle w:val="Sinespaciado"/>
        <w:jc w:val="both"/>
        <w:rPr>
          <w:rFonts w:asciiTheme="minorHAnsi" w:hAnsiTheme="minorHAnsi"/>
          <w:sz w:val="18"/>
          <w:szCs w:val="18"/>
        </w:rPr>
      </w:pPr>
      <w:r>
        <w:rPr>
          <w:rFonts w:asciiTheme="minorHAnsi" w:hAnsiTheme="minorHAnsi"/>
          <w:sz w:val="18"/>
          <w:szCs w:val="18"/>
        </w:rPr>
        <w:t>(…)</w:t>
      </w:r>
    </w:p>
    <w:p w:rsidR="004F5CBF" w:rsidRPr="004F5CBF" w:rsidRDefault="004F5CBF" w:rsidP="004F5CBF">
      <w:pPr>
        <w:pStyle w:val="Sinespaciado"/>
        <w:jc w:val="both"/>
        <w:rPr>
          <w:rFonts w:asciiTheme="minorHAnsi" w:hAnsiTheme="minorHAnsi"/>
          <w:sz w:val="18"/>
          <w:szCs w:val="18"/>
        </w:rPr>
      </w:pPr>
    </w:p>
    <w:p w:rsidR="004F5CBF" w:rsidRPr="004F5CBF" w:rsidRDefault="004F5CBF" w:rsidP="004F5CBF">
      <w:pPr>
        <w:pStyle w:val="Sinespaciado"/>
        <w:jc w:val="both"/>
        <w:rPr>
          <w:rFonts w:asciiTheme="minorHAnsi" w:hAnsiTheme="minorHAnsi"/>
          <w:sz w:val="18"/>
          <w:szCs w:val="18"/>
        </w:rPr>
      </w:pPr>
      <w:r w:rsidRPr="004F5CBF">
        <w:rPr>
          <w:rFonts w:asciiTheme="minorHAnsi" w:hAnsiTheme="minorHAnsi"/>
          <w:sz w:val="18"/>
          <w:szCs w:val="18"/>
        </w:rPr>
        <w:t xml:space="preserve">Asimismo en lo que respecta a la falta de explicación de las razones que dieron lugar al </w:t>
      </w:r>
    </w:p>
    <w:p w:rsidR="004F5CBF" w:rsidRPr="004F5CBF" w:rsidRDefault="004F5CBF" w:rsidP="004F5CBF">
      <w:pPr>
        <w:pStyle w:val="Sinespaciado"/>
        <w:jc w:val="both"/>
        <w:rPr>
          <w:rFonts w:asciiTheme="minorHAnsi" w:hAnsiTheme="minorHAnsi"/>
          <w:sz w:val="18"/>
          <w:szCs w:val="18"/>
        </w:rPr>
      </w:pPr>
      <w:proofErr w:type="gramStart"/>
      <w:r w:rsidRPr="004F5CBF">
        <w:rPr>
          <w:rFonts w:asciiTheme="minorHAnsi" w:hAnsiTheme="minorHAnsi"/>
          <w:sz w:val="18"/>
          <w:szCs w:val="18"/>
        </w:rPr>
        <w:t>impago</w:t>
      </w:r>
      <w:proofErr w:type="gramEnd"/>
      <w:r w:rsidRPr="004F5CBF">
        <w:rPr>
          <w:rFonts w:asciiTheme="minorHAnsi" w:hAnsiTheme="minorHAnsi"/>
          <w:sz w:val="18"/>
          <w:szCs w:val="18"/>
        </w:rPr>
        <w:t xml:space="preserve"> de la cuota alimentaria, se tiene, que ninguno de los accionantes presentó memorial en aquellos términos, es decir, dejaron de agotar el mecanismo ordinario, necesario para que el accionado tomara alguna determinación respecto de sus pretensiones. </w:t>
      </w:r>
    </w:p>
    <w:p w:rsidR="004F5CBF" w:rsidRPr="004F5CBF" w:rsidRDefault="004F5CBF" w:rsidP="004F5CBF">
      <w:pPr>
        <w:pStyle w:val="Sinespaciado"/>
        <w:jc w:val="both"/>
        <w:rPr>
          <w:rFonts w:asciiTheme="minorHAnsi" w:hAnsiTheme="minorHAnsi"/>
          <w:sz w:val="18"/>
          <w:szCs w:val="18"/>
        </w:rPr>
      </w:pPr>
    </w:p>
    <w:p w:rsidR="004F5CBF" w:rsidRPr="004F5CBF" w:rsidRDefault="004F5CBF" w:rsidP="004F5CBF">
      <w:pPr>
        <w:pStyle w:val="Sinespaciado"/>
        <w:jc w:val="both"/>
        <w:rPr>
          <w:rFonts w:asciiTheme="minorHAnsi" w:hAnsiTheme="minorHAnsi"/>
          <w:sz w:val="18"/>
          <w:szCs w:val="18"/>
        </w:rPr>
      </w:pPr>
      <w:r w:rsidRPr="004F5CBF">
        <w:rPr>
          <w:rFonts w:asciiTheme="minorHAnsi" w:hAnsiTheme="minorHAnsi"/>
          <w:sz w:val="18"/>
          <w:szCs w:val="18"/>
        </w:rPr>
        <w:t xml:space="preserve">Cabe acotar que no obstante se trate de personas de especial protección constitucional (Tercera edad e invidente), esas condiciones físicas por sí solas son insuficientes como para estimarse que requieren de protección </w:t>
      </w:r>
      <w:proofErr w:type="gramStart"/>
      <w:r w:rsidRPr="004F5CBF">
        <w:rPr>
          <w:rFonts w:asciiTheme="minorHAnsi" w:hAnsiTheme="minorHAnsi"/>
          <w:sz w:val="18"/>
          <w:szCs w:val="18"/>
        </w:rPr>
        <w:t>reforzada ,</w:t>
      </w:r>
      <w:proofErr w:type="gramEnd"/>
      <w:r w:rsidRPr="004F5CBF">
        <w:rPr>
          <w:rFonts w:asciiTheme="minorHAnsi" w:hAnsiTheme="minorHAnsi"/>
          <w:sz w:val="18"/>
          <w:szCs w:val="18"/>
        </w:rPr>
        <w:t xml:space="preserve"> de tal modo que amerite un análisis flexible del requisito de </w:t>
      </w:r>
      <w:proofErr w:type="spellStart"/>
      <w:r w:rsidRPr="004F5CBF">
        <w:rPr>
          <w:rFonts w:asciiTheme="minorHAnsi" w:hAnsiTheme="minorHAnsi"/>
          <w:sz w:val="18"/>
          <w:szCs w:val="18"/>
        </w:rPr>
        <w:t>procedibilidad</w:t>
      </w:r>
      <w:proofErr w:type="spellEnd"/>
      <w:r w:rsidRPr="004F5CBF">
        <w:rPr>
          <w:rFonts w:asciiTheme="minorHAnsi" w:hAnsiTheme="minorHAnsi"/>
          <w:sz w:val="18"/>
          <w:szCs w:val="18"/>
        </w:rPr>
        <w:t xml:space="preserve">. </w:t>
      </w:r>
    </w:p>
    <w:p w:rsidR="004F5CBF" w:rsidRPr="004F5CBF" w:rsidRDefault="004F5CBF" w:rsidP="004F5CBF">
      <w:pPr>
        <w:pStyle w:val="Sinespaciado"/>
        <w:jc w:val="both"/>
        <w:rPr>
          <w:rFonts w:asciiTheme="minorHAnsi" w:hAnsiTheme="minorHAnsi"/>
          <w:sz w:val="18"/>
          <w:szCs w:val="18"/>
        </w:rPr>
      </w:pPr>
    </w:p>
    <w:p w:rsidR="004F5CBF" w:rsidRPr="004F5CBF" w:rsidRDefault="004F5CBF" w:rsidP="004F5CBF">
      <w:pPr>
        <w:pStyle w:val="Sinespaciado"/>
        <w:jc w:val="both"/>
        <w:rPr>
          <w:rFonts w:asciiTheme="minorHAnsi" w:hAnsiTheme="minorHAnsi"/>
          <w:sz w:val="18"/>
          <w:szCs w:val="18"/>
        </w:rPr>
      </w:pPr>
      <w:r w:rsidRPr="004F5CBF">
        <w:rPr>
          <w:rFonts w:asciiTheme="minorHAnsi" w:hAnsiTheme="minorHAnsi"/>
          <w:sz w:val="18"/>
          <w:szCs w:val="18"/>
        </w:rPr>
        <w:t>La señora Hernández de Cardona siempre presentó personalmente sus escritos, inclusive, el datado el 16-02-2017 (Folio 20 vuelto, ib.), sin necesidad de asistencia jurídica, y el señor Cardona Hernández, tal como promovió este amparo, bien puede acercarse al juzgado para requerir que le brinde la explicación que exige.</w:t>
      </w:r>
    </w:p>
    <w:p w:rsidR="004F5CBF" w:rsidRPr="004F5CBF" w:rsidRDefault="004F5CBF" w:rsidP="004F5CBF">
      <w:pPr>
        <w:pStyle w:val="Sinespaciado"/>
        <w:jc w:val="both"/>
        <w:rPr>
          <w:rFonts w:asciiTheme="minorHAnsi" w:hAnsiTheme="minorHAnsi"/>
          <w:sz w:val="18"/>
          <w:szCs w:val="18"/>
        </w:rPr>
      </w:pPr>
    </w:p>
    <w:p w:rsidR="004F5CBF" w:rsidRDefault="004F5CBF" w:rsidP="004F5CBF">
      <w:pPr>
        <w:pStyle w:val="Sinespaciado"/>
        <w:jc w:val="both"/>
        <w:rPr>
          <w:rFonts w:asciiTheme="minorHAnsi" w:hAnsiTheme="minorHAnsi"/>
          <w:sz w:val="18"/>
          <w:szCs w:val="18"/>
        </w:rPr>
      </w:pPr>
      <w:r w:rsidRPr="004F5CBF">
        <w:rPr>
          <w:rFonts w:asciiTheme="minorHAnsi" w:hAnsiTheme="minorHAnsi"/>
          <w:sz w:val="18"/>
          <w:szCs w:val="18"/>
        </w:rPr>
        <w:t xml:space="preserve">En ese contexto, el presente amparo es improcedente toda vez que se incumple con uno de los siete (7) requisitos generales de </w:t>
      </w:r>
      <w:proofErr w:type="spellStart"/>
      <w:r w:rsidRPr="004F5CBF">
        <w:rPr>
          <w:rFonts w:asciiTheme="minorHAnsi" w:hAnsiTheme="minorHAnsi"/>
          <w:sz w:val="18"/>
          <w:szCs w:val="18"/>
        </w:rPr>
        <w:t>procedibilidad</w:t>
      </w:r>
      <w:proofErr w:type="spellEnd"/>
      <w:r w:rsidRPr="004F5CBF">
        <w:rPr>
          <w:rFonts w:asciiTheme="minorHAnsi" w:hAnsiTheme="minorHAnsi"/>
          <w:sz w:val="18"/>
          <w:szCs w:val="18"/>
        </w:rPr>
        <w:t>, como lo es el de la subsidiariedad, dado que, para la época en que fue promovido, aun se estaba tramitando el asunto popular. Es menester esperar a que el accionado se pronuncie respecto del recurso.</w:t>
      </w:r>
      <w:bookmarkStart w:id="0" w:name="_GoBack"/>
      <w:bookmarkEnd w:id="0"/>
    </w:p>
    <w:p w:rsidR="004F5CBF" w:rsidRDefault="004F5CBF" w:rsidP="002403C8">
      <w:pPr>
        <w:pStyle w:val="Sinespaciado"/>
        <w:tabs>
          <w:tab w:val="left" w:pos="3579"/>
        </w:tabs>
        <w:spacing w:line="360" w:lineRule="auto"/>
        <w:jc w:val="center"/>
        <w:rPr>
          <w:rFonts w:ascii="Arial" w:hAnsi="Arial" w:cs="Arial"/>
          <w:w w:val="140"/>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C5650A">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269C6">
        <w:rPr>
          <w:rFonts w:ascii="Arial" w:hAnsi="Arial" w:cs="Arial"/>
          <w:sz w:val="22"/>
        </w:rPr>
        <w:t>Rosalba Hernández de Cardona y otro</w:t>
      </w:r>
    </w:p>
    <w:p w:rsidR="00A00766" w:rsidRPr="00A00766" w:rsidRDefault="007269C6" w:rsidP="00A00766">
      <w:pPr>
        <w:pStyle w:val="Textoindependiente"/>
        <w:spacing w:line="360" w:lineRule="auto"/>
        <w:ind w:left="1416"/>
        <w:rPr>
          <w:rFonts w:ascii="Arial" w:hAnsi="Arial" w:cs="Arial"/>
          <w:sz w:val="22"/>
        </w:rPr>
      </w:pPr>
      <w:r>
        <w:rPr>
          <w:rFonts w:ascii="Arial" w:hAnsi="Arial" w:cs="Arial"/>
          <w:sz w:val="22"/>
        </w:rPr>
        <w:t xml:space="preserve">Accionado </w:t>
      </w:r>
      <w:r w:rsidR="00A00766" w:rsidRPr="00A00766">
        <w:rPr>
          <w:rFonts w:ascii="Arial" w:hAnsi="Arial" w:cs="Arial"/>
          <w:sz w:val="22"/>
        </w:rPr>
        <w:tab/>
      </w:r>
      <w:r w:rsidR="00A00766" w:rsidRPr="00A00766">
        <w:rPr>
          <w:rFonts w:ascii="Arial" w:hAnsi="Arial" w:cs="Arial"/>
          <w:sz w:val="22"/>
        </w:rPr>
        <w:tab/>
        <w:t xml:space="preserve">: Juzgado </w:t>
      </w:r>
      <w:r>
        <w:rPr>
          <w:rFonts w:ascii="Arial" w:hAnsi="Arial" w:cs="Arial"/>
          <w:sz w:val="22"/>
        </w:rPr>
        <w:t xml:space="preserve">4º Familia </w:t>
      </w:r>
      <w:r w:rsidR="008134BD">
        <w:rPr>
          <w:rFonts w:ascii="Arial" w:hAnsi="Arial" w:cs="Arial"/>
          <w:sz w:val="22"/>
          <w:lang w:val="es-CO"/>
        </w:rPr>
        <w:t xml:space="preserve">de </w:t>
      </w:r>
      <w:r w:rsidR="00B411C8">
        <w:rPr>
          <w:rFonts w:ascii="Arial" w:hAnsi="Arial" w:cs="Arial"/>
          <w:sz w:val="22"/>
          <w:lang w:val="es-CO"/>
        </w:rPr>
        <w:t xml:space="preserve">Pereira </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7269C6">
        <w:rPr>
          <w:rFonts w:ascii="Arial" w:hAnsi="Arial" w:cs="Arial"/>
          <w:sz w:val="22"/>
          <w:szCs w:val="22"/>
        </w:rPr>
        <w:t>José Alonso Cardona Arango y otros</w:t>
      </w:r>
    </w:p>
    <w:p w:rsidR="00A00766" w:rsidRPr="00B411C8" w:rsidRDefault="00A00766" w:rsidP="00A00766">
      <w:pPr>
        <w:pStyle w:val="Textoindependiente"/>
        <w:spacing w:line="360" w:lineRule="auto"/>
        <w:ind w:left="1416"/>
        <w:rPr>
          <w:rFonts w:ascii="Arial" w:hAnsi="Arial" w:cs="Arial"/>
          <w:sz w:val="22"/>
        </w:rPr>
      </w:pPr>
      <w:r w:rsidRPr="00B411C8">
        <w:rPr>
          <w:rFonts w:ascii="Arial" w:hAnsi="Arial" w:cs="Arial"/>
          <w:sz w:val="22"/>
        </w:rPr>
        <w:t>Radicación</w:t>
      </w:r>
      <w:r w:rsidRPr="00B411C8">
        <w:rPr>
          <w:rFonts w:ascii="Arial" w:hAnsi="Arial" w:cs="Arial"/>
          <w:sz w:val="22"/>
        </w:rPr>
        <w:tab/>
      </w:r>
      <w:r w:rsidRPr="00B411C8">
        <w:rPr>
          <w:rFonts w:ascii="Arial" w:hAnsi="Arial" w:cs="Arial"/>
          <w:sz w:val="22"/>
        </w:rPr>
        <w:tab/>
        <w:t xml:space="preserve">: </w:t>
      </w:r>
      <w:r w:rsidR="007269C6">
        <w:rPr>
          <w:rFonts w:ascii="Arial" w:hAnsi="Arial" w:cs="Arial"/>
          <w:sz w:val="22"/>
        </w:rPr>
        <w:t>2017-00488-00 (Interna No.488)</w:t>
      </w:r>
    </w:p>
    <w:p w:rsidR="009C0048" w:rsidRDefault="00970930" w:rsidP="009C004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2060F5">
        <w:rPr>
          <w:rFonts w:ascii="Arial" w:hAnsi="Arial" w:cs="Arial"/>
          <w:sz w:val="22"/>
          <w:szCs w:val="22"/>
        </w:rPr>
        <w:tab/>
      </w:r>
      <w:r w:rsidR="009C0048">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A7F8D">
        <w:rPr>
          <w:rFonts w:ascii="Arial" w:hAnsi="Arial" w:cs="Arial"/>
          <w:sz w:val="22"/>
          <w:szCs w:val="22"/>
        </w:rPr>
        <w:t xml:space="preserve">Legitimación por </w:t>
      </w:r>
      <w:r w:rsidR="007269C6">
        <w:rPr>
          <w:rFonts w:ascii="Arial" w:hAnsi="Arial" w:cs="Arial"/>
          <w:sz w:val="22"/>
          <w:szCs w:val="22"/>
        </w:rPr>
        <w:t xml:space="preserve">activa </w:t>
      </w:r>
      <w:r w:rsidR="004A7F8D">
        <w:rPr>
          <w:rFonts w:ascii="Arial" w:hAnsi="Arial" w:cs="Arial"/>
          <w:sz w:val="22"/>
          <w:szCs w:val="22"/>
        </w:rPr>
        <w:t xml:space="preserve">- </w:t>
      </w:r>
      <w:r w:rsidR="007D4E9C">
        <w:rPr>
          <w:rFonts w:ascii="Arial" w:hAnsi="Arial"/>
          <w:sz w:val="22"/>
          <w:szCs w:val="22"/>
        </w:rPr>
        <w:t>Subsidiariedad</w:t>
      </w:r>
    </w:p>
    <w:p w:rsidR="0099045D" w:rsidRPr="002060F5" w:rsidRDefault="009C0048" w:rsidP="00FD4B6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CE255D" w:rsidRPr="002060F5" w:rsidRDefault="00CE255D" w:rsidP="00CE255D">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287 de 01-06-2017</w:t>
      </w:r>
    </w:p>
    <w:p w:rsidR="00CE255D" w:rsidRPr="00CE255D" w:rsidRDefault="00CE255D" w:rsidP="00CE255D">
      <w:pPr>
        <w:pBdr>
          <w:bottom w:val="double" w:sz="6" w:space="1" w:color="auto"/>
        </w:pBdr>
        <w:spacing w:line="360" w:lineRule="auto"/>
        <w:jc w:val="center"/>
        <w:rPr>
          <w:rFonts w:ascii="Arial" w:hAnsi="Arial" w:cs="Arial"/>
          <w:b/>
          <w:bCs/>
          <w:sz w:val="14"/>
          <w:szCs w:val="22"/>
        </w:rPr>
      </w:pPr>
    </w:p>
    <w:p w:rsidR="00CE255D" w:rsidRDefault="00CE255D" w:rsidP="00CE255D">
      <w:pPr>
        <w:spacing w:line="360" w:lineRule="auto"/>
        <w:jc w:val="center"/>
        <w:rPr>
          <w:rFonts w:ascii="Arial" w:hAnsi="Arial" w:cs="Arial"/>
          <w:b/>
          <w:bCs/>
          <w:sz w:val="22"/>
          <w:szCs w:val="22"/>
        </w:rPr>
      </w:pPr>
    </w:p>
    <w:p w:rsidR="00CE255D" w:rsidRPr="00303E85" w:rsidRDefault="00CE255D" w:rsidP="00CE255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primero </w:t>
      </w:r>
      <w:r w:rsidRPr="00303E85">
        <w:rPr>
          <w:rFonts w:ascii="Arial" w:hAnsi="Arial" w:cs="Arial"/>
          <w:iCs/>
          <w:smallCaps/>
          <w:sz w:val="28"/>
          <w:szCs w:val="28"/>
          <w:lang w:val="es-CO"/>
        </w:rPr>
        <w:t>(</w:t>
      </w:r>
      <w:r>
        <w:rPr>
          <w:rFonts w:ascii="Arial" w:hAnsi="Arial" w:cs="Arial"/>
          <w:iCs/>
          <w:smallCaps/>
          <w:sz w:val="28"/>
          <w:szCs w:val="28"/>
          <w:lang w:val="es-CO"/>
        </w:rPr>
        <w:t>1º</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C40F50"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C40F50" w:rsidRDefault="00134F0A" w:rsidP="0099045D">
      <w:pPr>
        <w:pStyle w:val="Textoindependiente"/>
        <w:spacing w:line="360" w:lineRule="auto"/>
        <w:rPr>
          <w:rFonts w:ascii="Arial" w:hAnsi="Arial"/>
          <w:szCs w:val="24"/>
        </w:rPr>
      </w:pPr>
    </w:p>
    <w:p w:rsidR="00104367" w:rsidRDefault="00FD4B65"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causales de nulidad que la invaliden.</w:t>
      </w:r>
    </w:p>
    <w:p w:rsidR="000147A2" w:rsidRPr="00C40F50"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 xml:space="preserve">LA SÍNTESIS </w:t>
      </w:r>
      <w:r w:rsidR="00E361E2">
        <w:rPr>
          <w:rFonts w:ascii="Arial" w:hAnsi="Arial"/>
          <w:szCs w:val="24"/>
        </w:rPr>
        <w:t>FÁCTICA</w:t>
      </w:r>
    </w:p>
    <w:p w:rsidR="0099045D" w:rsidRPr="00C40F50" w:rsidRDefault="0099045D" w:rsidP="0099045D">
      <w:pPr>
        <w:pStyle w:val="Textoindependiente"/>
        <w:spacing w:line="360" w:lineRule="auto"/>
        <w:rPr>
          <w:rFonts w:ascii="Arial" w:hAnsi="Arial"/>
          <w:szCs w:val="24"/>
        </w:rPr>
      </w:pPr>
    </w:p>
    <w:p w:rsidR="007269C6" w:rsidRDefault="007269C6" w:rsidP="004B1EB8">
      <w:pPr>
        <w:spacing w:line="360" w:lineRule="auto"/>
        <w:jc w:val="both"/>
        <w:rPr>
          <w:rFonts w:ascii="Arial" w:hAnsi="Arial" w:cs="Arial"/>
        </w:rPr>
      </w:pPr>
      <w:r>
        <w:rPr>
          <w:rFonts w:ascii="Arial" w:hAnsi="Arial" w:cs="Arial"/>
        </w:rPr>
        <w:t xml:space="preserve">Se informó que el juzgado accionado suspendió de manera arbitraria el pago de la cuota alimentaria </w:t>
      </w:r>
      <w:r w:rsidR="00054FD8">
        <w:rPr>
          <w:rFonts w:ascii="Arial" w:hAnsi="Arial" w:cs="Arial"/>
        </w:rPr>
        <w:t xml:space="preserve">que </w:t>
      </w:r>
      <w:r>
        <w:rPr>
          <w:rFonts w:ascii="Arial" w:hAnsi="Arial" w:cs="Arial"/>
        </w:rPr>
        <w:t xml:space="preserve">la señora Rosalba Hernández de Cardona venía recibiendo desde el mes de enero de este año (Folio 1, este cuaderno) </w:t>
      </w:r>
    </w:p>
    <w:p w:rsidR="002B0607" w:rsidRPr="00C40F50" w:rsidRDefault="002B0607" w:rsidP="0099045D">
      <w:pPr>
        <w:pStyle w:val="Textoindependiente"/>
        <w:spacing w:line="360" w:lineRule="auto"/>
        <w:rPr>
          <w:rFonts w:ascii="Arial" w:hAnsi="Arial"/>
          <w:szCs w:val="24"/>
          <w:lang w:val="es-ES"/>
        </w:rPr>
      </w:pPr>
    </w:p>
    <w:p w:rsidR="0099045D" w:rsidRPr="00F9418E" w:rsidRDefault="008134BD"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C40F50" w:rsidRDefault="00800EF6" w:rsidP="00730CA7">
      <w:pPr>
        <w:pStyle w:val="Textoindependiente"/>
        <w:spacing w:line="360" w:lineRule="auto"/>
        <w:rPr>
          <w:rFonts w:ascii="Arial" w:hAnsi="Arial"/>
          <w:szCs w:val="24"/>
        </w:rPr>
      </w:pPr>
    </w:p>
    <w:p w:rsidR="002F2C09" w:rsidRDefault="00CE255D"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actores</w:t>
      </w:r>
      <w:r w:rsidR="007269C6">
        <w:rPr>
          <w:rFonts w:ascii="Arial" w:hAnsi="Arial" w:cs="Arial"/>
          <w:spacing w:val="-3"/>
          <w:lang w:val="es-ES_tradnl"/>
        </w:rPr>
        <w:t xml:space="preserve"> considera</w:t>
      </w:r>
      <w:r>
        <w:rPr>
          <w:rFonts w:ascii="Arial" w:hAnsi="Arial" w:cs="Arial"/>
          <w:spacing w:val="-3"/>
          <w:lang w:val="es-ES_tradnl"/>
        </w:rPr>
        <w:t>n</w:t>
      </w:r>
      <w:r w:rsidR="007269C6">
        <w:rPr>
          <w:rFonts w:ascii="Arial" w:hAnsi="Arial" w:cs="Arial"/>
          <w:spacing w:val="-3"/>
          <w:lang w:val="es-ES_tradnl"/>
        </w:rPr>
        <w:t xml:space="preserve"> que se le</w:t>
      </w:r>
      <w:r>
        <w:rPr>
          <w:rFonts w:ascii="Arial" w:hAnsi="Arial" w:cs="Arial"/>
          <w:spacing w:val="-3"/>
          <w:lang w:val="es-ES_tradnl"/>
        </w:rPr>
        <w:t>s</w:t>
      </w:r>
      <w:r w:rsidR="007269C6">
        <w:rPr>
          <w:rFonts w:ascii="Arial" w:hAnsi="Arial" w:cs="Arial"/>
          <w:spacing w:val="-3"/>
          <w:lang w:val="es-ES_tradnl"/>
        </w:rPr>
        <w:t xml:space="preserve"> vulnera el mínimo vital, también se infiere del petitorio la afectación del derecho al debido proceso </w:t>
      </w:r>
      <w:r w:rsidR="008907D4">
        <w:rPr>
          <w:rFonts w:ascii="Arial" w:hAnsi="Arial" w:cs="Arial"/>
          <w:spacing w:val="-3"/>
          <w:lang w:val="es-ES_tradnl"/>
        </w:rPr>
        <w:t>(Folio</w:t>
      </w:r>
      <w:r w:rsidR="007269C6">
        <w:rPr>
          <w:rFonts w:ascii="Arial" w:hAnsi="Arial" w:cs="Arial"/>
          <w:spacing w:val="-3"/>
          <w:lang w:val="es-ES_tradnl"/>
        </w:rPr>
        <w:t xml:space="preserve"> 1</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40F5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C40F50" w:rsidRDefault="00303E85" w:rsidP="004B1EB8">
      <w:pPr>
        <w:pStyle w:val="Sinespaciado"/>
        <w:spacing w:line="360" w:lineRule="auto"/>
        <w:jc w:val="both"/>
        <w:rPr>
          <w:rFonts w:ascii="Arial" w:hAnsi="Arial" w:cs="Arial"/>
          <w:szCs w:val="24"/>
        </w:rPr>
      </w:pPr>
    </w:p>
    <w:p w:rsidR="007A0967" w:rsidRDefault="004B1EB8" w:rsidP="007A0967">
      <w:pPr>
        <w:spacing w:line="360" w:lineRule="auto"/>
        <w:jc w:val="both"/>
        <w:rPr>
          <w:rFonts w:ascii="Arial" w:hAnsi="Arial" w:cs="Arial"/>
        </w:rPr>
      </w:pPr>
      <w:r>
        <w:rPr>
          <w:rFonts w:ascii="Arial" w:hAnsi="Arial" w:cs="Arial"/>
        </w:rPr>
        <w:t>Se pretende que</w:t>
      </w:r>
      <w:r w:rsidR="007269C6">
        <w:rPr>
          <w:rFonts w:ascii="Arial" w:hAnsi="Arial" w:cs="Arial"/>
        </w:rPr>
        <w:t xml:space="preserve"> se ordene al accionado explicar las razones por las cuales suspendió el pago de la cuota alimentaria </w:t>
      </w:r>
      <w:r w:rsidR="007A0967" w:rsidRPr="00AF753A">
        <w:rPr>
          <w:rFonts w:ascii="Arial" w:hAnsi="Arial" w:cs="Arial"/>
        </w:rPr>
        <w:t>(Folio</w:t>
      </w:r>
      <w:r w:rsidR="0029080C">
        <w:rPr>
          <w:rFonts w:ascii="Arial" w:hAnsi="Arial" w:cs="Arial"/>
        </w:rPr>
        <w:t xml:space="preserve"> </w:t>
      </w:r>
      <w:r w:rsidR="00F80352">
        <w:rPr>
          <w:rFonts w:ascii="Arial" w:hAnsi="Arial" w:cs="Arial"/>
        </w:rPr>
        <w:t>1</w:t>
      </w:r>
      <w:r w:rsidR="0029080C">
        <w:rPr>
          <w:rFonts w:ascii="Arial" w:hAnsi="Arial" w:cs="Arial"/>
        </w:rPr>
        <w:t xml:space="preserve">, este </w:t>
      </w:r>
      <w:r w:rsidR="007A0967">
        <w:rPr>
          <w:rFonts w:ascii="Arial" w:hAnsi="Arial" w:cs="Arial"/>
        </w:rPr>
        <w:t>cuaderno)</w:t>
      </w:r>
      <w:r w:rsidR="007A0967" w:rsidRPr="00AF753A">
        <w:rPr>
          <w:rFonts w:ascii="Arial" w:hAnsi="Arial" w:cs="Arial"/>
        </w:rPr>
        <w:t xml:space="preserve">. </w:t>
      </w:r>
    </w:p>
    <w:p w:rsidR="00CE71D8" w:rsidRPr="00C40F50" w:rsidRDefault="00CE71D8" w:rsidP="000145EA">
      <w:pPr>
        <w:pStyle w:val="Sinespaciado"/>
        <w:spacing w:line="360" w:lineRule="auto"/>
        <w:jc w:val="both"/>
        <w:rPr>
          <w:rFonts w:ascii="Arial" w:hAnsi="Arial" w:cs="Arial"/>
          <w:szCs w:val="24"/>
        </w:rPr>
      </w:pPr>
    </w:p>
    <w:p w:rsidR="0099045D" w:rsidRPr="00704D44" w:rsidRDefault="00E361E2" w:rsidP="00101AE0">
      <w:pPr>
        <w:pStyle w:val="Sinespaciado"/>
        <w:numPr>
          <w:ilvl w:val="0"/>
          <w:numId w:val="1"/>
        </w:numPr>
        <w:spacing w:line="360" w:lineRule="auto"/>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35297D" w:rsidRPr="00C40F50" w:rsidRDefault="0035297D" w:rsidP="00730CA7">
      <w:pPr>
        <w:pStyle w:val="Textoindependiente"/>
        <w:spacing w:line="360" w:lineRule="auto"/>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7269C6">
        <w:rPr>
          <w:rFonts w:ascii="Arial" w:hAnsi="Arial"/>
        </w:rPr>
        <w:t>17</w:t>
      </w:r>
      <w:r w:rsidR="00F80352">
        <w:rPr>
          <w:rFonts w:ascii="Arial" w:hAnsi="Arial"/>
        </w:rPr>
        <w:t>-</w:t>
      </w:r>
      <w:r w:rsidR="007269C6">
        <w:rPr>
          <w:rFonts w:ascii="Arial" w:hAnsi="Arial"/>
        </w:rPr>
        <w:t>05</w:t>
      </w:r>
      <w:r w:rsidR="00F80352">
        <w:rPr>
          <w:rFonts w:ascii="Arial" w:hAnsi="Arial"/>
        </w:rPr>
        <w:t xml:space="preserve">-2017 </w:t>
      </w:r>
      <w:r w:rsidR="00480426">
        <w:rPr>
          <w:rFonts w:ascii="Arial" w:hAnsi="Arial"/>
        </w:rPr>
        <w:t>se asign</w:t>
      </w:r>
      <w:r w:rsidR="0029080C">
        <w:rPr>
          <w:rFonts w:ascii="Arial" w:hAnsi="Arial"/>
        </w:rPr>
        <w:t>ó</w:t>
      </w:r>
      <w:r w:rsidR="00480426">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w:t>
      </w:r>
      <w:r w:rsidR="00F80352">
        <w:rPr>
          <w:rFonts w:ascii="Arial" w:hAnsi="Arial" w:cs="Arial"/>
          <w:color w:val="000000"/>
        </w:rPr>
        <w:t xml:space="preserve">proveído del </w:t>
      </w:r>
      <w:r w:rsidR="007269C6">
        <w:rPr>
          <w:rFonts w:ascii="Arial" w:hAnsi="Arial" w:cs="Arial"/>
          <w:color w:val="000000"/>
        </w:rPr>
        <w:t>día hábil siguiente</w:t>
      </w:r>
      <w:r w:rsidR="0069231C">
        <w:rPr>
          <w:rFonts w:ascii="Arial" w:hAnsi="Arial" w:cs="Arial"/>
          <w:color w:val="000000"/>
        </w:rPr>
        <w:t xml:space="preserve"> </w:t>
      </w:r>
      <w:r w:rsidR="007A0967">
        <w:rPr>
          <w:rFonts w:ascii="Arial" w:hAnsi="Arial" w:cs="Arial"/>
          <w:color w:val="000000"/>
        </w:rPr>
        <w:t xml:space="preserve">se </w:t>
      </w:r>
      <w:r w:rsidR="008D6496">
        <w:rPr>
          <w:rFonts w:ascii="Arial" w:hAnsi="Arial" w:cs="Arial"/>
          <w:color w:val="000000"/>
        </w:rPr>
        <w:t>a</w:t>
      </w:r>
      <w:r w:rsidR="0069231C">
        <w:rPr>
          <w:rFonts w:ascii="Arial" w:hAnsi="Arial" w:cs="Arial"/>
          <w:color w:val="000000"/>
        </w:rPr>
        <w:t>dmiti</w:t>
      </w:r>
      <w:r w:rsidR="0029080C">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7269C6">
        <w:rPr>
          <w:rFonts w:ascii="Arial" w:hAnsi="Arial"/>
        </w:rPr>
        <w:t>5 y 6</w:t>
      </w:r>
      <w:r w:rsidR="00314889">
        <w:rPr>
          <w:rFonts w:ascii="Arial" w:hAnsi="Arial"/>
        </w:rPr>
        <w:t>, ibídem)</w:t>
      </w:r>
      <w:r w:rsidR="00314889">
        <w:rPr>
          <w:rFonts w:ascii="Arial" w:hAnsi="Arial" w:cs="Arial"/>
          <w:color w:val="000000"/>
        </w:rPr>
        <w:t xml:space="preserve">. </w:t>
      </w:r>
      <w:r w:rsidR="007269C6">
        <w:rPr>
          <w:rFonts w:ascii="Arial" w:hAnsi="Arial" w:cs="Arial"/>
          <w:color w:val="000000"/>
        </w:rPr>
        <w:t xml:space="preserve">El 23-05-2017 se practicó la inspección judicial (Folio </w:t>
      </w:r>
      <w:r w:rsidR="00DA7E36">
        <w:rPr>
          <w:rFonts w:ascii="Arial" w:hAnsi="Arial" w:cs="Arial"/>
          <w:color w:val="000000"/>
        </w:rPr>
        <w:t>14, ibídem</w:t>
      </w:r>
      <w:r w:rsidR="007269C6">
        <w:rPr>
          <w:rFonts w:ascii="Arial" w:hAnsi="Arial" w:cs="Arial"/>
          <w:color w:val="000000"/>
        </w:rPr>
        <w:t xml:space="preserve">). Los días 22-05-2017 y 26-05-2017 se dispuso el emplazamiento de los vinculados (Folios 13 y </w:t>
      </w:r>
      <w:r w:rsidR="00DA7E36">
        <w:rPr>
          <w:rFonts w:ascii="Arial" w:hAnsi="Arial" w:cs="Arial"/>
          <w:color w:val="000000"/>
        </w:rPr>
        <w:t xml:space="preserve">26, ibídem). </w:t>
      </w:r>
      <w:r w:rsidR="004B1EB8" w:rsidRPr="004B019A">
        <w:rPr>
          <w:rFonts w:ascii="Arial" w:hAnsi="Arial" w:cs="Arial"/>
          <w:color w:val="000000"/>
        </w:rPr>
        <w:t xml:space="preserve">Fueron debidamente enterados los extremos de la acción (Folios </w:t>
      </w:r>
      <w:r w:rsidR="00DA7E36">
        <w:rPr>
          <w:rFonts w:ascii="Arial" w:hAnsi="Arial" w:cs="Arial"/>
          <w:color w:val="000000"/>
        </w:rPr>
        <w:t>7 a 10, 28 a 29, 31 a 33, 39 a 41 y 43 a 48</w:t>
      </w:r>
      <w:r w:rsidR="004B1EB8" w:rsidRPr="004B019A">
        <w:rPr>
          <w:rFonts w:ascii="Arial" w:hAnsi="Arial" w:cs="Arial"/>
          <w:color w:val="000000"/>
        </w:rPr>
        <w:t xml:space="preserve">, </w:t>
      </w:r>
      <w:r w:rsidR="00F332AF">
        <w:rPr>
          <w:rFonts w:ascii="Arial" w:hAnsi="Arial" w:cs="Arial"/>
          <w:color w:val="000000"/>
        </w:rPr>
        <w:t>ib</w:t>
      </w:r>
      <w:r w:rsidR="00DA7E36">
        <w:rPr>
          <w:rFonts w:ascii="Arial" w:hAnsi="Arial" w:cs="Arial"/>
          <w:color w:val="000000"/>
        </w:rPr>
        <w:t>.</w:t>
      </w:r>
      <w:r w:rsidR="004B1EB8" w:rsidRPr="004B019A">
        <w:rPr>
          <w:rFonts w:ascii="Arial" w:hAnsi="Arial" w:cs="Arial"/>
          <w:color w:val="000000"/>
        </w:rPr>
        <w:t>). Contest</w:t>
      </w:r>
      <w:r w:rsidR="0069231C">
        <w:rPr>
          <w:rFonts w:ascii="Arial" w:hAnsi="Arial" w:cs="Arial"/>
          <w:color w:val="000000"/>
        </w:rPr>
        <w:t xml:space="preserve">aron </w:t>
      </w:r>
      <w:r w:rsidR="00DA7E36">
        <w:rPr>
          <w:rFonts w:ascii="Arial" w:hAnsi="Arial" w:cs="Arial"/>
          <w:color w:val="000000"/>
        </w:rPr>
        <w:t xml:space="preserve">el accionado (Folio 11, ib.) y el Procurador 21 Judicial II </w:t>
      </w:r>
      <w:r w:rsidR="00F80352">
        <w:rPr>
          <w:rFonts w:ascii="Arial" w:hAnsi="Arial" w:cs="Arial"/>
          <w:color w:val="000000"/>
        </w:rPr>
        <w:t xml:space="preserve">(Folios </w:t>
      </w:r>
      <w:r w:rsidR="00DA7E36">
        <w:rPr>
          <w:rFonts w:ascii="Arial" w:hAnsi="Arial" w:cs="Arial"/>
          <w:color w:val="000000"/>
        </w:rPr>
        <w:t>34 a 38</w:t>
      </w:r>
      <w:r w:rsidR="00F80352">
        <w:rPr>
          <w:rFonts w:ascii="Arial" w:hAnsi="Arial" w:cs="Arial"/>
          <w:color w:val="000000"/>
        </w:rPr>
        <w:t>, ib.)</w:t>
      </w:r>
      <w:r w:rsidR="00544B0D">
        <w:rPr>
          <w:rFonts w:ascii="Arial" w:hAnsi="Arial" w:cs="Arial"/>
          <w:color w:val="000000"/>
        </w:rPr>
        <w:t>.</w:t>
      </w:r>
    </w:p>
    <w:p w:rsidR="00B41B34" w:rsidRPr="00C40F50" w:rsidRDefault="00B41B34" w:rsidP="00B50331">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Textoindependiente"/>
        <w:spacing w:line="360" w:lineRule="auto"/>
        <w:rPr>
          <w:rFonts w:ascii="Arial" w:hAnsi="Arial"/>
          <w:szCs w:val="24"/>
        </w:rPr>
      </w:pPr>
    </w:p>
    <w:p w:rsidR="00DA7E36" w:rsidRDefault="00DA7E36" w:rsidP="001842E5">
      <w:pPr>
        <w:spacing w:line="360" w:lineRule="auto"/>
        <w:jc w:val="both"/>
        <w:rPr>
          <w:rFonts w:ascii="Arial" w:hAnsi="Arial"/>
        </w:rPr>
      </w:pPr>
      <w:r>
        <w:rPr>
          <w:rFonts w:ascii="Arial" w:hAnsi="Arial"/>
        </w:rPr>
        <w:t xml:space="preserve">El Despacho Judicial relató el trámite dado al proceso y señaló que ha actuado conforme a las normas de ese tipo de asuntos, sin vulnerar derecho alguno, pues halló que la accionante carecía de legitimación para solicitar el pago de alimentos que fueron ordenados como medida provisional para sus hijos quienes al momento de </w:t>
      </w:r>
      <w:r w:rsidR="004A57ED">
        <w:rPr>
          <w:rFonts w:ascii="Arial" w:hAnsi="Arial"/>
        </w:rPr>
        <w:t xml:space="preserve">la presentación de la demanda </w:t>
      </w:r>
      <w:r>
        <w:rPr>
          <w:rFonts w:ascii="Arial" w:hAnsi="Arial"/>
        </w:rPr>
        <w:t xml:space="preserve">eran menores de edad. </w:t>
      </w:r>
    </w:p>
    <w:p w:rsidR="00DA7E36" w:rsidRDefault="00DA7E36" w:rsidP="001842E5">
      <w:pPr>
        <w:spacing w:line="360" w:lineRule="auto"/>
        <w:jc w:val="both"/>
        <w:rPr>
          <w:rFonts w:ascii="Arial" w:hAnsi="Arial"/>
        </w:rPr>
      </w:pPr>
    </w:p>
    <w:p w:rsidR="00051EF8" w:rsidRDefault="00DA7E36" w:rsidP="001842E5">
      <w:pPr>
        <w:spacing w:line="360" w:lineRule="auto"/>
        <w:jc w:val="both"/>
        <w:rPr>
          <w:rFonts w:ascii="Arial" w:hAnsi="Arial" w:cs="Arial"/>
        </w:rPr>
      </w:pPr>
      <w:r>
        <w:rPr>
          <w:rFonts w:ascii="Arial" w:hAnsi="Arial"/>
        </w:rPr>
        <w:t xml:space="preserve">El Procurador 21 Judicial II </w:t>
      </w:r>
      <w:r w:rsidR="004A57ED">
        <w:rPr>
          <w:rFonts w:ascii="Arial" w:hAnsi="Arial"/>
        </w:rPr>
        <w:t xml:space="preserve">expuso que la tutela es inviable porque incumple los requisitos generales de relevancia constitucional y subsidiariedad; no se acreditó el estado de debilidad manifiesta, ni perjuicio irremediable, además, la actora cuenta con otras vías </w:t>
      </w:r>
      <w:r w:rsidR="004A57ED">
        <w:rPr>
          <w:rFonts w:ascii="Arial" w:hAnsi="Arial"/>
        </w:rPr>
        <w:lastRenderedPageBreak/>
        <w:t xml:space="preserve">legales que puede agotar </w:t>
      </w:r>
      <w:r w:rsidR="00FC5CFA">
        <w:rPr>
          <w:rFonts w:ascii="Arial" w:hAnsi="Arial" w:cs="Arial"/>
          <w:color w:val="000000"/>
        </w:rPr>
        <w:t>(Folio</w:t>
      </w:r>
      <w:r w:rsidR="00051EF8">
        <w:rPr>
          <w:rFonts w:ascii="Arial" w:hAnsi="Arial" w:cs="Arial"/>
          <w:color w:val="000000"/>
        </w:rPr>
        <w:t>s</w:t>
      </w:r>
      <w:r w:rsidR="00FC5CFA">
        <w:rPr>
          <w:rFonts w:ascii="Arial" w:hAnsi="Arial" w:cs="Arial"/>
          <w:color w:val="000000"/>
        </w:rPr>
        <w:t xml:space="preserve"> </w:t>
      </w:r>
      <w:r w:rsidR="004A57ED">
        <w:rPr>
          <w:rFonts w:ascii="Arial" w:hAnsi="Arial" w:cs="Arial"/>
          <w:color w:val="000000"/>
        </w:rPr>
        <w:t>34 a 38</w:t>
      </w:r>
      <w:r w:rsidR="00FC5CFA">
        <w:rPr>
          <w:rFonts w:ascii="Arial" w:hAnsi="Arial" w:cs="Arial"/>
          <w:color w:val="000000"/>
        </w:rPr>
        <w:t>, ib</w:t>
      </w:r>
      <w:r w:rsidR="00FC5CFA" w:rsidRPr="00100263">
        <w:rPr>
          <w:rFonts w:ascii="Arial" w:hAnsi="Arial" w:cs="Arial"/>
          <w:color w:val="000000"/>
        </w:rPr>
        <w:t>.).</w:t>
      </w:r>
      <w:r w:rsidR="000C3E41" w:rsidRPr="000C3E41">
        <w:rPr>
          <w:rFonts w:ascii="Arial" w:hAnsi="Arial" w:cs="Arial"/>
        </w:rPr>
        <w:t xml:space="preserve"> </w:t>
      </w:r>
    </w:p>
    <w:p w:rsidR="00051EF8" w:rsidRDefault="00051EF8" w:rsidP="001842E5">
      <w:pPr>
        <w:spacing w:line="360" w:lineRule="auto"/>
        <w:jc w:val="both"/>
        <w:rPr>
          <w:rFonts w:ascii="Arial" w:hAnsi="Arial" w:cs="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Textoindependiente"/>
        <w:spacing w:line="360" w:lineRule="auto"/>
        <w:ind w:left="400"/>
        <w:rPr>
          <w:rFonts w:ascii="Arial" w:hAnsi="Arial"/>
          <w:szCs w:val="24"/>
        </w:rPr>
      </w:pPr>
    </w:p>
    <w:p w:rsidR="00CF429F" w:rsidRPr="001842E5" w:rsidRDefault="00CF429F" w:rsidP="001842E5">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 xml:space="preserve">Este Tribunal es competente para conocer la </w:t>
      </w:r>
      <w:r w:rsidR="00A15670" w:rsidRPr="001842E5">
        <w:rPr>
          <w:rFonts w:ascii="Arial" w:hAnsi="Arial" w:cs="Arial"/>
          <w:szCs w:val="24"/>
        </w:rPr>
        <w:t>acci</w:t>
      </w:r>
      <w:r w:rsidR="00C162E4">
        <w:rPr>
          <w:rFonts w:ascii="Arial" w:hAnsi="Arial" w:cs="Arial"/>
          <w:szCs w:val="24"/>
        </w:rPr>
        <w:t>ón</w:t>
      </w:r>
      <w:r w:rsidR="00A15670" w:rsidRPr="001842E5">
        <w:rPr>
          <w:rFonts w:ascii="Arial" w:hAnsi="Arial" w:cs="Arial"/>
          <w:szCs w:val="24"/>
        </w:rPr>
        <w:t xml:space="preserve">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C40F50" w:rsidRDefault="00730CA7" w:rsidP="00CF429F">
      <w:pPr>
        <w:pStyle w:val="Sangra2detindependiente"/>
        <w:spacing w:after="0" w:line="360" w:lineRule="auto"/>
        <w:ind w:left="0"/>
        <w:jc w:val="both"/>
        <w:rPr>
          <w:rFonts w:ascii="Arial" w:hAnsi="Arial" w:cs="Arial"/>
          <w:sz w:val="24"/>
          <w:szCs w:val="24"/>
        </w:rPr>
      </w:pPr>
    </w:p>
    <w:p w:rsidR="005427D5" w:rsidRDefault="00CF429F" w:rsidP="004D182D">
      <w:pPr>
        <w:pStyle w:val="Textoindependien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051EF8">
        <w:rPr>
          <w:rFonts w:ascii="Arial" w:hAnsi="Arial" w:cs="Arial"/>
        </w:rPr>
        <w:t xml:space="preserve">Cuarto </w:t>
      </w:r>
      <w:r w:rsidR="004A57ED">
        <w:rPr>
          <w:rFonts w:ascii="Arial" w:hAnsi="Arial" w:cs="Arial"/>
        </w:rPr>
        <w:t xml:space="preserve">de Familia de Pereira </w:t>
      </w:r>
      <w:r w:rsidR="005427D5" w:rsidRPr="001842E5">
        <w:rPr>
          <w:rFonts w:ascii="Arial" w:hAnsi="Arial" w:cs="Arial"/>
        </w:rPr>
        <w:t>ha</w:t>
      </w:r>
      <w:r w:rsidR="001842E5">
        <w:rPr>
          <w:rFonts w:ascii="Arial" w:hAnsi="Arial" w:cs="Arial"/>
        </w:rPr>
        <w:t>n</w:t>
      </w:r>
      <w:r w:rsidR="005427D5" w:rsidRPr="001842E5">
        <w:rPr>
          <w:rFonts w:ascii="Arial" w:hAnsi="Arial" w:cs="Arial"/>
        </w:rPr>
        <w:t xml:space="preserve">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CE255D" w:rsidRDefault="001F7F0A" w:rsidP="001F7F0A">
      <w:pPr>
        <w:pStyle w:val="Textoindependiente"/>
        <w:spacing w:line="360" w:lineRule="auto"/>
        <w:rPr>
          <w:rFonts w:ascii="Arial" w:hAnsi="Arial" w:cs="Arial"/>
          <w:sz w:val="22"/>
        </w:rPr>
      </w:pPr>
    </w:p>
    <w:p w:rsidR="006232EF" w:rsidRPr="002E5AEF" w:rsidRDefault="006232EF" w:rsidP="001842E5">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CE255D" w:rsidRDefault="006232EF" w:rsidP="006232EF">
      <w:pPr>
        <w:pStyle w:val="Textoindependiente"/>
        <w:tabs>
          <w:tab w:val="clear" w:pos="0"/>
          <w:tab w:val="clear" w:pos="708"/>
          <w:tab w:val="clear" w:pos="1416"/>
          <w:tab w:val="left" w:pos="709"/>
        </w:tabs>
        <w:spacing w:line="360" w:lineRule="auto"/>
        <w:ind w:left="720"/>
        <w:rPr>
          <w:rFonts w:ascii="Arial" w:hAnsi="Arial"/>
          <w:szCs w:val="24"/>
        </w:rPr>
      </w:pPr>
    </w:p>
    <w:p w:rsidR="00885A62" w:rsidRPr="00C40F50" w:rsidRDefault="00885A62" w:rsidP="001842E5">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842E5" w:rsidRPr="00CE255D" w:rsidRDefault="001842E5" w:rsidP="001842E5">
      <w:pPr>
        <w:pStyle w:val="Textopredeterminado"/>
        <w:spacing w:line="360" w:lineRule="auto"/>
        <w:jc w:val="both"/>
        <w:rPr>
          <w:rFonts w:ascii="Arial" w:hAnsi="Arial"/>
          <w:color w:val="auto"/>
          <w:spacing w:val="-3"/>
          <w:sz w:val="22"/>
          <w:szCs w:val="24"/>
          <w:lang w:val="es-ES_tradnl"/>
        </w:rPr>
      </w:pPr>
    </w:p>
    <w:p w:rsidR="00076B35" w:rsidRDefault="00885A62" w:rsidP="001842E5">
      <w:pPr>
        <w:pStyle w:val="Textopredeterminado"/>
        <w:spacing w:line="360" w:lineRule="auto"/>
        <w:jc w:val="both"/>
        <w:rPr>
          <w:rFonts w:ascii="Arial" w:hAnsi="Arial" w:cs="Arial"/>
          <w:szCs w:val="24"/>
        </w:rPr>
      </w:pPr>
      <w:r w:rsidRPr="00D91A51">
        <w:rPr>
          <w:rFonts w:ascii="Arial" w:hAnsi="Arial" w:cs="Arial"/>
          <w:szCs w:val="24"/>
        </w:rPr>
        <w:t xml:space="preserve">Se cumple por activa </w:t>
      </w:r>
      <w:r w:rsidR="002A22C7">
        <w:rPr>
          <w:rFonts w:ascii="Arial" w:hAnsi="Arial" w:cs="Arial"/>
          <w:szCs w:val="24"/>
        </w:rPr>
        <w:t>en ambos accionantes, el señor Martín Eduardo Cardona Hernández es parte demandante en el proceso de alimentos, y la señora Rosalba Hernández de Cardona, si bien actuó en calidad de representante legal de sus hijos, lo cierto es que constantemente ha presentado memoriales solicitando su pago, todos resueltos positivamente</w:t>
      </w:r>
      <w:r w:rsidR="00076B35">
        <w:rPr>
          <w:rFonts w:ascii="Arial" w:hAnsi="Arial" w:cs="Arial"/>
          <w:szCs w:val="24"/>
        </w:rPr>
        <w:t xml:space="preserve"> (Folio 14, ib.)</w:t>
      </w:r>
      <w:r w:rsidR="002A22C7">
        <w:rPr>
          <w:rFonts w:ascii="Arial" w:hAnsi="Arial" w:cs="Arial"/>
          <w:szCs w:val="24"/>
        </w:rPr>
        <w:t xml:space="preserve">, salvo el último datado el 16-02-2017 (Folio 20, ib.). </w:t>
      </w:r>
    </w:p>
    <w:p w:rsidR="00076B35" w:rsidRDefault="00076B35" w:rsidP="001842E5">
      <w:pPr>
        <w:pStyle w:val="Textopredeterminado"/>
        <w:spacing w:line="360" w:lineRule="auto"/>
        <w:jc w:val="both"/>
        <w:rPr>
          <w:rFonts w:ascii="Arial" w:hAnsi="Arial" w:cs="Arial"/>
          <w:szCs w:val="24"/>
        </w:rPr>
      </w:pPr>
    </w:p>
    <w:p w:rsidR="002A22C7" w:rsidRDefault="002A22C7" w:rsidP="001842E5">
      <w:pPr>
        <w:pStyle w:val="Textopredeterminado"/>
        <w:spacing w:line="360" w:lineRule="auto"/>
        <w:jc w:val="both"/>
        <w:rPr>
          <w:rFonts w:ascii="Arial" w:hAnsi="Arial" w:cs="Arial"/>
          <w:szCs w:val="24"/>
        </w:rPr>
      </w:pPr>
      <w:r>
        <w:rPr>
          <w:rFonts w:ascii="Arial" w:hAnsi="Arial" w:cs="Arial"/>
          <w:szCs w:val="24"/>
        </w:rPr>
        <w:t xml:space="preserve">Claramente se le creó la expectativa de poder participar activamente, pese a que no es parte, ni fue reconocida como tercera interviniente. </w:t>
      </w:r>
      <w:r w:rsidR="00076B35">
        <w:rPr>
          <w:rFonts w:ascii="Arial" w:hAnsi="Arial" w:cs="Arial"/>
          <w:szCs w:val="24"/>
        </w:rPr>
        <w:t xml:space="preserve">Valga acotar que se considera que promovió el amparo directamente porque está de acuerdo con las pretensiones (Folio 30, ib.), de manera que no necesita que se agencien sus derechos. </w:t>
      </w:r>
    </w:p>
    <w:p w:rsidR="002A22C7" w:rsidRDefault="002A22C7" w:rsidP="001842E5">
      <w:pPr>
        <w:pStyle w:val="Textopredeterminado"/>
        <w:spacing w:line="360" w:lineRule="auto"/>
        <w:jc w:val="both"/>
        <w:rPr>
          <w:rFonts w:ascii="Arial" w:hAnsi="Arial" w:cs="Arial"/>
          <w:szCs w:val="24"/>
        </w:rPr>
      </w:pPr>
    </w:p>
    <w:p w:rsidR="001842E5" w:rsidRPr="002A22C7" w:rsidRDefault="00885A62" w:rsidP="001842E5">
      <w:pPr>
        <w:pStyle w:val="Textopredeterminado"/>
        <w:spacing w:line="360" w:lineRule="auto"/>
        <w:jc w:val="both"/>
        <w:rPr>
          <w:rFonts w:ascii="Arial" w:hAnsi="Arial" w:cs="Arial"/>
          <w:szCs w:val="24"/>
        </w:rPr>
      </w:pPr>
      <w:r w:rsidRPr="00490518">
        <w:rPr>
          <w:rFonts w:ascii="Arial" w:hAnsi="Arial" w:cs="Arial"/>
          <w:szCs w:val="24"/>
        </w:rPr>
        <w:t>Y por pasiva, lo es el Juzgado</w:t>
      </w:r>
      <w:r w:rsidR="00C162E4" w:rsidRPr="00490518">
        <w:rPr>
          <w:rFonts w:ascii="Arial" w:hAnsi="Arial" w:cs="Arial"/>
          <w:szCs w:val="24"/>
        </w:rPr>
        <w:t xml:space="preserve"> </w:t>
      </w:r>
      <w:r w:rsidR="00051EF8">
        <w:rPr>
          <w:rFonts w:ascii="Arial" w:hAnsi="Arial" w:cs="Arial"/>
          <w:szCs w:val="24"/>
        </w:rPr>
        <w:t xml:space="preserve">Cuarto </w:t>
      </w:r>
      <w:r w:rsidR="00076B35">
        <w:rPr>
          <w:rFonts w:ascii="Arial" w:hAnsi="Arial" w:cs="Arial"/>
          <w:szCs w:val="24"/>
        </w:rPr>
        <w:t>de Familia de Pereira</w:t>
      </w:r>
      <w:r w:rsidRPr="00490518">
        <w:rPr>
          <w:rFonts w:ascii="Arial" w:hAnsi="Arial" w:cs="Arial"/>
          <w:szCs w:val="24"/>
        </w:rPr>
        <w:t>, al ser la autoridad judicial que conoce</w:t>
      </w:r>
      <w:r w:rsidR="00C162E4">
        <w:rPr>
          <w:rFonts w:ascii="Arial" w:hAnsi="Arial" w:cs="Arial"/>
          <w:szCs w:val="24"/>
        </w:rPr>
        <w:t xml:space="preserve"> el</w:t>
      </w:r>
      <w:r w:rsidR="004E1BFB">
        <w:rPr>
          <w:rFonts w:ascii="Arial" w:hAnsi="Arial" w:cs="Arial"/>
          <w:szCs w:val="24"/>
        </w:rPr>
        <w:t xml:space="preserve"> juicio</w:t>
      </w:r>
      <w:r w:rsidR="00C162E4">
        <w:rPr>
          <w:rFonts w:ascii="Arial" w:hAnsi="Arial" w:cs="Arial"/>
          <w:szCs w:val="24"/>
        </w:rPr>
        <w:t>.</w:t>
      </w:r>
    </w:p>
    <w:p w:rsidR="00885A62" w:rsidRPr="00C40F50" w:rsidRDefault="00885A62" w:rsidP="00452705">
      <w:pPr>
        <w:spacing w:line="360" w:lineRule="auto"/>
        <w:jc w:val="both"/>
        <w:rPr>
          <w:rFonts w:ascii="Arial" w:hAnsi="Arial"/>
        </w:rPr>
      </w:pPr>
    </w:p>
    <w:p w:rsidR="007D4E9C" w:rsidRPr="002A0C2A" w:rsidRDefault="007D4E9C" w:rsidP="007D4E9C">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 xml:space="preserve">Las sub-reglas de análisis en la </w:t>
      </w:r>
      <w:proofErr w:type="spellStart"/>
      <w:r w:rsidRPr="00EB7029">
        <w:rPr>
          <w:rFonts w:ascii="Arial" w:hAnsi="Arial" w:cs="Verdana"/>
          <w:smallCaps/>
          <w:spacing w:val="0"/>
          <w:sz w:val="22"/>
          <w:szCs w:val="24"/>
          <w:lang w:val="es-ES"/>
        </w:rPr>
        <w:t>procedibilidad</w:t>
      </w:r>
      <w:proofErr w:type="spellEnd"/>
      <w:r w:rsidRPr="00EB7029">
        <w:rPr>
          <w:rFonts w:ascii="Arial" w:hAnsi="Arial" w:cs="Verdana"/>
          <w:smallCaps/>
          <w:spacing w:val="0"/>
          <w:sz w:val="22"/>
          <w:szCs w:val="24"/>
          <w:lang w:val="es-ES"/>
        </w:rPr>
        <w:t xml:space="preserve"> frente a decisiones judiciales</w:t>
      </w:r>
    </w:p>
    <w:p w:rsidR="007D4E9C" w:rsidRPr="00CE255D" w:rsidRDefault="007D4E9C" w:rsidP="007D4E9C">
      <w:pPr>
        <w:pStyle w:val="Textoindependiente"/>
        <w:spacing w:line="360" w:lineRule="auto"/>
        <w:rPr>
          <w:rFonts w:ascii="Arial" w:hAnsi="Arial"/>
          <w:smallCaps/>
          <w:szCs w:val="24"/>
          <w:lang w:val="es-CO"/>
        </w:rPr>
      </w:pPr>
    </w:p>
    <w:p w:rsidR="007D4E9C" w:rsidRPr="00907C22" w:rsidRDefault="007D4E9C" w:rsidP="007D4E9C">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w:t>
      </w:r>
      <w:r w:rsidRPr="00DC6BEA">
        <w:rPr>
          <w:rFonts w:ascii="Arial" w:hAnsi="Arial" w:cs="Arial"/>
          <w:szCs w:val="24"/>
        </w:rPr>
        <w:lastRenderedPageBreak/>
        <w:t xml:space="preserve">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7D4E9C" w:rsidRPr="00CE255D" w:rsidRDefault="007D4E9C" w:rsidP="007D4E9C">
      <w:pPr>
        <w:pStyle w:val="Textoindependiente"/>
        <w:spacing w:line="360" w:lineRule="auto"/>
        <w:rPr>
          <w:rFonts w:ascii="Arial" w:hAnsi="Arial" w:cs="Arial"/>
          <w:szCs w:val="24"/>
        </w:rPr>
      </w:pPr>
    </w:p>
    <w:p w:rsidR="007D4E9C" w:rsidRPr="0073683E" w:rsidRDefault="007D4E9C" w:rsidP="007D4E9C">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7D4E9C" w:rsidRPr="00CE255D" w:rsidRDefault="007D4E9C" w:rsidP="007D4E9C">
      <w:pPr>
        <w:pStyle w:val="Textoindependiente"/>
        <w:tabs>
          <w:tab w:val="clear" w:pos="0"/>
        </w:tabs>
        <w:spacing w:line="360" w:lineRule="auto"/>
        <w:rPr>
          <w:rFonts w:ascii="Arial" w:hAnsi="Arial" w:cs="Arial"/>
          <w:szCs w:val="24"/>
        </w:rPr>
      </w:pPr>
    </w:p>
    <w:p w:rsidR="007D4E9C" w:rsidRDefault="007D4E9C" w:rsidP="007D4E9C">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D4E9C" w:rsidRPr="00A8313B" w:rsidRDefault="007D4E9C" w:rsidP="007D4E9C">
      <w:pPr>
        <w:pStyle w:val="Textoindependiente"/>
        <w:tabs>
          <w:tab w:val="clear" w:pos="0"/>
        </w:tabs>
        <w:spacing w:line="360" w:lineRule="auto"/>
        <w:rPr>
          <w:rFonts w:ascii="Arial" w:hAnsi="Arial" w:cs="Arial"/>
          <w:szCs w:val="22"/>
          <w:u w:val="single"/>
        </w:rPr>
      </w:pPr>
    </w:p>
    <w:p w:rsidR="007D4E9C" w:rsidRDefault="007D4E9C" w:rsidP="007D4E9C">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7D4E9C" w:rsidRPr="00A8313B" w:rsidRDefault="007D4E9C" w:rsidP="007D4E9C">
      <w:pPr>
        <w:widowControl/>
        <w:spacing w:line="360" w:lineRule="auto"/>
        <w:jc w:val="both"/>
        <w:rPr>
          <w:rFonts w:ascii="Arial" w:hAnsi="Arial" w:cs="Arial"/>
          <w:szCs w:val="22"/>
          <w:lang w:val="es-ES_tradnl"/>
        </w:rPr>
      </w:pPr>
    </w:p>
    <w:p w:rsidR="007D4E9C" w:rsidRDefault="007D4E9C" w:rsidP="007D4E9C">
      <w:pPr>
        <w:pStyle w:val="Textoindependiente"/>
        <w:tabs>
          <w:tab w:val="clear" w:pos="0"/>
        </w:tabs>
        <w:spacing w:line="360" w:lineRule="auto"/>
        <w:rPr>
          <w:rFonts w:ascii="Arial" w:hAnsi="Arial" w:cs="Arial"/>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7D4E9C" w:rsidRPr="00CE255D" w:rsidRDefault="007D4E9C" w:rsidP="007D4E9C">
      <w:pPr>
        <w:pStyle w:val="Textoindependiente"/>
        <w:tabs>
          <w:tab w:val="clear" w:pos="0"/>
        </w:tabs>
        <w:spacing w:line="360" w:lineRule="auto"/>
        <w:rPr>
          <w:rFonts w:ascii="Arial" w:hAnsi="Arial" w:cs="Arial"/>
          <w:szCs w:val="24"/>
        </w:rPr>
      </w:pPr>
    </w:p>
    <w:p w:rsidR="007D4E9C" w:rsidRDefault="007D4E9C" w:rsidP="007D4E9C">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E361E2" w:rsidRDefault="00E361E2" w:rsidP="00E361E2">
      <w:pPr>
        <w:pStyle w:val="Textoindependiente"/>
        <w:spacing w:line="360" w:lineRule="auto"/>
        <w:ind w:left="400"/>
        <w:rPr>
          <w:rFonts w:ascii="Arial" w:hAnsi="Arial"/>
          <w:szCs w:val="24"/>
        </w:rPr>
      </w:pPr>
    </w:p>
    <w:p w:rsidR="00E361E2" w:rsidRPr="00141EB0" w:rsidRDefault="00E361E2" w:rsidP="00E361E2">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15"/>
      </w:r>
      <w:r w:rsidRPr="00141EB0">
        <w:rPr>
          <w:rFonts w:ascii="Arial" w:hAnsi="Arial" w:cs="Arial"/>
          <w:lang w:val="es-ES_tradnl"/>
        </w:rPr>
        <w:t>.</w:t>
      </w:r>
    </w:p>
    <w:p w:rsidR="007D4E9C" w:rsidRPr="00CE255D" w:rsidRDefault="007D4E9C" w:rsidP="007D4E9C">
      <w:pPr>
        <w:spacing w:line="360" w:lineRule="auto"/>
        <w:jc w:val="both"/>
        <w:rPr>
          <w:rFonts w:ascii="Arial" w:hAnsi="Arial" w:cs="Arial"/>
          <w:lang w:val="es-ES_tradnl"/>
        </w:rPr>
      </w:pPr>
    </w:p>
    <w:p w:rsidR="00231396" w:rsidRDefault="00051EF8" w:rsidP="0010701C">
      <w:pPr>
        <w:widowControl/>
        <w:spacing w:line="360" w:lineRule="auto"/>
        <w:jc w:val="both"/>
        <w:rPr>
          <w:rFonts w:ascii="Arial" w:hAnsi="Arial"/>
          <w:lang w:val="es-CO"/>
        </w:rPr>
      </w:pPr>
      <w:r>
        <w:rPr>
          <w:rFonts w:ascii="Arial" w:hAnsi="Arial" w:cs="Arial"/>
        </w:rPr>
        <w:t xml:space="preserve">Conforme </w:t>
      </w:r>
      <w:r w:rsidR="00DD3558">
        <w:rPr>
          <w:rFonts w:ascii="Arial" w:hAnsi="Arial" w:cs="Arial"/>
        </w:rPr>
        <w:t>a</w:t>
      </w:r>
      <w:r>
        <w:rPr>
          <w:rFonts w:ascii="Arial" w:hAnsi="Arial" w:cs="Arial"/>
        </w:rPr>
        <w:t xml:space="preserve">l </w:t>
      </w:r>
      <w:r w:rsidR="00102683">
        <w:rPr>
          <w:rFonts w:ascii="Arial" w:hAnsi="Arial"/>
          <w:lang w:val="es-CO"/>
        </w:rPr>
        <w:t>material probatorio</w:t>
      </w:r>
      <w:r w:rsidR="002E57F2">
        <w:rPr>
          <w:rFonts w:ascii="Arial" w:hAnsi="Arial"/>
          <w:lang w:val="es-CO"/>
        </w:rPr>
        <w:t xml:space="preserve"> (Folios </w:t>
      </w:r>
      <w:r w:rsidR="00231396">
        <w:rPr>
          <w:rFonts w:ascii="Arial" w:hAnsi="Arial"/>
          <w:lang w:val="es-CO"/>
        </w:rPr>
        <w:t>14 a 27</w:t>
      </w:r>
      <w:r w:rsidR="002E57F2">
        <w:rPr>
          <w:rFonts w:ascii="Arial" w:hAnsi="Arial"/>
          <w:lang w:val="es-CO"/>
        </w:rPr>
        <w:t xml:space="preserve">, ib.), halla la Sala que </w:t>
      </w:r>
      <w:r w:rsidR="00231396">
        <w:rPr>
          <w:rFonts w:ascii="Arial" w:hAnsi="Arial"/>
          <w:lang w:val="es-CO"/>
        </w:rPr>
        <w:t xml:space="preserve">el Juzgado accionado mediante auto del 03-03-2017 resolvió negativamente la solicitud de la señora Rosalba Hernández de Cardona, porque carecía de legitimación para representar a sus hijos mayores de edad </w:t>
      </w:r>
      <w:r w:rsidR="00787EFD">
        <w:rPr>
          <w:rFonts w:ascii="Arial" w:hAnsi="Arial"/>
          <w:lang w:val="es-CO"/>
        </w:rPr>
        <w:t xml:space="preserve">(Folios </w:t>
      </w:r>
      <w:r w:rsidR="00231396">
        <w:rPr>
          <w:rFonts w:ascii="Arial" w:hAnsi="Arial"/>
          <w:lang w:val="es-CO"/>
        </w:rPr>
        <w:t>22 vuelto</w:t>
      </w:r>
      <w:r w:rsidR="00787EFD">
        <w:rPr>
          <w:rFonts w:ascii="Arial" w:hAnsi="Arial"/>
          <w:lang w:val="es-CO"/>
        </w:rPr>
        <w:t>, ib.)</w:t>
      </w:r>
      <w:r w:rsidR="00231396">
        <w:rPr>
          <w:rFonts w:ascii="Arial" w:hAnsi="Arial"/>
          <w:lang w:val="es-CO"/>
        </w:rPr>
        <w:t>, notificado con fijación en el estado del 06-03-2017, sin ser recurrido (Folio 14, ib.).</w:t>
      </w:r>
    </w:p>
    <w:p w:rsidR="00231396" w:rsidRDefault="00231396" w:rsidP="0010701C">
      <w:pPr>
        <w:widowControl/>
        <w:spacing w:line="360" w:lineRule="auto"/>
        <w:jc w:val="both"/>
        <w:rPr>
          <w:rFonts w:ascii="Arial" w:hAnsi="Arial"/>
          <w:lang w:val="es-CO"/>
        </w:rPr>
      </w:pPr>
    </w:p>
    <w:p w:rsidR="00231396" w:rsidRDefault="00231396" w:rsidP="00231396">
      <w:pPr>
        <w:spacing w:line="360" w:lineRule="auto"/>
        <w:jc w:val="both"/>
        <w:rPr>
          <w:rFonts w:ascii="Arial" w:hAnsi="Arial" w:cs="Arial"/>
        </w:rPr>
      </w:pPr>
      <w:r>
        <w:rPr>
          <w:rFonts w:ascii="Arial" w:hAnsi="Arial" w:cs="Arial"/>
        </w:rPr>
        <w:t>Bajo esta óptica</w:t>
      </w:r>
      <w:r w:rsidRPr="0004784E">
        <w:rPr>
          <w:rFonts w:ascii="Arial" w:hAnsi="Arial" w:cs="Arial"/>
        </w:rPr>
        <w:t xml:space="preserve">, </w:t>
      </w:r>
      <w:r>
        <w:rPr>
          <w:rFonts w:ascii="Arial" w:hAnsi="Arial" w:cs="Arial"/>
        </w:rPr>
        <w:t xml:space="preserve">se tiene que en el proceso de alimentos la actora </w:t>
      </w:r>
      <w:r w:rsidRPr="00403DB2">
        <w:rPr>
          <w:rFonts w:ascii="Arial" w:hAnsi="Arial" w:cs="Arial"/>
        </w:rPr>
        <w:t>pretermitió agotar el recurso de reposición frente a</w:t>
      </w:r>
      <w:r>
        <w:rPr>
          <w:rFonts w:ascii="Arial" w:hAnsi="Arial" w:cs="Arial"/>
        </w:rPr>
        <w:t xml:space="preserve">l aludido proveído (Artículo 318, CGP), </w:t>
      </w:r>
      <w:r w:rsidRPr="00403DB2">
        <w:rPr>
          <w:rFonts w:ascii="Arial" w:hAnsi="Arial" w:cs="Arial"/>
        </w:rPr>
        <w:t xml:space="preserve">cuando ese era el mecanismo ordinario </w:t>
      </w:r>
      <w:r>
        <w:rPr>
          <w:rFonts w:ascii="Arial" w:hAnsi="Arial" w:cs="Arial"/>
        </w:rPr>
        <w:t xml:space="preserve">y expedito que tenía para </w:t>
      </w:r>
      <w:r w:rsidRPr="00403DB2">
        <w:rPr>
          <w:rFonts w:ascii="Arial" w:hAnsi="Arial" w:cs="Arial"/>
        </w:rPr>
        <w:t xml:space="preserve">que el estrado judicial </w:t>
      </w:r>
      <w:r>
        <w:rPr>
          <w:rFonts w:ascii="Arial" w:hAnsi="Arial" w:cs="Arial"/>
        </w:rPr>
        <w:t>reconsiderara su decisión, si es que disentía de ella.</w:t>
      </w:r>
      <w:r w:rsidRPr="00D9537B">
        <w:rPr>
          <w:rFonts w:ascii="Arial" w:hAnsi="Arial" w:cs="Arial"/>
        </w:rPr>
        <w:t xml:space="preserve"> </w:t>
      </w:r>
      <w:r>
        <w:rPr>
          <w:rFonts w:ascii="Arial" w:hAnsi="Arial" w:cs="Arial"/>
        </w:rPr>
        <w:t>Al respecto ha dicho la CSJ</w:t>
      </w:r>
      <w:r>
        <w:rPr>
          <w:rStyle w:val="Refdenotaalpie"/>
          <w:rFonts w:ascii="Arial" w:hAnsi="Arial"/>
        </w:rPr>
        <w:footnoteReference w:id="16"/>
      </w:r>
      <w:r>
        <w:rPr>
          <w:rFonts w:ascii="Arial" w:hAnsi="Arial" w:cs="Arial"/>
        </w:rPr>
        <w:t xml:space="preserve">: </w:t>
      </w:r>
    </w:p>
    <w:p w:rsidR="00231396" w:rsidRPr="0038706A" w:rsidRDefault="00231396" w:rsidP="00231396">
      <w:pPr>
        <w:spacing w:line="360" w:lineRule="auto"/>
        <w:jc w:val="both"/>
        <w:rPr>
          <w:rFonts w:ascii="Arial" w:hAnsi="Arial" w:cs="Arial"/>
          <w:sz w:val="20"/>
        </w:rPr>
      </w:pPr>
    </w:p>
    <w:p w:rsidR="00231396" w:rsidRPr="000473E8" w:rsidRDefault="00231396" w:rsidP="00231396">
      <w:pPr>
        <w:ind w:left="709" w:right="618"/>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CE255D" w:rsidRPr="00CE255D" w:rsidRDefault="00CE255D" w:rsidP="002E33C7">
      <w:pPr>
        <w:widowControl/>
        <w:spacing w:line="360" w:lineRule="auto"/>
        <w:jc w:val="both"/>
        <w:rPr>
          <w:rFonts w:ascii="Arial" w:hAnsi="Arial" w:cs="Arial"/>
          <w:sz w:val="28"/>
          <w:lang w:val="es-CO"/>
        </w:rPr>
      </w:pPr>
    </w:p>
    <w:p w:rsidR="00CE255D" w:rsidRDefault="002E33C7" w:rsidP="002E33C7">
      <w:pPr>
        <w:widowControl/>
        <w:spacing w:line="360" w:lineRule="auto"/>
        <w:jc w:val="both"/>
        <w:rPr>
          <w:rFonts w:ascii="Arial" w:hAnsi="Arial" w:cs="Arial"/>
        </w:rPr>
      </w:pPr>
      <w:r>
        <w:rPr>
          <w:rFonts w:ascii="Arial" w:hAnsi="Arial" w:cs="Arial"/>
        </w:rPr>
        <w:t xml:space="preserve">Asimismo en lo que respecta a la falta de explicación de las razones que dieron lugar al </w:t>
      </w:r>
    </w:p>
    <w:p w:rsidR="002E33C7" w:rsidRDefault="002E33C7" w:rsidP="002E33C7">
      <w:pPr>
        <w:widowControl/>
        <w:spacing w:line="360" w:lineRule="auto"/>
        <w:jc w:val="both"/>
        <w:rPr>
          <w:rFonts w:ascii="Arial" w:hAnsi="Arial"/>
          <w:lang w:val="es-CO"/>
        </w:rPr>
      </w:pPr>
      <w:proofErr w:type="gramStart"/>
      <w:r>
        <w:rPr>
          <w:rFonts w:ascii="Arial" w:hAnsi="Arial" w:cs="Arial"/>
        </w:rPr>
        <w:t>impago</w:t>
      </w:r>
      <w:proofErr w:type="gramEnd"/>
      <w:r>
        <w:rPr>
          <w:rFonts w:ascii="Arial" w:hAnsi="Arial" w:cs="Arial"/>
        </w:rPr>
        <w:t xml:space="preserve"> de la cuota alimentaria, se tiene, </w:t>
      </w:r>
      <w:r>
        <w:rPr>
          <w:rFonts w:ascii="Arial" w:hAnsi="Arial"/>
          <w:lang w:val="es-CO"/>
        </w:rPr>
        <w:t xml:space="preserve">que ninguno de los accionantes presentó memorial en aquellos términos, es decir, dejaron de agotar el mecanismo ordinario, necesario para que el accionado tomara alguna determinación respecto de sus pretensiones. </w:t>
      </w:r>
    </w:p>
    <w:p w:rsidR="002E33C7" w:rsidRDefault="002E33C7" w:rsidP="00141EB0">
      <w:pPr>
        <w:spacing w:line="360" w:lineRule="auto"/>
        <w:ind w:right="51"/>
        <w:jc w:val="both"/>
        <w:rPr>
          <w:rFonts w:ascii="Arial" w:hAnsi="Arial"/>
        </w:rPr>
      </w:pPr>
    </w:p>
    <w:p w:rsidR="002E33C7" w:rsidRDefault="00141EB0" w:rsidP="00141EB0">
      <w:pPr>
        <w:spacing w:line="360" w:lineRule="auto"/>
        <w:ind w:right="51"/>
        <w:jc w:val="both"/>
        <w:rPr>
          <w:rFonts w:ascii="Arial" w:hAnsi="Arial" w:cs="Arial"/>
          <w:bCs/>
          <w:szCs w:val="22"/>
          <w:lang w:val="es-CO"/>
        </w:rPr>
      </w:pPr>
      <w:r>
        <w:rPr>
          <w:rFonts w:ascii="Arial" w:hAnsi="Arial"/>
        </w:rPr>
        <w:t xml:space="preserve">Cabe </w:t>
      </w:r>
      <w:r w:rsidRPr="008B43C6">
        <w:rPr>
          <w:rFonts w:ascii="Arial" w:hAnsi="Arial"/>
        </w:rPr>
        <w:t xml:space="preserve">acotar que </w:t>
      </w:r>
      <w:r w:rsidR="00231396">
        <w:rPr>
          <w:rFonts w:ascii="Arial" w:hAnsi="Arial"/>
        </w:rPr>
        <w:t xml:space="preserve">no obstante se trate </w:t>
      </w:r>
      <w:r w:rsidR="002E33C7">
        <w:rPr>
          <w:rFonts w:ascii="Arial" w:hAnsi="Arial"/>
        </w:rPr>
        <w:t xml:space="preserve">de personas </w:t>
      </w:r>
      <w:r w:rsidR="00231396">
        <w:rPr>
          <w:rFonts w:ascii="Arial" w:hAnsi="Arial"/>
        </w:rPr>
        <w:t>de especial protección constitucional (Tercera edad</w:t>
      </w:r>
      <w:r w:rsidR="002E33C7">
        <w:rPr>
          <w:rFonts w:ascii="Arial" w:hAnsi="Arial"/>
        </w:rPr>
        <w:t xml:space="preserve"> e invidente</w:t>
      </w:r>
      <w:r w:rsidR="00231396">
        <w:rPr>
          <w:rFonts w:ascii="Arial" w:hAnsi="Arial"/>
        </w:rPr>
        <w:t xml:space="preserve">), </w:t>
      </w:r>
      <w:r w:rsidR="002E33C7">
        <w:rPr>
          <w:rFonts w:ascii="Arial" w:hAnsi="Arial"/>
        </w:rPr>
        <w:t xml:space="preserve">esas condiciones físicas </w:t>
      </w:r>
      <w:r w:rsidR="00231396">
        <w:rPr>
          <w:rFonts w:ascii="Arial" w:hAnsi="Arial"/>
        </w:rPr>
        <w:t>por sí sola</w:t>
      </w:r>
      <w:r w:rsidR="002E33C7">
        <w:rPr>
          <w:rFonts w:ascii="Arial" w:hAnsi="Arial"/>
        </w:rPr>
        <w:t>s</w:t>
      </w:r>
      <w:r w:rsidR="00231396">
        <w:rPr>
          <w:rFonts w:ascii="Arial" w:hAnsi="Arial"/>
        </w:rPr>
        <w:t xml:space="preserve"> </w:t>
      </w:r>
      <w:r w:rsidR="002E33C7">
        <w:rPr>
          <w:rFonts w:ascii="Arial" w:hAnsi="Arial"/>
        </w:rPr>
        <w:t xml:space="preserve">son </w:t>
      </w:r>
      <w:r w:rsidR="00231396">
        <w:rPr>
          <w:rFonts w:ascii="Arial" w:hAnsi="Arial"/>
        </w:rPr>
        <w:t>insuficiente</w:t>
      </w:r>
      <w:r w:rsidR="002E33C7">
        <w:rPr>
          <w:rFonts w:ascii="Arial" w:hAnsi="Arial"/>
        </w:rPr>
        <w:t>s</w:t>
      </w:r>
      <w:r w:rsidR="00231396">
        <w:rPr>
          <w:rFonts w:ascii="Arial" w:hAnsi="Arial"/>
        </w:rPr>
        <w:t xml:space="preserve"> como para </w:t>
      </w:r>
      <w:r w:rsidRPr="008B43C6">
        <w:rPr>
          <w:rFonts w:ascii="Arial" w:hAnsi="Arial"/>
        </w:rPr>
        <w:t xml:space="preserve">estimarse </w:t>
      </w:r>
      <w:r w:rsidRPr="008B43C6">
        <w:rPr>
          <w:rFonts w:ascii="Arial" w:hAnsi="Arial" w:cs="Arial"/>
          <w:bCs/>
          <w:szCs w:val="22"/>
          <w:lang w:val="es-CO"/>
        </w:rPr>
        <w:t>que requiere</w:t>
      </w:r>
      <w:r w:rsidR="002E33C7">
        <w:rPr>
          <w:rFonts w:ascii="Arial" w:hAnsi="Arial" w:cs="Arial"/>
          <w:bCs/>
          <w:szCs w:val="22"/>
          <w:lang w:val="es-CO"/>
        </w:rPr>
        <w:t>n</w:t>
      </w:r>
      <w:r w:rsidRPr="008B43C6">
        <w:rPr>
          <w:rFonts w:ascii="Arial" w:hAnsi="Arial" w:cs="Arial"/>
          <w:bCs/>
          <w:szCs w:val="22"/>
          <w:lang w:val="es-CO"/>
        </w:rPr>
        <w:t xml:space="preserve"> de protección reforzada</w:t>
      </w:r>
      <w:r w:rsidRPr="008B43C6">
        <w:rPr>
          <w:rStyle w:val="Refdenotaalpie"/>
          <w:rFonts w:ascii="Arial" w:hAnsi="Arial"/>
          <w:bCs/>
          <w:szCs w:val="22"/>
          <w:lang w:val="es-CO"/>
        </w:rPr>
        <w:footnoteReference w:id="17"/>
      </w:r>
      <w:r w:rsidR="00CE255D">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002E33C7">
        <w:rPr>
          <w:rFonts w:ascii="Arial" w:hAnsi="Arial" w:cs="Arial"/>
          <w:bCs/>
          <w:szCs w:val="22"/>
          <w:lang w:val="es-CO"/>
        </w:rPr>
        <w:t xml:space="preserve">. </w:t>
      </w:r>
    </w:p>
    <w:p w:rsidR="002E33C7" w:rsidRDefault="002E33C7" w:rsidP="00141EB0">
      <w:pPr>
        <w:spacing w:line="360" w:lineRule="auto"/>
        <w:ind w:right="51"/>
        <w:jc w:val="both"/>
        <w:rPr>
          <w:rFonts w:ascii="Arial" w:hAnsi="Arial" w:cs="Arial"/>
          <w:bCs/>
          <w:szCs w:val="22"/>
          <w:lang w:val="es-CO"/>
        </w:rPr>
      </w:pPr>
    </w:p>
    <w:p w:rsidR="00141EB0" w:rsidRDefault="002E33C7" w:rsidP="00141EB0">
      <w:pPr>
        <w:spacing w:line="360" w:lineRule="auto"/>
        <w:ind w:right="51"/>
        <w:jc w:val="both"/>
        <w:rPr>
          <w:rFonts w:ascii="Arial" w:hAnsi="Arial"/>
        </w:rPr>
      </w:pPr>
      <w:r>
        <w:rPr>
          <w:rFonts w:ascii="Arial" w:hAnsi="Arial"/>
        </w:rPr>
        <w:t>La señora Hernández de Cardona siempre presentó personalmente sus escritos, inclusive, el datado el 16-02-2017 (Folio 20 vuelto, ib.), sin necesidad de asistencia jurídica, y el señor Cardona Hernández, tal como promovió este amparo, bien puede acercarse al juzgado para requerir que le brinde la explicación que exige.</w:t>
      </w:r>
    </w:p>
    <w:p w:rsidR="002E33C7" w:rsidRPr="00D54497" w:rsidRDefault="002E33C7" w:rsidP="00141EB0">
      <w:pPr>
        <w:spacing w:line="360" w:lineRule="auto"/>
        <w:ind w:right="51"/>
        <w:jc w:val="both"/>
        <w:rPr>
          <w:rFonts w:ascii="Arial" w:hAnsi="Arial"/>
          <w:sz w:val="20"/>
        </w:rPr>
      </w:pPr>
    </w:p>
    <w:p w:rsidR="00141EB0" w:rsidRDefault="00141EB0" w:rsidP="00141EB0">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w:t>
      </w:r>
      <w:proofErr w:type="spellStart"/>
      <w:r w:rsidRPr="0004784E">
        <w:rPr>
          <w:rFonts w:ascii="Arial" w:hAnsi="Arial" w:cs="Arial"/>
          <w:lang w:val="es-ES_tradnl"/>
        </w:rPr>
        <w:t>procedibilidad</w:t>
      </w:r>
      <w:proofErr w:type="spellEnd"/>
      <w:r w:rsidRPr="0004784E">
        <w:rPr>
          <w:rFonts w:ascii="Arial" w:hAnsi="Arial" w:cs="Arial"/>
          <w:lang w:val="es-ES_tradnl"/>
        </w:rPr>
        <w:t xml:space="preserve">, como lo es el de la subsidiariedad, </w:t>
      </w:r>
      <w:r>
        <w:rPr>
          <w:rFonts w:ascii="Arial" w:hAnsi="Arial" w:cs="Arial"/>
          <w:lang w:val="es-ES_tradnl"/>
        </w:rPr>
        <w:t xml:space="preserve">dado que, para la época en que fue promovido, </w:t>
      </w:r>
      <w:r>
        <w:rPr>
          <w:rFonts w:ascii="Arial" w:hAnsi="Arial" w:cs="Arial"/>
          <w:lang w:val="es-CO"/>
        </w:rPr>
        <w:t xml:space="preserve">aun se estaba tramitando </w:t>
      </w:r>
      <w:r>
        <w:rPr>
          <w:rFonts w:ascii="Arial" w:hAnsi="Arial" w:cs="Arial"/>
          <w:lang w:val="es-ES_tradnl"/>
        </w:rPr>
        <w:t xml:space="preserve">el asunto popular. Es menester esperar a que el accionado se pronuncie respecto del </w:t>
      </w:r>
      <w:r w:rsidR="005F5B09">
        <w:rPr>
          <w:rFonts w:ascii="Arial" w:hAnsi="Arial" w:cs="Arial"/>
          <w:lang w:val="es-ES_tradnl"/>
        </w:rPr>
        <w:t>recurso</w:t>
      </w:r>
      <w:r>
        <w:rPr>
          <w:rFonts w:ascii="Arial" w:hAnsi="Arial" w:cs="Arial"/>
          <w:lang w:val="es-ES_tradnl"/>
        </w:rPr>
        <w:t>.</w:t>
      </w:r>
    </w:p>
    <w:p w:rsidR="002E33C7" w:rsidRDefault="002E33C7" w:rsidP="002E33C7">
      <w:pPr>
        <w:pStyle w:val="Textoindependiente"/>
        <w:spacing w:line="360" w:lineRule="auto"/>
        <w:ind w:left="400"/>
        <w:rPr>
          <w:rFonts w:ascii="Arial" w:hAnsi="Arial"/>
          <w:szCs w:val="24"/>
        </w:rPr>
      </w:pPr>
    </w:p>
    <w:p w:rsidR="00FF5B57" w:rsidRDefault="00FF5B57" w:rsidP="009C0048">
      <w:pPr>
        <w:pStyle w:val="Textoindependiente"/>
        <w:numPr>
          <w:ilvl w:val="0"/>
          <w:numId w:val="18"/>
        </w:numPr>
        <w:spacing w:line="360" w:lineRule="auto"/>
        <w:rPr>
          <w:rFonts w:ascii="Arial" w:hAnsi="Arial"/>
          <w:szCs w:val="24"/>
        </w:rPr>
      </w:pPr>
      <w:r w:rsidRPr="00F36F9C">
        <w:rPr>
          <w:rFonts w:ascii="Arial" w:hAnsi="Arial"/>
          <w:szCs w:val="24"/>
        </w:rPr>
        <w:lastRenderedPageBreak/>
        <w:t xml:space="preserve">LAS CONCLUSIONES </w:t>
      </w:r>
    </w:p>
    <w:p w:rsidR="00AC77C2" w:rsidRPr="00C40F50" w:rsidRDefault="00AC77C2" w:rsidP="00AC77C2">
      <w:pPr>
        <w:pStyle w:val="Textoindependiente"/>
        <w:spacing w:line="360" w:lineRule="auto"/>
        <w:ind w:left="585"/>
        <w:rPr>
          <w:rFonts w:ascii="Arial" w:hAnsi="Arial"/>
          <w:szCs w:val="24"/>
        </w:rPr>
      </w:pPr>
    </w:p>
    <w:p w:rsidR="00424EC5" w:rsidRDefault="00EE70D2" w:rsidP="00424EC5">
      <w:pPr>
        <w:pStyle w:val="Textoindependiente"/>
        <w:spacing w:line="360" w:lineRule="auto"/>
        <w:rPr>
          <w:rFonts w:ascii="Arial" w:hAnsi="Arial" w:cs="Arial"/>
          <w:szCs w:val="24"/>
        </w:rPr>
      </w:pPr>
      <w:r w:rsidRPr="00842D42">
        <w:rPr>
          <w:rFonts w:ascii="Arial" w:hAnsi="Arial" w:cs="Arial"/>
          <w:szCs w:val="24"/>
          <w:lang w:val="es-ES"/>
        </w:rPr>
        <w:t>Con fundamento en las consideraciones expuestas</w:t>
      </w:r>
      <w:r w:rsidR="004A7F8D">
        <w:rPr>
          <w:rFonts w:ascii="Arial" w:hAnsi="Arial" w:cs="Arial"/>
          <w:szCs w:val="24"/>
          <w:lang w:val="es-ES"/>
        </w:rPr>
        <w:t xml:space="preserve"> 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235DE9">
        <w:rPr>
          <w:rFonts w:ascii="Arial" w:hAnsi="Arial" w:cs="Arial"/>
          <w:szCs w:val="24"/>
        </w:rPr>
        <w:t>el amparo</w:t>
      </w:r>
      <w:r w:rsidR="00357C99">
        <w:rPr>
          <w:rFonts w:ascii="Arial" w:hAnsi="Arial" w:cs="Arial"/>
          <w:szCs w:val="24"/>
        </w:rPr>
        <w:t xml:space="preserve"> </w:t>
      </w:r>
      <w:r w:rsidR="004A7F8D">
        <w:rPr>
          <w:rFonts w:ascii="Arial" w:hAnsi="Arial" w:cs="Arial"/>
        </w:rPr>
        <w:t xml:space="preserve">constitucional frente al Juzgado </w:t>
      </w:r>
      <w:r w:rsidR="00141EB0">
        <w:rPr>
          <w:rFonts w:ascii="Arial" w:hAnsi="Arial" w:cs="Arial"/>
        </w:rPr>
        <w:t xml:space="preserve">Cuarto </w:t>
      </w:r>
      <w:r w:rsidR="002E33C7">
        <w:rPr>
          <w:rFonts w:ascii="Arial" w:hAnsi="Arial" w:cs="Arial"/>
        </w:rPr>
        <w:t>de Familia de Pereira</w:t>
      </w:r>
      <w:r w:rsidR="00235DE9">
        <w:rPr>
          <w:rFonts w:ascii="Arial" w:hAnsi="Arial" w:cs="Arial"/>
        </w:rPr>
        <w:t>.</w:t>
      </w:r>
    </w:p>
    <w:p w:rsidR="006E5BE8" w:rsidRPr="00C40F50"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C40F50" w:rsidRDefault="00FF5B57" w:rsidP="00FF5B57">
      <w:pPr>
        <w:tabs>
          <w:tab w:val="left" w:pos="-720"/>
        </w:tabs>
        <w:suppressAutoHyphens/>
        <w:spacing w:line="360" w:lineRule="auto"/>
        <w:jc w:val="both"/>
        <w:rPr>
          <w:rFonts w:ascii="Arial" w:hAnsi="Arial" w:cs="Arial"/>
          <w:sz w:val="1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C40F50" w:rsidRPr="00C40F50" w:rsidRDefault="00C40F50" w:rsidP="00FF5B57">
      <w:pPr>
        <w:pStyle w:val="Textoindependiente"/>
        <w:spacing w:line="360" w:lineRule="auto"/>
        <w:jc w:val="center"/>
        <w:rPr>
          <w:rFonts w:ascii="Arial" w:hAnsi="Arial" w:cs="Arial"/>
          <w:bCs/>
          <w:smallCaps/>
          <w:szCs w:val="24"/>
        </w:rPr>
      </w:pPr>
    </w:p>
    <w:p w:rsidR="00141EB0" w:rsidRDefault="004A7F8D" w:rsidP="00141EB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 </w:t>
      </w:r>
      <w:r w:rsidR="003115B5" w:rsidRPr="004A7F8D">
        <w:rPr>
          <w:rFonts w:ascii="Arial" w:hAnsi="Arial" w:cs="Arial"/>
        </w:rPr>
        <w:t xml:space="preserve">el </w:t>
      </w:r>
      <w:r w:rsidR="00AE6C59" w:rsidRPr="004A7F8D">
        <w:rPr>
          <w:rFonts w:ascii="Arial" w:hAnsi="Arial" w:cs="Arial"/>
        </w:rPr>
        <w:t>amparo constitucional presentado</w:t>
      </w:r>
      <w:r w:rsidR="00357C99" w:rsidRPr="004A7F8D">
        <w:rPr>
          <w:rFonts w:ascii="Arial" w:hAnsi="Arial" w:cs="Arial"/>
        </w:rPr>
        <w:t xml:space="preserve"> por </w:t>
      </w:r>
      <w:r w:rsidR="002E33C7">
        <w:rPr>
          <w:rFonts w:ascii="Arial" w:hAnsi="Arial" w:cs="Arial"/>
        </w:rPr>
        <w:t xml:space="preserve">los señores Rosalba Hernández de Cardona y Martín Eduardo Cardona Hernández </w:t>
      </w:r>
      <w:r w:rsidR="00357C99" w:rsidRPr="004A7F8D">
        <w:rPr>
          <w:rFonts w:ascii="Arial" w:hAnsi="Arial" w:cs="Arial"/>
        </w:rPr>
        <w:t xml:space="preserve">contra el </w:t>
      </w:r>
      <w:r w:rsidR="00141EB0">
        <w:rPr>
          <w:rFonts w:ascii="Arial" w:hAnsi="Arial" w:cs="Arial"/>
        </w:rPr>
        <w:t xml:space="preserve">Juzgado Cuarto </w:t>
      </w:r>
      <w:r w:rsidR="002E33C7">
        <w:rPr>
          <w:rFonts w:ascii="Arial" w:hAnsi="Arial" w:cs="Arial"/>
        </w:rPr>
        <w:t>de Familia de Pereira</w:t>
      </w:r>
      <w:r w:rsidR="009C0048" w:rsidRPr="004A7F8D">
        <w:rPr>
          <w:rFonts w:ascii="Arial" w:hAnsi="Arial" w:cs="Arial"/>
        </w:rPr>
        <w:t>.</w:t>
      </w:r>
    </w:p>
    <w:p w:rsidR="00141EB0" w:rsidRPr="00141EB0" w:rsidRDefault="00141EB0" w:rsidP="00141EB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E255D" w:rsidRPr="00CE255D" w:rsidRDefault="00CE255D" w:rsidP="00CE25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141EB0">
        <w:rPr>
          <w:rFonts w:ascii="Arial" w:hAnsi="Arial" w:cs="Arial"/>
          <w:szCs w:val="24"/>
        </w:rPr>
        <w:t>CC</w:t>
      </w:r>
      <w:r w:rsidRPr="00A71827">
        <w:rPr>
          <w:rFonts w:ascii="Arial" w:hAnsi="Arial" w:cs="Arial"/>
          <w:szCs w:val="24"/>
        </w:rPr>
        <w:t xml:space="preserve"> para su eventual revisión, de no ser impugnada.</w:t>
      </w:r>
    </w:p>
    <w:p w:rsidR="00B55A13" w:rsidRDefault="00B55A13" w:rsidP="00B55A13">
      <w:pPr>
        <w:pStyle w:val="Textoindependiente"/>
        <w:tabs>
          <w:tab w:val="clear" w:pos="708"/>
        </w:tabs>
        <w:spacing w:line="360" w:lineRule="auto"/>
        <w:rPr>
          <w:rFonts w:ascii="Arial" w:hAnsi="Arial" w:cs="Arial"/>
          <w:szCs w:val="24"/>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E361E2" w:rsidRDefault="00626C89" w:rsidP="00FF5B57">
      <w:pPr>
        <w:pStyle w:val="Prrafodelista"/>
        <w:widowControl/>
        <w:autoSpaceDE/>
        <w:autoSpaceDN/>
        <w:adjustRightInd/>
        <w:spacing w:line="360" w:lineRule="auto"/>
        <w:ind w:left="360" w:right="51"/>
        <w:contextualSpacing/>
        <w:jc w:val="both"/>
        <w:rPr>
          <w:rFonts w:ascii="Arial" w:hAnsi="Arial"/>
          <w:sz w:val="14"/>
        </w:rPr>
      </w:pPr>
    </w:p>
    <w:p w:rsidR="00126266" w:rsidRPr="0069231C" w:rsidRDefault="00126266" w:rsidP="00126266">
      <w:pPr>
        <w:pStyle w:val="Textoindependien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Textoindependiente"/>
        <w:spacing w:line="360" w:lineRule="auto"/>
        <w:jc w:val="center"/>
        <w:rPr>
          <w:rFonts w:ascii="Arial" w:hAnsi="Arial"/>
          <w:sz w:val="2"/>
          <w:szCs w:val="24"/>
          <w:lang w:val="en-US"/>
        </w:rPr>
      </w:pPr>
    </w:p>
    <w:p w:rsidR="003E66CE" w:rsidRPr="00C40F50" w:rsidRDefault="003E66CE" w:rsidP="00417DA5">
      <w:pPr>
        <w:pStyle w:val="Textoindependiente"/>
        <w:spacing w:line="360" w:lineRule="auto"/>
        <w:jc w:val="center"/>
        <w:rPr>
          <w:rFonts w:ascii="Arial" w:hAnsi="Arial"/>
          <w:sz w:val="52"/>
          <w:szCs w:val="24"/>
          <w:lang w:val="en-US"/>
        </w:rPr>
      </w:pPr>
    </w:p>
    <w:p w:rsidR="00B30152" w:rsidRPr="00CE255D" w:rsidRDefault="00B30152" w:rsidP="00417DA5">
      <w:pPr>
        <w:pStyle w:val="Textoindependiente"/>
        <w:spacing w:line="360" w:lineRule="auto"/>
        <w:jc w:val="center"/>
        <w:rPr>
          <w:rFonts w:ascii="Arial" w:hAnsi="Arial"/>
          <w:sz w:val="18"/>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E255D"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lang w:val="es-CO"/>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3115B5"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3115B5" w:rsidRPr="00A0021D"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Pr="003115B5" w:rsidRDefault="00157CDD" w:rsidP="005B4A1B">
      <w:pPr>
        <w:pStyle w:val="Textoindependiente"/>
        <w:spacing w:line="360" w:lineRule="auto"/>
        <w:jc w:val="right"/>
        <w:rPr>
          <w:rFonts w:ascii="Arial" w:hAnsi="Arial"/>
          <w:w w:val="150"/>
          <w:sz w:val="8"/>
          <w:szCs w:val="10"/>
          <w:lang w:val="en-US"/>
        </w:rPr>
      </w:pPr>
      <w:r w:rsidRPr="00141EB0">
        <w:rPr>
          <w:rFonts w:ascii="Arial" w:hAnsi="Arial"/>
          <w:w w:val="150"/>
          <w:sz w:val="10"/>
          <w:szCs w:val="10"/>
          <w:lang w:val="en-US"/>
        </w:rPr>
        <w:t>DGH</w:t>
      </w:r>
      <w:r w:rsidR="00141EB0">
        <w:rPr>
          <w:rFonts w:ascii="Arial" w:hAnsi="Arial"/>
          <w:w w:val="150"/>
          <w:sz w:val="10"/>
          <w:szCs w:val="10"/>
          <w:lang w:val="en-US"/>
        </w:rPr>
        <w:t xml:space="preserve"> </w:t>
      </w:r>
      <w:r w:rsidRPr="00141EB0">
        <w:rPr>
          <w:rFonts w:ascii="Arial" w:hAnsi="Arial"/>
          <w:w w:val="150"/>
          <w:sz w:val="10"/>
          <w:szCs w:val="10"/>
          <w:lang w:val="en-US"/>
        </w:rPr>
        <w:t>/</w:t>
      </w:r>
      <w:r w:rsidR="00141EB0">
        <w:rPr>
          <w:rFonts w:ascii="Arial" w:hAnsi="Arial"/>
          <w:w w:val="150"/>
          <w:sz w:val="10"/>
          <w:szCs w:val="10"/>
          <w:lang w:val="en-US"/>
        </w:rPr>
        <w:t xml:space="preserve"> </w:t>
      </w:r>
      <w:r w:rsidR="0023296A" w:rsidRPr="00141EB0">
        <w:rPr>
          <w:rFonts w:ascii="Arial" w:hAnsi="Arial"/>
          <w:w w:val="150"/>
          <w:sz w:val="10"/>
          <w:szCs w:val="10"/>
          <w:lang w:val="en-US"/>
        </w:rPr>
        <w:t>ODCD</w:t>
      </w:r>
      <w:r w:rsidR="00141EB0">
        <w:rPr>
          <w:rFonts w:ascii="Arial" w:hAnsi="Arial"/>
          <w:w w:val="150"/>
          <w:sz w:val="10"/>
          <w:szCs w:val="10"/>
          <w:lang w:val="en-US"/>
        </w:rPr>
        <w:t xml:space="preserve"> </w:t>
      </w:r>
      <w:r w:rsidR="003115B5" w:rsidRPr="00141EB0">
        <w:rPr>
          <w:rFonts w:ascii="Arial" w:hAnsi="Arial"/>
          <w:w w:val="150"/>
          <w:sz w:val="10"/>
          <w:szCs w:val="10"/>
          <w:lang w:val="en-US"/>
        </w:rPr>
        <w:t xml:space="preserve">/ </w:t>
      </w:r>
      <w:r w:rsidR="009C0048" w:rsidRPr="00141EB0">
        <w:rPr>
          <w:rFonts w:ascii="Arial" w:hAnsi="Arial"/>
          <w:w w:val="150"/>
          <w:sz w:val="10"/>
          <w:szCs w:val="10"/>
          <w:lang w:val="en-US"/>
        </w:rPr>
        <w:t>2017</w:t>
      </w:r>
    </w:p>
    <w:sectPr w:rsidR="00E606C4" w:rsidRPr="003115B5" w:rsidSect="00CE255D">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12" w:rsidRDefault="00B40512" w:rsidP="0099045D">
      <w:r>
        <w:separator/>
      </w:r>
    </w:p>
  </w:endnote>
  <w:endnote w:type="continuationSeparator" w:id="0">
    <w:p w:rsidR="00B40512" w:rsidRDefault="00B4051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12" w:rsidRDefault="00B40512" w:rsidP="0099045D">
      <w:r>
        <w:separator/>
      </w:r>
    </w:p>
  </w:footnote>
  <w:footnote w:type="continuationSeparator" w:id="0">
    <w:p w:rsidR="00B40512" w:rsidRDefault="00B40512" w:rsidP="0099045D">
      <w:r>
        <w:continuationSeparator/>
      </w:r>
    </w:p>
  </w:footnote>
  <w:footnote w:id="1">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7D4E9C" w:rsidRPr="00E17BD7" w:rsidRDefault="007D4E9C" w:rsidP="007D4E9C">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7D4E9C" w:rsidRPr="00D65FBA" w:rsidRDefault="007D4E9C" w:rsidP="007D4E9C">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7D4E9C" w:rsidRPr="00E17BD7" w:rsidRDefault="007D4E9C" w:rsidP="007D4E9C">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7D4E9C" w:rsidRPr="00E17BD7" w:rsidRDefault="007D4E9C" w:rsidP="007D4E9C">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7D4E9C" w:rsidRDefault="007D4E9C" w:rsidP="007D4E9C">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7D4E9C" w:rsidRDefault="007D4E9C" w:rsidP="007D4E9C">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7D4E9C" w:rsidRDefault="007D4E9C" w:rsidP="007D4E9C">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7D4E9C" w:rsidRDefault="007D4E9C" w:rsidP="007D4E9C">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4">
    <w:p w:rsidR="007D4E9C" w:rsidRDefault="007D4E9C" w:rsidP="007D4E9C">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E361E2" w:rsidRDefault="00E361E2" w:rsidP="00E361E2">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16">
    <w:p w:rsidR="00231396" w:rsidRPr="000473E8" w:rsidRDefault="00231396" w:rsidP="00231396">
      <w:pPr>
        <w:pStyle w:val="Textonotapie"/>
        <w:rPr>
          <w:rFonts w:ascii="Calibri" w:hAnsi="Calibri"/>
        </w:rPr>
      </w:pPr>
      <w:r w:rsidRPr="000473E8">
        <w:rPr>
          <w:rStyle w:val="Refdenotaalpie"/>
          <w:rFonts w:ascii="Calibri" w:hAnsi="Calibri"/>
        </w:rPr>
        <w:footnoteRef/>
      </w:r>
      <w:r w:rsidRPr="000473E8">
        <w:rPr>
          <w:rFonts w:ascii="Calibri" w:hAnsi="Calibri"/>
        </w:rPr>
        <w:t xml:space="preserve"> </w:t>
      </w:r>
      <w:r w:rsidRPr="000473E8">
        <w:rPr>
          <w:rFonts w:ascii="Calibri" w:hAnsi="Calibri"/>
          <w:lang w:val="es-CO"/>
        </w:rPr>
        <w:t xml:space="preserve">CSJ, Civil. </w:t>
      </w:r>
      <w:r w:rsidRPr="000473E8">
        <w:rPr>
          <w:rFonts w:ascii="Calibri" w:hAnsi="Calibri"/>
        </w:rPr>
        <w:t>STC2349-2017</w:t>
      </w:r>
      <w:r>
        <w:rPr>
          <w:rFonts w:ascii="Calibri" w:hAnsi="Calibri"/>
        </w:rPr>
        <w:t>.</w:t>
      </w:r>
    </w:p>
  </w:footnote>
  <w:footnote w:id="17">
    <w:p w:rsidR="00141EB0" w:rsidRPr="008B43C6" w:rsidRDefault="00141EB0" w:rsidP="00141EB0">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4F5CBF">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w:t>
    </w:r>
    <w:r w:rsidR="007269C6">
      <w:rPr>
        <w:rFonts w:ascii="Calibri" w:hAnsi="Calibri" w:cs="Calibri"/>
        <w:i/>
        <w:sz w:val="20"/>
        <w:szCs w:val="22"/>
      </w:rPr>
      <w:t>00488</w:t>
    </w:r>
    <w:r w:rsidR="00C5650A">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D9A335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EF8"/>
    <w:rsid w:val="0005233B"/>
    <w:rsid w:val="00052A79"/>
    <w:rsid w:val="00052EDD"/>
    <w:rsid w:val="00053152"/>
    <w:rsid w:val="0005410F"/>
    <w:rsid w:val="0005443E"/>
    <w:rsid w:val="00054679"/>
    <w:rsid w:val="000547E1"/>
    <w:rsid w:val="00054FD8"/>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6B3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1EB0"/>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396"/>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2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DDA"/>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3C7"/>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2959"/>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7ED"/>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5CBF"/>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0F6D"/>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4F9D"/>
    <w:rsid w:val="005F546E"/>
    <w:rsid w:val="005F555E"/>
    <w:rsid w:val="005F5A85"/>
    <w:rsid w:val="005F5B09"/>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61AC"/>
    <w:rsid w:val="00717574"/>
    <w:rsid w:val="00720F6E"/>
    <w:rsid w:val="0072250E"/>
    <w:rsid w:val="007229B8"/>
    <w:rsid w:val="00722FB5"/>
    <w:rsid w:val="00723794"/>
    <w:rsid w:val="0072424E"/>
    <w:rsid w:val="0072436C"/>
    <w:rsid w:val="00724BAB"/>
    <w:rsid w:val="00725242"/>
    <w:rsid w:val="0072524B"/>
    <w:rsid w:val="00725E62"/>
    <w:rsid w:val="007263B2"/>
    <w:rsid w:val="007266D3"/>
    <w:rsid w:val="00726918"/>
    <w:rsid w:val="007269C6"/>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87EFD"/>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87"/>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74"/>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5B8"/>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7DB"/>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512"/>
    <w:rsid w:val="00B407A4"/>
    <w:rsid w:val="00B407A9"/>
    <w:rsid w:val="00B40B09"/>
    <w:rsid w:val="00B411C8"/>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A13"/>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E8A"/>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55D"/>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DE6"/>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A7E3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55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2"/>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1B"/>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24B"/>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5C8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352"/>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9632498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FA55-59EB-43C4-AA77-040A9F97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2017-05-31T20:17:00Z</cp:lastPrinted>
  <dcterms:created xsi:type="dcterms:W3CDTF">2017-05-31T19:01:00Z</dcterms:created>
  <dcterms:modified xsi:type="dcterms:W3CDTF">2017-09-07T15:32:00Z</dcterms:modified>
</cp:coreProperties>
</file>