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F4" w:rsidRDefault="006F2FF4" w:rsidP="006F2FF4">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6F2FF4" w:rsidRPr="00E756E4" w:rsidRDefault="006F2FF4" w:rsidP="006F2FF4">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6F2FF4" w:rsidRPr="006839A7" w:rsidRDefault="006F2FF4" w:rsidP="006839A7">
      <w:pPr>
        <w:pStyle w:val="Sinespaciado"/>
        <w:rPr>
          <w:rFonts w:asciiTheme="minorHAnsi" w:hAnsiTheme="minorHAnsi"/>
          <w:sz w:val="18"/>
          <w:szCs w:val="18"/>
        </w:rPr>
      </w:pPr>
    </w:p>
    <w:p w:rsidR="006839A7" w:rsidRPr="006839A7" w:rsidRDefault="006839A7" w:rsidP="006839A7">
      <w:pPr>
        <w:pStyle w:val="Sinespaciado"/>
        <w:jc w:val="both"/>
        <w:rPr>
          <w:rFonts w:asciiTheme="minorHAnsi" w:hAnsiTheme="minorHAnsi"/>
          <w:sz w:val="18"/>
          <w:szCs w:val="18"/>
        </w:rPr>
      </w:pPr>
      <w:r w:rsidRPr="006839A7">
        <w:rPr>
          <w:rFonts w:asciiTheme="minorHAnsi" w:hAnsiTheme="minorHAnsi"/>
          <w:b/>
          <w:sz w:val="18"/>
          <w:szCs w:val="18"/>
        </w:rPr>
        <w:t>Tema:</w:t>
      </w:r>
      <w:r w:rsidRPr="006839A7">
        <w:rPr>
          <w:rFonts w:asciiTheme="minorHAnsi" w:hAnsiTheme="minorHAnsi"/>
          <w:b/>
          <w:sz w:val="18"/>
          <w:szCs w:val="18"/>
        </w:rPr>
        <w:tab/>
      </w:r>
      <w:r w:rsidRPr="006839A7">
        <w:rPr>
          <w:rFonts w:asciiTheme="minorHAnsi" w:hAnsiTheme="minorHAnsi"/>
          <w:b/>
          <w:sz w:val="18"/>
          <w:szCs w:val="18"/>
        </w:rPr>
        <w:tab/>
        <w:t>TRANSPORTE – VIÁTICOS – LEUCEMIA – TRATAMIENTO INTEGRAL – MODIFICACIÓN DE LA SANCIÓN POR CUMPLIMIENTO PARCIAL</w:t>
      </w:r>
      <w:r>
        <w:rPr>
          <w:rFonts w:asciiTheme="minorHAnsi" w:hAnsiTheme="minorHAnsi"/>
          <w:sz w:val="18"/>
          <w:szCs w:val="18"/>
        </w:rPr>
        <w:t xml:space="preserve"> - </w:t>
      </w:r>
      <w:r w:rsidRPr="006839A7">
        <w:rPr>
          <w:rFonts w:asciiTheme="minorHAnsi" w:hAnsiTheme="minorHAnsi"/>
          <w:sz w:val="18"/>
          <w:szCs w:val="18"/>
        </w:rPr>
        <w:t xml:space="preserve">Con el fin de acreditar los aspectos atrás mencionados, se requirió al aludido funcionario, sin respuesta; en esta instancia se corroboró (i) Que ya fue prestado el servicio de transporte para asistir a las citas con los especialistas; (ii) Que el tratamiento por fisiatría se le está brindando en el municipio de </w:t>
      </w:r>
      <w:proofErr w:type="spellStart"/>
      <w:r w:rsidRPr="006839A7">
        <w:rPr>
          <w:rFonts w:asciiTheme="minorHAnsi" w:hAnsiTheme="minorHAnsi"/>
          <w:sz w:val="18"/>
          <w:szCs w:val="18"/>
        </w:rPr>
        <w:t>Quinchía</w:t>
      </w:r>
      <w:proofErr w:type="spellEnd"/>
      <w:r w:rsidRPr="006839A7">
        <w:rPr>
          <w:rFonts w:asciiTheme="minorHAnsi" w:hAnsiTheme="minorHAnsi"/>
          <w:sz w:val="18"/>
          <w:szCs w:val="18"/>
        </w:rPr>
        <w:t>, R.; (iii) Que el medicamento “</w:t>
      </w:r>
      <w:proofErr w:type="spellStart"/>
      <w:r w:rsidRPr="006839A7">
        <w:rPr>
          <w:rFonts w:asciiTheme="minorHAnsi" w:hAnsiTheme="minorHAnsi"/>
          <w:sz w:val="18"/>
          <w:szCs w:val="18"/>
        </w:rPr>
        <w:t>propilenglicol</w:t>
      </w:r>
      <w:proofErr w:type="spellEnd"/>
      <w:r w:rsidRPr="006839A7">
        <w:rPr>
          <w:rFonts w:asciiTheme="minorHAnsi" w:hAnsiTheme="minorHAnsi"/>
          <w:sz w:val="18"/>
          <w:szCs w:val="18"/>
        </w:rPr>
        <w:t>” gotas en una unidad ya fue entregado; y, (iv) Que solo recibió 30 tabletas del “</w:t>
      </w:r>
      <w:proofErr w:type="spellStart"/>
      <w:r w:rsidRPr="006839A7">
        <w:rPr>
          <w:rFonts w:asciiTheme="minorHAnsi" w:hAnsiTheme="minorHAnsi"/>
          <w:sz w:val="18"/>
          <w:szCs w:val="18"/>
        </w:rPr>
        <w:t>IMANTINIB</w:t>
      </w:r>
      <w:proofErr w:type="spellEnd"/>
      <w:r w:rsidRPr="006839A7">
        <w:rPr>
          <w:rFonts w:asciiTheme="minorHAnsi" w:hAnsiTheme="minorHAnsi"/>
          <w:sz w:val="18"/>
          <w:szCs w:val="18"/>
        </w:rPr>
        <w:t xml:space="preserve"> X 400MG”, quedan pendientes otras 30 más, según la accionante (Folio 18 vuelto, este cuaderno), así las cosas, como la orden del galeno alude es al suministro de 60 tabletas para un tratamiento p</w:t>
      </w:r>
      <w:bookmarkStart w:id="0" w:name="_GoBack"/>
      <w:bookmarkEnd w:id="0"/>
      <w:r w:rsidRPr="006839A7">
        <w:rPr>
          <w:rFonts w:asciiTheme="minorHAnsi" w:hAnsiTheme="minorHAnsi"/>
          <w:sz w:val="18"/>
          <w:szCs w:val="18"/>
        </w:rPr>
        <w:t>or dos meses (Imagen No.3 de la historia clínica hematólogo del disco compacto visible a folio 1, cuaderno del incidente), se aprecia incumplido el fallo de tutela, en cuanto al tratamiento integral, pues los medicamentos fueron recetados con ocasión de la complicación del trasplante de médula ósea que se manifiesta en la piel, hígado y ojos principalmente (Certificado del médico especialista, obra en el disco compacto visible a folio 1, ibídem).</w:t>
      </w:r>
    </w:p>
    <w:p w:rsidR="006839A7" w:rsidRPr="006839A7" w:rsidRDefault="006839A7" w:rsidP="006839A7">
      <w:pPr>
        <w:pStyle w:val="Sinespaciado"/>
        <w:rPr>
          <w:rFonts w:asciiTheme="minorHAnsi" w:hAnsiTheme="minorHAnsi"/>
          <w:sz w:val="18"/>
          <w:szCs w:val="18"/>
        </w:rPr>
      </w:pPr>
      <w:r>
        <w:rPr>
          <w:rFonts w:asciiTheme="minorHAnsi" w:hAnsiTheme="minorHAnsi"/>
          <w:sz w:val="18"/>
          <w:szCs w:val="18"/>
        </w:rPr>
        <w:t>(…)</w:t>
      </w:r>
    </w:p>
    <w:p w:rsidR="006839A7" w:rsidRPr="006839A7" w:rsidRDefault="006839A7" w:rsidP="006839A7">
      <w:pPr>
        <w:pStyle w:val="Sinespaciado"/>
        <w:rPr>
          <w:rFonts w:asciiTheme="minorHAnsi" w:hAnsiTheme="minorHAnsi"/>
          <w:sz w:val="18"/>
          <w:szCs w:val="18"/>
        </w:rPr>
      </w:pPr>
    </w:p>
    <w:p w:rsidR="006839A7" w:rsidRPr="006839A7" w:rsidRDefault="006839A7" w:rsidP="006839A7">
      <w:pPr>
        <w:pStyle w:val="Sinespaciado"/>
        <w:rPr>
          <w:rFonts w:asciiTheme="minorHAnsi" w:hAnsiTheme="minorHAnsi"/>
          <w:sz w:val="18"/>
          <w:szCs w:val="18"/>
        </w:rPr>
      </w:pPr>
      <w:r w:rsidRPr="006839A7">
        <w:rPr>
          <w:rFonts w:asciiTheme="minorHAnsi" w:hAnsiTheme="minorHAnsi"/>
          <w:sz w:val="18"/>
          <w:szCs w:val="18"/>
        </w:rPr>
        <w:t xml:space="preserve">En este caso, tal como se dijo, hubo cumplimiento parcial de la decisión de tutela, pues todos los servicios médicos exigidos ya fueron brindados, salvo la entrega total de uno solo de los medicamentos; en esas condiciones se modificará la sanción impuesta en primera instancia, para reducirla a la mitad. </w:t>
      </w:r>
    </w:p>
    <w:p w:rsidR="006839A7" w:rsidRPr="006839A7" w:rsidRDefault="006839A7" w:rsidP="006839A7">
      <w:pPr>
        <w:pStyle w:val="Sinespaciado"/>
        <w:rPr>
          <w:rFonts w:asciiTheme="minorHAnsi" w:hAnsiTheme="minorHAnsi"/>
          <w:sz w:val="18"/>
          <w:szCs w:val="18"/>
        </w:rPr>
      </w:pPr>
    </w:p>
    <w:p w:rsidR="006839A7" w:rsidRPr="006839A7" w:rsidRDefault="006839A7" w:rsidP="006839A7">
      <w:pPr>
        <w:pStyle w:val="Sinespaciado"/>
        <w:rPr>
          <w:rFonts w:asciiTheme="minorHAnsi" w:hAnsiTheme="minorHAnsi"/>
          <w:sz w:val="18"/>
          <w:szCs w:val="18"/>
        </w:rPr>
      </w:pPr>
      <w:r w:rsidRPr="006839A7">
        <w:rPr>
          <w:rFonts w:asciiTheme="minorHAnsi" w:hAnsiTheme="minorHAnsi"/>
          <w:sz w:val="18"/>
          <w:szCs w:val="18"/>
        </w:rPr>
        <w:t>Adicionalmente, encuentra esta Superioridad necesario ajustar la providencia sancionatoria de conformidad con los lineamientos establecidos por la Sala Administrativa del CSJ en el Acuerdo No.PSAA10-6979 de 2010 y Circular No.DEAJC15-61 de 23-11-2015 de la Dirección Ejecutiva de Administración Judicial, pues la cuenta de depósito donde se ordenó consignar la multa está errada.</w:t>
      </w:r>
    </w:p>
    <w:p w:rsidR="006839A7" w:rsidRPr="006839A7" w:rsidRDefault="006839A7" w:rsidP="006839A7">
      <w:pPr>
        <w:pStyle w:val="Sinespaciado"/>
        <w:rPr>
          <w:rFonts w:asciiTheme="minorHAnsi" w:hAnsiTheme="minorHAnsi"/>
          <w:sz w:val="18"/>
          <w:szCs w:val="18"/>
        </w:rPr>
      </w:pPr>
    </w:p>
    <w:p w:rsidR="006839A7" w:rsidRPr="006839A7" w:rsidRDefault="006839A7" w:rsidP="006839A7">
      <w:pPr>
        <w:pStyle w:val="Sinespaciado"/>
        <w:rPr>
          <w:rFonts w:asciiTheme="minorHAnsi" w:hAnsiTheme="minorHAnsi"/>
          <w:sz w:val="18"/>
          <w:szCs w:val="18"/>
        </w:rPr>
      </w:pPr>
    </w:p>
    <w:p w:rsidR="00F47CE4" w:rsidRPr="007860C0" w:rsidRDefault="00F47CE4" w:rsidP="00F47CE4">
      <w:pPr>
        <w:pStyle w:val="Sinespaciado"/>
        <w:spacing w:line="360" w:lineRule="auto"/>
        <w:jc w:val="center"/>
        <w:rPr>
          <w:rFonts w:ascii="Arial" w:hAnsi="Arial" w:cs="Arial"/>
          <w:w w:val="140"/>
        </w:rPr>
      </w:pPr>
      <w:r w:rsidRPr="005E58C9">
        <w:rPr>
          <w:rFonts w:ascii="Arial" w:hAnsi="Arial" w:cs="Arial"/>
          <w:noProof/>
        </w:rPr>
        <w:drawing>
          <wp:inline distT="0" distB="0" distL="0" distR="0" wp14:anchorId="784BC58B" wp14:editId="0DE66DB8">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F47CE4" w:rsidRPr="007860C0" w:rsidRDefault="00F47CE4" w:rsidP="00F47CE4">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F47CE4" w:rsidRPr="007860C0" w:rsidRDefault="00F47CE4" w:rsidP="00F47CE4">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F47CE4" w:rsidRPr="007860C0" w:rsidRDefault="00F47CE4" w:rsidP="00F47CE4">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F47CE4" w:rsidRPr="00121680" w:rsidRDefault="00F47CE4" w:rsidP="00F47CE4">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Pr>
          <w:rFonts w:ascii="Arial" w:hAnsi="Arial" w:cs="Arial"/>
          <w:w w:val="140"/>
          <w:sz w:val="16"/>
          <w:szCs w:val="16"/>
        </w:rPr>
        <w:t xml:space="preserve">DE </w:t>
      </w:r>
      <w:r>
        <w:rPr>
          <w:rFonts w:ascii="Arial" w:hAnsi="Arial" w:cs="Arial"/>
          <w:w w:val="140"/>
          <w:sz w:val="18"/>
          <w:szCs w:val="16"/>
        </w:rPr>
        <w:t>D</w:t>
      </w:r>
      <w:r>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F47CE4" w:rsidRPr="00505ACE" w:rsidRDefault="00F47CE4" w:rsidP="00F47CE4">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Textoindependien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06780A">
      <w:pPr>
        <w:pStyle w:val="Textoindependien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D7483">
        <w:rPr>
          <w:rFonts w:ascii="Arial" w:hAnsi="Arial" w:cs="Arial"/>
          <w:sz w:val="22"/>
          <w:szCs w:val="22"/>
        </w:rPr>
        <w:t>Incidentante</w:t>
      </w:r>
      <w:proofErr w:type="spellEnd"/>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r w:rsidR="00916504">
        <w:rPr>
          <w:rFonts w:ascii="Arial" w:hAnsi="Arial" w:cs="Arial"/>
          <w:sz w:val="22"/>
          <w:szCs w:val="22"/>
        </w:rPr>
        <w:t xml:space="preserve">María Cecilia </w:t>
      </w:r>
      <w:proofErr w:type="spellStart"/>
      <w:r w:rsidR="00916504">
        <w:rPr>
          <w:rFonts w:ascii="Arial" w:hAnsi="Arial" w:cs="Arial"/>
          <w:sz w:val="22"/>
          <w:szCs w:val="22"/>
        </w:rPr>
        <w:t>Aricapa</w:t>
      </w:r>
      <w:proofErr w:type="spellEnd"/>
      <w:r w:rsidR="00916504">
        <w:rPr>
          <w:rFonts w:ascii="Arial" w:hAnsi="Arial" w:cs="Arial"/>
          <w:sz w:val="22"/>
          <w:szCs w:val="22"/>
        </w:rPr>
        <w:t xml:space="preserve"> Manso</w:t>
      </w:r>
    </w:p>
    <w:p w:rsidR="00157C3D" w:rsidRPr="003274BF" w:rsidRDefault="00157C3D"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Agente oficioso</w:t>
      </w:r>
      <w:r>
        <w:rPr>
          <w:rFonts w:ascii="Arial" w:hAnsi="Arial" w:cs="Arial"/>
          <w:sz w:val="22"/>
          <w:szCs w:val="22"/>
        </w:rPr>
        <w:tab/>
        <w:t xml:space="preserve">: </w:t>
      </w:r>
      <w:r w:rsidR="00916504">
        <w:rPr>
          <w:rFonts w:ascii="Arial" w:hAnsi="Arial" w:cs="Arial"/>
          <w:sz w:val="22"/>
          <w:szCs w:val="22"/>
        </w:rPr>
        <w:t xml:space="preserve">Mary Luz </w:t>
      </w:r>
      <w:proofErr w:type="spellStart"/>
      <w:r w:rsidR="00916504">
        <w:rPr>
          <w:rFonts w:ascii="Arial" w:hAnsi="Arial" w:cs="Arial"/>
          <w:sz w:val="22"/>
          <w:szCs w:val="22"/>
        </w:rPr>
        <w:t>Aricapa</w:t>
      </w:r>
      <w:proofErr w:type="spellEnd"/>
      <w:r w:rsidR="00916504">
        <w:rPr>
          <w:rFonts w:ascii="Arial" w:hAnsi="Arial" w:cs="Arial"/>
          <w:sz w:val="22"/>
          <w:szCs w:val="22"/>
        </w:rPr>
        <w:t xml:space="preserve"> Manso</w:t>
      </w:r>
    </w:p>
    <w:p w:rsidR="00157C3D" w:rsidRDefault="00771048" w:rsidP="001B003B">
      <w:pPr>
        <w:pStyle w:val="Textoindependiente"/>
        <w:tabs>
          <w:tab w:val="clear" w:pos="3540"/>
          <w:tab w:val="left" w:pos="3544"/>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157C3D">
        <w:rPr>
          <w:rFonts w:ascii="Arial" w:hAnsi="Arial" w:cs="Arial"/>
          <w:sz w:val="22"/>
          <w:szCs w:val="22"/>
        </w:rPr>
        <w:t>Incidentado</w:t>
      </w:r>
      <w:proofErr w:type="spellEnd"/>
      <w:r w:rsidR="00A739F2">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916504">
        <w:rPr>
          <w:rFonts w:ascii="Arial" w:hAnsi="Arial" w:cs="Arial"/>
          <w:sz w:val="22"/>
          <w:szCs w:val="22"/>
        </w:rPr>
        <w:t>Gloria Elena Posada Mejía</w:t>
      </w:r>
      <w:r w:rsidR="00157C3D">
        <w:rPr>
          <w:rFonts w:ascii="Arial" w:hAnsi="Arial" w:cs="Arial"/>
          <w:sz w:val="22"/>
          <w:szCs w:val="22"/>
        </w:rPr>
        <w:t xml:space="preserve">, </w:t>
      </w:r>
      <w:r w:rsidR="00916504">
        <w:rPr>
          <w:rFonts w:ascii="Arial" w:hAnsi="Arial" w:cs="Arial"/>
          <w:sz w:val="22"/>
          <w:szCs w:val="22"/>
        </w:rPr>
        <w:t xml:space="preserve">Directora Departamental de la </w:t>
      </w:r>
    </w:p>
    <w:p w:rsidR="005A3336" w:rsidRPr="00916504" w:rsidRDefault="00157C3D" w:rsidP="001B003B">
      <w:pPr>
        <w:pStyle w:val="Textoindependiente"/>
        <w:tabs>
          <w:tab w:val="clear" w:pos="3540"/>
          <w:tab w:val="left" w:pos="3544"/>
        </w:tabs>
        <w:spacing w:line="360" w:lineRule="auto"/>
        <w:ind w:left="3540" w:hanging="3540"/>
        <w:rPr>
          <w:rFonts w:ascii="Arial" w:hAnsi="Arial" w:cs="Arial"/>
          <w:sz w:val="22"/>
          <w:szCs w:val="22"/>
          <w:lang w:val="es-CO"/>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57C3D">
        <w:rPr>
          <w:rFonts w:ascii="Arial" w:hAnsi="Arial" w:cs="Arial"/>
          <w:color w:val="FFFFFF" w:themeColor="background1"/>
          <w:sz w:val="22"/>
          <w:szCs w:val="22"/>
        </w:rPr>
        <w:t xml:space="preserve">: </w:t>
      </w:r>
      <w:proofErr w:type="spellStart"/>
      <w:r w:rsidR="00916504">
        <w:rPr>
          <w:rFonts w:ascii="Arial" w:hAnsi="Arial" w:cs="Arial"/>
          <w:sz w:val="22"/>
          <w:szCs w:val="22"/>
        </w:rPr>
        <w:t>EPS</w:t>
      </w:r>
      <w:proofErr w:type="spellEnd"/>
      <w:r w:rsidR="00916504">
        <w:rPr>
          <w:rFonts w:ascii="Arial" w:hAnsi="Arial" w:cs="Arial"/>
          <w:sz w:val="22"/>
          <w:szCs w:val="22"/>
        </w:rPr>
        <w:t xml:space="preserve">-S-S </w:t>
      </w:r>
      <w:proofErr w:type="spellStart"/>
      <w:r>
        <w:rPr>
          <w:rFonts w:ascii="Arial" w:hAnsi="Arial" w:cs="Arial"/>
          <w:sz w:val="22"/>
          <w:szCs w:val="22"/>
        </w:rPr>
        <w:t>Asmet</w:t>
      </w:r>
      <w:proofErr w:type="spellEnd"/>
      <w:r w:rsidR="00916504">
        <w:rPr>
          <w:rFonts w:ascii="Arial" w:hAnsi="Arial" w:cs="Arial"/>
          <w:sz w:val="22"/>
          <w:szCs w:val="22"/>
        </w:rPr>
        <w:t xml:space="preserve"> </w:t>
      </w:r>
      <w:r>
        <w:rPr>
          <w:rFonts w:ascii="Arial" w:hAnsi="Arial" w:cs="Arial"/>
          <w:sz w:val="22"/>
          <w:szCs w:val="22"/>
        </w:rPr>
        <w:t xml:space="preserve">salud </w:t>
      </w:r>
      <w:r w:rsidR="00916504">
        <w:rPr>
          <w:rFonts w:ascii="Arial" w:hAnsi="Arial" w:cs="Arial"/>
          <w:sz w:val="22"/>
          <w:szCs w:val="22"/>
        </w:rPr>
        <w:t>y otro</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916504">
        <w:rPr>
          <w:rFonts w:ascii="Arial" w:hAnsi="Arial" w:cs="Arial"/>
          <w:sz w:val="22"/>
          <w:szCs w:val="22"/>
        </w:rPr>
        <w:t xml:space="preserve">Único Promiscuo del Circuito de </w:t>
      </w:r>
      <w:proofErr w:type="spellStart"/>
      <w:r w:rsidR="00916504">
        <w:rPr>
          <w:rFonts w:ascii="Arial" w:hAnsi="Arial" w:cs="Arial"/>
          <w:sz w:val="22"/>
          <w:szCs w:val="22"/>
        </w:rPr>
        <w:t>Quinchía</w:t>
      </w:r>
      <w:proofErr w:type="spellEnd"/>
      <w:r w:rsidR="00916504">
        <w:rPr>
          <w:rFonts w:ascii="Arial" w:hAnsi="Arial" w:cs="Arial"/>
          <w:sz w:val="22"/>
          <w:szCs w:val="22"/>
        </w:rPr>
        <w:t>, R.</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916504">
        <w:rPr>
          <w:rFonts w:ascii="Arial" w:hAnsi="Arial" w:cs="Arial"/>
          <w:sz w:val="22"/>
          <w:szCs w:val="22"/>
        </w:rPr>
        <w:t>2014-00107-01</w:t>
      </w:r>
    </w:p>
    <w:p w:rsidR="00C2790B" w:rsidRPr="003274BF" w:rsidRDefault="00C2790B" w:rsidP="00C2790B">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662F7">
        <w:rPr>
          <w:rFonts w:ascii="Arial" w:hAnsi="Arial" w:cs="Arial"/>
          <w:sz w:val="22"/>
          <w:szCs w:val="22"/>
        </w:rPr>
        <w:t>Respon</w:t>
      </w:r>
      <w:r w:rsidR="00AB2DAE">
        <w:rPr>
          <w:rFonts w:ascii="Arial" w:hAnsi="Arial" w:cs="Arial"/>
          <w:sz w:val="22"/>
          <w:szCs w:val="22"/>
        </w:rPr>
        <w:t>s</w:t>
      </w:r>
      <w:r w:rsidR="009662F7">
        <w:rPr>
          <w:rFonts w:ascii="Arial" w:hAnsi="Arial" w:cs="Arial"/>
          <w:sz w:val="22"/>
          <w:szCs w:val="22"/>
        </w:rPr>
        <w:t>abilidad subjetiva</w:t>
      </w:r>
      <w:r>
        <w:rPr>
          <w:rFonts w:ascii="Arial" w:hAnsi="Arial" w:cs="Arial"/>
          <w:sz w:val="22"/>
          <w:szCs w:val="22"/>
        </w:rPr>
        <w:t xml:space="preserve">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proofErr w:type="spellStart"/>
      <w:r w:rsidR="00233E73" w:rsidRPr="003274BF">
        <w:rPr>
          <w:rFonts w:ascii="Arial" w:hAnsi="Arial" w:cs="Arial"/>
          <w:smallCaps/>
          <w:sz w:val="22"/>
          <w:szCs w:val="22"/>
          <w:lang w:val="es-CO"/>
        </w:rPr>
        <w:t>Duberney</w:t>
      </w:r>
      <w:proofErr w:type="spellEnd"/>
      <w:r w:rsidR="00233E73" w:rsidRPr="003274BF">
        <w:rPr>
          <w:rFonts w:ascii="Arial" w:hAnsi="Arial" w:cs="Arial"/>
          <w:smallCaps/>
          <w:sz w:val="22"/>
          <w:szCs w:val="22"/>
          <w:lang w:val="es-CO"/>
        </w:rPr>
        <w:t xml:space="preserve"> Grisales Herrera</w:t>
      </w:r>
    </w:p>
    <w:p w:rsidR="00771048" w:rsidRDefault="00771048" w:rsidP="00771048">
      <w:pPr>
        <w:pBdr>
          <w:bottom w:val="single" w:sz="12" w:space="0" w:color="auto"/>
        </w:pBdr>
        <w:spacing w:line="360" w:lineRule="auto"/>
        <w:ind w:left="708" w:firstLine="708"/>
        <w:rPr>
          <w:rFonts w:ascii="Arial" w:hAnsi="Arial" w:cs="Arial"/>
          <w:sz w:val="22"/>
          <w:szCs w:val="22"/>
          <w:lang w:val="es-CO"/>
        </w:rPr>
      </w:pPr>
    </w:p>
    <w:p w:rsidR="00F52EAE" w:rsidRPr="000B7674" w:rsidRDefault="00F52EAE"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D51EF3">
        <w:rPr>
          <w:rFonts w:ascii="Arial" w:hAnsi="Arial" w:cs="Arial"/>
          <w:smallCaps/>
          <w:sz w:val="28"/>
          <w:szCs w:val="28"/>
          <w:lang w:val="es-CO"/>
        </w:rPr>
        <w:t xml:space="preserve">., </w:t>
      </w:r>
      <w:r w:rsidR="00BB312C">
        <w:rPr>
          <w:rFonts w:ascii="Arial" w:hAnsi="Arial" w:cs="Arial"/>
          <w:smallCaps/>
          <w:sz w:val="28"/>
          <w:szCs w:val="28"/>
          <w:lang w:val="es-CO"/>
        </w:rPr>
        <w:t xml:space="preserve">dieciocho </w:t>
      </w:r>
      <w:r w:rsidR="0005223F" w:rsidRPr="00E42F66">
        <w:rPr>
          <w:rFonts w:ascii="Arial" w:hAnsi="Arial" w:cs="Arial"/>
          <w:smallCaps/>
          <w:sz w:val="28"/>
          <w:szCs w:val="28"/>
          <w:lang w:val="es-CO"/>
        </w:rPr>
        <w:t>(</w:t>
      </w:r>
      <w:r w:rsidR="00BB312C">
        <w:rPr>
          <w:rFonts w:ascii="Arial" w:hAnsi="Arial" w:cs="Arial"/>
          <w:smallCaps/>
          <w:sz w:val="28"/>
          <w:szCs w:val="28"/>
          <w:lang w:val="es-CO"/>
        </w:rPr>
        <w:t>18</w:t>
      </w:r>
      <w:r w:rsidR="0005223F" w:rsidRPr="00E42F66">
        <w:rPr>
          <w:rFonts w:ascii="Arial" w:hAnsi="Arial" w:cs="Arial"/>
          <w:smallCaps/>
          <w:sz w:val="28"/>
          <w:szCs w:val="28"/>
          <w:lang w:val="es-CO"/>
        </w:rPr>
        <w:t xml:space="preserve">) de </w:t>
      </w:r>
      <w:r w:rsidR="00916504">
        <w:rPr>
          <w:rFonts w:ascii="Arial" w:hAnsi="Arial" w:cs="Arial"/>
          <w:smallCaps/>
          <w:sz w:val="28"/>
          <w:szCs w:val="28"/>
          <w:lang w:val="es-CO"/>
        </w:rPr>
        <w:t xml:space="preserve">julio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157C3D">
        <w:rPr>
          <w:rFonts w:ascii="Arial" w:hAnsi="Arial" w:cs="Arial"/>
          <w:smallCaps/>
          <w:sz w:val="28"/>
          <w:szCs w:val="28"/>
          <w:lang w:val="es-CO"/>
        </w:rPr>
        <w:t xml:space="preserve">diecisiete </w:t>
      </w:r>
      <w:r w:rsidR="00C42F9E" w:rsidRPr="00E42F66">
        <w:rPr>
          <w:rFonts w:ascii="Arial" w:hAnsi="Arial" w:cs="Arial"/>
          <w:smallCaps/>
          <w:sz w:val="28"/>
          <w:szCs w:val="28"/>
          <w:lang w:val="es-CO"/>
        </w:rPr>
        <w:t>(</w:t>
      </w:r>
      <w:r w:rsidR="00157C3D">
        <w:rPr>
          <w:rFonts w:ascii="Arial" w:hAnsi="Arial" w:cs="Arial"/>
          <w:smallCaps/>
          <w:sz w:val="28"/>
          <w:szCs w:val="28"/>
          <w:lang w:val="es-CO"/>
        </w:rPr>
        <w:t>2017</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EC6535" w:rsidRDefault="00EC6535"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EC6535" w:rsidRDefault="0005223F" w:rsidP="0005223F">
      <w:pPr>
        <w:pStyle w:val="Puesto"/>
        <w:spacing w:line="360" w:lineRule="auto"/>
        <w:jc w:val="left"/>
        <w:rPr>
          <w:b w:val="0"/>
          <w:bCs w:val="0"/>
          <w:i w:val="0"/>
          <w:iCs w:val="0"/>
          <w:spacing w:val="-3"/>
          <w:szCs w:val="22"/>
          <w:lang w:val="es-ES_tradnl"/>
        </w:rPr>
      </w:pPr>
    </w:p>
    <w:p w:rsidR="009662F7" w:rsidRPr="00771AD1" w:rsidRDefault="009662F7" w:rsidP="009662F7">
      <w:pPr>
        <w:pStyle w:val="Puesto"/>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594362" w:rsidRPr="00771AD1" w:rsidRDefault="00594362" w:rsidP="0005223F">
      <w:pPr>
        <w:pStyle w:val="Puesto"/>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 xml:space="preserve">LA SÍNTESIS DE LAS ACTUACIONES </w:t>
      </w:r>
    </w:p>
    <w:p w:rsidR="00B746F1" w:rsidRPr="00AB2DAE" w:rsidRDefault="00B746F1" w:rsidP="005B0851">
      <w:pPr>
        <w:pStyle w:val="Puesto"/>
        <w:spacing w:line="360" w:lineRule="auto"/>
        <w:jc w:val="left"/>
        <w:rPr>
          <w:b w:val="0"/>
          <w:bCs w:val="0"/>
          <w:i w:val="0"/>
          <w:iCs w:val="0"/>
          <w:spacing w:val="-3"/>
          <w:szCs w:val="22"/>
          <w:lang w:val="es-ES_tradnl"/>
        </w:rPr>
      </w:pPr>
    </w:p>
    <w:p w:rsidR="00CD4CC1" w:rsidRDefault="00060EFC" w:rsidP="00CD4CC1">
      <w:pPr>
        <w:pStyle w:val="Textoindependiente"/>
        <w:spacing w:line="360" w:lineRule="auto"/>
        <w:rPr>
          <w:rFonts w:ascii="Arial" w:hAnsi="Arial" w:cs="Arial"/>
          <w:lang w:val="es-CO"/>
        </w:rPr>
      </w:pPr>
      <w:r>
        <w:rPr>
          <w:rFonts w:ascii="Arial" w:hAnsi="Arial" w:cs="Arial"/>
          <w:lang w:val="es-CO"/>
        </w:rPr>
        <w:lastRenderedPageBreak/>
        <w:t xml:space="preserve">Se </w:t>
      </w:r>
      <w:r w:rsidR="00594362" w:rsidRPr="00771AD1">
        <w:rPr>
          <w:rFonts w:ascii="Arial" w:hAnsi="Arial" w:cs="Arial"/>
          <w:lang w:val="es-CO"/>
        </w:rPr>
        <w:t xml:space="preserve">reclamó </w:t>
      </w:r>
      <w:r w:rsidR="00407346">
        <w:rPr>
          <w:rFonts w:ascii="Arial" w:hAnsi="Arial" w:cs="Arial"/>
          <w:lang w:val="es-CO"/>
        </w:rPr>
        <w:t xml:space="preserve">en </w:t>
      </w:r>
      <w:r w:rsidR="00582DBE">
        <w:rPr>
          <w:rFonts w:ascii="Arial" w:hAnsi="Arial" w:cs="Arial"/>
          <w:lang w:val="es-CO"/>
        </w:rPr>
        <w:t xml:space="preserve">el </w:t>
      </w:r>
      <w:r w:rsidR="00916504">
        <w:rPr>
          <w:rFonts w:ascii="Arial" w:hAnsi="Arial" w:cs="Arial"/>
          <w:lang w:val="es-CO"/>
        </w:rPr>
        <w:t xml:space="preserve">25-04-2017 </w:t>
      </w:r>
      <w:r w:rsidR="009662F7">
        <w:rPr>
          <w:rFonts w:ascii="Arial" w:hAnsi="Arial" w:cs="Arial"/>
          <w:lang w:val="es-CO"/>
        </w:rPr>
        <w:t>a</w:t>
      </w:r>
      <w:r w:rsidR="00CF40BD">
        <w:rPr>
          <w:rFonts w:ascii="Arial" w:hAnsi="Arial" w:cs="Arial"/>
          <w:lang w:val="es-CO"/>
        </w:rPr>
        <w:t xml:space="preserve">nte </w:t>
      </w:r>
      <w:r w:rsidR="009C3F6A">
        <w:rPr>
          <w:rFonts w:ascii="Arial" w:hAnsi="Arial" w:cs="Arial"/>
          <w:lang w:val="es-CO"/>
        </w:rPr>
        <w:t>el</w:t>
      </w:r>
      <w:r>
        <w:rPr>
          <w:rFonts w:ascii="Arial" w:hAnsi="Arial" w:cs="Arial"/>
          <w:lang w:val="es-CO"/>
        </w:rPr>
        <w:t xml:space="preserve"> </w:t>
      </w:r>
      <w:r>
        <w:rPr>
          <w:rFonts w:ascii="Arial" w:hAnsi="Arial" w:cs="Arial"/>
          <w:i/>
          <w:lang w:val="es-CO"/>
        </w:rPr>
        <w:t>a quo</w:t>
      </w:r>
      <w:r w:rsidR="00AB1D72">
        <w:rPr>
          <w:rFonts w:ascii="Arial" w:hAnsi="Arial" w:cs="Arial"/>
          <w:lang w:val="es-CO"/>
        </w:rPr>
        <w:t>,</w:t>
      </w:r>
      <w:r w:rsidR="00594362" w:rsidRPr="00771AD1">
        <w:rPr>
          <w:rFonts w:ascii="Arial" w:hAnsi="Arial" w:cs="Arial"/>
          <w:lang w:val="es-CO"/>
        </w:rPr>
        <w:t xml:space="preserve"> iniciar incidente de desacato</w:t>
      </w:r>
      <w:r w:rsidR="00086B35">
        <w:rPr>
          <w:rFonts w:ascii="Arial" w:hAnsi="Arial" w:cs="Arial"/>
          <w:lang w:val="es-CO"/>
        </w:rPr>
        <w:t xml:space="preserve"> </w:t>
      </w:r>
      <w:r w:rsidR="00594362">
        <w:rPr>
          <w:rFonts w:ascii="Arial" w:hAnsi="Arial" w:cs="Arial"/>
        </w:rPr>
        <w:t>(Folio</w:t>
      </w:r>
      <w:r>
        <w:rPr>
          <w:rFonts w:ascii="Arial" w:hAnsi="Arial" w:cs="Arial"/>
        </w:rPr>
        <w:t>s</w:t>
      </w:r>
      <w:r w:rsidR="00143FDC">
        <w:rPr>
          <w:rFonts w:ascii="Arial" w:hAnsi="Arial" w:cs="Arial"/>
        </w:rPr>
        <w:t xml:space="preserve"> </w:t>
      </w:r>
      <w:r w:rsidR="00916504">
        <w:rPr>
          <w:rFonts w:ascii="Arial" w:hAnsi="Arial" w:cs="Arial"/>
        </w:rPr>
        <w:t>10 a 13</w:t>
      </w:r>
      <w:r w:rsidR="00407346">
        <w:rPr>
          <w:rFonts w:ascii="Arial" w:hAnsi="Arial" w:cs="Arial"/>
        </w:rPr>
        <w:t xml:space="preserve">, </w:t>
      </w:r>
      <w:r w:rsidR="00594362">
        <w:rPr>
          <w:rFonts w:ascii="Arial" w:hAnsi="Arial" w:cs="Arial"/>
        </w:rPr>
        <w:t>cua</w:t>
      </w:r>
      <w:r w:rsidR="00C9518C">
        <w:rPr>
          <w:rFonts w:ascii="Arial" w:hAnsi="Arial" w:cs="Arial"/>
        </w:rPr>
        <w:t>derno incidente)</w:t>
      </w:r>
      <w:r w:rsidR="00CD3664">
        <w:rPr>
          <w:rFonts w:ascii="Arial" w:hAnsi="Arial" w:cs="Arial"/>
        </w:rPr>
        <w:t xml:space="preserve">. </w:t>
      </w:r>
      <w:r w:rsidR="00582DBE">
        <w:rPr>
          <w:rFonts w:ascii="Arial" w:hAnsi="Arial" w:cs="Arial"/>
        </w:rPr>
        <w:t>El</w:t>
      </w:r>
      <w:r w:rsidR="00CD3664">
        <w:rPr>
          <w:rFonts w:ascii="Arial" w:hAnsi="Arial" w:cs="Arial"/>
          <w:lang w:val="es-CO"/>
        </w:rPr>
        <w:t xml:space="preserve"> Despacho </w:t>
      </w:r>
      <w:r w:rsidR="00407346">
        <w:rPr>
          <w:rFonts w:ascii="Arial" w:hAnsi="Arial" w:cs="Arial"/>
          <w:lang w:val="es-CO"/>
        </w:rPr>
        <w:t xml:space="preserve">con proveído del </w:t>
      </w:r>
      <w:r w:rsidR="00916504">
        <w:rPr>
          <w:rFonts w:ascii="Arial" w:hAnsi="Arial" w:cs="Arial"/>
          <w:lang w:val="es-CO"/>
        </w:rPr>
        <w:t xml:space="preserve">08-05-2017 comunicó el fallo y el auto que ajustó la orden a la Directora Departamental de la </w:t>
      </w:r>
      <w:proofErr w:type="spellStart"/>
      <w:r w:rsidR="00916504">
        <w:rPr>
          <w:rFonts w:ascii="Arial" w:hAnsi="Arial" w:cs="Arial"/>
          <w:lang w:val="es-CO"/>
        </w:rPr>
        <w:t>EPS</w:t>
      </w:r>
      <w:proofErr w:type="spellEnd"/>
      <w:r w:rsidR="00916504">
        <w:rPr>
          <w:rFonts w:ascii="Arial" w:hAnsi="Arial" w:cs="Arial"/>
          <w:lang w:val="es-CO"/>
        </w:rPr>
        <w:t xml:space="preserve">-S </w:t>
      </w:r>
      <w:proofErr w:type="spellStart"/>
      <w:r w:rsidR="00916504">
        <w:rPr>
          <w:rFonts w:ascii="Arial" w:hAnsi="Arial" w:cs="Arial"/>
          <w:lang w:val="es-CO"/>
        </w:rPr>
        <w:t>Asmet</w:t>
      </w:r>
      <w:proofErr w:type="spellEnd"/>
      <w:r w:rsidR="00916504">
        <w:rPr>
          <w:rFonts w:ascii="Arial" w:hAnsi="Arial" w:cs="Arial"/>
          <w:lang w:val="es-CO"/>
        </w:rPr>
        <w:t xml:space="preserve"> Salud, doctora Gloria Elena Posada Mejía (Folio 14, ibídem), luego con decisión del 18-05-2017 la requirió junto con el </w:t>
      </w:r>
      <w:r w:rsidR="00157C3D">
        <w:rPr>
          <w:rFonts w:ascii="Arial" w:hAnsi="Arial" w:cs="Arial"/>
          <w:lang w:val="es-CO"/>
        </w:rPr>
        <w:t>Gustavo Adolfo Aguilar Vivas</w:t>
      </w:r>
      <w:r w:rsidR="00063F11">
        <w:rPr>
          <w:rFonts w:ascii="Arial" w:hAnsi="Arial" w:cs="Arial"/>
          <w:lang w:val="es-CO"/>
        </w:rPr>
        <w:t xml:space="preserve">, </w:t>
      </w:r>
      <w:r w:rsidR="00916504">
        <w:rPr>
          <w:rFonts w:ascii="Arial" w:hAnsi="Arial" w:cs="Arial"/>
          <w:lang w:val="es-CO"/>
        </w:rPr>
        <w:t xml:space="preserve">Gerente Nacional </w:t>
      </w:r>
      <w:r w:rsidR="00063F11">
        <w:rPr>
          <w:rFonts w:ascii="Arial" w:hAnsi="Arial" w:cs="Arial"/>
          <w:lang w:val="es-CO"/>
        </w:rPr>
        <w:t xml:space="preserve">de </w:t>
      </w:r>
      <w:proofErr w:type="spellStart"/>
      <w:r w:rsidR="00063F11">
        <w:rPr>
          <w:rFonts w:ascii="Arial" w:hAnsi="Arial" w:cs="Arial"/>
          <w:lang w:val="es-CO"/>
        </w:rPr>
        <w:t>Asmet</w:t>
      </w:r>
      <w:proofErr w:type="spellEnd"/>
      <w:r w:rsidR="00916504">
        <w:rPr>
          <w:rFonts w:ascii="Arial" w:hAnsi="Arial" w:cs="Arial"/>
          <w:lang w:val="es-CO"/>
        </w:rPr>
        <w:t xml:space="preserve"> </w:t>
      </w:r>
      <w:r w:rsidR="00063F11">
        <w:rPr>
          <w:rFonts w:ascii="Arial" w:hAnsi="Arial" w:cs="Arial"/>
          <w:lang w:val="es-CO"/>
        </w:rPr>
        <w:t xml:space="preserve">salud </w:t>
      </w:r>
      <w:proofErr w:type="spellStart"/>
      <w:r w:rsidR="00063F11">
        <w:rPr>
          <w:rFonts w:ascii="Arial" w:hAnsi="Arial" w:cs="Arial"/>
          <w:lang w:val="es-CO"/>
        </w:rPr>
        <w:t>EPS</w:t>
      </w:r>
      <w:proofErr w:type="spellEnd"/>
      <w:r w:rsidR="00063F11">
        <w:rPr>
          <w:rFonts w:ascii="Arial" w:hAnsi="Arial" w:cs="Arial"/>
          <w:lang w:val="es-CO"/>
        </w:rPr>
        <w:t>-S</w:t>
      </w:r>
      <w:r w:rsidR="00157C3D">
        <w:rPr>
          <w:rFonts w:ascii="Arial" w:hAnsi="Arial" w:cs="Arial"/>
          <w:lang w:val="es-CO"/>
        </w:rPr>
        <w:t xml:space="preserve"> </w:t>
      </w:r>
      <w:r w:rsidR="007E1207">
        <w:rPr>
          <w:rFonts w:ascii="Arial" w:hAnsi="Arial" w:cs="Arial"/>
        </w:rPr>
        <w:t>(Folio</w:t>
      </w:r>
      <w:r w:rsidR="00822776">
        <w:rPr>
          <w:rFonts w:ascii="Arial" w:hAnsi="Arial" w:cs="Arial"/>
        </w:rPr>
        <w:t>s</w:t>
      </w:r>
      <w:r w:rsidR="007E1207">
        <w:rPr>
          <w:rFonts w:ascii="Arial" w:hAnsi="Arial" w:cs="Arial"/>
        </w:rPr>
        <w:t xml:space="preserve"> </w:t>
      </w:r>
      <w:r w:rsidR="00916504">
        <w:rPr>
          <w:rFonts w:ascii="Arial" w:hAnsi="Arial" w:cs="Arial"/>
        </w:rPr>
        <w:t>17</w:t>
      </w:r>
      <w:r w:rsidR="0000302C">
        <w:rPr>
          <w:rFonts w:ascii="Arial" w:hAnsi="Arial" w:cs="Arial"/>
        </w:rPr>
        <w:t xml:space="preserve">, </w:t>
      </w:r>
      <w:r w:rsidR="00916504">
        <w:rPr>
          <w:rFonts w:ascii="Arial" w:hAnsi="Arial" w:cs="Arial"/>
        </w:rPr>
        <w:t>ib.</w:t>
      </w:r>
      <w:r w:rsidR="0000302C">
        <w:rPr>
          <w:rFonts w:ascii="Arial" w:hAnsi="Arial" w:cs="Arial"/>
        </w:rPr>
        <w:t>);</w:t>
      </w:r>
      <w:r w:rsidR="00873E03">
        <w:rPr>
          <w:rFonts w:ascii="Arial" w:hAnsi="Arial" w:cs="Arial"/>
          <w:lang w:val="es-CO"/>
        </w:rPr>
        <w:t xml:space="preserve"> </w:t>
      </w:r>
      <w:r w:rsidR="00916504">
        <w:rPr>
          <w:rFonts w:ascii="Arial" w:hAnsi="Arial" w:cs="Arial"/>
          <w:lang w:val="es-CO"/>
        </w:rPr>
        <w:t xml:space="preserve">seguidamente, con auto del 26-05-2017 dio apertura del incidente en contra de ambos funcionarios (Folios 21 y 22, ib.), </w:t>
      </w:r>
      <w:r w:rsidR="00063F11">
        <w:rPr>
          <w:rFonts w:ascii="Arial" w:hAnsi="Arial" w:cs="Arial"/>
          <w:lang w:val="es-CO"/>
        </w:rPr>
        <w:t>y</w:t>
      </w:r>
      <w:r w:rsidR="00916504">
        <w:rPr>
          <w:rFonts w:ascii="Arial" w:hAnsi="Arial" w:cs="Arial"/>
          <w:lang w:val="es-CO"/>
        </w:rPr>
        <w:t>,</w:t>
      </w:r>
      <w:r w:rsidR="00063F11">
        <w:rPr>
          <w:rFonts w:ascii="Arial" w:hAnsi="Arial" w:cs="Arial"/>
          <w:lang w:val="es-CO"/>
        </w:rPr>
        <w:t xml:space="preserve"> </w:t>
      </w:r>
      <w:r w:rsidR="00873E03">
        <w:rPr>
          <w:rFonts w:ascii="Arial" w:hAnsi="Arial" w:cs="Arial"/>
          <w:lang w:val="es-CO"/>
        </w:rPr>
        <w:t>f</w:t>
      </w:r>
      <w:r w:rsidR="007E1207">
        <w:rPr>
          <w:rFonts w:ascii="Arial" w:hAnsi="Arial" w:cs="Arial"/>
          <w:lang w:val="es-CO"/>
        </w:rPr>
        <w:t>inalmente</w:t>
      </w:r>
      <w:r w:rsidR="00582DBE">
        <w:rPr>
          <w:rFonts w:ascii="Arial" w:hAnsi="Arial" w:cs="Arial"/>
          <w:lang w:val="es-CO"/>
        </w:rPr>
        <w:t xml:space="preserve">, con </w:t>
      </w:r>
      <w:r w:rsidR="00916504">
        <w:rPr>
          <w:rFonts w:ascii="Arial" w:hAnsi="Arial" w:cs="Arial"/>
          <w:lang w:val="es-CO"/>
        </w:rPr>
        <w:t xml:space="preserve">providencia </w:t>
      </w:r>
      <w:r w:rsidR="00582DBE">
        <w:rPr>
          <w:rFonts w:ascii="Arial" w:hAnsi="Arial" w:cs="Arial"/>
          <w:lang w:val="es-CO"/>
        </w:rPr>
        <w:t xml:space="preserve">del </w:t>
      </w:r>
      <w:r w:rsidR="00916504">
        <w:rPr>
          <w:rFonts w:ascii="Arial" w:hAnsi="Arial" w:cs="Arial"/>
          <w:lang w:val="es-CO"/>
        </w:rPr>
        <w:t xml:space="preserve">07-06-2017 </w:t>
      </w:r>
      <w:r w:rsidR="00063F11">
        <w:rPr>
          <w:rFonts w:ascii="Arial" w:hAnsi="Arial" w:cs="Arial"/>
          <w:lang w:val="es-CO"/>
        </w:rPr>
        <w:t>lo</w:t>
      </w:r>
      <w:r w:rsidR="00916504">
        <w:rPr>
          <w:rFonts w:ascii="Arial" w:hAnsi="Arial" w:cs="Arial"/>
          <w:lang w:val="es-CO"/>
        </w:rPr>
        <w:t>s</w:t>
      </w:r>
      <w:r w:rsidR="00063F11">
        <w:rPr>
          <w:rFonts w:ascii="Arial" w:hAnsi="Arial" w:cs="Arial"/>
          <w:lang w:val="es-CO"/>
        </w:rPr>
        <w:t xml:space="preserve"> </w:t>
      </w:r>
      <w:r w:rsidR="00EF51A6">
        <w:rPr>
          <w:rFonts w:ascii="Arial" w:hAnsi="Arial" w:cs="Arial"/>
          <w:lang w:val="es-CO"/>
        </w:rPr>
        <w:t xml:space="preserve">sancionó </w:t>
      </w:r>
      <w:r w:rsidR="00EF51A6" w:rsidRPr="00771AD1">
        <w:rPr>
          <w:rFonts w:ascii="Arial" w:hAnsi="Arial" w:cs="Arial"/>
          <w:lang w:val="es-CO"/>
        </w:rPr>
        <w:t>con multa y arresto</w:t>
      </w:r>
      <w:r w:rsidR="00EF51A6">
        <w:rPr>
          <w:rFonts w:ascii="Arial" w:hAnsi="Arial" w:cs="Arial"/>
          <w:lang w:val="es-CO"/>
        </w:rPr>
        <w:t xml:space="preserve"> </w:t>
      </w:r>
      <w:r w:rsidR="00CD4CC1" w:rsidRPr="00771AD1">
        <w:rPr>
          <w:rFonts w:ascii="Arial" w:hAnsi="Arial" w:cs="Arial"/>
          <w:lang w:val="es-CO"/>
        </w:rPr>
        <w:t>(Folio</w:t>
      </w:r>
      <w:r w:rsidR="00CD4CC1">
        <w:rPr>
          <w:rFonts w:ascii="Arial" w:hAnsi="Arial" w:cs="Arial"/>
          <w:lang w:val="es-CO"/>
        </w:rPr>
        <w:t xml:space="preserve">s </w:t>
      </w:r>
      <w:r w:rsidR="00916504">
        <w:rPr>
          <w:rFonts w:ascii="Arial" w:hAnsi="Arial" w:cs="Arial"/>
          <w:lang w:val="es-CO"/>
        </w:rPr>
        <w:t>26 a 29</w:t>
      </w:r>
      <w:r w:rsidR="00B83533">
        <w:rPr>
          <w:rFonts w:ascii="Arial" w:hAnsi="Arial" w:cs="Arial"/>
          <w:lang w:val="es-CO"/>
        </w:rPr>
        <w:t>,</w:t>
      </w:r>
      <w:r w:rsidR="00CD4CC1" w:rsidRPr="00771AD1">
        <w:rPr>
          <w:rFonts w:ascii="Arial" w:hAnsi="Arial" w:cs="Arial"/>
          <w:lang w:val="es-CO"/>
        </w:rPr>
        <w:t xml:space="preserve"> </w:t>
      </w:r>
      <w:r w:rsidR="00916504">
        <w:rPr>
          <w:rFonts w:ascii="Arial" w:hAnsi="Arial" w:cs="Arial"/>
        </w:rPr>
        <w:t>ib.).</w:t>
      </w:r>
    </w:p>
    <w:p w:rsidR="00D27D53" w:rsidRDefault="00D27D53" w:rsidP="00CD4CC1">
      <w:pPr>
        <w:pStyle w:val="Textoindependiente"/>
        <w:spacing w:line="360" w:lineRule="auto"/>
        <w:rPr>
          <w:rFonts w:ascii="Arial" w:hAnsi="Arial" w:cs="Arial"/>
          <w:lang w:val="es-CO"/>
        </w:rPr>
      </w:pPr>
    </w:p>
    <w:p w:rsidR="00E574A7" w:rsidRPr="00771AD1"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E574A7" w:rsidRPr="00A8135B" w:rsidRDefault="00E574A7" w:rsidP="005B0851">
      <w:pPr>
        <w:pStyle w:val="Puesto"/>
        <w:spacing w:line="360" w:lineRule="auto"/>
        <w:jc w:val="left"/>
        <w:rPr>
          <w:b w:val="0"/>
          <w:bCs w:val="0"/>
          <w:i w:val="0"/>
          <w:iCs w:val="0"/>
          <w:spacing w:val="-3"/>
          <w:lang w:val="es-ES_tradnl"/>
        </w:rPr>
      </w:pPr>
    </w:p>
    <w:p w:rsidR="005B1F83" w:rsidRDefault="003274BF" w:rsidP="008D6398">
      <w:pPr>
        <w:pStyle w:val="Textoindependiente"/>
        <w:numPr>
          <w:ilvl w:val="1"/>
          <w:numId w:val="1"/>
        </w:numPr>
        <w:spacing w:line="360" w:lineRule="auto"/>
        <w:ind w:left="709" w:hanging="709"/>
        <w:rPr>
          <w:rFonts w:ascii="Arial" w:hAnsi="Arial" w:cs="Arial"/>
          <w:lang w:val="es-MX"/>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r w:rsidR="008D6398" w:rsidRPr="00AF7FED">
        <w:rPr>
          <w:rFonts w:ascii="Arial" w:hAnsi="Arial" w:cs="Arial"/>
          <w:smallCaps/>
          <w:lang w:val="es-CO"/>
        </w:rPr>
        <w:t>.</w:t>
      </w:r>
      <w:r w:rsidR="008D6398">
        <w:rPr>
          <w:rFonts w:ascii="Arial" w:hAnsi="Arial" w:cs="Arial"/>
          <w:smallCaps/>
          <w:lang w:val="es-CO"/>
        </w:rPr>
        <w:t xml:space="preserve"> </w:t>
      </w:r>
      <w:r w:rsidR="008D6398" w:rsidRPr="00AF7FED">
        <w:rPr>
          <w:rFonts w:ascii="Arial" w:hAnsi="Arial" w:cs="Arial"/>
          <w:lang w:val="es-MX"/>
        </w:rPr>
        <w:t xml:space="preserve">Esta Sala especializada está facultada para revisar la decisión sancionatoria, al tener la condición de superiora jerárquica </w:t>
      </w:r>
      <w:r w:rsidR="008D6398">
        <w:rPr>
          <w:rFonts w:ascii="Arial" w:hAnsi="Arial" w:cs="Arial"/>
          <w:lang w:val="es-MX"/>
        </w:rPr>
        <w:t xml:space="preserve">del Juzgado Único Promiscuo del Circuito de </w:t>
      </w:r>
      <w:proofErr w:type="spellStart"/>
      <w:r w:rsidR="008D6398">
        <w:rPr>
          <w:rFonts w:ascii="Arial" w:hAnsi="Arial" w:cs="Arial"/>
          <w:lang w:val="es-MX"/>
        </w:rPr>
        <w:t>Quinchía</w:t>
      </w:r>
      <w:proofErr w:type="spellEnd"/>
      <w:r w:rsidR="008D6398">
        <w:rPr>
          <w:rFonts w:ascii="Arial" w:hAnsi="Arial" w:cs="Arial"/>
          <w:lang w:val="es-MX"/>
        </w:rPr>
        <w:t>, R. L</w:t>
      </w:r>
      <w:r w:rsidR="008D6398" w:rsidRPr="00AF7FED">
        <w:rPr>
          <w:rFonts w:ascii="Arial" w:hAnsi="Arial" w:cs="Arial"/>
          <w:lang w:val="es-MX"/>
        </w:rPr>
        <w:t>a consulta se realizará en Sala Unitaria de la Corporación</w:t>
      </w:r>
      <w:r w:rsidR="008D6398">
        <w:rPr>
          <w:rFonts w:ascii="Arial" w:hAnsi="Arial" w:cs="Arial"/>
          <w:lang w:val="es-MX"/>
        </w:rPr>
        <w:t>,</w:t>
      </w:r>
      <w:r w:rsidR="008D6398" w:rsidRPr="00AF7FED">
        <w:rPr>
          <w:rFonts w:ascii="Arial" w:hAnsi="Arial" w:cs="Arial"/>
          <w:lang w:val="es-MX"/>
        </w:rPr>
        <w:t xml:space="preserve"> puesto que </w:t>
      </w:r>
      <w:r w:rsidR="008D6398">
        <w:rPr>
          <w:rFonts w:ascii="Arial" w:hAnsi="Arial" w:cs="Arial"/>
          <w:lang w:val="es-MX"/>
        </w:rPr>
        <w:t xml:space="preserve">no se trata de una </w:t>
      </w:r>
      <w:r w:rsidR="008D6398" w:rsidRPr="00AF7FED">
        <w:rPr>
          <w:rFonts w:ascii="Arial" w:hAnsi="Arial" w:cs="Arial"/>
          <w:lang w:val="es-MX"/>
        </w:rPr>
        <w:t xml:space="preserve">providencia </w:t>
      </w:r>
      <w:r w:rsidR="008D6398">
        <w:rPr>
          <w:rFonts w:ascii="Arial" w:hAnsi="Arial" w:cs="Arial"/>
          <w:lang w:val="es-MX"/>
        </w:rPr>
        <w:t xml:space="preserve">que deba </w:t>
      </w:r>
      <w:r w:rsidR="008D6398" w:rsidRPr="00AF7FED">
        <w:rPr>
          <w:rFonts w:ascii="Arial" w:hAnsi="Arial" w:cs="Arial"/>
          <w:lang w:val="es-MX"/>
        </w:rPr>
        <w:t>desatarse en Sala de Decisión</w:t>
      </w:r>
      <w:r w:rsidR="008D6398">
        <w:rPr>
          <w:rFonts w:ascii="Arial" w:hAnsi="Arial" w:cs="Arial"/>
          <w:lang w:val="es-MX"/>
        </w:rPr>
        <w:t xml:space="preserve"> (I</w:t>
      </w:r>
      <w:r w:rsidR="008D6398" w:rsidRPr="00AF7FED">
        <w:rPr>
          <w:rFonts w:ascii="Arial" w:hAnsi="Arial" w:cs="Arial"/>
          <w:lang w:val="es-MX"/>
        </w:rPr>
        <w:t>nciso 1º del artículo 35 del CGP</w:t>
      </w:r>
      <w:r w:rsidR="008D6398">
        <w:rPr>
          <w:rFonts w:ascii="Arial" w:hAnsi="Arial" w:cs="Arial"/>
          <w:lang w:val="es-MX"/>
        </w:rPr>
        <w:t>)</w:t>
      </w:r>
      <w:r w:rsidR="008D6398" w:rsidRPr="00AF7FED">
        <w:rPr>
          <w:rFonts w:ascii="Arial" w:hAnsi="Arial" w:cs="Arial"/>
          <w:lang w:val="es-MX"/>
        </w:rPr>
        <w:t xml:space="preserve">. </w:t>
      </w:r>
      <w:r w:rsidR="008D6398">
        <w:rPr>
          <w:rFonts w:ascii="Arial" w:hAnsi="Arial" w:cs="Arial"/>
          <w:lang w:val="es-MX"/>
        </w:rPr>
        <w:t>Criterio adoptado desde el 16-08-2016</w:t>
      </w:r>
      <w:r w:rsidR="008D6398">
        <w:rPr>
          <w:rStyle w:val="Refdenotaalpie"/>
          <w:rFonts w:ascii="Arial" w:hAnsi="Arial"/>
          <w:lang w:val="es-MX"/>
        </w:rPr>
        <w:footnoteReference w:id="1"/>
      </w:r>
      <w:r w:rsidR="008D6398">
        <w:rPr>
          <w:rFonts w:ascii="Arial" w:hAnsi="Arial" w:cs="Arial"/>
          <w:lang w:val="es-MX"/>
        </w:rPr>
        <w:t>.</w:t>
      </w:r>
    </w:p>
    <w:p w:rsidR="005B1F83" w:rsidRPr="005C0F90" w:rsidRDefault="005B1F83" w:rsidP="005B1F83">
      <w:pPr>
        <w:spacing w:line="360" w:lineRule="auto"/>
        <w:jc w:val="both"/>
        <w:rPr>
          <w:rFonts w:ascii="Arial" w:hAnsi="Arial" w:cs="Arial"/>
          <w:smallCaps/>
          <w:lang w:val="es-CO"/>
        </w:rPr>
      </w:pPr>
      <w:r>
        <w:rPr>
          <w:rFonts w:ascii="Arial" w:hAnsi="Arial" w:cs="Arial"/>
          <w:sz w:val="24"/>
          <w:szCs w:val="24"/>
          <w:lang w:val="es-MX"/>
        </w:rPr>
        <w:t xml:space="preserve"> </w:t>
      </w:r>
    </w:p>
    <w:p w:rsidR="00E574A7" w:rsidRPr="005B1F83" w:rsidRDefault="00E574A7" w:rsidP="005B1F83">
      <w:pPr>
        <w:pStyle w:val="Prrafodelista"/>
        <w:numPr>
          <w:ilvl w:val="1"/>
          <w:numId w:val="1"/>
        </w:numPr>
        <w:spacing w:line="360" w:lineRule="auto"/>
        <w:jc w:val="both"/>
        <w:rPr>
          <w:rFonts w:ascii="Arial" w:hAnsi="Arial" w:cs="Arial"/>
          <w:smallCaps/>
          <w:sz w:val="24"/>
          <w:szCs w:val="24"/>
          <w:lang w:val="es-CO"/>
        </w:rPr>
      </w:pPr>
      <w:r w:rsidRPr="005B1F83">
        <w:rPr>
          <w:rFonts w:ascii="Arial" w:hAnsi="Arial" w:cs="Arial"/>
          <w:smallCaps/>
          <w:sz w:val="24"/>
          <w:szCs w:val="24"/>
          <w:lang w:val="es-CO"/>
        </w:rPr>
        <w:t>El problema jurídico para resolver</w:t>
      </w:r>
    </w:p>
    <w:p w:rsidR="00E574A7" w:rsidRPr="00A8135B" w:rsidRDefault="00E574A7" w:rsidP="005B0851">
      <w:pPr>
        <w:pStyle w:val="Puesto"/>
        <w:spacing w:line="360" w:lineRule="auto"/>
        <w:jc w:val="left"/>
        <w:rPr>
          <w:b w:val="0"/>
          <w:bCs w:val="0"/>
          <w:i w:val="0"/>
          <w:iCs w:val="0"/>
          <w:spacing w:val="-3"/>
          <w:lang w:val="es-ES_tradnl"/>
        </w:rPr>
      </w:pPr>
    </w:p>
    <w:p w:rsidR="00CD4CC1" w:rsidRPr="00771AD1" w:rsidRDefault="00CD4CC1" w:rsidP="00CD4CC1">
      <w:pPr>
        <w:pStyle w:val="Textoindependiente"/>
        <w:spacing w:line="360" w:lineRule="auto"/>
        <w:rPr>
          <w:rFonts w:ascii="Arial" w:hAnsi="Arial" w:cs="Arial"/>
          <w:lang w:val="es-CO"/>
        </w:rPr>
      </w:pPr>
      <w:r w:rsidRPr="00B53D5F">
        <w:rPr>
          <w:rFonts w:ascii="Arial" w:hAnsi="Arial" w:cs="Arial"/>
        </w:rPr>
        <w:t xml:space="preserve">¿Debe confirmarse, modificarse o revocarse la providencia </w:t>
      </w:r>
      <w:r w:rsidR="008D6398">
        <w:rPr>
          <w:rFonts w:ascii="Arial" w:hAnsi="Arial" w:cs="Arial"/>
        </w:rPr>
        <w:t xml:space="preserve">07-06-2017 </w:t>
      </w:r>
      <w:r w:rsidRPr="00B53D5F">
        <w:rPr>
          <w:rFonts w:ascii="Arial" w:hAnsi="Arial" w:cs="Arial"/>
        </w:rPr>
        <w:t>mediante la cual se impuso</w:t>
      </w:r>
      <w:r w:rsidR="0000302C">
        <w:rPr>
          <w:rFonts w:ascii="Arial" w:hAnsi="Arial" w:cs="Arial"/>
        </w:rPr>
        <w:t xml:space="preserve"> sanción de arresto y multa </w:t>
      </w:r>
      <w:r w:rsidR="008D6398">
        <w:rPr>
          <w:rFonts w:ascii="Arial" w:hAnsi="Arial" w:cs="Arial"/>
        </w:rPr>
        <w:t xml:space="preserve">a los doctores Gloria Elena Posada Mejía y </w:t>
      </w:r>
      <w:r w:rsidR="00063F11">
        <w:rPr>
          <w:rFonts w:ascii="Arial" w:hAnsi="Arial" w:cs="Arial"/>
          <w:lang w:val="es-CO"/>
        </w:rPr>
        <w:t xml:space="preserve">Gustavo Adolfo Aguilar Vivas, </w:t>
      </w:r>
      <w:r w:rsidRPr="00B53D5F">
        <w:rPr>
          <w:rFonts w:ascii="Arial" w:hAnsi="Arial" w:cs="Arial"/>
          <w:lang w:val="es-CO"/>
        </w:rPr>
        <w:t xml:space="preserve">en </w:t>
      </w:r>
      <w:r w:rsidR="008D6398">
        <w:rPr>
          <w:rFonts w:ascii="Arial" w:hAnsi="Arial" w:cs="Arial"/>
          <w:lang w:val="es-CO"/>
        </w:rPr>
        <w:t xml:space="preserve">sus calidades de Directora Departamental y Gerente Nacional </w:t>
      </w:r>
      <w:r w:rsidR="00063F11">
        <w:rPr>
          <w:rFonts w:ascii="Arial" w:hAnsi="Arial" w:cs="Arial"/>
          <w:lang w:val="es-CO"/>
        </w:rPr>
        <w:t xml:space="preserve">de </w:t>
      </w:r>
      <w:r w:rsidR="008D6398">
        <w:rPr>
          <w:rFonts w:ascii="Arial" w:hAnsi="Arial" w:cs="Arial"/>
          <w:lang w:val="es-CO"/>
        </w:rPr>
        <w:t xml:space="preserve">la </w:t>
      </w:r>
      <w:proofErr w:type="spellStart"/>
      <w:r w:rsidR="008D6398">
        <w:rPr>
          <w:rFonts w:ascii="Arial" w:hAnsi="Arial" w:cs="Arial"/>
          <w:lang w:val="es-CO"/>
        </w:rPr>
        <w:t>EPS</w:t>
      </w:r>
      <w:proofErr w:type="spellEnd"/>
      <w:r w:rsidR="008D6398">
        <w:rPr>
          <w:rFonts w:ascii="Arial" w:hAnsi="Arial" w:cs="Arial"/>
          <w:lang w:val="es-CO"/>
        </w:rPr>
        <w:t xml:space="preserve">-S </w:t>
      </w:r>
      <w:proofErr w:type="spellStart"/>
      <w:r w:rsidR="00063F11">
        <w:rPr>
          <w:rFonts w:ascii="Arial" w:hAnsi="Arial" w:cs="Arial"/>
          <w:lang w:val="es-CO"/>
        </w:rPr>
        <w:t>Asmet</w:t>
      </w:r>
      <w:proofErr w:type="spellEnd"/>
      <w:r w:rsidR="008D6398">
        <w:rPr>
          <w:rFonts w:ascii="Arial" w:hAnsi="Arial" w:cs="Arial"/>
          <w:lang w:val="es-CO"/>
        </w:rPr>
        <w:t xml:space="preserve"> S</w:t>
      </w:r>
      <w:r w:rsidR="00063F11">
        <w:rPr>
          <w:rFonts w:ascii="Arial" w:hAnsi="Arial" w:cs="Arial"/>
          <w:lang w:val="es-CO"/>
        </w:rPr>
        <w:t>alud</w:t>
      </w:r>
      <w:r w:rsidR="0000302C">
        <w:rPr>
          <w:rFonts w:ascii="Arial" w:hAnsi="Arial" w:cs="Arial"/>
          <w:lang w:val="es-CO"/>
        </w:rPr>
        <w:t xml:space="preserve">, </w:t>
      </w:r>
      <w:r w:rsidRPr="00B53D5F">
        <w:rPr>
          <w:rFonts w:ascii="Arial" w:hAnsi="Arial" w:cs="Arial"/>
          <w:lang w:val="es-CO"/>
        </w:rPr>
        <w:t>con ocasión d</w:t>
      </w:r>
      <w:r w:rsidRPr="00B53D5F">
        <w:rPr>
          <w:rFonts w:ascii="Arial" w:hAnsi="Arial" w:cs="Arial"/>
        </w:rPr>
        <w:t xml:space="preserve">el trámite de desacato adelantado ante el Juzgado </w:t>
      </w:r>
      <w:r w:rsidR="00B53D5F">
        <w:rPr>
          <w:rFonts w:ascii="Arial" w:hAnsi="Arial" w:cs="Arial"/>
        </w:rPr>
        <w:t>de conocimiento</w:t>
      </w:r>
      <w:r w:rsidRPr="00B53D5F">
        <w:rPr>
          <w:rFonts w:ascii="Arial" w:hAnsi="Arial" w:cs="Arial"/>
        </w:rPr>
        <w:t>?</w:t>
      </w:r>
    </w:p>
    <w:p w:rsidR="006A1FE4" w:rsidRPr="00F15FB6" w:rsidRDefault="006A1FE4" w:rsidP="00B746F1">
      <w:pPr>
        <w:spacing w:line="360" w:lineRule="auto"/>
        <w:jc w:val="both"/>
        <w:rPr>
          <w:rFonts w:ascii="Arial" w:hAnsi="Arial" w:cs="Arial"/>
          <w:sz w:val="24"/>
          <w:szCs w:val="24"/>
          <w:lang w:val="es-CO"/>
        </w:rPr>
      </w:pPr>
    </w:p>
    <w:p w:rsidR="002864B4" w:rsidRPr="00B3550C" w:rsidRDefault="002864B4" w:rsidP="002864B4">
      <w:pPr>
        <w:pStyle w:val="Textoindependien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2864B4" w:rsidRPr="00A431E6" w:rsidRDefault="002864B4" w:rsidP="002864B4">
      <w:pPr>
        <w:pStyle w:val="Puesto"/>
        <w:spacing w:line="360" w:lineRule="auto"/>
        <w:jc w:val="left"/>
        <w:rPr>
          <w:b w:val="0"/>
          <w:bCs w:val="0"/>
          <w:i w:val="0"/>
          <w:iCs w:val="0"/>
          <w:spacing w:val="-3"/>
          <w:szCs w:val="22"/>
          <w:lang w:val="es-ES_tradnl"/>
        </w:rPr>
      </w:pPr>
    </w:p>
    <w:p w:rsidR="00407346" w:rsidRPr="00B3550C" w:rsidRDefault="00407346" w:rsidP="00407346">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407346" w:rsidRPr="00C76709" w:rsidRDefault="00407346" w:rsidP="00407346">
      <w:pPr>
        <w:pStyle w:val="Puesto"/>
        <w:spacing w:line="360" w:lineRule="auto"/>
        <w:jc w:val="left"/>
        <w:rPr>
          <w:b w:val="0"/>
          <w:bCs w:val="0"/>
          <w:i w:val="0"/>
          <w:iCs w:val="0"/>
          <w:spacing w:val="-3"/>
          <w:lang w:val="es-ES_tradnl"/>
        </w:rPr>
      </w:pPr>
    </w:p>
    <w:p w:rsidR="005B3546" w:rsidRPr="00B3550C" w:rsidRDefault="005B3546" w:rsidP="005B3546">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Refdenotaalpie"/>
          <w:rFonts w:ascii="Arial" w:hAnsi="Arial" w:cs="Arial"/>
          <w:sz w:val="24"/>
          <w:szCs w:val="24"/>
          <w:lang w:val="es-CO"/>
        </w:rPr>
        <w:footnoteReference w:id="2"/>
      </w:r>
      <w:r w:rsidRPr="00B3550C">
        <w:rPr>
          <w:rFonts w:ascii="Arial" w:hAnsi="Arial" w:cs="Arial"/>
          <w:sz w:val="24"/>
          <w:szCs w:val="24"/>
          <w:lang w:val="es-CO"/>
        </w:rPr>
        <w:t>, son</w:t>
      </w:r>
      <w:r w:rsidRPr="00B3550C">
        <w:rPr>
          <w:rFonts w:ascii="Arial" w:hAnsi="Arial" w:cs="Arial"/>
          <w:sz w:val="22"/>
          <w:szCs w:val="22"/>
          <w:lang w:val="es-CO"/>
        </w:rPr>
        <w:t>:</w:t>
      </w:r>
    </w:p>
    <w:p w:rsidR="005B3546" w:rsidRPr="00FA64FB" w:rsidRDefault="005B3546" w:rsidP="005B3546">
      <w:pPr>
        <w:spacing w:line="360" w:lineRule="auto"/>
        <w:ind w:left="567"/>
        <w:jc w:val="both"/>
        <w:rPr>
          <w:rFonts w:ascii="Arial" w:hAnsi="Arial" w:cs="Arial"/>
          <w:sz w:val="22"/>
          <w:szCs w:val="22"/>
          <w:lang w:val="es-CO"/>
        </w:rPr>
      </w:pPr>
    </w:p>
    <w:p w:rsidR="005B3546" w:rsidRPr="00B3550C" w:rsidRDefault="005B3546" w:rsidP="005B3546">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3"/>
      </w:r>
      <w:r w:rsidRPr="00B3550C">
        <w:rPr>
          <w:rFonts w:ascii="Arial" w:hAnsi="Arial" w:cs="Arial"/>
          <w:sz w:val="24"/>
          <w:szCs w:val="24"/>
          <w:lang w:val="es-CO"/>
        </w:rPr>
        <w:t xml:space="preserve">. De existir el incumplimiento “debe identificar las razones por las cuales se produjo con el fin de establecer las medidas necesarias para </w:t>
      </w:r>
      <w:r w:rsidRPr="00B3550C">
        <w:rPr>
          <w:rFonts w:ascii="Arial" w:hAnsi="Arial" w:cs="Arial"/>
          <w:sz w:val="24"/>
          <w:szCs w:val="24"/>
          <w:lang w:val="es-CO"/>
        </w:rPr>
        <w:lastRenderedPageBreak/>
        <w:t>proteger efectivamente el derecho y si existió o no responsabilidad subjetiva de la persona obligada”</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w:t>
      </w:r>
    </w:p>
    <w:p w:rsidR="005B3546" w:rsidRPr="00FA64FB" w:rsidRDefault="005B3546" w:rsidP="005B3546">
      <w:pPr>
        <w:tabs>
          <w:tab w:val="left" w:pos="-720"/>
        </w:tabs>
        <w:suppressAutoHyphens/>
        <w:spacing w:line="360" w:lineRule="auto"/>
        <w:jc w:val="both"/>
        <w:rPr>
          <w:rFonts w:ascii="Arial" w:hAnsi="Arial" w:cs="Arial"/>
          <w:sz w:val="28"/>
          <w:szCs w:val="24"/>
          <w:lang w:val="es-CO"/>
        </w:rPr>
      </w:pPr>
    </w:p>
    <w:p w:rsidR="005B3546" w:rsidRDefault="005B3546" w:rsidP="005B3546">
      <w:pPr>
        <w:tabs>
          <w:tab w:val="left" w:pos="-720"/>
        </w:tabs>
        <w:suppressAutoHyphens/>
        <w:spacing w:line="360" w:lineRule="auto"/>
        <w:jc w:val="both"/>
        <w:rPr>
          <w:rFonts w:ascii="Arial" w:hAnsi="Arial" w:cs="Arial"/>
          <w:i/>
          <w:iCs/>
          <w:sz w:val="22"/>
          <w:szCs w:val="22"/>
          <w:lang w:val="es-CO" w:eastAsia="en-US"/>
        </w:rPr>
      </w:pPr>
      <w:r w:rsidRPr="00B3550C">
        <w:rPr>
          <w:rFonts w:ascii="Arial" w:hAnsi="Arial" w:cs="Arial"/>
          <w:sz w:val="24"/>
          <w:szCs w:val="24"/>
          <w:lang w:val="es-CO"/>
        </w:rPr>
        <w:t>Expone la profesora Catalina Botero M</w:t>
      </w:r>
      <w:r>
        <w:rPr>
          <w:rFonts w:ascii="Arial" w:hAnsi="Arial" w:cs="Arial"/>
          <w:sz w:val="24"/>
          <w:szCs w:val="24"/>
          <w:lang w:val="es-CO"/>
        </w:rPr>
        <w:t>.</w:t>
      </w:r>
      <w:r w:rsidRPr="00B3550C">
        <w:rPr>
          <w:rStyle w:val="Refdenotaalpie"/>
          <w:rFonts w:ascii="Arial" w:hAnsi="Arial" w:cs="Arial"/>
          <w:sz w:val="24"/>
          <w:szCs w:val="24"/>
          <w:lang w:val="es-CO"/>
        </w:rPr>
        <w:footnoteReference w:id="5"/>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w:t>
      </w:r>
    </w:p>
    <w:p w:rsidR="005B3546" w:rsidRDefault="005B3546" w:rsidP="005B3546">
      <w:pPr>
        <w:tabs>
          <w:tab w:val="left" w:pos="-720"/>
        </w:tabs>
        <w:suppressAutoHyphens/>
        <w:spacing w:line="360" w:lineRule="auto"/>
        <w:jc w:val="both"/>
        <w:rPr>
          <w:rFonts w:ascii="Arial" w:hAnsi="Arial" w:cs="Arial"/>
          <w:sz w:val="24"/>
          <w:szCs w:val="24"/>
          <w:lang w:val="es-CO" w:eastAsia="en-US"/>
        </w:rPr>
      </w:pPr>
      <w:proofErr w:type="gramStart"/>
      <w:r w:rsidRPr="00B3550C">
        <w:rPr>
          <w:rFonts w:ascii="Arial" w:hAnsi="Arial" w:cs="Arial"/>
          <w:i/>
          <w:iCs/>
          <w:sz w:val="22"/>
          <w:szCs w:val="22"/>
          <w:lang w:val="es-CO" w:eastAsia="en-US"/>
        </w:rPr>
        <w:t>comprobarse</w:t>
      </w:r>
      <w:proofErr w:type="gramEnd"/>
      <w:r w:rsidRPr="00B3550C">
        <w:rPr>
          <w:rFonts w:ascii="Arial" w:hAnsi="Arial" w:cs="Arial"/>
          <w:i/>
          <w:iCs/>
          <w:sz w:val="22"/>
          <w:szCs w:val="22"/>
          <w:lang w:val="es-CO" w:eastAsia="en-US"/>
        </w:rPr>
        <w:t xml:space="preserv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w:t>
      </w:r>
      <w:r>
        <w:rPr>
          <w:rFonts w:ascii="Arial" w:hAnsi="Arial" w:cs="Arial"/>
          <w:i/>
          <w:iCs/>
          <w:sz w:val="22"/>
          <w:szCs w:val="22"/>
          <w:lang w:val="es-CO" w:eastAsia="en-US"/>
        </w:rPr>
        <w:t xml:space="preserve"> </w:t>
      </w:r>
      <w:r w:rsidRPr="00B3550C">
        <w:rPr>
          <w:rFonts w:ascii="Arial" w:hAnsi="Arial" w:cs="Arial"/>
          <w:i/>
          <w:iCs/>
          <w:sz w:val="22"/>
          <w:szCs w:val="22"/>
          <w:lang w:val="es-CO" w:eastAsia="en-US"/>
        </w:rPr>
        <w:t xml:space="preserve"> </w:t>
      </w:r>
      <w:r>
        <w:rPr>
          <w:rFonts w:ascii="Arial" w:hAnsi="Arial" w:cs="Arial"/>
          <w:i/>
          <w:iCs/>
          <w:sz w:val="22"/>
          <w:szCs w:val="22"/>
          <w:lang w:val="es-CO" w:eastAsia="en-US"/>
        </w:rPr>
        <w:t xml:space="preserve"> </w:t>
      </w:r>
      <w:r w:rsidRPr="00B3550C">
        <w:rPr>
          <w:rFonts w:ascii="Arial" w:hAnsi="Arial" w:cs="Arial"/>
          <w:i/>
          <w:iCs/>
          <w:sz w:val="22"/>
          <w:szCs w:val="22"/>
          <w:lang w:val="es-CO" w:eastAsia="en-US"/>
        </w:rPr>
        <w:t>por</w:t>
      </w:r>
      <w:r>
        <w:rPr>
          <w:rFonts w:ascii="Arial" w:hAnsi="Arial" w:cs="Arial"/>
          <w:i/>
          <w:iCs/>
          <w:sz w:val="22"/>
          <w:szCs w:val="22"/>
          <w:lang w:val="es-CO" w:eastAsia="en-US"/>
        </w:rPr>
        <w:t xml:space="preserve">  </w:t>
      </w:r>
      <w:r w:rsidRPr="00B3550C">
        <w:rPr>
          <w:rFonts w:ascii="Arial" w:hAnsi="Arial" w:cs="Arial"/>
          <w:i/>
          <w:iCs/>
          <w:sz w:val="22"/>
          <w:szCs w:val="22"/>
          <w:lang w:val="es-CO" w:eastAsia="en-US"/>
        </w:rPr>
        <w:t xml:space="preserve"> la</w:t>
      </w:r>
      <w:r>
        <w:rPr>
          <w:rFonts w:ascii="Arial" w:hAnsi="Arial" w:cs="Arial"/>
          <w:i/>
          <w:iCs/>
          <w:sz w:val="22"/>
          <w:szCs w:val="22"/>
          <w:lang w:val="es-CO" w:eastAsia="en-US"/>
        </w:rPr>
        <w:t xml:space="preserve"> </w:t>
      </w:r>
      <w:r w:rsidRPr="00B3550C">
        <w:rPr>
          <w:rFonts w:ascii="Arial" w:hAnsi="Arial" w:cs="Arial"/>
          <w:i/>
          <w:iCs/>
          <w:sz w:val="22"/>
          <w:szCs w:val="22"/>
          <w:lang w:val="es-CO" w:eastAsia="en-US"/>
        </w:rPr>
        <w:t xml:space="preserve"> </w:t>
      </w:r>
      <w:r>
        <w:rPr>
          <w:rFonts w:ascii="Arial" w:hAnsi="Arial" w:cs="Arial"/>
          <w:i/>
          <w:iCs/>
          <w:sz w:val="22"/>
          <w:szCs w:val="22"/>
          <w:lang w:val="es-CO" w:eastAsia="en-US"/>
        </w:rPr>
        <w:t xml:space="preserve"> </w:t>
      </w:r>
      <w:r w:rsidRPr="00B3550C">
        <w:rPr>
          <w:rFonts w:ascii="Arial" w:hAnsi="Arial" w:cs="Arial"/>
          <w:i/>
          <w:iCs/>
          <w:sz w:val="22"/>
          <w:szCs w:val="22"/>
          <w:lang w:val="es-CO" w:eastAsia="en-US"/>
        </w:rPr>
        <w:t xml:space="preserve">buena </w:t>
      </w:r>
      <w:r>
        <w:rPr>
          <w:rFonts w:ascii="Arial" w:hAnsi="Arial" w:cs="Arial"/>
          <w:i/>
          <w:iCs/>
          <w:sz w:val="22"/>
          <w:szCs w:val="22"/>
          <w:lang w:val="es-CO" w:eastAsia="en-US"/>
        </w:rPr>
        <w:t xml:space="preserve">  </w:t>
      </w:r>
      <w:r w:rsidRPr="00B3550C">
        <w:rPr>
          <w:rFonts w:ascii="Arial" w:hAnsi="Arial" w:cs="Arial"/>
          <w:i/>
          <w:iCs/>
          <w:sz w:val="22"/>
          <w:szCs w:val="22"/>
          <w:lang w:val="es-CO" w:eastAsia="en-US"/>
        </w:rPr>
        <w:t xml:space="preserve">fe </w:t>
      </w:r>
      <w:r>
        <w:rPr>
          <w:rFonts w:ascii="Arial" w:hAnsi="Arial" w:cs="Arial"/>
          <w:i/>
          <w:iCs/>
          <w:sz w:val="22"/>
          <w:szCs w:val="22"/>
          <w:lang w:val="es-CO" w:eastAsia="en-US"/>
        </w:rPr>
        <w:t xml:space="preserve">  </w:t>
      </w:r>
      <w:r w:rsidRPr="00B3550C">
        <w:rPr>
          <w:rFonts w:ascii="Arial" w:hAnsi="Arial" w:cs="Arial"/>
          <w:i/>
          <w:iCs/>
          <w:sz w:val="22"/>
          <w:szCs w:val="22"/>
          <w:lang w:val="es-CO" w:eastAsia="en-US"/>
        </w:rPr>
        <w:t>de</w:t>
      </w:r>
      <w:r>
        <w:rPr>
          <w:rFonts w:ascii="Arial" w:hAnsi="Arial" w:cs="Arial"/>
          <w:i/>
          <w:iCs/>
          <w:sz w:val="22"/>
          <w:szCs w:val="22"/>
          <w:lang w:val="es-CO" w:eastAsia="en-US"/>
        </w:rPr>
        <w:t xml:space="preserve">  </w:t>
      </w:r>
      <w:r w:rsidRPr="00B3550C">
        <w:rPr>
          <w:rFonts w:ascii="Arial" w:hAnsi="Arial" w:cs="Arial"/>
          <w:i/>
          <w:iCs/>
          <w:sz w:val="22"/>
          <w:szCs w:val="22"/>
          <w:lang w:val="es-CO" w:eastAsia="en-US"/>
        </w:rPr>
        <w:t xml:space="preserve"> la </w:t>
      </w:r>
      <w:r>
        <w:rPr>
          <w:rFonts w:ascii="Arial" w:hAnsi="Arial" w:cs="Arial"/>
          <w:i/>
          <w:iCs/>
          <w:sz w:val="22"/>
          <w:szCs w:val="22"/>
          <w:lang w:val="es-CO" w:eastAsia="en-US"/>
        </w:rPr>
        <w:t xml:space="preserve">  </w:t>
      </w:r>
      <w:r w:rsidRPr="00B3550C">
        <w:rPr>
          <w:rFonts w:ascii="Arial" w:hAnsi="Arial" w:cs="Arial"/>
          <w:i/>
          <w:iCs/>
          <w:sz w:val="22"/>
          <w:szCs w:val="22"/>
          <w:lang w:val="es-CO" w:eastAsia="en-US"/>
        </w:rPr>
        <w:t xml:space="preserve">persona </w:t>
      </w:r>
      <w:r>
        <w:rPr>
          <w:rFonts w:ascii="Arial" w:hAnsi="Arial" w:cs="Arial"/>
          <w:i/>
          <w:iCs/>
          <w:sz w:val="22"/>
          <w:szCs w:val="22"/>
          <w:lang w:val="es-CO" w:eastAsia="en-US"/>
        </w:rPr>
        <w:t xml:space="preserve">  </w:t>
      </w:r>
      <w:r w:rsidRPr="00B3550C">
        <w:rPr>
          <w:rFonts w:ascii="Arial" w:hAnsi="Arial" w:cs="Arial"/>
          <w:i/>
          <w:iCs/>
          <w:sz w:val="22"/>
          <w:szCs w:val="22"/>
          <w:lang w:val="es-CO" w:eastAsia="en-US"/>
        </w:rPr>
        <w:t>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Pr>
          <w:rFonts w:ascii="Arial" w:hAnsi="Arial" w:cs="Arial"/>
          <w:i/>
          <w:iCs/>
          <w:lang w:val="es-CO" w:eastAsia="en-US"/>
        </w:rPr>
        <w:t xml:space="preserve">  </w:t>
      </w:r>
      <w:r w:rsidRPr="00B3550C">
        <w:rPr>
          <w:rFonts w:ascii="Arial" w:hAnsi="Arial" w:cs="Arial"/>
          <w:sz w:val="24"/>
          <w:szCs w:val="24"/>
          <w:lang w:val="es-CO" w:eastAsia="en-US"/>
        </w:rPr>
        <w:t xml:space="preserve">Este </w:t>
      </w:r>
      <w:r>
        <w:rPr>
          <w:rFonts w:ascii="Arial" w:hAnsi="Arial" w:cs="Arial"/>
          <w:sz w:val="24"/>
          <w:szCs w:val="24"/>
          <w:lang w:val="es-CO" w:eastAsia="en-US"/>
        </w:rPr>
        <w:t xml:space="preserve">  </w:t>
      </w:r>
      <w:r w:rsidRPr="00B3550C">
        <w:rPr>
          <w:rFonts w:ascii="Arial" w:hAnsi="Arial" w:cs="Arial"/>
          <w:sz w:val="24"/>
          <w:szCs w:val="24"/>
          <w:lang w:val="es-CO" w:eastAsia="en-US"/>
        </w:rPr>
        <w:t>criterio</w:t>
      </w:r>
      <w:r>
        <w:rPr>
          <w:rFonts w:ascii="Arial" w:hAnsi="Arial" w:cs="Arial"/>
          <w:sz w:val="24"/>
          <w:szCs w:val="24"/>
          <w:lang w:val="es-CO" w:eastAsia="en-US"/>
        </w:rPr>
        <w:t xml:space="preserve"> </w:t>
      </w:r>
      <w:r w:rsidRPr="00B3550C">
        <w:rPr>
          <w:rFonts w:ascii="Arial" w:hAnsi="Arial" w:cs="Arial"/>
          <w:sz w:val="24"/>
          <w:szCs w:val="24"/>
          <w:lang w:val="es-CO" w:eastAsia="en-US"/>
        </w:rPr>
        <w:t xml:space="preserve"> </w:t>
      </w:r>
      <w:r>
        <w:rPr>
          <w:rFonts w:ascii="Arial" w:hAnsi="Arial" w:cs="Arial"/>
          <w:sz w:val="24"/>
          <w:szCs w:val="24"/>
          <w:lang w:val="es-CO" w:eastAsia="en-US"/>
        </w:rPr>
        <w:t xml:space="preserve"> </w:t>
      </w:r>
      <w:r w:rsidRPr="00B3550C">
        <w:rPr>
          <w:rFonts w:ascii="Arial" w:hAnsi="Arial" w:cs="Arial"/>
          <w:sz w:val="24"/>
          <w:szCs w:val="24"/>
          <w:lang w:val="es-CO" w:eastAsia="en-US"/>
        </w:rPr>
        <w:t xml:space="preserve">tiene </w:t>
      </w:r>
      <w:r>
        <w:rPr>
          <w:rFonts w:ascii="Arial" w:hAnsi="Arial" w:cs="Arial"/>
          <w:sz w:val="24"/>
          <w:szCs w:val="24"/>
          <w:lang w:val="es-CO" w:eastAsia="en-US"/>
        </w:rPr>
        <w:t xml:space="preserve">  </w:t>
      </w:r>
      <w:r w:rsidRPr="00B3550C">
        <w:rPr>
          <w:rFonts w:ascii="Arial" w:hAnsi="Arial" w:cs="Arial"/>
          <w:sz w:val="24"/>
          <w:szCs w:val="24"/>
          <w:lang w:val="es-CO" w:eastAsia="en-US"/>
        </w:rPr>
        <w:t xml:space="preserve">fundamento </w:t>
      </w:r>
    </w:p>
    <w:p w:rsidR="005B3546" w:rsidRPr="00B3550C" w:rsidRDefault="005B3546" w:rsidP="005B3546">
      <w:pPr>
        <w:tabs>
          <w:tab w:val="left" w:pos="-720"/>
        </w:tabs>
        <w:suppressAutoHyphens/>
        <w:spacing w:line="360" w:lineRule="auto"/>
        <w:jc w:val="both"/>
        <w:rPr>
          <w:rFonts w:ascii="Arial" w:hAnsi="Arial" w:cs="Arial"/>
          <w:sz w:val="22"/>
          <w:szCs w:val="22"/>
          <w:lang w:val="es-CO" w:eastAsia="en-US"/>
        </w:rPr>
      </w:pPr>
      <w:proofErr w:type="gramStart"/>
      <w:r w:rsidRPr="00B3550C">
        <w:rPr>
          <w:rFonts w:ascii="Arial" w:hAnsi="Arial" w:cs="Arial"/>
          <w:sz w:val="24"/>
          <w:szCs w:val="24"/>
          <w:lang w:val="es-CO" w:eastAsia="en-US"/>
        </w:rPr>
        <w:t>jurisprudencial</w:t>
      </w:r>
      <w:proofErr w:type="gramEnd"/>
      <w:r w:rsidRPr="00B3550C">
        <w:rPr>
          <w:rFonts w:ascii="Arial" w:hAnsi="Arial" w:cs="Arial"/>
          <w:sz w:val="24"/>
          <w:szCs w:val="24"/>
          <w:lang w:val="es-CO" w:eastAsia="en-US"/>
        </w:rPr>
        <w:t xml:space="preserve"> en múltiples fallos de la Corporación ya citada</w:t>
      </w:r>
      <w:r w:rsidRPr="00B3550C">
        <w:rPr>
          <w:rStyle w:val="Refdenotaalpie"/>
          <w:rFonts w:ascii="Arial" w:hAnsi="Arial" w:cs="Arial"/>
          <w:sz w:val="24"/>
          <w:szCs w:val="24"/>
          <w:lang w:val="es-CO" w:eastAsia="en-US"/>
        </w:rPr>
        <w:footnoteReference w:id="6"/>
      </w:r>
      <w:r w:rsidRPr="00B3550C">
        <w:rPr>
          <w:rFonts w:ascii="Arial" w:hAnsi="Arial" w:cs="Arial"/>
          <w:sz w:val="22"/>
          <w:szCs w:val="22"/>
          <w:lang w:val="es-CO" w:eastAsia="en-US"/>
        </w:rPr>
        <w:t>.</w:t>
      </w:r>
    </w:p>
    <w:p w:rsidR="005B3546" w:rsidRPr="00021D4B" w:rsidRDefault="005B3546" w:rsidP="005B3546">
      <w:pPr>
        <w:tabs>
          <w:tab w:val="left" w:pos="-720"/>
        </w:tabs>
        <w:suppressAutoHyphens/>
        <w:spacing w:line="360" w:lineRule="auto"/>
        <w:jc w:val="both"/>
        <w:rPr>
          <w:rFonts w:ascii="Arial" w:hAnsi="Arial" w:cs="Arial"/>
          <w:spacing w:val="-3"/>
          <w:sz w:val="22"/>
          <w:szCs w:val="24"/>
          <w:lang w:val="es-CO"/>
        </w:rPr>
      </w:pPr>
    </w:p>
    <w:p w:rsidR="005B3546" w:rsidRDefault="005B3546" w:rsidP="005B3546">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 pero diferenciables, a saber:</w:t>
      </w:r>
    </w:p>
    <w:p w:rsidR="005B3546" w:rsidRPr="00B3550C" w:rsidRDefault="005B3546" w:rsidP="005B3546">
      <w:pPr>
        <w:tabs>
          <w:tab w:val="left" w:pos="-720"/>
        </w:tabs>
        <w:suppressAutoHyphens/>
        <w:spacing w:line="360" w:lineRule="auto"/>
        <w:jc w:val="both"/>
        <w:rPr>
          <w:rFonts w:ascii="Arial" w:hAnsi="Arial" w:cs="Arial"/>
          <w:spacing w:val="-3"/>
          <w:sz w:val="24"/>
          <w:szCs w:val="24"/>
          <w:lang w:val="es-CO"/>
        </w:rPr>
      </w:pPr>
    </w:p>
    <w:p w:rsidR="005B3546" w:rsidRPr="00B3550C" w:rsidRDefault="005B3546" w:rsidP="005B3546">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5B3546" w:rsidRPr="00021D4B" w:rsidRDefault="005B3546" w:rsidP="005B3546">
      <w:pPr>
        <w:ind w:left="567" w:right="567"/>
        <w:jc w:val="both"/>
        <w:rPr>
          <w:rFonts w:ascii="Arial" w:hAnsi="Arial" w:cs="Arial"/>
          <w:szCs w:val="22"/>
          <w:lang w:val="es-CO"/>
        </w:rPr>
      </w:pPr>
    </w:p>
    <w:p w:rsidR="005B3546" w:rsidRPr="00B3550C" w:rsidRDefault="005B3546" w:rsidP="005B3546">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5B3546" w:rsidRPr="00021D4B" w:rsidRDefault="005B3546" w:rsidP="005B3546">
      <w:pPr>
        <w:ind w:left="567" w:right="567"/>
        <w:jc w:val="both"/>
        <w:rPr>
          <w:rFonts w:ascii="Arial" w:hAnsi="Arial" w:cs="Arial"/>
          <w:szCs w:val="24"/>
          <w:lang w:val="es-CO"/>
        </w:rPr>
      </w:pPr>
    </w:p>
    <w:p w:rsidR="005B3546" w:rsidRPr="00B3550C" w:rsidRDefault="005B3546" w:rsidP="005B3546">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8"/>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5B3546" w:rsidRPr="00021D4B" w:rsidRDefault="005B3546" w:rsidP="005B3546">
      <w:pPr>
        <w:ind w:left="567" w:right="567"/>
        <w:jc w:val="both"/>
        <w:rPr>
          <w:rFonts w:ascii="Arial" w:hAnsi="Arial" w:cs="Arial"/>
          <w:szCs w:val="22"/>
          <w:lang w:val="es-CO"/>
        </w:rPr>
      </w:pPr>
    </w:p>
    <w:p w:rsidR="005B3546" w:rsidRPr="00B3550C" w:rsidRDefault="005B3546" w:rsidP="005B3546">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9"/>
      </w:r>
      <w:r w:rsidRPr="00B3550C">
        <w:rPr>
          <w:rFonts w:ascii="Arial" w:hAnsi="Arial" w:cs="Arial"/>
          <w:sz w:val="24"/>
          <w:szCs w:val="24"/>
          <w:lang w:val="es-CO"/>
        </w:rPr>
        <w:t>.</w:t>
      </w:r>
    </w:p>
    <w:p w:rsidR="005B3546" w:rsidRPr="00021D4B" w:rsidRDefault="005B3546" w:rsidP="005B3546">
      <w:pPr>
        <w:tabs>
          <w:tab w:val="left" w:pos="426"/>
        </w:tabs>
        <w:ind w:left="567" w:right="567"/>
        <w:jc w:val="both"/>
        <w:rPr>
          <w:rFonts w:ascii="Arial" w:hAnsi="Arial" w:cs="Arial"/>
          <w:szCs w:val="22"/>
          <w:lang w:val="es-CO"/>
        </w:rPr>
      </w:pPr>
    </w:p>
    <w:p w:rsidR="005B3546" w:rsidRPr="00B3550C" w:rsidRDefault="005B3546" w:rsidP="005B3546">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lastRenderedPageBreak/>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1"/>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5B3546" w:rsidRDefault="005B3546" w:rsidP="005B3546">
      <w:pPr>
        <w:pStyle w:val="Sangradetextonormal"/>
        <w:spacing w:after="0" w:line="360" w:lineRule="auto"/>
        <w:ind w:left="0"/>
        <w:jc w:val="both"/>
        <w:rPr>
          <w:spacing w:val="-3"/>
          <w:lang w:val="es-CO"/>
        </w:rPr>
      </w:pPr>
    </w:p>
    <w:p w:rsidR="005B3546" w:rsidRDefault="005B3546" w:rsidP="005B3546">
      <w:pPr>
        <w:pStyle w:val="Sangradetextonormal"/>
        <w:spacing w:after="0" w:line="360" w:lineRule="auto"/>
        <w:ind w:left="0"/>
        <w:jc w:val="both"/>
        <w:rPr>
          <w:i/>
          <w:iCs/>
          <w:sz w:val="22"/>
          <w:lang w:val="es-CO"/>
        </w:rPr>
      </w:pPr>
      <w:r w:rsidRPr="00B03DCB">
        <w:rPr>
          <w:spacing w:val="-3"/>
          <w:lang w:val="es-CO"/>
        </w:rPr>
        <w:t xml:space="preserve">La jurisprudencia de la </w:t>
      </w:r>
      <w:r>
        <w:rPr>
          <w:spacing w:val="-3"/>
          <w:lang w:val="es-CO"/>
        </w:rPr>
        <w:t>CSJ</w:t>
      </w:r>
      <w:r w:rsidRPr="00B03DCB">
        <w:rPr>
          <w:rStyle w:val="Refdenotaalpie"/>
          <w:rFonts w:cs="Arial"/>
          <w:spacing w:val="-3"/>
          <w:lang w:val="es-CO"/>
        </w:rPr>
        <w:footnoteReference w:id="12"/>
      </w:r>
      <w:r w:rsidRPr="00B03DCB">
        <w:rPr>
          <w:spacing w:val="-3"/>
          <w:lang w:val="es-CO"/>
        </w:rPr>
        <w:t xml:space="preserve"> en reiteradas y recientes decisiones que acogen el criterio de la </w:t>
      </w:r>
      <w:r>
        <w:rPr>
          <w:spacing w:val="-3"/>
          <w:lang w:val="es-CO"/>
        </w:rPr>
        <w:t>CC</w:t>
      </w:r>
      <w:r w:rsidRPr="00B03DCB">
        <w:rPr>
          <w:spacing w:val="-3"/>
          <w:lang w:val="es-CO"/>
        </w:rPr>
        <w:t xml:space="preserve">, tiene dicho: </w:t>
      </w:r>
      <w:r w:rsidRPr="00B03DCB">
        <w:rPr>
          <w:i/>
          <w:spacing w:val="-3"/>
          <w:sz w:val="22"/>
          <w:lang w:val="es-CO"/>
        </w:rPr>
        <w:t>“</w:t>
      </w:r>
      <w:r w:rsidRPr="00B03DCB">
        <w:rPr>
          <w:i/>
          <w:iCs/>
          <w:spacing w:val="-3"/>
          <w:sz w:val="22"/>
          <w:lang w:val="es-CO"/>
        </w:rPr>
        <w:t xml:space="preserve">(…) </w:t>
      </w:r>
      <w:r>
        <w:rPr>
          <w:i/>
          <w:iCs/>
          <w:spacing w:val="-3"/>
          <w:sz w:val="22"/>
          <w:lang w:val="es-CO"/>
        </w:rPr>
        <w:t xml:space="preserve"> </w:t>
      </w:r>
      <w:r w:rsidRPr="00B03DCB">
        <w:rPr>
          <w:i/>
          <w:iCs/>
          <w:sz w:val="22"/>
          <w:lang w:val="es-MX"/>
        </w:rPr>
        <w:t xml:space="preserve">En </w:t>
      </w:r>
      <w:r>
        <w:rPr>
          <w:i/>
          <w:iCs/>
          <w:sz w:val="22"/>
          <w:lang w:val="es-MX"/>
        </w:rPr>
        <w:t xml:space="preserve"> </w:t>
      </w:r>
      <w:r w:rsidRPr="00B03DCB">
        <w:rPr>
          <w:i/>
          <w:iCs/>
          <w:sz w:val="22"/>
          <w:lang w:val="es-MX"/>
        </w:rPr>
        <w:t xml:space="preserve">eventos </w:t>
      </w:r>
      <w:r>
        <w:rPr>
          <w:i/>
          <w:iCs/>
          <w:sz w:val="22"/>
          <w:lang w:val="es-MX"/>
        </w:rPr>
        <w:t xml:space="preserve"> </w:t>
      </w:r>
      <w:r w:rsidRPr="00B03DCB">
        <w:rPr>
          <w:i/>
          <w:iCs/>
          <w:sz w:val="22"/>
          <w:lang w:val="es-MX"/>
        </w:rPr>
        <w:t xml:space="preserve">como </w:t>
      </w:r>
      <w:r>
        <w:rPr>
          <w:i/>
          <w:iCs/>
          <w:sz w:val="22"/>
          <w:lang w:val="es-MX"/>
        </w:rPr>
        <w:t xml:space="preserve"> </w:t>
      </w:r>
      <w:r w:rsidRPr="00B03DCB">
        <w:rPr>
          <w:i/>
          <w:iCs/>
          <w:sz w:val="22"/>
          <w:lang w:val="es-MX"/>
        </w:rPr>
        <w:t xml:space="preserve">el presente, en los que aún </w:t>
      </w:r>
      <w:r w:rsidRPr="00B03DCB">
        <w:rPr>
          <w:i/>
          <w:iCs/>
          <w:sz w:val="22"/>
          <w:lang w:val="es-CO"/>
        </w:rPr>
        <w:t xml:space="preserve">extemporáneamente se </w:t>
      </w:r>
    </w:p>
    <w:p w:rsidR="005B3546" w:rsidRDefault="005B3546" w:rsidP="005B3546">
      <w:pPr>
        <w:pStyle w:val="Sangradetextonormal"/>
        <w:spacing w:after="0" w:line="360" w:lineRule="auto"/>
        <w:ind w:left="0"/>
        <w:jc w:val="both"/>
        <w:rPr>
          <w:i/>
          <w:iCs/>
          <w:sz w:val="22"/>
          <w:lang w:val="es-CO"/>
        </w:rPr>
      </w:pPr>
      <w:proofErr w:type="gramStart"/>
      <w:r w:rsidRPr="00B03DCB">
        <w:rPr>
          <w:i/>
          <w:iCs/>
          <w:sz w:val="22"/>
          <w:lang w:val="es-CO"/>
        </w:rPr>
        <w:t>acató</w:t>
      </w:r>
      <w:proofErr w:type="gramEnd"/>
      <w:r w:rsidRPr="00B03DCB">
        <w:rPr>
          <w:i/>
          <w:iCs/>
          <w:sz w:val="22"/>
          <w:lang w:val="es-CO"/>
        </w:rPr>
        <w:t xml:space="preserve"> el fallo, la Corte ha dejado sin efectos las sanciones que le fueron impuestas al </w:t>
      </w:r>
      <w:proofErr w:type="spellStart"/>
      <w:r w:rsidRPr="00B03DCB">
        <w:rPr>
          <w:i/>
          <w:iCs/>
          <w:sz w:val="22"/>
          <w:lang w:val="es-CO"/>
        </w:rPr>
        <w:t>incidentado</w:t>
      </w:r>
      <w:proofErr w:type="spellEnd"/>
      <w:r w:rsidRPr="00B03DCB">
        <w:rPr>
          <w:i/>
          <w:iCs/>
          <w:sz w:val="22"/>
          <w:lang w:val="es-CO"/>
        </w:rPr>
        <w:t xml:space="preserve"> bajo la óptica de que el fin perseguido con el trámite del desacato ya se cumplió</w:t>
      </w:r>
      <w:r w:rsidRPr="00B03DCB">
        <w:rPr>
          <w:i/>
          <w:iCs/>
          <w:sz w:val="22"/>
          <w:lang w:val="es-MX"/>
        </w:rPr>
        <w:t xml:space="preserve">, (…)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Refdenotaalpie"/>
          <w:rFonts w:cs="Arial"/>
          <w:lang w:val="es-CO"/>
        </w:rPr>
        <w:footnoteReference w:id="13"/>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7B7512">
        <w:rPr>
          <w:i/>
          <w:sz w:val="22"/>
        </w:rPr>
        <w:t xml:space="preserve"> </w:t>
      </w:r>
      <w:r>
        <w:rPr>
          <w:i/>
          <w:iCs/>
          <w:sz w:val="22"/>
          <w:lang w:val="es-CO"/>
        </w:rPr>
        <w:t>(…)</w:t>
      </w:r>
      <w:r w:rsidRPr="00B03DCB">
        <w:rPr>
          <w:i/>
          <w:iCs/>
          <w:sz w:val="22"/>
          <w:lang w:val="es-CO"/>
        </w:rPr>
        <w:t>”</w:t>
      </w:r>
      <w:r>
        <w:rPr>
          <w:i/>
          <w:iCs/>
          <w:sz w:val="22"/>
          <w:lang w:val="es-CO"/>
        </w:rPr>
        <w:t>.</w:t>
      </w:r>
    </w:p>
    <w:p w:rsidR="005B3546" w:rsidRDefault="005B3546" w:rsidP="005B3546">
      <w:pPr>
        <w:pStyle w:val="Sangradetextonormal"/>
        <w:spacing w:after="0" w:line="360" w:lineRule="auto"/>
        <w:ind w:left="0"/>
        <w:jc w:val="both"/>
        <w:rPr>
          <w:iCs/>
          <w:lang w:val="es-CO"/>
        </w:rPr>
      </w:pPr>
    </w:p>
    <w:p w:rsidR="005B3546" w:rsidRDefault="005B3546" w:rsidP="005B3546">
      <w:pPr>
        <w:pStyle w:val="Sangradetextonormal"/>
        <w:spacing w:after="0" w:line="360" w:lineRule="auto"/>
        <w:ind w:left="0"/>
        <w:jc w:val="both"/>
        <w:rPr>
          <w:iCs/>
          <w:lang w:val="es-CO"/>
        </w:rPr>
      </w:pPr>
      <w:r>
        <w:rPr>
          <w:iCs/>
          <w:lang w:val="es-CO"/>
        </w:rPr>
        <w:t>Conforme la jurisprudencia Constitucional</w:t>
      </w:r>
      <w:r>
        <w:rPr>
          <w:rStyle w:val="Refdenotaalpie"/>
          <w:iCs/>
          <w:lang w:val="es-CO"/>
        </w:rPr>
        <w:footnoteReference w:id="14"/>
      </w:r>
      <w:r>
        <w:rPr>
          <w:iCs/>
          <w:lang w:val="es-CO"/>
        </w:rPr>
        <w:t xml:space="preserve">, el término para resolver un trámite incidental por desacato a fallo de tutela,  no debe superar los diez días,  contados desde su apertura; </w:t>
      </w:r>
    </w:p>
    <w:p w:rsidR="005B3546" w:rsidRDefault="005B3546" w:rsidP="005B3546">
      <w:pPr>
        <w:pStyle w:val="Sangradetextonormal"/>
        <w:spacing w:after="0" w:line="360" w:lineRule="auto"/>
        <w:ind w:left="0"/>
        <w:jc w:val="both"/>
        <w:rPr>
          <w:iCs/>
          <w:lang w:val="es-CO"/>
        </w:rPr>
      </w:pPr>
      <w:proofErr w:type="gramStart"/>
      <w:r>
        <w:rPr>
          <w:iCs/>
          <w:lang w:val="es-CO"/>
        </w:rPr>
        <w:t>sin</w:t>
      </w:r>
      <w:proofErr w:type="gramEnd"/>
      <w:r>
        <w:rPr>
          <w:iCs/>
          <w:lang w:val="es-CO"/>
        </w:rPr>
        <w:t xml:space="preserve"> embargo, existen situaciones excepcionalísimas, que permiten desbordar aquel plazo: </w:t>
      </w:r>
    </w:p>
    <w:p w:rsidR="005B3546" w:rsidRPr="007B7512" w:rsidRDefault="005B3546" w:rsidP="005B3546">
      <w:pPr>
        <w:pStyle w:val="Sangradetextonormal"/>
        <w:spacing w:after="0" w:line="360" w:lineRule="auto"/>
        <w:ind w:left="0"/>
        <w:jc w:val="both"/>
        <w:rPr>
          <w:iCs/>
          <w:lang w:val="es-CO"/>
        </w:rPr>
      </w:pPr>
    </w:p>
    <w:p w:rsidR="005B3546" w:rsidRDefault="005B3546" w:rsidP="005B3546">
      <w:pPr>
        <w:pStyle w:val="Sangradetextonormal"/>
        <w:spacing w:after="0"/>
        <w:ind w:left="567" w:rightChars="451" w:right="902"/>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5B3546" w:rsidRPr="007B7512" w:rsidRDefault="005B3546" w:rsidP="005B3546">
      <w:pPr>
        <w:pStyle w:val="Sangradetextonormal"/>
        <w:spacing w:after="0"/>
        <w:ind w:left="567" w:rightChars="567" w:right="1134"/>
        <w:jc w:val="both"/>
        <w:rPr>
          <w:bCs/>
          <w:sz w:val="44"/>
        </w:rPr>
      </w:pPr>
    </w:p>
    <w:p w:rsidR="005B3546" w:rsidRDefault="005B3546" w:rsidP="005B3546">
      <w:pPr>
        <w:pStyle w:val="Sangradetextonormal"/>
        <w:spacing w:after="0" w:line="360" w:lineRule="auto"/>
        <w:ind w:left="0"/>
        <w:jc w:val="both"/>
        <w:rPr>
          <w:lang w:val="es-CO"/>
        </w:rPr>
      </w:pPr>
      <w:r>
        <w:rPr>
          <w:lang w:val="es-CO"/>
        </w:rPr>
        <w:t>No sobra acotar lo reiterado por esa alta Corporación, en relación con el incidente de desacato</w:t>
      </w:r>
      <w:r>
        <w:rPr>
          <w:rStyle w:val="Refdenotaalpie"/>
          <w:lang w:val="es-CO"/>
        </w:rPr>
        <w:footnoteReference w:id="15"/>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6"/>
      </w:r>
      <w:r>
        <w:rPr>
          <w:i/>
          <w:lang w:val="es-CO"/>
        </w:rPr>
        <w:t>.</w:t>
      </w:r>
    </w:p>
    <w:p w:rsidR="007E1207" w:rsidRDefault="007E1207" w:rsidP="00407346">
      <w:pPr>
        <w:pStyle w:val="Sangradetextonormal"/>
        <w:spacing w:after="0" w:line="360" w:lineRule="auto"/>
        <w:ind w:left="0"/>
        <w:jc w:val="both"/>
        <w:rPr>
          <w:lang w:val="es-CO"/>
        </w:rPr>
      </w:pPr>
    </w:p>
    <w:p w:rsidR="00407346" w:rsidRDefault="00407346" w:rsidP="00407346">
      <w:pPr>
        <w:pStyle w:val="Textoindependiente"/>
        <w:numPr>
          <w:ilvl w:val="1"/>
          <w:numId w:val="1"/>
        </w:numPr>
        <w:spacing w:line="360" w:lineRule="auto"/>
        <w:ind w:left="709" w:hanging="709"/>
        <w:rPr>
          <w:rFonts w:ascii="Arial" w:hAnsi="Arial" w:cs="Arial"/>
          <w:smallCaps/>
        </w:rPr>
      </w:pPr>
      <w:r>
        <w:rPr>
          <w:rFonts w:ascii="Arial" w:hAnsi="Arial" w:cs="Arial"/>
          <w:smallCaps/>
        </w:rPr>
        <w:t>El caso concreto</w:t>
      </w:r>
    </w:p>
    <w:p w:rsidR="00407346" w:rsidRDefault="00407346" w:rsidP="000E4616">
      <w:pPr>
        <w:pStyle w:val="Sinespaciado"/>
        <w:widowControl/>
        <w:tabs>
          <w:tab w:val="left" w:pos="720"/>
        </w:tabs>
        <w:autoSpaceDE/>
        <w:autoSpaceDN/>
        <w:adjustRightInd/>
        <w:spacing w:line="360" w:lineRule="auto"/>
        <w:jc w:val="both"/>
        <w:rPr>
          <w:rFonts w:ascii="Arial" w:hAnsi="Arial" w:cs="Arial"/>
          <w:spacing w:val="-3"/>
          <w:lang w:val="es-CO"/>
        </w:rPr>
      </w:pPr>
    </w:p>
    <w:p w:rsidR="00BD175A" w:rsidRPr="00FA4F45" w:rsidRDefault="00A208C3" w:rsidP="00BD175A">
      <w:pPr>
        <w:pStyle w:val="Textoindependiente"/>
        <w:spacing w:line="360" w:lineRule="auto"/>
        <w:rPr>
          <w:rFonts w:ascii="Arial" w:hAnsi="Arial"/>
          <w:lang w:val="es-CO"/>
        </w:rPr>
      </w:pPr>
      <w:r>
        <w:rPr>
          <w:rFonts w:ascii="Arial" w:hAnsi="Arial" w:cs="Arial"/>
          <w:lang w:val="es-CO"/>
        </w:rPr>
        <w:lastRenderedPageBreak/>
        <w:t>L</w:t>
      </w:r>
      <w:r w:rsidR="0001638D" w:rsidRPr="00347A6F">
        <w:rPr>
          <w:rFonts w:ascii="Arial" w:hAnsi="Arial" w:cs="Arial"/>
          <w:lang w:val="es-CO"/>
        </w:rPr>
        <w:t xml:space="preserve">a decisión venida en consulta habrá de confirmarse, </w:t>
      </w:r>
      <w:r w:rsidR="00BD175A">
        <w:rPr>
          <w:rFonts w:ascii="Arial" w:hAnsi="Arial" w:cs="Arial"/>
          <w:lang w:val="es-CO"/>
        </w:rPr>
        <w:t xml:space="preserve">pues </w:t>
      </w:r>
      <w:r w:rsidR="0001638D" w:rsidRPr="00FA4F45">
        <w:rPr>
          <w:rFonts w:ascii="Arial" w:hAnsi="Arial" w:cs="Arial"/>
          <w:lang w:val="es-CO"/>
        </w:rPr>
        <w:t>se aviene al cumplimiento de los supuestos que constituyen el tema de prueba, esto es (i) A</w:t>
      </w:r>
      <w:r w:rsidR="0001638D" w:rsidRPr="00FA4F45">
        <w:rPr>
          <w:rFonts w:ascii="Arial" w:hAnsi="Arial" w:cs="Arial"/>
          <w:iCs/>
          <w:lang w:val="es-CO"/>
        </w:rPr>
        <w:t xml:space="preserve"> quién estaba dirigida la orden; (ii) Cuál fue el término otorgado para ejecutarla, y, (iii) </w:t>
      </w:r>
      <w:r w:rsidR="00BD175A" w:rsidRPr="00FA4F45">
        <w:rPr>
          <w:rFonts w:ascii="Arial" w:hAnsi="Arial" w:cs="Arial"/>
          <w:iCs/>
          <w:lang w:val="es-CO"/>
        </w:rPr>
        <w:t>Cuál es el alcance de la misma</w:t>
      </w:r>
      <w:r w:rsidR="00BD175A" w:rsidRPr="00FA4F45">
        <w:rPr>
          <w:rFonts w:ascii="Arial" w:hAnsi="Arial"/>
          <w:lang w:val="es-CO"/>
        </w:rPr>
        <w:t>.</w:t>
      </w:r>
    </w:p>
    <w:p w:rsidR="000E4616" w:rsidRPr="00FA4F45" w:rsidRDefault="000E4616" w:rsidP="000E4616">
      <w:pPr>
        <w:pStyle w:val="Sinespaciado"/>
        <w:widowControl/>
        <w:tabs>
          <w:tab w:val="left" w:pos="720"/>
        </w:tabs>
        <w:autoSpaceDE/>
        <w:autoSpaceDN/>
        <w:adjustRightInd/>
        <w:spacing w:line="360" w:lineRule="auto"/>
        <w:jc w:val="both"/>
        <w:rPr>
          <w:rFonts w:ascii="Arial" w:hAnsi="Arial" w:cs="Arial"/>
          <w:iCs/>
          <w:lang w:val="es-CO"/>
        </w:rPr>
      </w:pPr>
    </w:p>
    <w:p w:rsidR="00FA4F45" w:rsidRPr="0030758B" w:rsidRDefault="00FA4F45" w:rsidP="00FA4F4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Se tiene que </w:t>
      </w:r>
      <w:r w:rsidR="006448BC">
        <w:rPr>
          <w:rFonts w:ascii="Arial" w:hAnsi="Arial" w:cs="Arial"/>
          <w:spacing w:val="-3"/>
          <w:szCs w:val="28"/>
          <w:lang w:val="es-CO"/>
        </w:rPr>
        <w:t xml:space="preserve">en </w:t>
      </w:r>
      <w:r>
        <w:rPr>
          <w:rFonts w:ascii="Arial" w:hAnsi="Arial" w:cs="Arial"/>
          <w:spacing w:val="-3"/>
          <w:szCs w:val="28"/>
          <w:lang w:val="es-CO"/>
        </w:rPr>
        <w:t xml:space="preserve">la sentencia de tutela del </w:t>
      </w:r>
      <w:r w:rsidR="005B3546">
        <w:rPr>
          <w:rFonts w:ascii="Arial" w:hAnsi="Arial" w:cs="Arial"/>
          <w:spacing w:val="-3"/>
          <w:szCs w:val="28"/>
          <w:lang w:val="es-CO"/>
        </w:rPr>
        <w:t xml:space="preserve">11-08-2014, ajustada con auto del 01-12-2016, </w:t>
      </w:r>
      <w:r w:rsidR="006448BC">
        <w:rPr>
          <w:rFonts w:ascii="Arial" w:hAnsi="Arial" w:cs="Arial"/>
          <w:spacing w:val="-3"/>
          <w:szCs w:val="28"/>
          <w:lang w:val="es-CO"/>
        </w:rPr>
        <w:t xml:space="preserve">se </w:t>
      </w:r>
      <w:r>
        <w:rPr>
          <w:rFonts w:ascii="Arial" w:hAnsi="Arial" w:cs="Arial"/>
          <w:spacing w:val="-3"/>
          <w:szCs w:val="28"/>
          <w:lang w:val="es-CO"/>
        </w:rPr>
        <w:t xml:space="preserve">ordenó </w:t>
      </w:r>
      <w:r w:rsidR="00063F11">
        <w:rPr>
          <w:rFonts w:ascii="Arial" w:hAnsi="Arial" w:cs="Arial"/>
          <w:spacing w:val="-3"/>
          <w:szCs w:val="28"/>
          <w:lang w:val="es-CO"/>
        </w:rPr>
        <w:t xml:space="preserve">a </w:t>
      </w:r>
      <w:r>
        <w:rPr>
          <w:rFonts w:ascii="Arial" w:hAnsi="Arial" w:cs="Arial"/>
          <w:spacing w:val="-3"/>
          <w:szCs w:val="28"/>
          <w:lang w:val="es-CO"/>
        </w:rPr>
        <w:t xml:space="preserve">(i) </w:t>
      </w:r>
      <w:r w:rsidR="005B3546">
        <w:rPr>
          <w:rFonts w:ascii="Arial" w:hAnsi="Arial" w:cs="Arial"/>
          <w:spacing w:val="-3"/>
          <w:szCs w:val="28"/>
          <w:lang w:val="es-CO"/>
        </w:rPr>
        <w:t xml:space="preserve">Gloria Elena Posada Mejía, como Directora Departamental de la </w:t>
      </w:r>
      <w:proofErr w:type="spellStart"/>
      <w:r w:rsidR="005B3546">
        <w:rPr>
          <w:rFonts w:ascii="Arial" w:hAnsi="Arial" w:cs="Arial"/>
          <w:spacing w:val="-3"/>
          <w:szCs w:val="28"/>
          <w:lang w:val="es-CO"/>
        </w:rPr>
        <w:t>EPS</w:t>
      </w:r>
      <w:proofErr w:type="spellEnd"/>
      <w:r w:rsidR="005B3546">
        <w:rPr>
          <w:rFonts w:ascii="Arial" w:hAnsi="Arial" w:cs="Arial"/>
          <w:spacing w:val="-3"/>
          <w:szCs w:val="28"/>
          <w:lang w:val="es-CO"/>
        </w:rPr>
        <w:t xml:space="preserve">-S </w:t>
      </w:r>
      <w:proofErr w:type="spellStart"/>
      <w:r w:rsidR="00063F11">
        <w:rPr>
          <w:rFonts w:ascii="Arial" w:hAnsi="Arial" w:cs="Arial"/>
          <w:spacing w:val="-3"/>
          <w:szCs w:val="28"/>
          <w:lang w:val="es-CO"/>
        </w:rPr>
        <w:t>Asmet</w:t>
      </w:r>
      <w:proofErr w:type="spellEnd"/>
      <w:r w:rsidR="005B3546">
        <w:rPr>
          <w:rFonts w:ascii="Arial" w:hAnsi="Arial" w:cs="Arial"/>
          <w:spacing w:val="-3"/>
          <w:szCs w:val="28"/>
          <w:lang w:val="es-CO"/>
        </w:rPr>
        <w:t xml:space="preserve"> S</w:t>
      </w:r>
      <w:r w:rsidR="00063F11">
        <w:rPr>
          <w:rFonts w:ascii="Arial" w:hAnsi="Arial" w:cs="Arial"/>
          <w:spacing w:val="-3"/>
          <w:szCs w:val="28"/>
          <w:lang w:val="es-CO"/>
        </w:rPr>
        <w:t>alud</w:t>
      </w:r>
      <w:r>
        <w:rPr>
          <w:rFonts w:ascii="Arial" w:hAnsi="Arial" w:cs="Arial"/>
          <w:spacing w:val="-3"/>
          <w:szCs w:val="28"/>
          <w:lang w:val="es-CO"/>
        </w:rPr>
        <w:t>;</w:t>
      </w:r>
      <w:r w:rsidR="00063F11">
        <w:rPr>
          <w:rFonts w:ascii="Arial" w:hAnsi="Arial" w:cs="Arial"/>
          <w:spacing w:val="-3"/>
          <w:szCs w:val="28"/>
          <w:lang w:val="es-CO"/>
        </w:rPr>
        <w:t xml:space="preserve"> </w:t>
      </w:r>
      <w:r>
        <w:rPr>
          <w:rFonts w:ascii="Arial" w:hAnsi="Arial" w:cs="Arial"/>
          <w:spacing w:val="-3"/>
          <w:szCs w:val="28"/>
          <w:lang w:val="es-CO"/>
        </w:rPr>
        <w:t xml:space="preserve">(ii) Que </w:t>
      </w:r>
      <w:r w:rsidR="005B3546">
        <w:rPr>
          <w:rFonts w:ascii="Arial" w:hAnsi="Arial" w:cs="Arial"/>
          <w:spacing w:val="-3"/>
          <w:szCs w:val="28"/>
          <w:lang w:val="es-CO"/>
        </w:rPr>
        <w:t xml:space="preserve">en lo sucesivo y cuando </w:t>
      </w:r>
      <w:r w:rsidR="000103FA">
        <w:rPr>
          <w:rFonts w:ascii="Arial" w:hAnsi="Arial" w:cs="Arial"/>
          <w:spacing w:val="-3"/>
          <w:szCs w:val="28"/>
          <w:lang w:val="es-CO"/>
        </w:rPr>
        <w:t xml:space="preserve">la accionante </w:t>
      </w:r>
      <w:r w:rsidR="005B3546">
        <w:rPr>
          <w:rFonts w:ascii="Arial" w:hAnsi="Arial" w:cs="Arial"/>
          <w:spacing w:val="-3"/>
          <w:szCs w:val="28"/>
          <w:lang w:val="es-CO"/>
        </w:rPr>
        <w:t xml:space="preserve">requiera asistencia médica en un lugar diferente </w:t>
      </w:r>
      <w:r w:rsidR="000103FA">
        <w:rPr>
          <w:rFonts w:ascii="Arial" w:hAnsi="Arial" w:cs="Arial"/>
          <w:spacing w:val="-3"/>
          <w:szCs w:val="28"/>
          <w:lang w:val="es-CO"/>
        </w:rPr>
        <w:t xml:space="preserve">a su </w:t>
      </w:r>
      <w:r w:rsidR="005B3546">
        <w:rPr>
          <w:rFonts w:ascii="Arial" w:hAnsi="Arial" w:cs="Arial"/>
          <w:spacing w:val="-3"/>
          <w:szCs w:val="28"/>
          <w:lang w:val="es-CO"/>
        </w:rPr>
        <w:t>residencia</w:t>
      </w:r>
      <w:r w:rsidR="000103FA">
        <w:rPr>
          <w:rFonts w:ascii="Arial" w:hAnsi="Arial" w:cs="Arial"/>
          <w:spacing w:val="-3"/>
          <w:szCs w:val="28"/>
          <w:lang w:val="es-CO"/>
        </w:rPr>
        <w:t xml:space="preserve">; (iii) (a) Asuma los gastos de transporte y de viáticos para ella y un acompañante, este último servicio solo en el evento de que se requiera de su estadía; y, (b) </w:t>
      </w:r>
      <w:r>
        <w:rPr>
          <w:rFonts w:ascii="Arial" w:hAnsi="Arial" w:cs="Arial"/>
          <w:spacing w:val="-3"/>
          <w:szCs w:val="28"/>
          <w:lang w:val="es-CO"/>
        </w:rPr>
        <w:t xml:space="preserve">el tratamiento integral </w:t>
      </w:r>
      <w:r w:rsidR="000103FA">
        <w:rPr>
          <w:rFonts w:ascii="Arial" w:hAnsi="Arial" w:cs="Arial"/>
          <w:spacing w:val="-3"/>
          <w:szCs w:val="28"/>
          <w:lang w:val="es-CO"/>
        </w:rPr>
        <w:t xml:space="preserve">respecto de la leucemia </w:t>
      </w:r>
      <w:proofErr w:type="spellStart"/>
      <w:r w:rsidR="000103FA">
        <w:rPr>
          <w:rFonts w:ascii="Arial" w:hAnsi="Arial" w:cs="Arial"/>
          <w:spacing w:val="-3"/>
          <w:szCs w:val="28"/>
          <w:lang w:val="es-CO"/>
        </w:rPr>
        <w:t>linfoblástica</w:t>
      </w:r>
      <w:proofErr w:type="spellEnd"/>
      <w:r w:rsidR="000103FA">
        <w:rPr>
          <w:rFonts w:ascii="Arial" w:hAnsi="Arial" w:cs="Arial"/>
          <w:spacing w:val="-3"/>
          <w:szCs w:val="28"/>
          <w:lang w:val="es-CO"/>
        </w:rPr>
        <w:t xml:space="preserve"> aguda </w:t>
      </w:r>
      <w:r>
        <w:rPr>
          <w:rFonts w:ascii="Arial" w:hAnsi="Arial" w:cs="Arial"/>
          <w:spacing w:val="-3"/>
          <w:szCs w:val="28"/>
          <w:lang w:val="es-CO"/>
        </w:rPr>
        <w:t>(</w:t>
      </w:r>
      <w:r w:rsidR="000103FA">
        <w:rPr>
          <w:rFonts w:ascii="Arial" w:hAnsi="Arial" w:cs="Arial"/>
          <w:spacing w:val="-3"/>
          <w:szCs w:val="28"/>
          <w:lang w:val="es-CO"/>
        </w:rPr>
        <w:t xml:space="preserve">Disco compacto visible a folio 1, también el folio 8, </w:t>
      </w:r>
      <w:r>
        <w:rPr>
          <w:rFonts w:ascii="Arial" w:hAnsi="Arial" w:cs="Arial"/>
          <w:spacing w:val="-3"/>
          <w:szCs w:val="28"/>
          <w:lang w:val="es-CO"/>
        </w:rPr>
        <w:t xml:space="preserve">ib.). </w:t>
      </w:r>
    </w:p>
    <w:p w:rsidR="00DE5395" w:rsidRPr="00FA4F45" w:rsidRDefault="00DE5395" w:rsidP="00DE5395">
      <w:pPr>
        <w:pStyle w:val="Sinespaciado"/>
        <w:widowControl/>
        <w:tabs>
          <w:tab w:val="left" w:pos="720"/>
        </w:tabs>
        <w:autoSpaceDE/>
        <w:autoSpaceDN/>
        <w:adjustRightInd/>
        <w:spacing w:line="360" w:lineRule="auto"/>
        <w:jc w:val="both"/>
        <w:rPr>
          <w:rFonts w:ascii="Arial" w:hAnsi="Arial" w:cs="Arial"/>
          <w:spacing w:val="-3"/>
          <w:szCs w:val="28"/>
          <w:lang w:val="es-CO"/>
        </w:rPr>
      </w:pPr>
      <w:r w:rsidRPr="00FA4F45">
        <w:rPr>
          <w:rFonts w:ascii="Arial" w:hAnsi="Arial" w:cs="Arial"/>
          <w:spacing w:val="-3"/>
          <w:szCs w:val="28"/>
          <w:lang w:val="es-CO"/>
        </w:rPr>
        <w:t xml:space="preserve"> </w:t>
      </w:r>
    </w:p>
    <w:p w:rsidR="003B6065" w:rsidRDefault="0033797D" w:rsidP="003B606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Con el fin de acreditar los aspectos atrás mencionados, se requirió al aludido funcionario, sin respuesta; en esta instancia se corroboró </w:t>
      </w:r>
      <w:r w:rsidR="00783D21">
        <w:rPr>
          <w:rFonts w:ascii="Arial" w:hAnsi="Arial" w:cs="Arial"/>
          <w:spacing w:val="-3"/>
          <w:szCs w:val="28"/>
          <w:lang w:val="es-CO"/>
        </w:rPr>
        <w:t xml:space="preserve">(i) Que ya fue </w:t>
      </w:r>
      <w:r w:rsidR="000C5753">
        <w:rPr>
          <w:rFonts w:ascii="Arial" w:hAnsi="Arial" w:cs="Arial"/>
          <w:spacing w:val="-3"/>
          <w:szCs w:val="28"/>
          <w:lang w:val="es-CO"/>
        </w:rPr>
        <w:t>prestado el servicio de tra</w:t>
      </w:r>
      <w:r w:rsidR="00783D21">
        <w:rPr>
          <w:rFonts w:ascii="Arial" w:hAnsi="Arial" w:cs="Arial"/>
          <w:spacing w:val="-3"/>
          <w:szCs w:val="28"/>
          <w:lang w:val="es-CO"/>
        </w:rPr>
        <w:t>n</w:t>
      </w:r>
      <w:r w:rsidR="000C5753">
        <w:rPr>
          <w:rFonts w:ascii="Arial" w:hAnsi="Arial" w:cs="Arial"/>
          <w:spacing w:val="-3"/>
          <w:szCs w:val="28"/>
          <w:lang w:val="es-CO"/>
        </w:rPr>
        <w:t>sporte para asistir a las citas con los especialistas</w:t>
      </w:r>
      <w:r w:rsidR="00783D21">
        <w:rPr>
          <w:rFonts w:ascii="Arial" w:hAnsi="Arial" w:cs="Arial"/>
          <w:spacing w:val="-3"/>
          <w:szCs w:val="28"/>
          <w:lang w:val="es-CO"/>
        </w:rPr>
        <w:t xml:space="preserve">; (ii) Que el tratamiento por fisiatría se le está brindando en el municipio de </w:t>
      </w:r>
      <w:proofErr w:type="spellStart"/>
      <w:r w:rsidR="00783D21">
        <w:rPr>
          <w:rFonts w:ascii="Arial" w:hAnsi="Arial" w:cs="Arial"/>
          <w:spacing w:val="-3"/>
          <w:szCs w:val="28"/>
          <w:lang w:val="es-CO"/>
        </w:rPr>
        <w:t>Quinchía</w:t>
      </w:r>
      <w:proofErr w:type="spellEnd"/>
      <w:r w:rsidR="00783D21">
        <w:rPr>
          <w:rFonts w:ascii="Arial" w:hAnsi="Arial" w:cs="Arial"/>
          <w:spacing w:val="-3"/>
          <w:szCs w:val="28"/>
          <w:lang w:val="es-CO"/>
        </w:rPr>
        <w:t>, R.; (iii) Que el medicamento “</w:t>
      </w:r>
      <w:proofErr w:type="spellStart"/>
      <w:r w:rsidR="00783D21">
        <w:rPr>
          <w:rFonts w:ascii="Arial" w:hAnsi="Arial" w:cs="Arial"/>
          <w:spacing w:val="-3"/>
          <w:szCs w:val="28"/>
          <w:lang w:val="es-CO"/>
        </w:rPr>
        <w:t>propilenglicol</w:t>
      </w:r>
      <w:proofErr w:type="spellEnd"/>
      <w:r w:rsidR="00783D21">
        <w:rPr>
          <w:rFonts w:ascii="Arial" w:hAnsi="Arial" w:cs="Arial"/>
          <w:spacing w:val="-3"/>
          <w:szCs w:val="28"/>
          <w:lang w:val="es-CO"/>
        </w:rPr>
        <w:t xml:space="preserve">” gotas en una unidad ya fue entregado; y, (iv) Que solo recibió 30 tabletas del </w:t>
      </w:r>
      <w:r w:rsidR="00783D21" w:rsidRPr="00783D21">
        <w:rPr>
          <w:rFonts w:ascii="Arial" w:hAnsi="Arial" w:cs="Arial"/>
          <w:i/>
          <w:spacing w:val="-3"/>
          <w:sz w:val="22"/>
          <w:szCs w:val="28"/>
          <w:lang w:val="es-CO"/>
        </w:rPr>
        <w:t>“IMANTINIB X 400MG”</w:t>
      </w:r>
      <w:r w:rsidR="00783D21">
        <w:rPr>
          <w:rFonts w:ascii="Arial" w:hAnsi="Arial" w:cs="Arial"/>
          <w:spacing w:val="-3"/>
          <w:szCs w:val="28"/>
          <w:lang w:val="es-CO"/>
        </w:rPr>
        <w:t>, quedan pendientes otras 30 más</w:t>
      </w:r>
      <w:r>
        <w:rPr>
          <w:rFonts w:ascii="Arial" w:hAnsi="Arial" w:cs="Arial"/>
          <w:spacing w:val="-3"/>
          <w:szCs w:val="28"/>
          <w:lang w:val="es-CO"/>
        </w:rPr>
        <w:t xml:space="preserve">, según </w:t>
      </w:r>
      <w:r w:rsidR="00783D21">
        <w:rPr>
          <w:rFonts w:ascii="Arial" w:hAnsi="Arial" w:cs="Arial"/>
          <w:spacing w:val="-3"/>
          <w:szCs w:val="28"/>
          <w:lang w:val="es-CO"/>
        </w:rPr>
        <w:t>la accionante</w:t>
      </w:r>
      <w:r w:rsidR="003B6065">
        <w:rPr>
          <w:rFonts w:ascii="Arial" w:hAnsi="Arial" w:cs="Arial"/>
          <w:spacing w:val="-3"/>
          <w:szCs w:val="28"/>
          <w:lang w:val="es-CO"/>
        </w:rPr>
        <w:t xml:space="preserve"> (Folio </w:t>
      </w:r>
      <w:r w:rsidR="00583D35">
        <w:rPr>
          <w:rFonts w:ascii="Arial" w:hAnsi="Arial" w:cs="Arial"/>
          <w:spacing w:val="-3"/>
          <w:szCs w:val="28"/>
          <w:lang w:val="es-CO"/>
        </w:rPr>
        <w:t>18 vuelto</w:t>
      </w:r>
      <w:r w:rsidR="003B6065">
        <w:rPr>
          <w:rFonts w:ascii="Arial" w:hAnsi="Arial" w:cs="Arial"/>
          <w:spacing w:val="-3"/>
          <w:szCs w:val="28"/>
          <w:lang w:val="es-CO"/>
        </w:rPr>
        <w:t>, este cuaderno)</w:t>
      </w:r>
      <w:r>
        <w:rPr>
          <w:rFonts w:ascii="Arial" w:hAnsi="Arial" w:cs="Arial"/>
          <w:spacing w:val="-3"/>
          <w:szCs w:val="28"/>
          <w:lang w:val="es-CO"/>
        </w:rPr>
        <w:t xml:space="preserve">, </w:t>
      </w:r>
      <w:r w:rsidR="00783D21">
        <w:rPr>
          <w:rFonts w:ascii="Arial" w:hAnsi="Arial" w:cs="Arial"/>
          <w:spacing w:val="-3"/>
          <w:szCs w:val="28"/>
          <w:lang w:val="es-CO"/>
        </w:rPr>
        <w:t xml:space="preserve">así las cosas, </w:t>
      </w:r>
      <w:r>
        <w:rPr>
          <w:rFonts w:ascii="Arial" w:hAnsi="Arial" w:cs="Arial"/>
          <w:spacing w:val="-3"/>
          <w:szCs w:val="28"/>
          <w:lang w:val="es-CO"/>
        </w:rPr>
        <w:t xml:space="preserve">como la orden </w:t>
      </w:r>
      <w:r w:rsidR="00783D21">
        <w:rPr>
          <w:rFonts w:ascii="Arial" w:hAnsi="Arial" w:cs="Arial"/>
          <w:spacing w:val="-3"/>
          <w:szCs w:val="28"/>
          <w:lang w:val="es-CO"/>
        </w:rPr>
        <w:t xml:space="preserve">del galeno </w:t>
      </w:r>
      <w:r>
        <w:rPr>
          <w:rFonts w:ascii="Arial" w:hAnsi="Arial" w:cs="Arial"/>
          <w:spacing w:val="-3"/>
          <w:szCs w:val="28"/>
          <w:lang w:val="es-CO"/>
        </w:rPr>
        <w:t xml:space="preserve">alude </w:t>
      </w:r>
      <w:r w:rsidR="003B6065">
        <w:rPr>
          <w:rFonts w:ascii="Arial" w:hAnsi="Arial" w:cs="Arial"/>
          <w:spacing w:val="-3"/>
          <w:szCs w:val="28"/>
          <w:lang w:val="es-CO"/>
        </w:rPr>
        <w:t xml:space="preserve">es </w:t>
      </w:r>
      <w:r>
        <w:rPr>
          <w:rFonts w:ascii="Arial" w:hAnsi="Arial" w:cs="Arial"/>
          <w:spacing w:val="-3"/>
          <w:szCs w:val="28"/>
          <w:lang w:val="es-CO"/>
        </w:rPr>
        <w:t xml:space="preserve">al suministro </w:t>
      </w:r>
      <w:r w:rsidR="00783D21">
        <w:rPr>
          <w:rFonts w:ascii="Arial" w:hAnsi="Arial" w:cs="Arial"/>
          <w:spacing w:val="-3"/>
          <w:szCs w:val="28"/>
          <w:lang w:val="es-CO"/>
        </w:rPr>
        <w:t xml:space="preserve">de 60 tabletas para un tratamiento por dos meses (Imagen No.3 de la historia clínica hematólogo del disco compacto visible a folio 1, </w:t>
      </w:r>
      <w:r w:rsidR="006E0569">
        <w:rPr>
          <w:rFonts w:ascii="Arial" w:hAnsi="Arial" w:cs="Arial"/>
          <w:spacing w:val="-3"/>
          <w:szCs w:val="28"/>
          <w:lang w:val="es-CO"/>
        </w:rPr>
        <w:t>cuaderno del incidente</w:t>
      </w:r>
      <w:r w:rsidR="00783D21">
        <w:rPr>
          <w:rFonts w:ascii="Arial" w:hAnsi="Arial" w:cs="Arial"/>
          <w:spacing w:val="-3"/>
          <w:szCs w:val="28"/>
          <w:lang w:val="es-CO"/>
        </w:rPr>
        <w:t>)</w:t>
      </w:r>
      <w:r>
        <w:rPr>
          <w:rFonts w:ascii="Arial" w:hAnsi="Arial" w:cs="Arial"/>
          <w:spacing w:val="-3"/>
          <w:szCs w:val="28"/>
          <w:lang w:val="es-CO"/>
        </w:rPr>
        <w:t xml:space="preserve">, </w:t>
      </w:r>
      <w:r w:rsidR="00783D21">
        <w:rPr>
          <w:rFonts w:ascii="Arial" w:hAnsi="Arial" w:cs="Arial"/>
          <w:spacing w:val="-3"/>
          <w:szCs w:val="28"/>
          <w:lang w:val="es-CO"/>
        </w:rPr>
        <w:t>se aprecia</w:t>
      </w:r>
      <w:r w:rsidR="003B6065">
        <w:rPr>
          <w:rFonts w:ascii="Arial" w:hAnsi="Arial" w:cs="Arial"/>
          <w:spacing w:val="-3"/>
          <w:szCs w:val="28"/>
          <w:lang w:val="es-CO"/>
        </w:rPr>
        <w:t xml:space="preserve"> incumplido el fallo</w:t>
      </w:r>
      <w:r w:rsidR="00783D21">
        <w:rPr>
          <w:rFonts w:ascii="Arial" w:hAnsi="Arial" w:cs="Arial"/>
          <w:spacing w:val="-3"/>
          <w:szCs w:val="28"/>
          <w:lang w:val="es-CO"/>
        </w:rPr>
        <w:t xml:space="preserve"> de tutela, en cuanto al tratamiento integral, pues los medicamentos fueron recetados con</w:t>
      </w:r>
      <w:r w:rsidR="006E0569">
        <w:rPr>
          <w:rFonts w:ascii="Arial" w:hAnsi="Arial" w:cs="Arial"/>
          <w:spacing w:val="-3"/>
          <w:szCs w:val="28"/>
          <w:lang w:val="es-CO"/>
        </w:rPr>
        <w:t xml:space="preserve"> ocasión de</w:t>
      </w:r>
      <w:r w:rsidR="00783D21">
        <w:rPr>
          <w:rFonts w:ascii="Arial" w:hAnsi="Arial" w:cs="Arial"/>
          <w:spacing w:val="-3"/>
          <w:szCs w:val="28"/>
          <w:lang w:val="es-CO"/>
        </w:rPr>
        <w:t xml:space="preserve"> </w:t>
      </w:r>
      <w:r w:rsidR="006E0569">
        <w:rPr>
          <w:rFonts w:ascii="Arial" w:hAnsi="Arial" w:cs="Arial"/>
          <w:spacing w:val="-3"/>
          <w:szCs w:val="28"/>
          <w:lang w:val="es-CO"/>
        </w:rPr>
        <w:t>la complicación del trasplante de m</w:t>
      </w:r>
      <w:r w:rsidR="00FA21CD">
        <w:rPr>
          <w:rFonts w:ascii="Arial" w:hAnsi="Arial" w:cs="Arial"/>
          <w:spacing w:val="-3"/>
          <w:szCs w:val="28"/>
          <w:lang w:val="es-CO"/>
        </w:rPr>
        <w:t>é</w:t>
      </w:r>
      <w:r w:rsidR="006E0569">
        <w:rPr>
          <w:rFonts w:ascii="Arial" w:hAnsi="Arial" w:cs="Arial"/>
          <w:spacing w:val="-3"/>
          <w:szCs w:val="28"/>
          <w:lang w:val="es-CO"/>
        </w:rPr>
        <w:t>dula ósea que se manifiesta en la piel, hígado y ojos principalmente (Certificado del médico especialista</w:t>
      </w:r>
      <w:r w:rsidR="00FA21CD">
        <w:rPr>
          <w:rFonts w:ascii="Arial" w:hAnsi="Arial" w:cs="Arial"/>
          <w:spacing w:val="-3"/>
          <w:szCs w:val="28"/>
          <w:lang w:val="es-CO"/>
        </w:rPr>
        <w:t>,</w:t>
      </w:r>
      <w:r w:rsidR="006E0569">
        <w:rPr>
          <w:rFonts w:ascii="Arial" w:hAnsi="Arial" w:cs="Arial"/>
          <w:spacing w:val="-3"/>
          <w:szCs w:val="28"/>
          <w:lang w:val="es-CO"/>
        </w:rPr>
        <w:t xml:space="preserve"> obra en el disco compacto visible a folio 1, ibídem)</w:t>
      </w:r>
      <w:r w:rsidR="003B6065" w:rsidRPr="00E73A55">
        <w:rPr>
          <w:rFonts w:ascii="Arial" w:hAnsi="Arial" w:cs="Arial"/>
          <w:spacing w:val="-3"/>
          <w:szCs w:val="28"/>
          <w:lang w:val="es-CO"/>
        </w:rPr>
        <w:t>.</w:t>
      </w:r>
      <w:r w:rsidR="003B6065">
        <w:rPr>
          <w:rFonts w:ascii="Arial" w:hAnsi="Arial" w:cs="Arial"/>
          <w:spacing w:val="-3"/>
          <w:szCs w:val="28"/>
          <w:lang w:val="es-CO"/>
        </w:rPr>
        <w:t xml:space="preserve"> </w:t>
      </w:r>
    </w:p>
    <w:p w:rsidR="00783D21" w:rsidRDefault="00783D21" w:rsidP="003B6065">
      <w:pPr>
        <w:pStyle w:val="Sinespaciado"/>
        <w:widowControl/>
        <w:tabs>
          <w:tab w:val="left" w:pos="720"/>
        </w:tabs>
        <w:autoSpaceDE/>
        <w:autoSpaceDN/>
        <w:adjustRightInd/>
        <w:spacing w:line="360" w:lineRule="auto"/>
        <w:jc w:val="both"/>
        <w:rPr>
          <w:rFonts w:ascii="Arial" w:hAnsi="Arial" w:cs="Arial"/>
          <w:spacing w:val="-3"/>
          <w:szCs w:val="28"/>
          <w:lang w:val="es-CO"/>
        </w:rPr>
      </w:pPr>
    </w:p>
    <w:p w:rsidR="0033797D" w:rsidRDefault="0033797D" w:rsidP="0033797D">
      <w:pPr>
        <w:spacing w:line="360" w:lineRule="auto"/>
        <w:jc w:val="both"/>
        <w:rPr>
          <w:rFonts w:ascii="Arial" w:hAnsi="Arial" w:cs="Arial"/>
          <w:spacing w:val="-3"/>
          <w:sz w:val="24"/>
          <w:lang w:val="es-CO"/>
        </w:rPr>
      </w:pPr>
      <w:r>
        <w:rPr>
          <w:rFonts w:ascii="Arial" w:hAnsi="Arial" w:cs="Arial"/>
          <w:spacing w:val="-3"/>
          <w:sz w:val="24"/>
          <w:szCs w:val="28"/>
          <w:lang w:val="es-CO"/>
        </w:rPr>
        <w:t xml:space="preserve">Luego del silencio </w:t>
      </w:r>
      <w:r w:rsidR="006E0569">
        <w:rPr>
          <w:rFonts w:ascii="Arial" w:hAnsi="Arial" w:cs="Arial"/>
          <w:spacing w:val="-3"/>
          <w:sz w:val="24"/>
          <w:szCs w:val="28"/>
          <w:lang w:val="es-CO"/>
        </w:rPr>
        <w:t xml:space="preserve">de la </w:t>
      </w:r>
      <w:proofErr w:type="spellStart"/>
      <w:r w:rsidR="006E0569">
        <w:rPr>
          <w:rFonts w:ascii="Arial" w:hAnsi="Arial" w:cs="Arial"/>
          <w:spacing w:val="-3"/>
          <w:sz w:val="24"/>
          <w:szCs w:val="28"/>
          <w:lang w:val="es-CO"/>
        </w:rPr>
        <w:t>incidentada</w:t>
      </w:r>
      <w:proofErr w:type="spellEnd"/>
      <w:r>
        <w:rPr>
          <w:rFonts w:ascii="Arial" w:hAnsi="Arial" w:cs="Arial"/>
          <w:spacing w:val="-3"/>
          <w:sz w:val="24"/>
          <w:szCs w:val="28"/>
          <w:lang w:val="es-CO"/>
        </w:rPr>
        <w:t>, se advierte la desidia frente a la conducta debida, por cuanto en este trámite incidental</w:t>
      </w:r>
      <w:r w:rsidR="003B6065">
        <w:rPr>
          <w:rFonts w:ascii="Arial" w:hAnsi="Arial" w:cs="Arial"/>
          <w:spacing w:val="-3"/>
          <w:sz w:val="24"/>
          <w:szCs w:val="28"/>
          <w:lang w:val="es-CO"/>
        </w:rPr>
        <w:t>, en ninguna de las instancias</w:t>
      </w:r>
      <w:r>
        <w:rPr>
          <w:rFonts w:ascii="Arial" w:hAnsi="Arial" w:cs="Arial"/>
          <w:spacing w:val="-3"/>
          <w:sz w:val="24"/>
          <w:szCs w:val="28"/>
          <w:lang w:val="es-CO"/>
        </w:rPr>
        <w:t xml:space="preserve">, </w:t>
      </w:r>
      <w:r w:rsidR="003B6065">
        <w:rPr>
          <w:rFonts w:ascii="Arial" w:hAnsi="Arial" w:cs="Arial"/>
          <w:spacing w:val="-3"/>
          <w:sz w:val="24"/>
          <w:szCs w:val="28"/>
          <w:lang w:val="es-CO"/>
        </w:rPr>
        <w:t xml:space="preserve">ofreció </w:t>
      </w:r>
      <w:r>
        <w:rPr>
          <w:rFonts w:ascii="Arial" w:hAnsi="Arial" w:cs="Arial"/>
          <w:spacing w:val="-3"/>
          <w:sz w:val="24"/>
          <w:szCs w:val="28"/>
          <w:lang w:val="es-CO"/>
        </w:rPr>
        <w:t xml:space="preserve">una respuesta que justifique </w:t>
      </w:r>
      <w:r w:rsidR="003B6065">
        <w:rPr>
          <w:rFonts w:ascii="Arial" w:hAnsi="Arial" w:cs="Arial"/>
          <w:spacing w:val="-3"/>
          <w:sz w:val="24"/>
          <w:szCs w:val="28"/>
          <w:lang w:val="es-CO"/>
        </w:rPr>
        <w:t xml:space="preserve">la </w:t>
      </w:r>
      <w:r>
        <w:rPr>
          <w:rFonts w:ascii="Arial" w:hAnsi="Arial" w:cs="Arial"/>
          <w:spacing w:val="-3"/>
          <w:sz w:val="24"/>
          <w:szCs w:val="28"/>
          <w:lang w:val="es-CO"/>
        </w:rPr>
        <w:t>tardanza</w:t>
      </w:r>
      <w:r w:rsidR="003B6065">
        <w:rPr>
          <w:rFonts w:ascii="Arial" w:hAnsi="Arial" w:cs="Arial"/>
          <w:spacing w:val="-3"/>
          <w:sz w:val="24"/>
          <w:szCs w:val="28"/>
          <w:lang w:val="es-CO"/>
        </w:rPr>
        <w:t>; se obtuvo</w:t>
      </w:r>
      <w:r w:rsidR="006E0569">
        <w:rPr>
          <w:rFonts w:ascii="Arial" w:hAnsi="Arial" w:cs="Arial"/>
          <w:spacing w:val="-3"/>
          <w:sz w:val="24"/>
          <w:szCs w:val="28"/>
          <w:lang w:val="es-CO"/>
        </w:rPr>
        <w:t xml:space="preserve"> la información directamente de la accionante</w:t>
      </w:r>
      <w:r>
        <w:rPr>
          <w:rFonts w:ascii="Arial" w:hAnsi="Arial" w:cs="Arial"/>
          <w:spacing w:val="-3"/>
          <w:sz w:val="24"/>
          <w:szCs w:val="28"/>
          <w:lang w:val="es-CO"/>
        </w:rPr>
        <w:t xml:space="preserve">. Entonces la sanción impuesta aparece fundada en la desatención </w:t>
      </w:r>
      <w:r w:rsidR="003B6065">
        <w:rPr>
          <w:rFonts w:ascii="Arial" w:hAnsi="Arial" w:cs="Arial"/>
          <w:spacing w:val="-3"/>
          <w:sz w:val="24"/>
          <w:szCs w:val="28"/>
          <w:lang w:val="es-CO"/>
        </w:rPr>
        <w:t xml:space="preserve">a </w:t>
      </w:r>
      <w:r>
        <w:rPr>
          <w:rFonts w:ascii="Arial" w:hAnsi="Arial" w:cs="Arial"/>
          <w:spacing w:val="-3"/>
          <w:sz w:val="24"/>
          <w:szCs w:val="28"/>
          <w:lang w:val="es-CO"/>
        </w:rPr>
        <w:t>la sentencia de primera instancia.</w:t>
      </w:r>
      <w:r>
        <w:rPr>
          <w:rFonts w:ascii="Arial" w:hAnsi="Arial" w:cs="Arial"/>
          <w:spacing w:val="-3"/>
          <w:sz w:val="24"/>
          <w:lang w:val="es-CO"/>
        </w:rPr>
        <w:t xml:space="preserve"> </w:t>
      </w:r>
    </w:p>
    <w:p w:rsidR="001022C3" w:rsidRDefault="001022C3" w:rsidP="0033797D">
      <w:pPr>
        <w:spacing w:line="360" w:lineRule="auto"/>
        <w:jc w:val="both"/>
        <w:rPr>
          <w:rFonts w:ascii="Arial" w:hAnsi="Arial" w:cs="Arial"/>
          <w:spacing w:val="-3"/>
          <w:sz w:val="24"/>
          <w:lang w:val="es-CO"/>
        </w:rPr>
      </w:pPr>
    </w:p>
    <w:p w:rsidR="003B6065" w:rsidRDefault="003B6065" w:rsidP="003B6065">
      <w:pPr>
        <w:spacing w:line="360" w:lineRule="auto"/>
        <w:jc w:val="both"/>
        <w:rPr>
          <w:rFonts w:ascii="Arial" w:hAnsi="Arial" w:cs="Arial"/>
          <w:sz w:val="24"/>
          <w:szCs w:val="28"/>
          <w:lang w:val="es-CO"/>
        </w:rPr>
      </w:pPr>
      <w:r>
        <w:rPr>
          <w:rFonts w:ascii="Arial" w:hAnsi="Arial" w:cs="Arial"/>
          <w:spacing w:val="-3"/>
          <w:sz w:val="24"/>
          <w:szCs w:val="28"/>
          <w:lang w:val="es-CO"/>
        </w:rPr>
        <w:t xml:space="preserve">Así las cosas, </w:t>
      </w:r>
      <w:r w:rsidRPr="00606001">
        <w:rPr>
          <w:rFonts w:ascii="Arial" w:hAnsi="Arial" w:cs="Arial"/>
          <w:spacing w:val="-3"/>
          <w:sz w:val="24"/>
          <w:szCs w:val="28"/>
          <w:lang w:val="es-CO"/>
        </w:rPr>
        <w:t xml:space="preserve">se abre paso </w:t>
      </w:r>
      <w:r>
        <w:rPr>
          <w:rFonts w:ascii="Arial" w:hAnsi="Arial" w:cs="Arial"/>
          <w:spacing w:val="-3"/>
          <w:sz w:val="24"/>
          <w:szCs w:val="28"/>
          <w:lang w:val="es-CO"/>
        </w:rPr>
        <w:t xml:space="preserve">para </w:t>
      </w:r>
      <w:r w:rsidRPr="00606001">
        <w:rPr>
          <w:rFonts w:ascii="Arial" w:hAnsi="Arial" w:cs="Arial"/>
          <w:spacing w:val="-3"/>
          <w:sz w:val="24"/>
          <w:szCs w:val="28"/>
          <w:lang w:val="es-CO"/>
        </w:rPr>
        <w:t xml:space="preserve">esta </w:t>
      </w:r>
      <w:r>
        <w:rPr>
          <w:rFonts w:ascii="Arial" w:hAnsi="Arial" w:cs="Arial"/>
          <w:spacing w:val="-3"/>
          <w:sz w:val="24"/>
          <w:szCs w:val="28"/>
          <w:lang w:val="es-CO"/>
        </w:rPr>
        <w:t>Sala, c</w:t>
      </w:r>
      <w:r w:rsidRPr="00606001">
        <w:rPr>
          <w:rFonts w:ascii="Arial" w:hAnsi="Arial" w:cs="Arial"/>
          <w:spacing w:val="-3"/>
          <w:sz w:val="24"/>
          <w:szCs w:val="28"/>
          <w:lang w:val="es-CO"/>
        </w:rPr>
        <w:t>onfirma</w:t>
      </w:r>
      <w:r>
        <w:rPr>
          <w:rFonts w:ascii="Arial" w:hAnsi="Arial" w:cs="Arial"/>
          <w:spacing w:val="-3"/>
          <w:sz w:val="24"/>
          <w:szCs w:val="28"/>
          <w:lang w:val="es-CO"/>
        </w:rPr>
        <w:t>r</w:t>
      </w:r>
      <w:r w:rsidR="00B72AA4">
        <w:rPr>
          <w:rFonts w:ascii="Arial" w:hAnsi="Arial" w:cs="Arial"/>
          <w:spacing w:val="-3"/>
          <w:sz w:val="24"/>
          <w:szCs w:val="28"/>
          <w:lang w:val="es-CO"/>
        </w:rPr>
        <w:t xml:space="preserve"> </w:t>
      </w:r>
      <w:r>
        <w:rPr>
          <w:rFonts w:ascii="Arial" w:hAnsi="Arial" w:cs="Arial"/>
          <w:spacing w:val="-3"/>
          <w:sz w:val="24"/>
          <w:szCs w:val="28"/>
          <w:lang w:val="es-CO"/>
        </w:rPr>
        <w:t>el proveído venido en consulta</w:t>
      </w:r>
      <w:r w:rsidRPr="00606001">
        <w:rPr>
          <w:rFonts w:ascii="Arial" w:hAnsi="Arial" w:cs="Arial"/>
          <w:spacing w:val="-3"/>
          <w:sz w:val="24"/>
          <w:szCs w:val="28"/>
          <w:lang w:val="es-CO"/>
        </w:rPr>
        <w:t xml:space="preserve">, </w:t>
      </w:r>
      <w:r w:rsidRPr="002449F9">
        <w:rPr>
          <w:rFonts w:ascii="Arial" w:hAnsi="Arial" w:cs="Arial"/>
          <w:spacing w:val="-3"/>
          <w:sz w:val="24"/>
          <w:szCs w:val="24"/>
          <w:lang w:val="es-CO"/>
        </w:rPr>
        <w:t>ya que los derechos fundamentales constitucionales que aparecían como violados por la renuencia de la entidad</w:t>
      </w:r>
      <w:r w:rsidR="009259A7">
        <w:rPr>
          <w:rFonts w:ascii="Arial" w:hAnsi="Arial" w:cs="Arial"/>
          <w:spacing w:val="-3"/>
          <w:sz w:val="24"/>
          <w:szCs w:val="24"/>
          <w:lang w:val="es-CO"/>
        </w:rPr>
        <w:t>, se mantienen en ese estado</w:t>
      </w:r>
      <w:r w:rsidRPr="002449F9">
        <w:rPr>
          <w:rFonts w:ascii="Arial" w:hAnsi="Arial" w:cs="Arial"/>
          <w:spacing w:val="-3"/>
          <w:sz w:val="24"/>
          <w:szCs w:val="24"/>
          <w:lang w:val="es-CO"/>
        </w:rPr>
        <w:t xml:space="preserve">, </w:t>
      </w:r>
      <w:r w:rsidR="006F2E70">
        <w:rPr>
          <w:rFonts w:ascii="Arial" w:hAnsi="Arial" w:cs="Arial"/>
          <w:spacing w:val="-3"/>
          <w:sz w:val="24"/>
          <w:szCs w:val="24"/>
          <w:lang w:val="es-CO"/>
        </w:rPr>
        <w:t>pues los medicamentos no fueron entregados en su totalidad</w:t>
      </w:r>
      <w:r>
        <w:rPr>
          <w:rFonts w:ascii="Arial" w:hAnsi="Arial" w:cs="Arial"/>
          <w:spacing w:val="-3"/>
          <w:sz w:val="24"/>
          <w:szCs w:val="24"/>
          <w:lang w:val="es-CO"/>
        </w:rPr>
        <w:t xml:space="preserve">, </w:t>
      </w:r>
      <w:r w:rsidRPr="00606001">
        <w:rPr>
          <w:rFonts w:ascii="Arial" w:hAnsi="Arial" w:cs="Arial"/>
          <w:spacing w:val="-3"/>
          <w:sz w:val="24"/>
          <w:szCs w:val="28"/>
          <w:lang w:val="es-CO"/>
        </w:rPr>
        <w:t xml:space="preserve">el cometido cardinal de este trámite está </w:t>
      </w:r>
      <w:r>
        <w:rPr>
          <w:rFonts w:ascii="Arial" w:hAnsi="Arial" w:cs="Arial"/>
          <w:spacing w:val="-3"/>
          <w:sz w:val="24"/>
          <w:szCs w:val="28"/>
          <w:lang w:val="es-CO"/>
        </w:rPr>
        <w:t>in</w:t>
      </w:r>
      <w:r w:rsidRPr="00606001">
        <w:rPr>
          <w:rFonts w:ascii="Arial" w:hAnsi="Arial" w:cs="Arial"/>
          <w:spacing w:val="-3"/>
          <w:sz w:val="24"/>
          <w:szCs w:val="28"/>
          <w:lang w:val="es-CO"/>
        </w:rPr>
        <w:t>cumplido, como explica la doctrina</w:t>
      </w:r>
      <w:r>
        <w:rPr>
          <w:rStyle w:val="Refdenotaalpie"/>
          <w:rFonts w:ascii="Arial" w:hAnsi="Arial"/>
          <w:spacing w:val="-3"/>
          <w:sz w:val="24"/>
          <w:szCs w:val="28"/>
          <w:lang w:val="es-CO"/>
        </w:rPr>
        <w:footnoteReference w:id="17"/>
      </w:r>
      <w:r w:rsidRPr="00606001">
        <w:rPr>
          <w:rFonts w:ascii="Arial" w:hAnsi="Arial" w:cs="Arial"/>
          <w:spacing w:val="-3"/>
          <w:sz w:val="24"/>
          <w:szCs w:val="28"/>
          <w:lang w:val="es-CO"/>
        </w:rPr>
        <w:t xml:space="preserve"> sobre el tema</w:t>
      </w:r>
      <w:r>
        <w:rPr>
          <w:rFonts w:ascii="Arial" w:hAnsi="Arial" w:cs="Arial"/>
          <w:spacing w:val="-3"/>
          <w:sz w:val="24"/>
          <w:szCs w:val="28"/>
          <w:lang w:val="es-CO"/>
        </w:rPr>
        <w:t>:</w:t>
      </w:r>
      <w:r w:rsidRPr="00606001">
        <w:rPr>
          <w:rFonts w:ascii="Arial" w:hAnsi="Arial" w:cs="Arial"/>
          <w:spacing w:val="-3"/>
          <w:sz w:val="24"/>
          <w:szCs w:val="28"/>
          <w:lang w:val="es-CO"/>
        </w:rPr>
        <w:t xml:space="preserve"> “</w:t>
      </w:r>
      <w:r w:rsidRPr="00017B61">
        <w:rPr>
          <w:rFonts w:ascii="Arial" w:hAnsi="Arial" w:cs="Arial"/>
          <w:i/>
          <w:spacing w:val="-3"/>
          <w:sz w:val="22"/>
          <w:szCs w:val="28"/>
          <w:lang w:val="es-CO"/>
        </w:rPr>
        <w:t xml:space="preserve">(…) </w:t>
      </w:r>
      <w:r w:rsidRPr="00017B61">
        <w:rPr>
          <w:rFonts w:ascii="Arial" w:hAnsi="Arial" w:cs="Arial"/>
          <w:i/>
          <w:sz w:val="22"/>
          <w:szCs w:val="28"/>
          <w:lang w:val="es-CO"/>
        </w:rPr>
        <w:t xml:space="preserve">no es suficiente el que las personas logren la protección de sus derechos fundamentales por vía de la acción de tutela, </w:t>
      </w:r>
      <w:r w:rsidRPr="00017B61">
        <w:rPr>
          <w:rFonts w:ascii="Arial" w:hAnsi="Arial" w:cs="Arial"/>
          <w:i/>
          <w:sz w:val="22"/>
          <w:szCs w:val="28"/>
          <w:u w:val="single"/>
          <w:lang w:val="es-CO"/>
        </w:rPr>
        <w:t xml:space="preserve">sino que además se le debe </w:t>
      </w:r>
      <w:r w:rsidRPr="00017B61">
        <w:rPr>
          <w:rFonts w:ascii="Arial" w:hAnsi="Arial" w:cs="Arial"/>
          <w:i/>
          <w:sz w:val="22"/>
          <w:szCs w:val="28"/>
          <w:u w:val="single"/>
          <w:lang w:val="es-CO"/>
        </w:rPr>
        <w:lastRenderedPageBreak/>
        <w:t>proveer de los mecanismos que hagan efectiva la orden proferida por el juez de tutela</w:t>
      </w:r>
      <w:r w:rsidRPr="00017B61">
        <w:rPr>
          <w:rFonts w:ascii="Arial" w:hAnsi="Arial" w:cs="Arial"/>
          <w:i/>
          <w:sz w:val="22"/>
          <w:szCs w:val="28"/>
          <w:lang w:val="es-CO"/>
        </w:rPr>
        <w:t xml:space="preserve"> (…)</w:t>
      </w:r>
      <w:r>
        <w:rPr>
          <w:rFonts w:ascii="Arial" w:hAnsi="Arial" w:cs="Arial"/>
          <w:i/>
          <w:sz w:val="24"/>
          <w:szCs w:val="28"/>
          <w:lang w:val="es-CO"/>
        </w:rPr>
        <w:t>”.</w:t>
      </w:r>
      <w:r>
        <w:rPr>
          <w:rFonts w:ascii="Arial" w:hAnsi="Arial" w:cs="Arial"/>
          <w:sz w:val="24"/>
          <w:szCs w:val="28"/>
          <w:lang w:val="es-CO"/>
        </w:rPr>
        <w:t xml:space="preserve">  El resaltado es propio de esta Sala.</w:t>
      </w:r>
    </w:p>
    <w:p w:rsidR="003B6065" w:rsidRDefault="003B6065" w:rsidP="003B6065">
      <w:pPr>
        <w:spacing w:line="360" w:lineRule="auto"/>
        <w:jc w:val="both"/>
        <w:rPr>
          <w:rFonts w:ascii="Arial" w:hAnsi="Arial" w:cs="Arial"/>
          <w:sz w:val="24"/>
          <w:szCs w:val="28"/>
          <w:lang w:val="es-CO"/>
        </w:rPr>
      </w:pPr>
    </w:p>
    <w:p w:rsidR="00CE2262" w:rsidRDefault="00B82E21" w:rsidP="00B82E21">
      <w:pPr>
        <w:pStyle w:val="Sinespaciado"/>
        <w:widowControl/>
        <w:tabs>
          <w:tab w:val="left" w:pos="720"/>
        </w:tabs>
        <w:autoSpaceDE/>
        <w:autoSpaceDN/>
        <w:adjustRightInd/>
        <w:spacing w:line="360" w:lineRule="auto"/>
        <w:jc w:val="both"/>
        <w:rPr>
          <w:rFonts w:ascii="Arial" w:hAnsi="Arial" w:cs="Arial"/>
          <w:spacing w:val="-3"/>
          <w:szCs w:val="28"/>
          <w:lang w:val="es-CO"/>
        </w:rPr>
      </w:pPr>
      <w:r w:rsidRPr="005114A9">
        <w:rPr>
          <w:rFonts w:ascii="Arial" w:hAnsi="Arial" w:cs="Arial"/>
          <w:spacing w:val="-3"/>
          <w:szCs w:val="28"/>
          <w:lang w:val="es-CO"/>
        </w:rPr>
        <w:t xml:space="preserve">Sin embargo considera esta Sala, que la sanción debe ser proporcionada y razonada al tenor del incumplimiento de la orden </w:t>
      </w:r>
      <w:r w:rsidRPr="00FA21CD">
        <w:rPr>
          <w:rFonts w:ascii="Arial" w:hAnsi="Arial" w:cs="Arial"/>
          <w:spacing w:val="-3"/>
          <w:szCs w:val="28"/>
          <w:lang w:val="es-CO"/>
        </w:rPr>
        <w:t>judicial, ello conforme lo ha establecido la CC</w:t>
      </w:r>
      <w:r w:rsidRPr="00FA21CD">
        <w:rPr>
          <w:rStyle w:val="Refdenotaalpie"/>
          <w:rFonts w:ascii="Arial" w:hAnsi="Arial"/>
          <w:spacing w:val="-3"/>
          <w:szCs w:val="28"/>
          <w:lang w:val="es-CO"/>
        </w:rPr>
        <w:footnoteReference w:id="18"/>
      </w:r>
      <w:r w:rsidR="006D2AC8" w:rsidRPr="00FA21CD">
        <w:rPr>
          <w:rFonts w:ascii="Arial" w:hAnsi="Arial" w:cs="Arial"/>
          <w:spacing w:val="-3"/>
          <w:szCs w:val="28"/>
          <w:lang w:val="es-CO"/>
        </w:rPr>
        <w:t xml:space="preserve">, al decir que: </w:t>
      </w:r>
      <w:r w:rsidR="006D2AC8" w:rsidRPr="00FA21CD">
        <w:rPr>
          <w:rFonts w:ascii="Arial" w:hAnsi="Arial" w:cs="Arial"/>
          <w:i/>
          <w:spacing w:val="-3"/>
          <w:sz w:val="22"/>
          <w:szCs w:val="22"/>
          <w:lang w:val="es-CO"/>
        </w:rPr>
        <w:t xml:space="preserve">“(…) </w:t>
      </w:r>
      <w:r w:rsidR="006D2AC8" w:rsidRPr="00FA21CD">
        <w:rPr>
          <w:rFonts w:ascii="Arial" w:hAnsi="Arial" w:cs="Arial"/>
          <w:i/>
          <w:sz w:val="22"/>
          <w:szCs w:val="22"/>
          <w:shd w:val="clear" w:color="auto" w:fill="FFFFFF"/>
        </w:rPr>
        <w:t xml:space="preserve">el juez del desacato debe verificar si efectivamente se incumplió la orden de tutela impartida y, de ser así, tiene que determinar si el mismo fue total o parcial, identificando las razones por las cuales se produjo, </w:t>
      </w:r>
      <w:r w:rsidR="00B72AA4" w:rsidRPr="00FA21CD">
        <w:rPr>
          <w:rFonts w:ascii="Arial" w:hAnsi="Arial" w:cs="Arial"/>
          <w:i/>
          <w:sz w:val="22"/>
          <w:szCs w:val="22"/>
          <w:shd w:val="clear" w:color="auto" w:fill="FFFFFF"/>
        </w:rPr>
        <w:t xml:space="preserve">(…) </w:t>
      </w:r>
      <w:r w:rsidR="006D2AC8" w:rsidRPr="00FA21CD">
        <w:rPr>
          <w:rFonts w:ascii="Arial" w:hAnsi="Arial" w:cs="Arial"/>
          <w:i/>
          <w:sz w:val="22"/>
          <w:szCs w:val="22"/>
          <w:shd w:val="clear" w:color="auto" w:fill="FFFFFF"/>
        </w:rPr>
        <w:t xml:space="preserve">si existió responsabilidad subjetiva de la persona obligada. Finalmente, si la encontrare probada </w:t>
      </w:r>
      <w:r w:rsidR="006D2AC8" w:rsidRPr="00FA21CD">
        <w:rPr>
          <w:rFonts w:ascii="Arial" w:hAnsi="Arial" w:cs="Arial"/>
          <w:i/>
          <w:sz w:val="22"/>
          <w:szCs w:val="22"/>
          <w:u w:val="single"/>
          <w:shd w:val="clear" w:color="auto" w:fill="FFFFFF"/>
        </w:rPr>
        <w:t>deberá imponer la sanción adecuada, proporcionada y razonable en relación con los hechos</w:t>
      </w:r>
      <w:r w:rsidR="00B72AA4" w:rsidRPr="00FA21CD">
        <w:rPr>
          <w:rFonts w:ascii="Arial" w:hAnsi="Arial" w:cs="Arial"/>
          <w:i/>
          <w:sz w:val="22"/>
          <w:szCs w:val="22"/>
          <w:u w:val="single"/>
          <w:shd w:val="clear" w:color="auto" w:fill="FFFFFF"/>
        </w:rPr>
        <w:t xml:space="preserve"> (…)</w:t>
      </w:r>
      <w:r w:rsidR="00B72AA4" w:rsidRPr="00FA21CD">
        <w:rPr>
          <w:rFonts w:ascii="Arial" w:hAnsi="Arial" w:cs="Arial"/>
          <w:i/>
          <w:sz w:val="22"/>
          <w:szCs w:val="22"/>
          <w:shd w:val="clear" w:color="auto" w:fill="FFFFFF"/>
        </w:rPr>
        <w:t>”.</w:t>
      </w:r>
      <w:r w:rsidRPr="00FA21CD">
        <w:rPr>
          <w:rFonts w:ascii="Arial" w:hAnsi="Arial" w:cs="Arial"/>
          <w:spacing w:val="-3"/>
          <w:szCs w:val="28"/>
          <w:lang w:val="es-CO"/>
        </w:rPr>
        <w:t xml:space="preserve"> </w:t>
      </w:r>
    </w:p>
    <w:p w:rsidR="00CE2262" w:rsidRDefault="00CE2262" w:rsidP="00B82E21">
      <w:pPr>
        <w:pStyle w:val="Sinespaciado"/>
        <w:widowControl/>
        <w:tabs>
          <w:tab w:val="left" w:pos="720"/>
        </w:tabs>
        <w:autoSpaceDE/>
        <w:autoSpaceDN/>
        <w:adjustRightInd/>
        <w:spacing w:line="360" w:lineRule="auto"/>
        <w:jc w:val="both"/>
        <w:rPr>
          <w:rFonts w:ascii="Arial" w:hAnsi="Arial" w:cs="Arial"/>
          <w:spacing w:val="-3"/>
          <w:szCs w:val="28"/>
          <w:lang w:val="es-CO"/>
        </w:rPr>
      </w:pPr>
    </w:p>
    <w:p w:rsidR="00B82E21" w:rsidRDefault="00B72AA4" w:rsidP="00B82E21">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E</w:t>
      </w:r>
      <w:r w:rsidR="00B82E21" w:rsidRPr="005114A9">
        <w:rPr>
          <w:rFonts w:ascii="Arial" w:hAnsi="Arial" w:cs="Arial"/>
          <w:spacing w:val="-3"/>
          <w:szCs w:val="28"/>
          <w:lang w:val="es-CO"/>
        </w:rPr>
        <w:t xml:space="preserve">n este caso, tal como se dijo, hubo cumplimiento parcial de </w:t>
      </w:r>
      <w:r>
        <w:rPr>
          <w:rFonts w:ascii="Arial" w:hAnsi="Arial" w:cs="Arial"/>
          <w:spacing w:val="-3"/>
          <w:szCs w:val="28"/>
          <w:lang w:val="es-CO"/>
        </w:rPr>
        <w:t>la decisión de tutela</w:t>
      </w:r>
      <w:r w:rsidR="00B82E21" w:rsidRPr="005114A9">
        <w:rPr>
          <w:rFonts w:ascii="Arial" w:hAnsi="Arial" w:cs="Arial"/>
          <w:spacing w:val="-3"/>
          <w:szCs w:val="28"/>
          <w:lang w:val="es-CO"/>
        </w:rPr>
        <w:t xml:space="preserve">, </w:t>
      </w:r>
      <w:r>
        <w:rPr>
          <w:rFonts w:ascii="Arial" w:hAnsi="Arial" w:cs="Arial"/>
          <w:spacing w:val="-3"/>
          <w:szCs w:val="28"/>
          <w:lang w:val="es-CO"/>
        </w:rPr>
        <w:t>pues todos los servicios médicos exigidos ya fueron brindados, salvo la entrega total de uno solo de los medicamentos</w:t>
      </w:r>
      <w:r w:rsidR="00B82E21">
        <w:rPr>
          <w:rFonts w:ascii="Arial" w:hAnsi="Arial" w:cs="Arial"/>
          <w:spacing w:val="-3"/>
          <w:szCs w:val="28"/>
          <w:lang w:val="es-CO"/>
        </w:rPr>
        <w:t xml:space="preserve">; en esas </w:t>
      </w:r>
      <w:r>
        <w:rPr>
          <w:rFonts w:ascii="Arial" w:hAnsi="Arial" w:cs="Arial"/>
          <w:spacing w:val="-3"/>
          <w:szCs w:val="28"/>
          <w:lang w:val="es-CO"/>
        </w:rPr>
        <w:t xml:space="preserve">condiciones se modificará </w:t>
      </w:r>
      <w:r w:rsidR="00B82E21" w:rsidRPr="00606001">
        <w:rPr>
          <w:rFonts w:ascii="Arial" w:hAnsi="Arial" w:cs="Arial"/>
          <w:spacing w:val="-3"/>
          <w:szCs w:val="28"/>
          <w:lang w:val="es-CO"/>
        </w:rPr>
        <w:t>la sanción impuesta</w:t>
      </w:r>
      <w:r>
        <w:rPr>
          <w:rFonts w:ascii="Arial" w:hAnsi="Arial" w:cs="Arial"/>
          <w:spacing w:val="-3"/>
          <w:szCs w:val="28"/>
          <w:lang w:val="es-CO"/>
        </w:rPr>
        <w:t xml:space="preserve"> en primera instancia</w:t>
      </w:r>
      <w:r w:rsidR="00B82E21">
        <w:rPr>
          <w:rFonts w:ascii="Arial" w:hAnsi="Arial" w:cs="Arial"/>
          <w:lang w:val="es-CO"/>
        </w:rPr>
        <w:t>,</w:t>
      </w:r>
      <w:r w:rsidR="00B82E21">
        <w:rPr>
          <w:rFonts w:ascii="Arial" w:hAnsi="Arial" w:cs="Arial"/>
          <w:spacing w:val="-3"/>
          <w:szCs w:val="28"/>
          <w:lang w:val="es-CO"/>
        </w:rPr>
        <w:t xml:space="preserve"> </w:t>
      </w:r>
      <w:r>
        <w:rPr>
          <w:rFonts w:ascii="Arial" w:hAnsi="Arial" w:cs="Arial"/>
          <w:spacing w:val="-3"/>
          <w:szCs w:val="28"/>
          <w:lang w:val="es-CO"/>
        </w:rPr>
        <w:t xml:space="preserve">para reducirla </w:t>
      </w:r>
      <w:r w:rsidR="00B82E21">
        <w:rPr>
          <w:rFonts w:ascii="Arial" w:hAnsi="Arial" w:cs="Arial"/>
          <w:spacing w:val="-3"/>
          <w:szCs w:val="28"/>
          <w:lang w:val="es-CO"/>
        </w:rPr>
        <w:t xml:space="preserve">a la mitad. </w:t>
      </w:r>
    </w:p>
    <w:p w:rsidR="006839A7" w:rsidRDefault="006839A7" w:rsidP="003B6065">
      <w:pPr>
        <w:spacing w:line="360" w:lineRule="auto"/>
        <w:jc w:val="both"/>
        <w:rPr>
          <w:rFonts w:ascii="Arial" w:hAnsi="Arial" w:cs="Arial"/>
          <w:sz w:val="24"/>
          <w:szCs w:val="24"/>
          <w:lang w:val="es-CO"/>
        </w:rPr>
      </w:pPr>
    </w:p>
    <w:p w:rsidR="003B6065" w:rsidRPr="001F02C2" w:rsidRDefault="003B6065" w:rsidP="003B6065">
      <w:pPr>
        <w:spacing w:line="360" w:lineRule="auto"/>
        <w:jc w:val="both"/>
        <w:rPr>
          <w:rFonts w:ascii="Arial" w:hAnsi="Arial" w:cs="Arial"/>
          <w:spacing w:val="-3"/>
          <w:sz w:val="24"/>
          <w:szCs w:val="24"/>
          <w:lang w:val="es-CO"/>
        </w:rPr>
      </w:pPr>
      <w:r w:rsidRPr="001F02C2">
        <w:rPr>
          <w:rFonts w:ascii="Arial" w:hAnsi="Arial" w:cs="Arial"/>
          <w:sz w:val="24"/>
          <w:szCs w:val="24"/>
          <w:lang w:val="es-CO"/>
        </w:rPr>
        <w:t>Adicionalmente</w:t>
      </w:r>
      <w:r w:rsidRPr="001F02C2">
        <w:rPr>
          <w:rFonts w:ascii="Arial" w:hAnsi="Arial" w:cs="Arial"/>
          <w:spacing w:val="-3"/>
          <w:sz w:val="24"/>
          <w:szCs w:val="24"/>
          <w:lang w:val="es-CO"/>
        </w:rPr>
        <w:t xml:space="preserve">, encuentra esta </w:t>
      </w:r>
      <w:r>
        <w:rPr>
          <w:rFonts w:ascii="Arial" w:hAnsi="Arial" w:cs="Arial"/>
          <w:spacing w:val="-3"/>
          <w:sz w:val="24"/>
          <w:szCs w:val="24"/>
          <w:lang w:val="es-CO"/>
        </w:rPr>
        <w:t>Superioridad</w:t>
      </w:r>
      <w:r w:rsidRPr="001F02C2">
        <w:rPr>
          <w:rFonts w:ascii="Arial" w:hAnsi="Arial" w:cs="Arial"/>
          <w:spacing w:val="-3"/>
          <w:sz w:val="24"/>
          <w:szCs w:val="24"/>
          <w:lang w:val="es-CO"/>
        </w:rPr>
        <w:t xml:space="preserve"> necesario ajustar </w:t>
      </w:r>
      <w:r>
        <w:rPr>
          <w:rFonts w:ascii="Arial" w:hAnsi="Arial" w:cs="Arial"/>
          <w:spacing w:val="-3"/>
          <w:sz w:val="24"/>
          <w:szCs w:val="24"/>
          <w:lang w:val="es-CO"/>
        </w:rPr>
        <w:t xml:space="preserve">la providencia sancionatoria </w:t>
      </w:r>
      <w:r w:rsidRPr="001F02C2">
        <w:rPr>
          <w:rFonts w:ascii="Arial" w:hAnsi="Arial" w:cs="Arial"/>
          <w:spacing w:val="-3"/>
          <w:sz w:val="24"/>
          <w:szCs w:val="24"/>
          <w:lang w:val="es-CO"/>
        </w:rPr>
        <w:t>de conformidad con los lineamientos establecidos por la Sala Administr</w:t>
      </w:r>
      <w:r w:rsidR="009259A7">
        <w:rPr>
          <w:rFonts w:ascii="Arial" w:hAnsi="Arial" w:cs="Arial"/>
          <w:spacing w:val="-3"/>
          <w:sz w:val="24"/>
          <w:szCs w:val="24"/>
          <w:lang w:val="es-CO"/>
        </w:rPr>
        <w:t>ativa del CSJ en el Acuerdo No.</w:t>
      </w:r>
      <w:r w:rsidRPr="001F02C2">
        <w:rPr>
          <w:rFonts w:ascii="Arial" w:hAnsi="Arial" w:cs="Arial"/>
          <w:spacing w:val="-3"/>
          <w:sz w:val="24"/>
          <w:szCs w:val="24"/>
          <w:lang w:val="es-CO"/>
        </w:rPr>
        <w:t>PSAA10-6979 de 2010</w:t>
      </w:r>
      <w:r w:rsidR="006E0569">
        <w:rPr>
          <w:rFonts w:ascii="Arial" w:hAnsi="Arial" w:cs="Arial"/>
          <w:spacing w:val="-3"/>
          <w:sz w:val="24"/>
          <w:szCs w:val="24"/>
          <w:lang w:val="es-CO"/>
        </w:rPr>
        <w:t xml:space="preserve"> y Circular No.DEAJC15-61 de 23-11-2015 de la Dirección Ejecutiva de Administración Judicial</w:t>
      </w:r>
      <w:r w:rsidRPr="001F02C2">
        <w:rPr>
          <w:rFonts w:ascii="Arial" w:hAnsi="Arial" w:cs="Arial"/>
          <w:spacing w:val="-3"/>
          <w:sz w:val="24"/>
          <w:szCs w:val="24"/>
          <w:lang w:val="es-CO"/>
        </w:rPr>
        <w:t xml:space="preserve">, pues </w:t>
      </w:r>
      <w:r w:rsidR="006E0569">
        <w:rPr>
          <w:rFonts w:ascii="Arial" w:hAnsi="Arial" w:cs="Arial"/>
          <w:spacing w:val="-3"/>
          <w:sz w:val="24"/>
          <w:szCs w:val="24"/>
          <w:lang w:val="es-CO"/>
        </w:rPr>
        <w:t>la cuenta de depósito donde se ordenó consignar la multa está errada</w:t>
      </w:r>
      <w:r w:rsidRPr="001F02C2">
        <w:rPr>
          <w:rFonts w:ascii="Arial" w:hAnsi="Arial" w:cs="Arial"/>
          <w:spacing w:val="-3"/>
          <w:sz w:val="24"/>
          <w:szCs w:val="24"/>
          <w:lang w:val="es-CO"/>
        </w:rPr>
        <w:t xml:space="preserve">. </w:t>
      </w:r>
    </w:p>
    <w:p w:rsidR="00E578BF" w:rsidRPr="00DA13AA" w:rsidRDefault="00E578BF" w:rsidP="00E578BF">
      <w:pPr>
        <w:spacing w:line="360" w:lineRule="auto"/>
        <w:jc w:val="both"/>
        <w:rPr>
          <w:rFonts w:ascii="Arial" w:hAnsi="Arial" w:cs="Arial"/>
          <w:spacing w:val="-3"/>
          <w:szCs w:val="28"/>
          <w:lang w:val="es-CO"/>
        </w:rPr>
      </w:pPr>
    </w:p>
    <w:p w:rsidR="00E578BF" w:rsidRDefault="00E578BF" w:rsidP="00E578BF">
      <w:pPr>
        <w:pStyle w:val="Prrafodelista"/>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6F2E70" w:rsidRDefault="006F2E70" w:rsidP="006F2E70">
      <w:pPr>
        <w:pStyle w:val="Prrafodelista"/>
        <w:spacing w:line="360" w:lineRule="auto"/>
        <w:ind w:left="360"/>
        <w:jc w:val="both"/>
        <w:rPr>
          <w:rFonts w:ascii="Arial" w:hAnsi="Arial" w:cs="Arial"/>
          <w:sz w:val="24"/>
          <w:szCs w:val="22"/>
          <w:lang w:val="es-CO"/>
        </w:rPr>
      </w:pPr>
    </w:p>
    <w:p w:rsidR="00901F9A" w:rsidRPr="00C01A16" w:rsidRDefault="00901F9A" w:rsidP="00901F9A">
      <w:pPr>
        <w:pStyle w:val="Textoindependiente"/>
        <w:tabs>
          <w:tab w:val="left" w:pos="8647"/>
          <w:tab w:val="left" w:pos="9498"/>
        </w:tabs>
        <w:spacing w:line="360" w:lineRule="auto"/>
        <w:ind w:right="79"/>
        <w:rPr>
          <w:rFonts w:ascii="Arial" w:hAnsi="Arial" w:cs="Arial"/>
          <w:lang w:val="es-CO"/>
        </w:rPr>
      </w:pPr>
      <w:r w:rsidRPr="00C01A16">
        <w:rPr>
          <w:rFonts w:ascii="Arial" w:hAnsi="Arial" w:cs="Arial"/>
          <w:lang w:val="es-CO"/>
        </w:rPr>
        <w:t xml:space="preserve">Acorde </w:t>
      </w:r>
      <w:r>
        <w:rPr>
          <w:rFonts w:ascii="Arial" w:hAnsi="Arial" w:cs="Arial"/>
          <w:lang w:val="es-CO"/>
        </w:rPr>
        <w:t>con</w:t>
      </w:r>
      <w:r w:rsidRPr="00C01A16">
        <w:rPr>
          <w:rFonts w:ascii="Arial" w:hAnsi="Arial" w:cs="Arial"/>
          <w:lang w:val="es-CO"/>
        </w:rPr>
        <w:t xml:space="preserve"> lo expuesto, </w:t>
      </w:r>
      <w:r>
        <w:rPr>
          <w:rFonts w:ascii="Arial" w:hAnsi="Arial" w:cs="Arial"/>
          <w:lang w:val="es-CO"/>
        </w:rPr>
        <w:t>(i) S</w:t>
      </w:r>
      <w:r w:rsidRPr="00C01A16">
        <w:rPr>
          <w:rFonts w:ascii="Arial" w:hAnsi="Arial" w:cs="Arial"/>
          <w:lang w:val="es-CO"/>
        </w:rPr>
        <w:t xml:space="preserve">e </w:t>
      </w:r>
      <w:r>
        <w:rPr>
          <w:rFonts w:ascii="Arial" w:hAnsi="Arial" w:cs="Arial"/>
          <w:lang w:val="es-CO"/>
        </w:rPr>
        <w:t xml:space="preserve">confirmará el proveído venido en consulta; y, (ii) Se </w:t>
      </w:r>
      <w:r w:rsidR="006E0569">
        <w:rPr>
          <w:rFonts w:ascii="Arial" w:hAnsi="Arial" w:cs="Arial"/>
          <w:lang w:val="es-CO"/>
        </w:rPr>
        <w:t xml:space="preserve">modificará </w:t>
      </w:r>
      <w:r>
        <w:rPr>
          <w:rFonts w:ascii="Arial" w:hAnsi="Arial" w:cs="Arial"/>
          <w:lang w:val="es-CO"/>
        </w:rPr>
        <w:t xml:space="preserve">el numeral </w:t>
      </w:r>
      <w:r w:rsidR="006F2E70">
        <w:rPr>
          <w:rFonts w:ascii="Arial" w:hAnsi="Arial" w:cs="Arial"/>
          <w:lang w:val="es-CO"/>
        </w:rPr>
        <w:t>2</w:t>
      </w:r>
      <w:r>
        <w:rPr>
          <w:rFonts w:ascii="Arial" w:hAnsi="Arial" w:cs="Arial"/>
          <w:lang w:val="es-CO"/>
        </w:rPr>
        <w:t xml:space="preserve">º para </w:t>
      </w:r>
      <w:r w:rsidR="00B72AA4">
        <w:rPr>
          <w:rFonts w:ascii="Arial" w:hAnsi="Arial" w:cs="Arial"/>
          <w:lang w:val="es-CO"/>
        </w:rPr>
        <w:t xml:space="preserve">reducir la sanción impuesta a la mitad y </w:t>
      </w:r>
      <w:r w:rsidR="006E0569">
        <w:rPr>
          <w:rFonts w:ascii="Arial" w:hAnsi="Arial" w:cs="Arial"/>
          <w:lang w:val="es-CO"/>
        </w:rPr>
        <w:t xml:space="preserve">disponer que la multa </w:t>
      </w:r>
      <w:r w:rsidR="00B72AA4">
        <w:rPr>
          <w:rFonts w:ascii="Arial" w:hAnsi="Arial" w:cs="Arial"/>
          <w:lang w:val="es-CO"/>
        </w:rPr>
        <w:t xml:space="preserve">sea </w:t>
      </w:r>
      <w:r w:rsidR="006E0569">
        <w:rPr>
          <w:rFonts w:ascii="Arial" w:hAnsi="Arial" w:cs="Arial"/>
          <w:lang w:val="es-CO"/>
        </w:rPr>
        <w:t xml:space="preserve">consignada en la cuenta </w:t>
      </w:r>
      <w:r w:rsidR="006E0569" w:rsidRPr="00B875D4">
        <w:rPr>
          <w:rFonts w:ascii="Arial" w:hAnsi="Arial" w:cs="Arial"/>
          <w:i/>
        </w:rPr>
        <w:t>“CSJ - MULTAS Y SUS RENDIMIENTOS – CUN”</w:t>
      </w:r>
      <w:r w:rsidR="006E0569" w:rsidRPr="00B875D4">
        <w:rPr>
          <w:rFonts w:ascii="Arial" w:hAnsi="Arial" w:cs="Arial"/>
        </w:rPr>
        <w:t xml:space="preserve"> No.3-0820-000640-8 del Banco Agrario de Colombia SA</w:t>
      </w:r>
      <w:r>
        <w:rPr>
          <w:rFonts w:ascii="Arial" w:hAnsi="Arial" w:cs="Arial"/>
          <w:lang w:val="es-CO"/>
        </w:rPr>
        <w:t>.</w:t>
      </w:r>
    </w:p>
    <w:p w:rsidR="00901F9A" w:rsidRPr="003010F8" w:rsidRDefault="00901F9A" w:rsidP="00901F9A">
      <w:pPr>
        <w:pStyle w:val="Textoindependiente"/>
        <w:tabs>
          <w:tab w:val="left" w:pos="8647"/>
          <w:tab w:val="left" w:pos="9498"/>
        </w:tabs>
        <w:spacing w:line="360" w:lineRule="auto"/>
        <w:ind w:right="79"/>
        <w:rPr>
          <w:rFonts w:ascii="Arial" w:hAnsi="Arial" w:cs="Arial"/>
          <w:sz w:val="18"/>
          <w:lang w:val="es-CO"/>
        </w:rPr>
      </w:pPr>
    </w:p>
    <w:p w:rsidR="00901F9A" w:rsidRDefault="00901F9A" w:rsidP="00901F9A">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w:t>
      </w:r>
      <w:r>
        <w:rPr>
          <w:rFonts w:ascii="Arial" w:hAnsi="Arial" w:cs="Arial"/>
          <w:smallCaps/>
          <w:sz w:val="24"/>
          <w:szCs w:val="24"/>
          <w:lang w:val="es-CO"/>
        </w:rPr>
        <w:t xml:space="preserve">Unitaria  de </w:t>
      </w:r>
      <w:r w:rsidRPr="00C01A16">
        <w:rPr>
          <w:rFonts w:ascii="Arial" w:hAnsi="Arial" w:cs="Arial"/>
          <w:smallCaps/>
          <w:sz w:val="24"/>
          <w:szCs w:val="24"/>
          <w:lang w:val="es-CO"/>
        </w:rPr>
        <w:t xml:space="preserve">Decisión Civil – Familia del Tribunal Superior del Distrito Judicial de Pereira, Risaralda, </w:t>
      </w:r>
    </w:p>
    <w:p w:rsidR="00901F9A" w:rsidRPr="00A83C54" w:rsidRDefault="00901F9A" w:rsidP="00901F9A">
      <w:pPr>
        <w:tabs>
          <w:tab w:val="left" w:pos="-720"/>
        </w:tabs>
        <w:suppressAutoHyphens/>
        <w:spacing w:line="360" w:lineRule="auto"/>
        <w:jc w:val="both"/>
        <w:rPr>
          <w:rFonts w:ascii="Arial" w:hAnsi="Arial" w:cs="Arial"/>
          <w:smallCaps/>
          <w:sz w:val="14"/>
          <w:szCs w:val="24"/>
          <w:lang w:val="es-CO"/>
        </w:rPr>
      </w:pPr>
    </w:p>
    <w:p w:rsidR="00901F9A" w:rsidRDefault="00901F9A" w:rsidP="00901F9A">
      <w:pPr>
        <w:tabs>
          <w:tab w:val="left" w:pos="-720"/>
        </w:tabs>
        <w:suppressAutoHyphens/>
        <w:spacing w:line="360" w:lineRule="auto"/>
        <w:jc w:val="center"/>
        <w:rPr>
          <w:rFonts w:ascii="Arial" w:hAnsi="Arial" w:cs="Arial"/>
          <w:smallCaps/>
          <w:sz w:val="24"/>
          <w:szCs w:val="24"/>
          <w:lang w:val="es-CO"/>
        </w:rPr>
      </w:pPr>
      <w:r w:rsidRPr="00C01A16">
        <w:rPr>
          <w:rFonts w:ascii="Arial" w:hAnsi="Arial" w:cs="Arial"/>
          <w:smallCaps/>
          <w:sz w:val="24"/>
          <w:szCs w:val="24"/>
          <w:lang w:val="es-CO"/>
        </w:rPr>
        <w:t>R e s u e l v e,</w:t>
      </w:r>
    </w:p>
    <w:p w:rsidR="00901F9A" w:rsidRPr="00A83C54" w:rsidRDefault="00901F9A" w:rsidP="00901F9A">
      <w:pPr>
        <w:tabs>
          <w:tab w:val="left" w:pos="-720"/>
        </w:tabs>
        <w:suppressAutoHyphens/>
        <w:spacing w:line="360" w:lineRule="auto"/>
        <w:jc w:val="center"/>
        <w:rPr>
          <w:rFonts w:ascii="Arial" w:hAnsi="Arial" w:cs="Arial"/>
          <w:smallCaps/>
          <w:sz w:val="14"/>
          <w:szCs w:val="24"/>
          <w:lang w:val="es-CO"/>
        </w:rPr>
      </w:pPr>
    </w:p>
    <w:p w:rsidR="00901F9A" w:rsidRDefault="00901F9A" w:rsidP="00901F9A">
      <w:pPr>
        <w:pStyle w:val="Prrafodelista"/>
        <w:widowControl w:val="0"/>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CONFIRMAR </w:t>
      </w:r>
      <w:r w:rsidRPr="005E034C">
        <w:rPr>
          <w:rFonts w:ascii="Arial" w:hAnsi="Arial" w:cs="Arial"/>
          <w:sz w:val="24"/>
          <w:szCs w:val="24"/>
          <w:lang w:val="es-CO"/>
        </w:rPr>
        <w:t xml:space="preserve">la decisión </w:t>
      </w:r>
      <w:r>
        <w:rPr>
          <w:rFonts w:ascii="Arial" w:hAnsi="Arial" w:cs="Arial"/>
          <w:sz w:val="24"/>
          <w:szCs w:val="24"/>
          <w:lang w:val="es-CO"/>
        </w:rPr>
        <w:t xml:space="preserve">sancionatoria dictada </w:t>
      </w:r>
      <w:r w:rsidRPr="005E034C">
        <w:rPr>
          <w:rFonts w:ascii="Arial" w:hAnsi="Arial" w:cs="Arial"/>
          <w:sz w:val="24"/>
          <w:szCs w:val="24"/>
          <w:lang w:val="es-CO"/>
        </w:rPr>
        <w:t xml:space="preserve">el </w:t>
      </w:r>
      <w:r w:rsidR="006F2E70">
        <w:rPr>
          <w:rFonts w:ascii="Arial" w:hAnsi="Arial" w:cs="Arial"/>
          <w:sz w:val="24"/>
          <w:szCs w:val="24"/>
          <w:lang w:val="es-CO"/>
        </w:rPr>
        <w:t xml:space="preserve">13-02-2017 </w:t>
      </w:r>
      <w:r w:rsidRPr="005E034C">
        <w:rPr>
          <w:rFonts w:ascii="Arial" w:hAnsi="Arial" w:cs="Arial"/>
          <w:sz w:val="24"/>
          <w:szCs w:val="24"/>
          <w:lang w:val="es-CO"/>
        </w:rPr>
        <w:t xml:space="preserve">por el Juzgado </w:t>
      </w:r>
      <w:r w:rsidR="006F2E70">
        <w:rPr>
          <w:rFonts w:ascii="Arial" w:hAnsi="Arial" w:cs="Arial"/>
          <w:sz w:val="24"/>
          <w:szCs w:val="24"/>
          <w:lang w:val="es-CO"/>
        </w:rPr>
        <w:t>Civil del Circuito de Dosquebradas, R.</w:t>
      </w:r>
    </w:p>
    <w:p w:rsidR="00901F9A" w:rsidRDefault="00901F9A" w:rsidP="00901F9A">
      <w:pPr>
        <w:pStyle w:val="Prrafodelista"/>
        <w:widowControl w:val="0"/>
        <w:spacing w:line="360" w:lineRule="auto"/>
        <w:ind w:left="360"/>
        <w:jc w:val="both"/>
        <w:rPr>
          <w:rFonts w:ascii="Arial" w:hAnsi="Arial" w:cs="Arial"/>
          <w:sz w:val="24"/>
          <w:szCs w:val="24"/>
          <w:lang w:val="es-CO"/>
        </w:rPr>
      </w:pPr>
    </w:p>
    <w:p w:rsidR="00901F9A" w:rsidRPr="005E034C" w:rsidRDefault="006E0569" w:rsidP="00901F9A">
      <w:pPr>
        <w:pStyle w:val="Textoindependiente"/>
        <w:widowControl w:val="0"/>
        <w:numPr>
          <w:ilvl w:val="0"/>
          <w:numId w:val="2"/>
        </w:numPr>
        <w:tabs>
          <w:tab w:val="clear" w:pos="708"/>
        </w:tabs>
        <w:spacing w:line="360" w:lineRule="auto"/>
        <w:rPr>
          <w:rFonts w:ascii="Arial" w:hAnsi="Arial" w:cs="Arial"/>
          <w:lang w:val="es-CO"/>
        </w:rPr>
      </w:pPr>
      <w:r>
        <w:rPr>
          <w:rFonts w:ascii="Arial" w:hAnsi="Arial" w:cs="Arial"/>
          <w:lang w:val="es-CO"/>
        </w:rPr>
        <w:t xml:space="preserve">MODIFICAR </w:t>
      </w:r>
      <w:r w:rsidR="00901F9A" w:rsidRPr="005E034C">
        <w:rPr>
          <w:rFonts w:ascii="Arial" w:hAnsi="Arial" w:cs="Arial"/>
          <w:lang w:val="es-CO"/>
        </w:rPr>
        <w:t xml:space="preserve">el numeral </w:t>
      </w:r>
      <w:r w:rsidR="006F2E70">
        <w:rPr>
          <w:rFonts w:ascii="Arial" w:hAnsi="Arial" w:cs="Arial"/>
          <w:lang w:val="es-CO"/>
        </w:rPr>
        <w:t>2</w:t>
      </w:r>
      <w:r w:rsidR="00901F9A" w:rsidRPr="005E034C">
        <w:rPr>
          <w:rFonts w:ascii="Arial" w:hAnsi="Arial" w:cs="Arial"/>
          <w:lang w:val="es-CO"/>
        </w:rPr>
        <w:t xml:space="preserve">º de la citada providencia en el sentido de </w:t>
      </w:r>
      <w:r w:rsidR="00B72AA4">
        <w:rPr>
          <w:rFonts w:ascii="Arial" w:hAnsi="Arial" w:cs="Arial"/>
          <w:lang w:val="es-CO"/>
        </w:rPr>
        <w:t xml:space="preserve">(i) reducir la sanción impuesta en primera instancia </w:t>
      </w:r>
      <w:r w:rsidR="00D20EB3">
        <w:rPr>
          <w:rFonts w:ascii="Arial" w:hAnsi="Arial" w:cs="Arial"/>
          <w:lang w:val="es-CO"/>
        </w:rPr>
        <w:t xml:space="preserve">a los </w:t>
      </w:r>
      <w:proofErr w:type="spellStart"/>
      <w:r w:rsidR="00D20EB3">
        <w:rPr>
          <w:rFonts w:ascii="Arial" w:hAnsi="Arial" w:cs="Arial"/>
          <w:lang w:val="es-CO"/>
        </w:rPr>
        <w:t>incidentados</w:t>
      </w:r>
      <w:proofErr w:type="spellEnd"/>
      <w:r w:rsidR="00D20EB3">
        <w:rPr>
          <w:rFonts w:ascii="Arial" w:hAnsi="Arial" w:cs="Arial"/>
          <w:lang w:val="es-CO"/>
        </w:rPr>
        <w:t xml:space="preserve"> </w:t>
      </w:r>
      <w:r w:rsidR="00B72AA4">
        <w:rPr>
          <w:rFonts w:ascii="Arial" w:hAnsi="Arial" w:cs="Arial"/>
          <w:lang w:val="es-CO"/>
        </w:rPr>
        <w:t xml:space="preserve">a doce (12) horas de arresto y multa </w:t>
      </w:r>
      <w:r w:rsidR="00B72AA4">
        <w:rPr>
          <w:rFonts w:ascii="Arial" w:hAnsi="Arial" w:cs="Arial"/>
          <w:lang w:val="es-CO"/>
        </w:rPr>
        <w:lastRenderedPageBreak/>
        <w:t xml:space="preserve">de medio (½) </w:t>
      </w:r>
      <w:proofErr w:type="spellStart"/>
      <w:r w:rsidR="00B72AA4">
        <w:rPr>
          <w:rFonts w:ascii="Arial" w:hAnsi="Arial" w:cs="Arial"/>
          <w:lang w:val="es-CO"/>
        </w:rPr>
        <w:t>smlmv</w:t>
      </w:r>
      <w:proofErr w:type="spellEnd"/>
      <w:r w:rsidR="00D20EB3">
        <w:rPr>
          <w:rFonts w:ascii="Arial" w:hAnsi="Arial" w:cs="Arial"/>
          <w:lang w:val="es-CO"/>
        </w:rPr>
        <w:t xml:space="preserve">; y, (ii) </w:t>
      </w:r>
      <w:r w:rsidR="00901F9A" w:rsidRPr="005E034C">
        <w:rPr>
          <w:rFonts w:ascii="Arial" w:hAnsi="Arial" w:cs="Arial"/>
          <w:lang w:val="es-CO"/>
        </w:rPr>
        <w:t>disponer</w:t>
      </w:r>
      <w:r w:rsidR="00B72AA4">
        <w:rPr>
          <w:rFonts w:ascii="Arial" w:hAnsi="Arial" w:cs="Arial"/>
          <w:lang w:val="es-CO"/>
        </w:rPr>
        <w:t xml:space="preserve"> </w:t>
      </w:r>
      <w:r w:rsidR="00901F9A" w:rsidRPr="005E034C">
        <w:rPr>
          <w:rFonts w:ascii="Arial" w:hAnsi="Arial" w:cs="Arial"/>
          <w:lang w:val="es-CO"/>
        </w:rPr>
        <w:t>que la multa</w:t>
      </w:r>
      <w:r w:rsidR="00901F9A">
        <w:rPr>
          <w:rFonts w:ascii="Arial" w:hAnsi="Arial" w:cs="Arial"/>
          <w:lang w:val="es-CO"/>
        </w:rPr>
        <w:t xml:space="preserve"> </w:t>
      </w:r>
      <w:r w:rsidR="00D20EB3">
        <w:rPr>
          <w:rFonts w:ascii="Arial" w:hAnsi="Arial" w:cs="Arial"/>
          <w:lang w:val="es-CO"/>
        </w:rPr>
        <w:t xml:space="preserve">sea </w:t>
      </w:r>
      <w:r>
        <w:rPr>
          <w:rFonts w:ascii="Arial" w:hAnsi="Arial" w:cs="Arial"/>
          <w:lang w:val="es-CO"/>
        </w:rPr>
        <w:t xml:space="preserve">pagada en la cuenta </w:t>
      </w:r>
      <w:r w:rsidRPr="00B875D4">
        <w:rPr>
          <w:rFonts w:ascii="Arial" w:hAnsi="Arial" w:cs="Arial"/>
          <w:i/>
        </w:rPr>
        <w:t>“CSJ - MULTAS Y SUS RENDIMIENTOS – CUN”</w:t>
      </w:r>
      <w:r w:rsidRPr="00B875D4">
        <w:rPr>
          <w:rFonts w:ascii="Arial" w:hAnsi="Arial" w:cs="Arial"/>
        </w:rPr>
        <w:t xml:space="preserve"> No.3-0820-000640-8 del Banco Agrario de Colombia SA</w:t>
      </w:r>
      <w:r w:rsidR="00901F9A" w:rsidRPr="005E034C">
        <w:rPr>
          <w:rFonts w:ascii="Arial" w:hAnsi="Arial" w:cs="Arial"/>
          <w:lang w:val="es-CO"/>
        </w:rPr>
        <w:t>.</w:t>
      </w:r>
    </w:p>
    <w:p w:rsidR="00901F9A" w:rsidRPr="006E0569" w:rsidRDefault="00901F9A" w:rsidP="00901F9A">
      <w:pPr>
        <w:widowControl w:val="0"/>
        <w:spacing w:line="360" w:lineRule="auto"/>
        <w:jc w:val="both"/>
        <w:rPr>
          <w:rFonts w:ascii="Arial" w:hAnsi="Arial" w:cs="Arial"/>
          <w:sz w:val="24"/>
          <w:szCs w:val="24"/>
          <w:lang w:val="es-CO"/>
        </w:rPr>
      </w:pPr>
    </w:p>
    <w:p w:rsidR="00901F9A" w:rsidRPr="00C01A16" w:rsidRDefault="00901F9A" w:rsidP="00901F9A">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ORDENAR la devolución de los cuadernos al Despacho de origen. </w:t>
      </w:r>
    </w:p>
    <w:p w:rsidR="00901F9A" w:rsidRPr="006E0569" w:rsidRDefault="00901F9A" w:rsidP="00901F9A">
      <w:pPr>
        <w:spacing w:line="360" w:lineRule="auto"/>
        <w:ind w:left="360"/>
        <w:rPr>
          <w:rFonts w:ascii="Arial" w:hAnsi="Arial" w:cs="Arial"/>
          <w:sz w:val="24"/>
          <w:szCs w:val="24"/>
          <w:lang w:val="es-CO"/>
        </w:rPr>
      </w:pPr>
    </w:p>
    <w:p w:rsidR="00901F9A" w:rsidRPr="00C01A16" w:rsidRDefault="00901F9A" w:rsidP="00901F9A">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ADVERTIR que contra esta providencia es improcedente recurso alguno.</w:t>
      </w:r>
    </w:p>
    <w:p w:rsidR="002E5B5B" w:rsidRPr="00D20EB3" w:rsidRDefault="002E5B5B" w:rsidP="00003AFC">
      <w:pPr>
        <w:pStyle w:val="Prrafodelista"/>
        <w:spacing w:line="360" w:lineRule="auto"/>
        <w:ind w:left="360"/>
        <w:jc w:val="both"/>
        <w:rPr>
          <w:rFonts w:ascii="Arial" w:hAnsi="Arial" w:cs="Arial"/>
          <w:sz w:val="18"/>
          <w:szCs w:val="24"/>
          <w:lang w:val="es-CO"/>
        </w:rPr>
      </w:pPr>
    </w:p>
    <w:p w:rsidR="002C220C" w:rsidRPr="00D20EB3" w:rsidRDefault="002C220C" w:rsidP="002C220C">
      <w:pPr>
        <w:spacing w:line="360" w:lineRule="auto"/>
        <w:jc w:val="center"/>
        <w:rPr>
          <w:rFonts w:ascii="Arial" w:hAnsi="Arial" w:cs="Arial"/>
          <w:smallCaps/>
          <w:sz w:val="28"/>
          <w:szCs w:val="24"/>
          <w:lang w:val="es-CO"/>
        </w:rPr>
      </w:pPr>
      <w:r w:rsidRPr="00D20EB3">
        <w:rPr>
          <w:rFonts w:ascii="Arial" w:hAnsi="Arial" w:cs="Arial"/>
          <w:smallCaps/>
          <w:sz w:val="28"/>
          <w:szCs w:val="24"/>
          <w:lang w:val="es-CO"/>
        </w:rPr>
        <w:t>Notifíquese,</w:t>
      </w:r>
    </w:p>
    <w:p w:rsidR="000F3B0D" w:rsidRPr="00DA13AA"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szCs w:val="22"/>
          <w:lang w:val="es-CO"/>
        </w:rPr>
      </w:pPr>
    </w:p>
    <w:p w:rsidR="00F92719"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A8052C"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0F3B0D"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5E034C" w:rsidRDefault="005E034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A8052C" w:rsidRDefault="00A8052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8476D8" w:rsidRDefault="00D5268D" w:rsidP="00D20EB3">
      <w:pPr>
        <w:widowControl w:val="0"/>
        <w:spacing w:line="360" w:lineRule="auto"/>
        <w:jc w:val="right"/>
        <w:rPr>
          <w:rFonts w:ascii="Arial" w:hAnsi="Arial" w:cs="Arial"/>
          <w:i/>
          <w:iCs/>
          <w:sz w:val="14"/>
          <w:szCs w:val="16"/>
          <w:lang w:val="en-US"/>
        </w:rPr>
      </w:pPr>
      <w:r>
        <w:rPr>
          <w:rFonts w:ascii="Arial" w:hAnsi="Arial" w:cs="Arial"/>
          <w:i/>
          <w:iCs/>
          <w:sz w:val="14"/>
          <w:szCs w:val="16"/>
          <w:lang w:val="en-US"/>
        </w:rPr>
        <w:t>DGH /</w:t>
      </w:r>
      <w:r w:rsidR="009C3F6A">
        <w:rPr>
          <w:rFonts w:ascii="Arial" w:hAnsi="Arial" w:cs="Arial"/>
          <w:i/>
          <w:iCs/>
          <w:sz w:val="14"/>
          <w:szCs w:val="16"/>
          <w:lang w:val="en-US"/>
        </w:rPr>
        <w:t>ODCD/</w:t>
      </w:r>
      <w:r w:rsidR="006F2E70">
        <w:rPr>
          <w:rFonts w:ascii="Arial" w:hAnsi="Arial" w:cs="Arial"/>
          <w:i/>
          <w:iCs/>
          <w:sz w:val="14"/>
          <w:szCs w:val="16"/>
          <w:lang w:val="en-US"/>
        </w:rPr>
        <w:t>2017</w:t>
      </w:r>
    </w:p>
    <w:sectPr w:rsidR="008476D8" w:rsidSect="00583D35">
      <w:headerReference w:type="default" r:id="rId9"/>
      <w:footerReference w:type="default" r:id="rId10"/>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387" w:rsidRDefault="008A0387" w:rsidP="0005223F">
      <w:r>
        <w:separator/>
      </w:r>
    </w:p>
  </w:endnote>
  <w:endnote w:type="continuationSeparator" w:id="0">
    <w:p w:rsidR="008A0387" w:rsidRDefault="008A0387"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387" w:rsidRDefault="008A0387" w:rsidP="0005223F">
      <w:r>
        <w:separator/>
      </w:r>
    </w:p>
  </w:footnote>
  <w:footnote w:type="continuationSeparator" w:id="0">
    <w:p w:rsidR="008A0387" w:rsidRDefault="008A0387" w:rsidP="0005223F">
      <w:r>
        <w:continuationSeparator/>
      </w:r>
    </w:p>
  </w:footnote>
  <w:footnote w:id="1">
    <w:p w:rsidR="008D6398" w:rsidRPr="00953975" w:rsidRDefault="008D6398" w:rsidP="008D6398">
      <w:pPr>
        <w:pStyle w:val="Textonotapie"/>
        <w:rPr>
          <w:rFonts w:asciiTheme="minorHAnsi" w:hAnsiTheme="minorHAnsi"/>
          <w:lang w:val="es-ES_tradnl"/>
        </w:rPr>
      </w:pPr>
      <w:r w:rsidRPr="00953975">
        <w:rPr>
          <w:rStyle w:val="Refdenotaalpie"/>
          <w:rFonts w:asciiTheme="minorHAnsi" w:hAnsiTheme="minorHAnsi"/>
        </w:rPr>
        <w:footnoteRef/>
      </w:r>
      <w:r w:rsidRPr="00953975">
        <w:rPr>
          <w:rFonts w:asciiTheme="minorHAnsi" w:hAnsiTheme="minorHAnsi"/>
        </w:rPr>
        <w:t xml:space="preserve"> </w:t>
      </w:r>
      <w:r w:rsidRPr="00953975">
        <w:rPr>
          <w:rFonts w:asciiTheme="minorHAnsi" w:hAnsiTheme="minorHAnsi"/>
          <w:lang w:val="es-CO"/>
        </w:rPr>
        <w:t>TSP, Sala Civil</w:t>
      </w:r>
      <w:r>
        <w:rPr>
          <w:rFonts w:asciiTheme="minorHAnsi" w:hAnsiTheme="minorHAnsi"/>
          <w:lang w:val="es-CO"/>
        </w:rPr>
        <w:t>-</w:t>
      </w:r>
      <w:r w:rsidRPr="00953975">
        <w:rPr>
          <w:rFonts w:asciiTheme="minorHAnsi" w:hAnsiTheme="minorHAnsi"/>
          <w:lang w:val="es-CO"/>
        </w:rPr>
        <w:t xml:space="preserve">Familia. Auto del 16-08-2016, MP. </w:t>
      </w:r>
      <w:proofErr w:type="spellStart"/>
      <w:r w:rsidRPr="00953975">
        <w:rPr>
          <w:rFonts w:asciiTheme="minorHAnsi" w:hAnsiTheme="minorHAnsi"/>
          <w:lang w:val="es-CO"/>
        </w:rPr>
        <w:t>Duberney</w:t>
      </w:r>
      <w:proofErr w:type="spellEnd"/>
      <w:r w:rsidRPr="00953975">
        <w:rPr>
          <w:rFonts w:asciiTheme="minorHAnsi" w:hAnsiTheme="minorHAnsi"/>
          <w:lang w:val="es-CO"/>
        </w:rPr>
        <w:t xml:space="preserve"> Grisales H., </w:t>
      </w:r>
      <w:proofErr w:type="spellStart"/>
      <w:r>
        <w:rPr>
          <w:rFonts w:asciiTheme="minorHAnsi" w:hAnsiTheme="minorHAnsi"/>
          <w:lang w:val="es-CO"/>
        </w:rPr>
        <w:t>exp</w:t>
      </w:r>
      <w:proofErr w:type="spellEnd"/>
      <w:r>
        <w:rPr>
          <w:rFonts w:asciiTheme="minorHAnsi" w:hAnsiTheme="minorHAnsi"/>
          <w:lang w:val="es-CO"/>
        </w:rPr>
        <w:t>.</w:t>
      </w:r>
      <w:r w:rsidRPr="00953975">
        <w:rPr>
          <w:rFonts w:asciiTheme="minorHAnsi" w:hAnsiTheme="minorHAnsi"/>
          <w:lang w:val="es-ES_tradnl"/>
        </w:rPr>
        <w:t>2016-00047-01</w:t>
      </w:r>
      <w:r>
        <w:rPr>
          <w:rFonts w:asciiTheme="minorHAnsi" w:hAnsiTheme="minorHAnsi"/>
          <w:lang w:val="es-ES_tradnl"/>
        </w:rPr>
        <w:t>.</w:t>
      </w:r>
    </w:p>
  </w:footnote>
  <w:footnote w:id="2">
    <w:p w:rsidR="005B3546" w:rsidRDefault="005B3546" w:rsidP="005B35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CC</w:t>
      </w:r>
      <w:r w:rsidRPr="008B1B0C">
        <w:rPr>
          <w:rFonts w:ascii="Calibri" w:hAnsi="Calibri" w:cs="Calibri"/>
          <w:lang w:val="es-CO"/>
        </w:rPr>
        <w:t xml:space="preserve">. T-343 </w:t>
      </w:r>
      <w:r>
        <w:rPr>
          <w:rFonts w:ascii="Calibri" w:hAnsi="Calibri" w:cs="Calibri"/>
          <w:lang w:val="es-CO"/>
        </w:rPr>
        <w:t xml:space="preserve">de </w:t>
      </w:r>
      <w:r w:rsidRPr="008B1B0C">
        <w:rPr>
          <w:rFonts w:ascii="Calibri" w:hAnsi="Calibri" w:cs="Calibri"/>
          <w:lang w:val="es-CO"/>
        </w:rPr>
        <w:t>2011.</w:t>
      </w:r>
    </w:p>
  </w:footnote>
  <w:footnote w:id="3">
    <w:p w:rsidR="005B3546" w:rsidRDefault="005B3546" w:rsidP="005B3546">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Pr>
          <w:rFonts w:ascii="Calibri" w:hAnsi="Calibri" w:cs="Calibri"/>
          <w:lang w:val="es-CO"/>
        </w:rPr>
        <w:t>CC</w:t>
      </w:r>
      <w:r w:rsidRPr="008B1B0C">
        <w:rPr>
          <w:rFonts w:ascii="Calibri" w:hAnsi="Calibri" w:cs="Calibri"/>
          <w:lang w:val="es-CO"/>
        </w:rPr>
        <w:t xml:space="preserve">. </w:t>
      </w:r>
      <w:r w:rsidRPr="008B1B0C">
        <w:rPr>
          <w:rFonts w:ascii="Calibri" w:hAnsi="Calibri" w:cs="Calibri"/>
          <w:lang w:val="fr-FR"/>
        </w:rPr>
        <w:t>T-553 de 2002 y T-368 de 2005.</w:t>
      </w:r>
    </w:p>
  </w:footnote>
  <w:footnote w:id="4">
    <w:p w:rsidR="005B3546" w:rsidRDefault="005B3546" w:rsidP="005B3546">
      <w:pPr>
        <w:pStyle w:val="Textonotapie"/>
      </w:pPr>
      <w:r>
        <w:rPr>
          <w:rStyle w:val="Refdenotaalpie"/>
          <w:rFonts w:cs="Tms Rmn"/>
        </w:rPr>
        <w:footnoteRef/>
      </w:r>
      <w:r w:rsidRPr="00A92EE2">
        <w:rPr>
          <w:lang w:val="es-ES"/>
        </w:rPr>
        <w:t xml:space="preserve"> </w:t>
      </w:r>
      <w:r>
        <w:rPr>
          <w:rFonts w:ascii="Calibri" w:hAnsi="Calibri" w:cs="Calibri"/>
          <w:lang w:val="es-CO"/>
        </w:rPr>
        <w:t>CC</w:t>
      </w:r>
      <w:r w:rsidRPr="008B1B0C">
        <w:rPr>
          <w:rFonts w:ascii="Calibri" w:hAnsi="Calibri" w:cs="Calibri"/>
          <w:lang w:val="es-CO"/>
        </w:rPr>
        <w:t xml:space="preserve">. </w:t>
      </w:r>
      <w:r w:rsidRPr="008B1B0C">
        <w:rPr>
          <w:rFonts w:ascii="Calibri" w:hAnsi="Calibri" w:cs="Calibri"/>
          <w:lang w:val="fr-FR"/>
        </w:rPr>
        <w:t>T-553 de 2002 y T-368 de 2005.</w:t>
      </w:r>
    </w:p>
  </w:footnote>
  <w:footnote w:id="5">
    <w:p w:rsidR="005B3546" w:rsidRDefault="005B3546" w:rsidP="005B35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w:t>
      </w:r>
      <w:r>
        <w:rPr>
          <w:rFonts w:ascii="Calibri" w:hAnsi="Calibri" w:cs="Calibri"/>
          <w:lang w:val="es-CO"/>
        </w:rPr>
        <w:t>.</w:t>
      </w:r>
      <w:r w:rsidRPr="008B1B0C">
        <w:rPr>
          <w:rFonts w:ascii="Calibri" w:hAnsi="Calibri" w:cs="Calibri"/>
          <w:lang w:val="es-CO"/>
        </w:rPr>
        <w:t>, Catalina. La acción de tutela en el ordenamiento constitucional colombiano, Escuela Judicial Rodrigo Lara Bonilla y Consejo Superior de la Judicatura, Bogotá DC, 2006, p.150.</w:t>
      </w:r>
    </w:p>
  </w:footnote>
  <w:footnote w:id="6">
    <w:p w:rsidR="005B3546" w:rsidRDefault="005B3546" w:rsidP="005B35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CC</w:t>
      </w:r>
      <w:r w:rsidRPr="008B1B0C">
        <w:rPr>
          <w:rFonts w:ascii="Calibri" w:hAnsi="Calibri" w:cs="Calibri"/>
          <w:lang w:val="es-CO"/>
        </w:rPr>
        <w:t xml:space="preserve">. T-606 </w:t>
      </w:r>
      <w:r>
        <w:rPr>
          <w:rFonts w:ascii="Calibri" w:hAnsi="Calibri" w:cs="Calibri"/>
          <w:lang w:val="es-CO"/>
        </w:rPr>
        <w:t>de 2011</w:t>
      </w:r>
      <w:r w:rsidRPr="008B1B0C">
        <w:rPr>
          <w:rFonts w:ascii="Calibri" w:hAnsi="Calibri" w:cs="Calibri"/>
          <w:lang w:val="es-CO"/>
        </w:rPr>
        <w:t>.</w:t>
      </w:r>
    </w:p>
  </w:footnote>
  <w:footnote w:id="7">
    <w:p w:rsidR="005B3546" w:rsidRDefault="005B3546" w:rsidP="005B35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Autos 108 de 2005, 184 de 2006, 285 de 2008 y 122 de 2006. En el mismo sentido </w:t>
      </w:r>
      <w:r>
        <w:rPr>
          <w:rFonts w:ascii="Calibri" w:hAnsi="Calibri" w:cs="Calibri"/>
          <w:lang w:val="es-CO"/>
        </w:rPr>
        <w:t xml:space="preserve">la </w:t>
      </w:r>
      <w:r w:rsidRPr="008B1B0C">
        <w:rPr>
          <w:rFonts w:ascii="Calibri" w:hAnsi="Calibri" w:cs="Calibri"/>
          <w:lang w:val="es-CO"/>
        </w:rPr>
        <w:t xml:space="preserve">T-897 de 2008.  </w:t>
      </w:r>
    </w:p>
  </w:footnote>
  <w:footnote w:id="8">
    <w:p w:rsidR="005B3546" w:rsidRDefault="005B3546" w:rsidP="005B35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T-171 de 2009. En el mismo sentido la T-1113 de 2005. </w:t>
      </w:r>
    </w:p>
  </w:footnote>
  <w:footnote w:id="9">
    <w:p w:rsidR="005B3546" w:rsidRDefault="005B3546" w:rsidP="005B35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T-939 de 2005, T-1113 de 2005, T-632 de 2006 y Autos 285 de 2008 y 122 de 2006.</w:t>
      </w:r>
    </w:p>
  </w:footnote>
  <w:footnote w:id="10">
    <w:p w:rsidR="005B3546" w:rsidRDefault="005B3546" w:rsidP="005B35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Auto 108 de 2005, 184 de 2006, 285 de 2008 y 122 de 2006. </w:t>
      </w:r>
    </w:p>
  </w:footnote>
  <w:footnote w:id="11">
    <w:p w:rsidR="005B3546" w:rsidRDefault="005B3546" w:rsidP="005B35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CC. T-939 de 2005,</w:t>
      </w:r>
      <w:r w:rsidRPr="008B1B0C">
        <w:rPr>
          <w:rFonts w:ascii="Calibri" w:hAnsi="Calibri" w:cs="Calibri"/>
          <w:lang w:val="es-CO"/>
        </w:rPr>
        <w:t xml:space="preserve"> T-897 de 2008 y los Autos 285 de 2008 y 122 de 2006</w:t>
      </w:r>
      <w:r>
        <w:rPr>
          <w:rFonts w:ascii="Calibri" w:hAnsi="Calibri" w:cs="Calibri"/>
          <w:lang w:val="es-CO"/>
        </w:rPr>
        <w:t>.</w:t>
      </w:r>
      <w:r w:rsidRPr="008B1B0C">
        <w:rPr>
          <w:rFonts w:ascii="Calibri" w:hAnsi="Calibri" w:cs="Calibri"/>
          <w:lang w:val="es-CO"/>
        </w:rPr>
        <w:t xml:space="preserve"> </w:t>
      </w:r>
    </w:p>
  </w:footnote>
  <w:footnote w:id="12">
    <w:p w:rsidR="005B3546" w:rsidRPr="00B875D4" w:rsidRDefault="005B3546" w:rsidP="005B3546">
      <w:pPr>
        <w:pStyle w:val="Textonotapie"/>
        <w:jc w:val="both"/>
        <w:rPr>
          <w:rFonts w:asciiTheme="minorHAnsi" w:hAnsiTheme="minorHAnsi" w:cs="Calibri"/>
          <w:bCs/>
          <w:lang w:val="es-419"/>
        </w:rPr>
      </w:pPr>
      <w:r w:rsidRPr="00087130">
        <w:rPr>
          <w:rStyle w:val="Refdenotaalpie"/>
          <w:rFonts w:asciiTheme="minorHAnsi" w:hAnsiTheme="minorHAnsi" w:cs="Calibri"/>
        </w:rPr>
        <w:footnoteRef/>
      </w:r>
      <w:r w:rsidRPr="00087130">
        <w:rPr>
          <w:rFonts w:asciiTheme="minorHAnsi" w:hAnsiTheme="minorHAnsi" w:cs="Calibri"/>
          <w:lang w:val="es-CO"/>
        </w:rPr>
        <w:t xml:space="preserve"> </w:t>
      </w:r>
      <w:r>
        <w:rPr>
          <w:rFonts w:asciiTheme="minorHAnsi" w:hAnsiTheme="minorHAnsi" w:cs="Calibri"/>
          <w:lang w:val="es-CO"/>
        </w:rPr>
        <w:t>CSJ</w:t>
      </w:r>
      <w:r w:rsidRPr="00087130">
        <w:rPr>
          <w:rFonts w:asciiTheme="minorHAnsi" w:hAnsiTheme="minorHAnsi" w:cs="Calibri"/>
          <w:lang w:val="es-CO"/>
        </w:rPr>
        <w:t xml:space="preserve">, </w:t>
      </w:r>
      <w:r>
        <w:rPr>
          <w:rFonts w:asciiTheme="minorHAnsi" w:hAnsiTheme="minorHAnsi" w:cs="Calibri"/>
          <w:lang w:val="es-CO"/>
        </w:rPr>
        <w:t>Civil</w:t>
      </w:r>
      <w:r w:rsidRPr="00087130">
        <w:rPr>
          <w:rFonts w:asciiTheme="minorHAnsi" w:hAnsiTheme="minorHAnsi" w:cs="Calibri"/>
          <w:lang w:val="es-CO"/>
        </w:rPr>
        <w:t xml:space="preserve">. </w:t>
      </w:r>
      <w:r w:rsidRPr="00B03DCB">
        <w:rPr>
          <w:rFonts w:asciiTheme="minorHAnsi" w:hAnsiTheme="minorHAnsi" w:cs="Calibri"/>
          <w:lang w:val="es-CO"/>
        </w:rPr>
        <w:t>ATC101-2016, ATC</w:t>
      </w:r>
      <w:r w:rsidRPr="00B03DCB">
        <w:rPr>
          <w:rFonts w:asciiTheme="minorHAnsi" w:hAnsiTheme="minorHAnsi" w:cs="Calibri"/>
          <w:bCs/>
          <w:lang w:val="es-CO"/>
        </w:rPr>
        <w:t>1555-2016</w:t>
      </w:r>
      <w:r>
        <w:rPr>
          <w:rFonts w:asciiTheme="minorHAnsi" w:hAnsiTheme="minorHAnsi" w:cs="Calibri"/>
          <w:bCs/>
          <w:lang w:val="es-CO"/>
        </w:rPr>
        <w:t xml:space="preserve">, </w:t>
      </w:r>
      <w:r w:rsidRPr="00B03DCB">
        <w:rPr>
          <w:rFonts w:asciiTheme="minorHAnsi" w:hAnsiTheme="minorHAnsi" w:cs="Calibri"/>
          <w:bCs/>
          <w:lang w:val="es-CO"/>
        </w:rPr>
        <w:t>ATC3599-2016</w:t>
      </w:r>
      <w:r>
        <w:rPr>
          <w:rFonts w:asciiTheme="minorHAnsi" w:hAnsiTheme="minorHAnsi" w:cs="Calibri"/>
          <w:bCs/>
          <w:lang w:val="es-CO"/>
        </w:rPr>
        <w:t xml:space="preserve"> y </w:t>
      </w:r>
      <w:r w:rsidRPr="00B875D4">
        <w:rPr>
          <w:rFonts w:asciiTheme="minorHAnsi" w:hAnsiTheme="minorHAnsi" w:cs="Calibri"/>
          <w:bCs/>
          <w:lang w:val="es-CO"/>
        </w:rPr>
        <w:t>ATC3660-2017</w:t>
      </w:r>
      <w:r w:rsidRPr="00087130">
        <w:rPr>
          <w:rFonts w:asciiTheme="minorHAnsi" w:hAnsiTheme="minorHAnsi" w:cs="Calibri"/>
          <w:lang w:val="es-CO"/>
        </w:rPr>
        <w:t>.</w:t>
      </w:r>
    </w:p>
  </w:footnote>
  <w:footnote w:id="13">
    <w:p w:rsidR="005B3546" w:rsidRPr="00087130" w:rsidRDefault="005B3546" w:rsidP="005B3546">
      <w:pPr>
        <w:pStyle w:val="Textonotapie"/>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w:t>
      </w:r>
      <w:r>
        <w:rPr>
          <w:rFonts w:asciiTheme="minorHAnsi" w:hAnsiTheme="minorHAnsi" w:cs="Calibri"/>
          <w:lang w:val="es-CO"/>
        </w:rPr>
        <w:t>CC</w:t>
      </w:r>
      <w:r w:rsidRPr="00087130">
        <w:rPr>
          <w:rFonts w:asciiTheme="minorHAnsi" w:hAnsiTheme="minorHAnsi" w:cs="Calibri"/>
          <w:lang w:val="es-CO"/>
        </w:rPr>
        <w:t>. T-421 del 2003.</w:t>
      </w:r>
    </w:p>
  </w:footnote>
  <w:footnote w:id="14">
    <w:p w:rsidR="005B3546" w:rsidRPr="00563881" w:rsidRDefault="005B3546" w:rsidP="005B3546">
      <w:pPr>
        <w:pStyle w:val="Textonotapie"/>
        <w:rPr>
          <w:lang w:val="es-CO"/>
        </w:rPr>
      </w:pPr>
      <w:r>
        <w:rPr>
          <w:rStyle w:val="Refdenotaalpie"/>
        </w:rPr>
        <w:footnoteRef/>
      </w:r>
      <w:r>
        <w:t xml:space="preserve"> </w:t>
      </w:r>
      <w:r>
        <w:rPr>
          <w:rFonts w:ascii="Calibri" w:hAnsi="Calibri" w:cs="Calibri"/>
          <w:lang w:val="es-CO"/>
        </w:rPr>
        <w:t>CC</w:t>
      </w:r>
      <w:r w:rsidRPr="008B1B0C">
        <w:rPr>
          <w:rFonts w:ascii="Calibri" w:hAnsi="Calibri" w:cs="Calibri"/>
          <w:lang w:val="es-CO"/>
        </w:rPr>
        <w:t xml:space="preserve">.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w:t>
      </w:r>
      <w:r>
        <w:rPr>
          <w:rFonts w:ascii="Calibri" w:hAnsi="Calibri" w:cs="Calibri"/>
          <w:lang w:val="es-CO"/>
        </w:rPr>
        <w:t xml:space="preserve"> 2014.</w:t>
      </w:r>
    </w:p>
  </w:footnote>
  <w:footnote w:id="15">
    <w:p w:rsidR="005B3546" w:rsidRPr="002F1294" w:rsidRDefault="005B3546" w:rsidP="005B3546">
      <w:pPr>
        <w:pStyle w:val="Textonotapie"/>
        <w:rPr>
          <w:lang w:val="es-CO"/>
        </w:rPr>
      </w:pPr>
      <w:r>
        <w:rPr>
          <w:rStyle w:val="Refdenotaalpie"/>
        </w:rPr>
        <w:footnoteRef/>
      </w:r>
      <w:r>
        <w:t xml:space="preserve"> </w:t>
      </w:r>
      <w:r>
        <w:rPr>
          <w:rFonts w:ascii="Calibri" w:hAnsi="Calibri" w:cs="Calibri"/>
          <w:lang w:val="es-CO"/>
        </w:rPr>
        <w:t>CC</w:t>
      </w:r>
      <w:r w:rsidRPr="008B1B0C">
        <w:rPr>
          <w:rFonts w:ascii="Calibri" w:hAnsi="Calibri" w:cs="Calibri"/>
          <w:lang w:val="es-CO"/>
        </w:rPr>
        <w:t xml:space="preserve">. </w:t>
      </w:r>
      <w:r>
        <w:rPr>
          <w:rFonts w:ascii="Calibri" w:hAnsi="Calibri" w:cs="Calibri"/>
          <w:lang w:val="es-CO"/>
        </w:rPr>
        <w:t>Auto 181</w:t>
      </w:r>
      <w:r w:rsidRPr="008B1B0C">
        <w:rPr>
          <w:rFonts w:ascii="Calibri" w:hAnsi="Calibri" w:cs="Calibri"/>
          <w:lang w:val="es-CO"/>
        </w:rPr>
        <w:t xml:space="preserve"> de</w:t>
      </w:r>
      <w:r>
        <w:rPr>
          <w:rFonts w:ascii="Calibri" w:hAnsi="Calibri" w:cs="Calibri"/>
          <w:lang w:val="es-CO"/>
        </w:rPr>
        <w:t xml:space="preserve"> 2015.</w:t>
      </w:r>
    </w:p>
  </w:footnote>
  <w:footnote w:id="16">
    <w:p w:rsidR="005B3546" w:rsidRPr="00D75D25" w:rsidRDefault="005B3546" w:rsidP="005B3546">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Pr>
          <w:rFonts w:asciiTheme="minorHAnsi" w:hAnsiTheme="minorHAnsi" w:cs="Calibri"/>
          <w:lang w:val="es-CO"/>
        </w:rPr>
        <w:t>CC</w:t>
      </w:r>
      <w:r w:rsidRPr="00D75D25">
        <w:rPr>
          <w:rFonts w:asciiTheme="minorHAnsi" w:hAnsiTheme="minorHAnsi" w:cs="Calibri"/>
          <w:lang w:val="es-CO"/>
        </w:rPr>
        <w:t>.</w:t>
      </w:r>
      <w:r>
        <w:rPr>
          <w:rFonts w:asciiTheme="minorHAnsi" w:hAnsiTheme="minorHAnsi" w:cs="Calibri"/>
          <w:lang w:val="es-CO"/>
        </w:rPr>
        <w:t xml:space="preserve"> </w:t>
      </w:r>
      <w:r>
        <w:rPr>
          <w:rFonts w:asciiTheme="minorHAnsi" w:hAnsiTheme="minorHAnsi"/>
        </w:rPr>
        <w:t>T-171 de 20</w:t>
      </w:r>
      <w:r w:rsidRPr="00D75D25">
        <w:rPr>
          <w:rFonts w:asciiTheme="minorHAnsi" w:hAnsiTheme="minorHAnsi"/>
        </w:rPr>
        <w:t>09.</w:t>
      </w:r>
    </w:p>
  </w:footnote>
  <w:footnote w:id="17">
    <w:p w:rsidR="003B6065" w:rsidRDefault="003B6065" w:rsidP="003B6065">
      <w:pPr>
        <w:pStyle w:val="Textonotapie"/>
      </w:pPr>
      <w:r w:rsidRPr="00231A54">
        <w:rPr>
          <w:rStyle w:val="Refdenotaalpie"/>
          <w:rFonts w:ascii="Calibri" w:hAnsi="Calibri" w:cs="Calibri"/>
        </w:rPr>
        <w:footnoteRef/>
      </w:r>
      <w:r w:rsidRPr="00231A54">
        <w:rPr>
          <w:rFonts w:ascii="Calibri" w:hAnsi="Calibri" w:cs="Calibri"/>
          <w:lang w:val="es-CO"/>
        </w:rPr>
        <w:t xml:space="preserve"> </w:t>
      </w:r>
      <w:r>
        <w:rPr>
          <w:rFonts w:ascii="Calibri" w:hAnsi="Calibri" w:cs="Calibri"/>
          <w:lang w:val="es-CO"/>
        </w:rPr>
        <w:t>CC</w:t>
      </w:r>
      <w:r w:rsidRPr="00231A54">
        <w:rPr>
          <w:rFonts w:ascii="Calibri" w:hAnsi="Calibri" w:cs="Calibri"/>
          <w:lang w:val="es-CO"/>
        </w:rPr>
        <w:t xml:space="preserve">. T-527 </w:t>
      </w:r>
      <w:r>
        <w:rPr>
          <w:rFonts w:ascii="Calibri" w:hAnsi="Calibri" w:cs="Calibri"/>
          <w:lang w:val="es-CO"/>
        </w:rPr>
        <w:t>de 2012.</w:t>
      </w:r>
    </w:p>
  </w:footnote>
  <w:footnote w:id="18">
    <w:p w:rsidR="00B82E21" w:rsidRPr="005114A9" w:rsidRDefault="00B82E21" w:rsidP="00B82E21">
      <w:pPr>
        <w:pStyle w:val="Textonotapie"/>
        <w:rPr>
          <w:lang w:val="es-CO"/>
        </w:rPr>
      </w:pPr>
      <w:r>
        <w:rPr>
          <w:rStyle w:val="Refdenotaalpie"/>
        </w:rPr>
        <w:footnoteRef/>
      </w:r>
      <w:r>
        <w:t xml:space="preserve"> </w:t>
      </w:r>
      <w:r>
        <w:rPr>
          <w:rFonts w:ascii="Calibri" w:hAnsi="Calibri" w:cs="Calibri"/>
          <w:lang w:val="es-CO"/>
        </w:rPr>
        <w:t>CC</w:t>
      </w:r>
      <w:r w:rsidRPr="00231A54">
        <w:rPr>
          <w:rFonts w:ascii="Calibri" w:hAnsi="Calibri" w:cs="Calibri"/>
          <w:lang w:val="es-CO"/>
        </w:rPr>
        <w:t>. T-</w:t>
      </w:r>
      <w:r w:rsidR="00B72AA4">
        <w:rPr>
          <w:rFonts w:ascii="Calibri" w:hAnsi="Calibri" w:cs="Calibri"/>
          <w:lang w:val="es-CO"/>
        </w:rPr>
        <w:t>271 de 2015, también pueden consultarse la C-367 de 2014 y la T-1113 de 2005</w:t>
      </w:r>
      <w:r w:rsidRPr="00231A54">
        <w:rPr>
          <w:rFonts w:ascii="Calibri" w:hAnsi="Calibri" w:cs="Calibr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3D" w:rsidRPr="006414F7" w:rsidRDefault="00157C3D" w:rsidP="00157C3D">
    <w:pPr>
      <w:pStyle w:val="Encabezado"/>
      <w:pBdr>
        <w:bottom w:val="single" w:sz="4" w:space="2" w:color="D9D9D9"/>
      </w:pBdr>
      <w:jc w:val="right"/>
      <w:rPr>
        <w:rFonts w:ascii="Calibri" w:hAnsi="Calibri" w:cs="Calibri"/>
        <w:i/>
      </w:rPr>
    </w:pPr>
    <w:proofErr w:type="spellStart"/>
    <w:r w:rsidRPr="006414F7">
      <w:rPr>
        <w:rFonts w:ascii="Calibri" w:hAnsi="Calibri" w:cs="Calibri"/>
        <w:i/>
        <w:color w:val="7F7F7F"/>
        <w:spacing w:val="60"/>
      </w:rPr>
      <w:t>Página</w:t>
    </w:r>
    <w:proofErr w:type="spellEnd"/>
    <w:r w:rsidRPr="006414F7">
      <w:rPr>
        <w:rFonts w:ascii="Calibri" w:hAnsi="Calibri" w:cs="Calibri"/>
        <w:i/>
      </w:rPr>
      <w:t xml:space="preserve"> | </w:t>
    </w:r>
    <w:r w:rsidRPr="006414F7">
      <w:rPr>
        <w:rFonts w:ascii="Calibri" w:hAnsi="Calibri" w:cs="Calibri"/>
        <w:i/>
      </w:rPr>
      <w:fldChar w:fldCharType="begin"/>
    </w:r>
    <w:r w:rsidRPr="006414F7">
      <w:rPr>
        <w:rFonts w:ascii="Calibri" w:hAnsi="Calibri" w:cs="Calibri"/>
        <w:i/>
      </w:rPr>
      <w:instrText xml:space="preserve"> PAGE   \* MERGEFORMAT </w:instrText>
    </w:r>
    <w:r w:rsidRPr="006414F7">
      <w:rPr>
        <w:rFonts w:ascii="Calibri" w:hAnsi="Calibri" w:cs="Calibri"/>
        <w:i/>
      </w:rPr>
      <w:fldChar w:fldCharType="separate"/>
    </w:r>
    <w:r w:rsidR="006839A7">
      <w:rPr>
        <w:rFonts w:ascii="Calibri" w:hAnsi="Calibri" w:cs="Calibri"/>
        <w:i/>
        <w:noProof/>
      </w:rPr>
      <w:t>1</w:t>
    </w:r>
    <w:r w:rsidRPr="006414F7">
      <w:rPr>
        <w:rFonts w:ascii="Calibri" w:hAnsi="Calibri" w:cs="Calibri"/>
        <w:i/>
      </w:rPr>
      <w:fldChar w:fldCharType="end"/>
    </w:r>
  </w:p>
  <w:p w:rsidR="00157C3D" w:rsidRPr="000159B3" w:rsidRDefault="00157C3D" w:rsidP="00157C3D">
    <w:pPr>
      <w:pStyle w:val="Encabezado"/>
      <w:ind w:right="360"/>
      <w:jc w:val="both"/>
      <w:rPr>
        <w:rFonts w:asciiTheme="minorHAnsi" w:hAnsiTheme="minorHAnsi"/>
        <w:b/>
        <w:bCs/>
        <w:i/>
        <w:sz w:val="22"/>
      </w:rPr>
    </w:pPr>
    <w:proofErr w:type="spellStart"/>
    <w:r w:rsidRPr="00251244">
      <w:rPr>
        <w:rFonts w:ascii="Calibri" w:eastAsia="Calibri" w:hAnsi="Calibri" w:cs="Calibri"/>
        <w:i/>
        <w:smallCaps/>
      </w:rPr>
      <w:t>Expediente</w:t>
    </w:r>
    <w:proofErr w:type="spellEnd"/>
    <w:r w:rsidRPr="00251244">
      <w:rPr>
        <w:rFonts w:ascii="Calibri" w:eastAsia="Calibri" w:hAnsi="Calibri" w:cs="Calibri"/>
        <w:i/>
        <w:smallCaps/>
      </w:rPr>
      <w:t xml:space="preserve"> </w:t>
    </w:r>
    <w:r>
      <w:rPr>
        <w:rFonts w:ascii="Calibri" w:eastAsia="Calibri" w:hAnsi="Calibri" w:cs="Calibri"/>
        <w:i/>
        <w:smallCaps/>
      </w:rPr>
      <w:t>No.</w:t>
    </w:r>
    <w:r w:rsidR="00916504">
      <w:rPr>
        <w:rFonts w:ascii="Calibri" w:eastAsia="Calibri" w:hAnsi="Calibri" w:cs="Calibri"/>
        <w:i/>
        <w:smallCaps/>
      </w:rPr>
      <w:t>2014-00107</w:t>
    </w:r>
    <w:r>
      <w:rPr>
        <w:rFonts w:ascii="Calibri" w:eastAsia="Calibri" w:hAnsi="Calibri" w:cs="Calibri"/>
        <w:i/>
        <w:smallCaps/>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3FA"/>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3F11"/>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5892"/>
    <w:rsid w:val="000B7400"/>
    <w:rsid w:val="000B7674"/>
    <w:rsid w:val="000B7B51"/>
    <w:rsid w:val="000C0693"/>
    <w:rsid w:val="000C1C22"/>
    <w:rsid w:val="000C1F9C"/>
    <w:rsid w:val="000C2EB9"/>
    <w:rsid w:val="000C35DD"/>
    <w:rsid w:val="000C5753"/>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1127"/>
    <w:rsid w:val="00101191"/>
    <w:rsid w:val="0010216D"/>
    <w:rsid w:val="001022C3"/>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2F66"/>
    <w:rsid w:val="001534E0"/>
    <w:rsid w:val="0015350D"/>
    <w:rsid w:val="00153597"/>
    <w:rsid w:val="00153E3F"/>
    <w:rsid w:val="00153E9A"/>
    <w:rsid w:val="00157C3D"/>
    <w:rsid w:val="00157F4F"/>
    <w:rsid w:val="0016031A"/>
    <w:rsid w:val="00162AC0"/>
    <w:rsid w:val="0016572F"/>
    <w:rsid w:val="0016728B"/>
    <w:rsid w:val="00170803"/>
    <w:rsid w:val="00171667"/>
    <w:rsid w:val="00173089"/>
    <w:rsid w:val="001737DB"/>
    <w:rsid w:val="00177BBC"/>
    <w:rsid w:val="00180A20"/>
    <w:rsid w:val="00182118"/>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00A"/>
    <w:rsid w:val="001C5530"/>
    <w:rsid w:val="001C79D2"/>
    <w:rsid w:val="001C7EBD"/>
    <w:rsid w:val="001D056A"/>
    <w:rsid w:val="001D29E4"/>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2F5BBB"/>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97D"/>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755"/>
    <w:rsid w:val="00383378"/>
    <w:rsid w:val="00384896"/>
    <w:rsid w:val="00384E7A"/>
    <w:rsid w:val="00386005"/>
    <w:rsid w:val="003879EC"/>
    <w:rsid w:val="00390BD7"/>
    <w:rsid w:val="0039190B"/>
    <w:rsid w:val="00392CC7"/>
    <w:rsid w:val="00392E87"/>
    <w:rsid w:val="00394104"/>
    <w:rsid w:val="00395721"/>
    <w:rsid w:val="00396174"/>
    <w:rsid w:val="0039630A"/>
    <w:rsid w:val="0039751D"/>
    <w:rsid w:val="003A0135"/>
    <w:rsid w:val="003A0D77"/>
    <w:rsid w:val="003A0E53"/>
    <w:rsid w:val="003A1505"/>
    <w:rsid w:val="003A5963"/>
    <w:rsid w:val="003A6F60"/>
    <w:rsid w:val="003B0484"/>
    <w:rsid w:val="003B2ADA"/>
    <w:rsid w:val="003B2BB7"/>
    <w:rsid w:val="003B3E8B"/>
    <w:rsid w:val="003B4312"/>
    <w:rsid w:val="003B474A"/>
    <w:rsid w:val="003B6065"/>
    <w:rsid w:val="003B64BE"/>
    <w:rsid w:val="003B6B9A"/>
    <w:rsid w:val="003C538D"/>
    <w:rsid w:val="003C6162"/>
    <w:rsid w:val="003C674B"/>
    <w:rsid w:val="003C6FCF"/>
    <w:rsid w:val="003C7820"/>
    <w:rsid w:val="003D27EE"/>
    <w:rsid w:val="003D280A"/>
    <w:rsid w:val="003D4532"/>
    <w:rsid w:val="003D5033"/>
    <w:rsid w:val="003D552B"/>
    <w:rsid w:val="003D70D4"/>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20F3"/>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97E20"/>
    <w:rsid w:val="004A0726"/>
    <w:rsid w:val="004A0E22"/>
    <w:rsid w:val="004A26B9"/>
    <w:rsid w:val="004A30FA"/>
    <w:rsid w:val="004A31B4"/>
    <w:rsid w:val="004A31EA"/>
    <w:rsid w:val="004A408A"/>
    <w:rsid w:val="004A42E2"/>
    <w:rsid w:val="004A469E"/>
    <w:rsid w:val="004A50B5"/>
    <w:rsid w:val="004A5A42"/>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3519"/>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3D35"/>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F83"/>
    <w:rsid w:val="005B30A2"/>
    <w:rsid w:val="005B3546"/>
    <w:rsid w:val="005B4ED9"/>
    <w:rsid w:val="005B6988"/>
    <w:rsid w:val="005B6C15"/>
    <w:rsid w:val="005B7F95"/>
    <w:rsid w:val="005C025E"/>
    <w:rsid w:val="005C0F6F"/>
    <w:rsid w:val="005C0F90"/>
    <w:rsid w:val="005C25C2"/>
    <w:rsid w:val="005C3FF0"/>
    <w:rsid w:val="005C4191"/>
    <w:rsid w:val="005C58A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4136"/>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8BC"/>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71E5E"/>
    <w:rsid w:val="006723BF"/>
    <w:rsid w:val="00672632"/>
    <w:rsid w:val="006736B2"/>
    <w:rsid w:val="006736CA"/>
    <w:rsid w:val="00673F94"/>
    <w:rsid w:val="006746C5"/>
    <w:rsid w:val="00677E3C"/>
    <w:rsid w:val="00680DE9"/>
    <w:rsid w:val="006819A2"/>
    <w:rsid w:val="00681FD1"/>
    <w:rsid w:val="00682EB1"/>
    <w:rsid w:val="00682FB5"/>
    <w:rsid w:val="00683158"/>
    <w:rsid w:val="006839A7"/>
    <w:rsid w:val="0068440A"/>
    <w:rsid w:val="006905DB"/>
    <w:rsid w:val="00690DCB"/>
    <w:rsid w:val="00690F20"/>
    <w:rsid w:val="00691851"/>
    <w:rsid w:val="00691F94"/>
    <w:rsid w:val="006943BF"/>
    <w:rsid w:val="006A08D9"/>
    <w:rsid w:val="006A1FE4"/>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2AC8"/>
    <w:rsid w:val="006D5087"/>
    <w:rsid w:val="006D5131"/>
    <w:rsid w:val="006D526D"/>
    <w:rsid w:val="006D65D0"/>
    <w:rsid w:val="006E0569"/>
    <w:rsid w:val="006E15A9"/>
    <w:rsid w:val="006E1F5D"/>
    <w:rsid w:val="006E41F7"/>
    <w:rsid w:val="006E5475"/>
    <w:rsid w:val="006E5EED"/>
    <w:rsid w:val="006E719E"/>
    <w:rsid w:val="006E7C14"/>
    <w:rsid w:val="006F0E48"/>
    <w:rsid w:val="006F1BC1"/>
    <w:rsid w:val="006F2820"/>
    <w:rsid w:val="006F2E70"/>
    <w:rsid w:val="006F2FF4"/>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0E27"/>
    <w:rsid w:val="00771048"/>
    <w:rsid w:val="00771AD1"/>
    <w:rsid w:val="00773172"/>
    <w:rsid w:val="00773340"/>
    <w:rsid w:val="007735A2"/>
    <w:rsid w:val="007735CF"/>
    <w:rsid w:val="0077420D"/>
    <w:rsid w:val="0077750B"/>
    <w:rsid w:val="00777D80"/>
    <w:rsid w:val="00777EE2"/>
    <w:rsid w:val="0078214E"/>
    <w:rsid w:val="007821A7"/>
    <w:rsid w:val="00782DF4"/>
    <w:rsid w:val="00783D21"/>
    <w:rsid w:val="007847E2"/>
    <w:rsid w:val="00784EAB"/>
    <w:rsid w:val="00785887"/>
    <w:rsid w:val="007860C0"/>
    <w:rsid w:val="0078706C"/>
    <w:rsid w:val="00787F22"/>
    <w:rsid w:val="00790C46"/>
    <w:rsid w:val="00790D1F"/>
    <w:rsid w:val="00791373"/>
    <w:rsid w:val="007914F4"/>
    <w:rsid w:val="007918FC"/>
    <w:rsid w:val="00792346"/>
    <w:rsid w:val="0079260F"/>
    <w:rsid w:val="00793E50"/>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4D"/>
    <w:rsid w:val="007D7483"/>
    <w:rsid w:val="007E1207"/>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8BC"/>
    <w:rsid w:val="00810D07"/>
    <w:rsid w:val="00810D43"/>
    <w:rsid w:val="008113A1"/>
    <w:rsid w:val="008136BE"/>
    <w:rsid w:val="00815961"/>
    <w:rsid w:val="008169B2"/>
    <w:rsid w:val="00817893"/>
    <w:rsid w:val="00817D95"/>
    <w:rsid w:val="0082093B"/>
    <w:rsid w:val="00820CA3"/>
    <w:rsid w:val="00820D5F"/>
    <w:rsid w:val="008215DF"/>
    <w:rsid w:val="00821871"/>
    <w:rsid w:val="00822776"/>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0387"/>
    <w:rsid w:val="008A7B59"/>
    <w:rsid w:val="008A7BBC"/>
    <w:rsid w:val="008B1B0C"/>
    <w:rsid w:val="008B1DA6"/>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398"/>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1F9A"/>
    <w:rsid w:val="00903870"/>
    <w:rsid w:val="00903BA3"/>
    <w:rsid w:val="00905703"/>
    <w:rsid w:val="00907E64"/>
    <w:rsid w:val="009118E2"/>
    <w:rsid w:val="00911D13"/>
    <w:rsid w:val="009124AC"/>
    <w:rsid w:val="0091514C"/>
    <w:rsid w:val="009152C8"/>
    <w:rsid w:val="00916504"/>
    <w:rsid w:val="00920B9C"/>
    <w:rsid w:val="00921AB6"/>
    <w:rsid w:val="009235CA"/>
    <w:rsid w:val="009255D0"/>
    <w:rsid w:val="0092569C"/>
    <w:rsid w:val="009257EB"/>
    <w:rsid w:val="009259A7"/>
    <w:rsid w:val="009265D4"/>
    <w:rsid w:val="0093020F"/>
    <w:rsid w:val="0093030A"/>
    <w:rsid w:val="00930D1B"/>
    <w:rsid w:val="009320E8"/>
    <w:rsid w:val="00933195"/>
    <w:rsid w:val="00933E91"/>
    <w:rsid w:val="009352F9"/>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2D2A"/>
    <w:rsid w:val="00A23565"/>
    <w:rsid w:val="00A24679"/>
    <w:rsid w:val="00A2513F"/>
    <w:rsid w:val="00A25E63"/>
    <w:rsid w:val="00A30698"/>
    <w:rsid w:val="00A330D4"/>
    <w:rsid w:val="00A359EF"/>
    <w:rsid w:val="00A36BAA"/>
    <w:rsid w:val="00A37998"/>
    <w:rsid w:val="00A416BC"/>
    <w:rsid w:val="00A42B51"/>
    <w:rsid w:val="00A42C35"/>
    <w:rsid w:val="00A43319"/>
    <w:rsid w:val="00A43B8A"/>
    <w:rsid w:val="00A459DB"/>
    <w:rsid w:val="00A5018E"/>
    <w:rsid w:val="00A53AF5"/>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59C"/>
    <w:rsid w:val="00AB3644"/>
    <w:rsid w:val="00AB75CE"/>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6AE7"/>
    <w:rsid w:val="00B57050"/>
    <w:rsid w:val="00B6233A"/>
    <w:rsid w:val="00B643E0"/>
    <w:rsid w:val="00B64CED"/>
    <w:rsid w:val="00B65CC3"/>
    <w:rsid w:val="00B664EB"/>
    <w:rsid w:val="00B66893"/>
    <w:rsid w:val="00B67D34"/>
    <w:rsid w:val="00B703FF"/>
    <w:rsid w:val="00B71142"/>
    <w:rsid w:val="00B71678"/>
    <w:rsid w:val="00B71D8F"/>
    <w:rsid w:val="00B72AA4"/>
    <w:rsid w:val="00B7311D"/>
    <w:rsid w:val="00B7328B"/>
    <w:rsid w:val="00B746F1"/>
    <w:rsid w:val="00B747D5"/>
    <w:rsid w:val="00B754CB"/>
    <w:rsid w:val="00B755A1"/>
    <w:rsid w:val="00B76210"/>
    <w:rsid w:val="00B77B8C"/>
    <w:rsid w:val="00B80C2A"/>
    <w:rsid w:val="00B82E21"/>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312C"/>
    <w:rsid w:val="00BB6EA9"/>
    <w:rsid w:val="00BB7CCD"/>
    <w:rsid w:val="00BC08DA"/>
    <w:rsid w:val="00BC23D8"/>
    <w:rsid w:val="00BC2A62"/>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B3"/>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62"/>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0EB3"/>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701C"/>
    <w:rsid w:val="00DB75B1"/>
    <w:rsid w:val="00DB789E"/>
    <w:rsid w:val="00DC0A07"/>
    <w:rsid w:val="00DC0C4C"/>
    <w:rsid w:val="00DC1D9B"/>
    <w:rsid w:val="00DC53C9"/>
    <w:rsid w:val="00DC58BA"/>
    <w:rsid w:val="00DC64DF"/>
    <w:rsid w:val="00DC7295"/>
    <w:rsid w:val="00DC75A3"/>
    <w:rsid w:val="00DD14D0"/>
    <w:rsid w:val="00DD21D7"/>
    <w:rsid w:val="00DD32DA"/>
    <w:rsid w:val="00DD339B"/>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DF61F7"/>
    <w:rsid w:val="00E00662"/>
    <w:rsid w:val="00E0238B"/>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620"/>
    <w:rsid w:val="00E5277F"/>
    <w:rsid w:val="00E53251"/>
    <w:rsid w:val="00E5378B"/>
    <w:rsid w:val="00E547FC"/>
    <w:rsid w:val="00E55F0D"/>
    <w:rsid w:val="00E56B13"/>
    <w:rsid w:val="00E56C04"/>
    <w:rsid w:val="00E57141"/>
    <w:rsid w:val="00E574A7"/>
    <w:rsid w:val="00E5767F"/>
    <w:rsid w:val="00E578BF"/>
    <w:rsid w:val="00E578EF"/>
    <w:rsid w:val="00E6051D"/>
    <w:rsid w:val="00E61053"/>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05DC"/>
    <w:rsid w:val="00E810BC"/>
    <w:rsid w:val="00E81256"/>
    <w:rsid w:val="00E827CC"/>
    <w:rsid w:val="00E82920"/>
    <w:rsid w:val="00E853C2"/>
    <w:rsid w:val="00E8603C"/>
    <w:rsid w:val="00E86DE3"/>
    <w:rsid w:val="00E8742A"/>
    <w:rsid w:val="00E87C2F"/>
    <w:rsid w:val="00E905FB"/>
    <w:rsid w:val="00E9069C"/>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A1A"/>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CE4"/>
    <w:rsid w:val="00F47D04"/>
    <w:rsid w:val="00F5097F"/>
    <w:rsid w:val="00F51255"/>
    <w:rsid w:val="00F51686"/>
    <w:rsid w:val="00F52EAE"/>
    <w:rsid w:val="00F55A3B"/>
    <w:rsid w:val="00F55AA8"/>
    <w:rsid w:val="00F55DE5"/>
    <w:rsid w:val="00F6146F"/>
    <w:rsid w:val="00F635F6"/>
    <w:rsid w:val="00F638F7"/>
    <w:rsid w:val="00F64762"/>
    <w:rsid w:val="00F64D05"/>
    <w:rsid w:val="00F653FA"/>
    <w:rsid w:val="00F6555E"/>
    <w:rsid w:val="00F73BAA"/>
    <w:rsid w:val="00F73E2B"/>
    <w:rsid w:val="00F74CAD"/>
    <w:rsid w:val="00F75A95"/>
    <w:rsid w:val="00F75C8F"/>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1CD"/>
    <w:rsid w:val="00FA22B0"/>
    <w:rsid w:val="00FA37EE"/>
    <w:rsid w:val="00FA39B5"/>
    <w:rsid w:val="00FA3A9B"/>
    <w:rsid w:val="00FA4F45"/>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1A97"/>
    <w:rsid w:val="00FD223A"/>
    <w:rsid w:val="00FD2725"/>
    <w:rsid w:val="00FD2A8B"/>
    <w:rsid w:val="00FD3B79"/>
    <w:rsid w:val="00FD3C21"/>
    <w:rsid w:val="00FD42E9"/>
    <w:rsid w:val="00FD48EE"/>
    <w:rsid w:val="00FD5A6B"/>
    <w:rsid w:val="00FD7FC7"/>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58B9B-E84F-4294-ACF5-D4B069C3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2397</Words>
  <Characters>13187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10</cp:revision>
  <cp:lastPrinted>2017-07-17T18:28:00Z</cp:lastPrinted>
  <dcterms:created xsi:type="dcterms:W3CDTF">2017-07-17T15:28:00Z</dcterms:created>
  <dcterms:modified xsi:type="dcterms:W3CDTF">2017-08-17T16:10:00Z</dcterms:modified>
</cp:coreProperties>
</file>