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4C" w:rsidRPr="002E3E4C" w:rsidRDefault="002E3E4C" w:rsidP="002E3E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2E3E4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E3E4C" w:rsidRPr="002E3E4C" w:rsidRDefault="002E3E4C" w:rsidP="002E3E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3E4C">
        <w:rPr>
          <w:rFonts w:ascii="Calibri" w:eastAsia="Calibri" w:hAnsi="Calibri" w:cs="Calibri"/>
          <w:color w:val="FF0000"/>
          <w:sz w:val="16"/>
          <w:szCs w:val="16"/>
          <w:lang w:val="es-CO" w:eastAsia="fr-FR"/>
        </w:rPr>
        <w:t>El contenido total y fiel de la decisión debe ser verificado en la Secretaría de esta Sala.</w:t>
      </w:r>
    </w:p>
    <w:p w:rsidR="002E3E4C" w:rsidRPr="002E3E4C" w:rsidRDefault="002E3E4C" w:rsidP="002E3E4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E3E4C">
        <w:rPr>
          <w:rFonts w:ascii="Calibri" w:hAnsi="Calibri" w:cs="Calibri"/>
          <w:color w:val="222222"/>
          <w:sz w:val="18"/>
          <w:szCs w:val="18"/>
          <w:lang w:val="es-CO" w:eastAsia="fr-FR"/>
        </w:rPr>
        <w:t>Providencia:</w:t>
      </w:r>
      <w:r w:rsidRPr="002E3E4C">
        <w:rPr>
          <w:rFonts w:ascii="Calibri" w:hAnsi="Calibri" w:cs="Calibri"/>
          <w:color w:val="222222"/>
          <w:sz w:val="18"/>
          <w:szCs w:val="18"/>
          <w:lang w:val="es-CO" w:eastAsia="fr-FR"/>
        </w:rPr>
        <w:tab/>
        <w:t>Sentencia  – 1ª instancia – 29 de agosto de 2017</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2E3E4C">
        <w:rPr>
          <w:rFonts w:ascii="Calibri" w:eastAsia="Calibri" w:hAnsi="Calibri" w:cs="Calibri"/>
          <w:color w:val="222222"/>
          <w:sz w:val="18"/>
          <w:szCs w:val="18"/>
          <w:lang w:val="es-CO" w:eastAsia="fr-FR"/>
        </w:rPr>
        <w:t>Proceso:    </w:t>
      </w:r>
      <w:r w:rsidRPr="002E3E4C">
        <w:rPr>
          <w:rFonts w:ascii="Calibri" w:eastAsia="Calibri" w:hAnsi="Calibri" w:cs="Calibri"/>
          <w:color w:val="222222"/>
          <w:sz w:val="18"/>
          <w:szCs w:val="18"/>
          <w:lang w:val="es-CO" w:eastAsia="fr-FR"/>
        </w:rPr>
        <w:tab/>
      </w:r>
      <w:r w:rsidRPr="002E3E4C">
        <w:rPr>
          <w:rFonts w:ascii="Calibri" w:eastAsia="Calibri" w:hAnsi="Calibri" w:cs="Calibri"/>
          <w:color w:val="222222"/>
          <w:spacing w:val="-6"/>
          <w:sz w:val="18"/>
          <w:szCs w:val="18"/>
          <w:lang w:val="es-CO" w:eastAsia="fr-FR"/>
        </w:rPr>
        <w:t>Acción de Tutela – Concede amparo</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2E3E4C">
        <w:rPr>
          <w:rFonts w:ascii="Calibri" w:eastAsia="Calibri" w:hAnsi="Calibri" w:cs="Calibri"/>
          <w:color w:val="222222"/>
          <w:sz w:val="18"/>
          <w:szCs w:val="18"/>
          <w:lang w:val="es-CO" w:eastAsia="fr-FR"/>
        </w:rPr>
        <w:t>Radicación Nro. :</w:t>
      </w:r>
      <w:r w:rsidRPr="002E3E4C">
        <w:rPr>
          <w:rFonts w:ascii="Calibri" w:eastAsia="Calibri" w:hAnsi="Calibri" w:cs="Calibri"/>
          <w:color w:val="222222"/>
          <w:sz w:val="18"/>
          <w:szCs w:val="18"/>
          <w:lang w:val="es-CO" w:eastAsia="fr-FR"/>
        </w:rPr>
        <w:tab/>
      </w:r>
      <w:r w:rsidRPr="002E3E4C">
        <w:rPr>
          <w:rFonts w:ascii="Calibri" w:eastAsia="Calibri" w:hAnsi="Calibri" w:cs="Calibri"/>
          <w:bCs/>
          <w:spacing w:val="-6"/>
          <w:sz w:val="18"/>
          <w:szCs w:val="18"/>
          <w:lang w:eastAsia="en-US"/>
        </w:rPr>
        <w:t xml:space="preserve">2017-00804-00 </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E3E4C">
        <w:rPr>
          <w:rFonts w:ascii="Calibri" w:eastAsia="Calibri" w:hAnsi="Calibri" w:cs="Calibri"/>
          <w:bCs/>
          <w:iCs/>
          <w:color w:val="222222"/>
          <w:sz w:val="18"/>
          <w:szCs w:val="18"/>
          <w:lang w:eastAsia="fr-FR"/>
        </w:rPr>
        <w:t xml:space="preserve">Accionante: </w:t>
      </w:r>
      <w:r w:rsidRPr="002E3E4C">
        <w:rPr>
          <w:rFonts w:ascii="Calibri" w:eastAsia="Calibri" w:hAnsi="Calibri" w:cs="Calibri"/>
          <w:bCs/>
          <w:iCs/>
          <w:color w:val="222222"/>
          <w:sz w:val="18"/>
          <w:szCs w:val="18"/>
          <w:lang w:eastAsia="fr-FR"/>
        </w:rPr>
        <w:tab/>
        <w:t>JAVIER ELÍAS ARIAS IDÁRRAGA</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E3E4C">
        <w:rPr>
          <w:rFonts w:ascii="Calibri" w:eastAsia="Calibri" w:hAnsi="Calibri" w:cs="Calibri"/>
          <w:color w:val="222222"/>
          <w:sz w:val="18"/>
          <w:szCs w:val="18"/>
          <w:lang w:val="es-CO" w:eastAsia="fr-FR"/>
        </w:rPr>
        <w:t>Accionado:</w:t>
      </w:r>
      <w:r w:rsidRPr="002E3E4C">
        <w:rPr>
          <w:rFonts w:ascii="Calibri" w:eastAsia="Calibri" w:hAnsi="Calibri" w:cs="Calibri"/>
          <w:color w:val="222222"/>
          <w:sz w:val="18"/>
          <w:szCs w:val="18"/>
          <w:lang w:val="es-CO" w:eastAsia="fr-FR"/>
        </w:rPr>
        <w:tab/>
      </w:r>
      <w:r w:rsidRPr="002E3E4C">
        <w:rPr>
          <w:rFonts w:ascii="Calibri" w:eastAsia="Calibri" w:hAnsi="Calibri" w:cs="Calibri"/>
          <w:bCs/>
          <w:iCs/>
          <w:color w:val="222222"/>
          <w:sz w:val="18"/>
          <w:szCs w:val="18"/>
          <w:lang w:eastAsia="fr-FR"/>
        </w:rPr>
        <w:t>JUZGADO TERCERO CIVIL DEL CIRCUITO DE PEREIRA</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E3E4C">
        <w:rPr>
          <w:rFonts w:ascii="Calibri" w:eastAsia="Calibri" w:hAnsi="Calibri" w:cs="Calibri"/>
          <w:color w:val="222222"/>
          <w:sz w:val="18"/>
          <w:szCs w:val="18"/>
          <w:lang w:val="es-CO" w:eastAsia="fr-FR"/>
        </w:rPr>
        <w:t>Magistrado Ponente: </w:t>
      </w:r>
      <w:r w:rsidRPr="002E3E4C">
        <w:rPr>
          <w:rFonts w:ascii="Calibri" w:eastAsia="Calibri" w:hAnsi="Calibri" w:cs="Calibri"/>
          <w:color w:val="222222"/>
          <w:sz w:val="18"/>
          <w:szCs w:val="18"/>
          <w:lang w:val="es-CO" w:eastAsia="fr-FR"/>
        </w:rPr>
        <w:tab/>
      </w:r>
      <w:proofErr w:type="spellStart"/>
      <w:r w:rsidRPr="002E3E4C">
        <w:rPr>
          <w:rFonts w:ascii="Calibri" w:eastAsia="Calibri" w:hAnsi="Calibri" w:cs="Calibri"/>
          <w:bCs/>
          <w:iCs/>
          <w:color w:val="222222"/>
          <w:sz w:val="18"/>
          <w:szCs w:val="18"/>
          <w:lang w:val="es-CO" w:eastAsia="fr-FR"/>
        </w:rPr>
        <w:t>DUBERNEY</w:t>
      </w:r>
      <w:proofErr w:type="spellEnd"/>
      <w:r w:rsidRPr="002E3E4C">
        <w:rPr>
          <w:rFonts w:ascii="Calibri" w:eastAsia="Calibri" w:hAnsi="Calibri" w:cs="Calibri"/>
          <w:bCs/>
          <w:iCs/>
          <w:color w:val="222222"/>
          <w:sz w:val="18"/>
          <w:szCs w:val="18"/>
          <w:lang w:val="es-CO" w:eastAsia="fr-FR"/>
        </w:rPr>
        <w:t xml:space="preserve"> GRISALES HERRERA</w:t>
      </w:r>
    </w:p>
    <w:p w:rsidR="002E3E4C" w:rsidRPr="002E3E4C" w:rsidRDefault="002E3E4C" w:rsidP="002E3E4C">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2E3E4C" w:rsidRDefault="002E3E4C" w:rsidP="002E3E4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2E3E4C">
        <w:rPr>
          <w:rFonts w:ascii="Calibri" w:eastAsia="Calibri" w:hAnsi="Calibri" w:cs="Calibri"/>
          <w:b/>
          <w:bCs/>
          <w:iCs/>
          <w:color w:val="222222"/>
          <w:sz w:val="18"/>
          <w:szCs w:val="18"/>
          <w:lang w:val="es-CO" w:eastAsia="fr-FR"/>
        </w:rPr>
        <w:t xml:space="preserve">Temas: </w:t>
      </w:r>
      <w:r w:rsidRPr="002E3E4C">
        <w:rPr>
          <w:rFonts w:ascii="Calibri" w:eastAsia="Calibri" w:hAnsi="Calibri" w:cs="Calibri"/>
          <w:b/>
          <w:bCs/>
          <w:iCs/>
          <w:color w:val="222222"/>
          <w:sz w:val="18"/>
          <w:szCs w:val="18"/>
          <w:lang w:val="es-CO" w:eastAsia="fr-FR"/>
        </w:rPr>
        <w:tab/>
      </w:r>
      <w:r w:rsidRPr="002E3E4C">
        <w:rPr>
          <w:rFonts w:ascii="Calibri" w:eastAsia="Calibri" w:hAnsi="Calibri" w:cs="Calibri"/>
          <w:b/>
          <w:bCs/>
          <w:iCs/>
          <w:color w:val="222222"/>
          <w:sz w:val="18"/>
          <w:szCs w:val="18"/>
          <w:lang w:eastAsia="fr-FR"/>
        </w:rPr>
        <w:t xml:space="preserve"> DEBIDO PROCESO / TUTELA CONTRA ACTUACIÓN JUDICIAL / MORA EN EL TRÁMITE DE ACCIÓN POPULAR. </w:t>
      </w:r>
      <w:r w:rsidRPr="002E3E4C">
        <w:rPr>
          <w:rFonts w:ascii="Calibri" w:eastAsia="Calibri" w:hAnsi="Calibri" w:cs="Calibri"/>
          <w:bCs/>
          <w:iCs/>
          <w:color w:val="222222"/>
          <w:sz w:val="18"/>
          <w:szCs w:val="18"/>
          <w:lang w:eastAsia="fr-FR"/>
        </w:rPr>
        <w:t xml:space="preserve">[E]s notorio que el Despacho judicial no ha resuelto oportunamente el pedimento del actor, y para esos efectos, se consideran cumplidos los presupuestos generales de procedibilidad del amparo. El asunto es de relevancia constitucional; se carece de medios ordinarios adicionales que puedan agotarse; no se trata de una decisión de tutela; hay inmediatez porque el escrito data del 27-04-2017 (Folio 134 de disco compacto visible a folio 21, ib.) y la acción fue instaurada el 14-08-2017 (Folio 3, ib.); las irregularidades resultan ser trascendentes en el trámite procedimental. </w:t>
      </w:r>
      <w:r w:rsidRPr="002E3E4C">
        <w:rPr>
          <w:rFonts w:ascii="Calibri" w:eastAsia="Calibri" w:hAnsi="Calibri" w:cs="Calibri"/>
          <w:bCs/>
          <w:iCs/>
          <w:color w:val="222222"/>
          <w:sz w:val="18"/>
          <w:szCs w:val="18"/>
          <w:lang w:val="es-ES_tradnl" w:eastAsia="fr-FR"/>
        </w:rPr>
        <w:t xml:space="preserve">Fácil se aprecia que el despacho judicial incurrió en mora judicial, pues dejó vencer el término legal con que contaba para proferir la decisión correspondiente (Artículo 120, </w:t>
      </w:r>
      <w:proofErr w:type="spellStart"/>
      <w:r w:rsidRPr="002E3E4C">
        <w:rPr>
          <w:rFonts w:ascii="Calibri" w:eastAsia="Calibri" w:hAnsi="Calibri" w:cs="Calibri"/>
          <w:bCs/>
          <w:iCs/>
          <w:color w:val="222222"/>
          <w:sz w:val="18"/>
          <w:szCs w:val="18"/>
          <w:lang w:val="es-ES_tradnl" w:eastAsia="fr-FR"/>
        </w:rPr>
        <w:t>CGP</w:t>
      </w:r>
      <w:proofErr w:type="spellEnd"/>
      <w:r w:rsidRPr="002E3E4C">
        <w:rPr>
          <w:rFonts w:ascii="Calibri" w:eastAsia="Calibri" w:hAnsi="Calibri" w:cs="Calibri"/>
          <w:bCs/>
          <w:iCs/>
          <w:color w:val="222222"/>
          <w:sz w:val="18"/>
          <w:szCs w:val="18"/>
          <w:lang w:val="es-ES_tradnl" w:eastAsia="fr-FR"/>
        </w:rPr>
        <w:t>). A estas alturas han pasado aproximadamente cuarto (4) meses desde la radicación del pedimento, en silencio. En esta sede no se ofreció ninguna justificación.</w:t>
      </w:r>
    </w:p>
    <w:p w:rsidR="002E3E4C" w:rsidRPr="002E3E4C" w:rsidRDefault="002E3E4C" w:rsidP="002E3E4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p>
    <w:p w:rsidR="00486062" w:rsidRPr="00EB1DBB" w:rsidRDefault="00D0509A" w:rsidP="002403C8">
      <w:pPr>
        <w:pStyle w:val="Sansinterligne"/>
        <w:tabs>
          <w:tab w:val="left" w:pos="3579"/>
        </w:tabs>
        <w:spacing w:line="360" w:lineRule="auto"/>
        <w:jc w:val="center"/>
        <w:rPr>
          <w:rFonts w:ascii="Georgia" w:hAnsi="Georgia" w:cs="Arial"/>
          <w:w w:val="140"/>
          <w:sz w:val="14"/>
        </w:rPr>
      </w:pPr>
      <w:r w:rsidRPr="00EB1DBB">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ansinterligne"/>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ansinterligne"/>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ansinterligne"/>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ansinterligne"/>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Corpsdetex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Javier Elías Arias </w:t>
      </w:r>
      <w:proofErr w:type="spellStart"/>
      <w:r w:rsidRPr="00EB1DBB">
        <w:rPr>
          <w:rFonts w:ascii="Georgia" w:hAnsi="Georgia" w:cs="Arial"/>
          <w:sz w:val="22"/>
        </w:rPr>
        <w:t>Idárraga</w:t>
      </w:r>
      <w:proofErr w:type="spellEnd"/>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EB1DBB" w:rsidRPr="00EB1DBB">
        <w:rPr>
          <w:rFonts w:ascii="Georgia" w:hAnsi="Georgia" w:cs="Arial"/>
          <w:sz w:val="22"/>
        </w:rPr>
        <w:t xml:space="preserve">Tercero Civil del Circuito de Pereira </w:t>
      </w:r>
    </w:p>
    <w:p w:rsidR="00A00766" w:rsidRPr="00EB1DBB" w:rsidRDefault="00A00766" w:rsidP="00A00766">
      <w:pPr>
        <w:pStyle w:val="Corpsdetex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Alcaldía de Pereira y otros</w:t>
      </w:r>
    </w:p>
    <w:p w:rsidR="00A00766" w:rsidRPr="00EB1DBB" w:rsidRDefault="00A00766" w:rsidP="00A00766">
      <w:pPr>
        <w:pStyle w:val="Corpsdetex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2017-00804-00</w:t>
      </w:r>
    </w:p>
    <w:p w:rsidR="008F34B8" w:rsidRPr="00EB1DBB" w:rsidRDefault="00970930" w:rsidP="008E5334">
      <w:pPr>
        <w:pStyle w:val="Corpsdetex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9B4294" w:rsidRPr="00EB1DBB">
        <w:rPr>
          <w:rFonts w:ascii="Georgia" w:hAnsi="Georgia" w:cs="Arial"/>
          <w:sz w:val="22"/>
          <w:szCs w:val="21"/>
        </w:rPr>
        <w:t>Ausencia fáctica</w:t>
      </w:r>
      <w:r w:rsidR="00FB071B">
        <w:rPr>
          <w:rFonts w:ascii="Georgia" w:hAnsi="Georgia" w:cs="Arial"/>
          <w:sz w:val="22"/>
          <w:szCs w:val="21"/>
        </w:rPr>
        <w:t xml:space="preserve"> – Mora judicial</w:t>
      </w:r>
    </w:p>
    <w:p w:rsidR="0099045D" w:rsidRPr="00EB1DBB" w:rsidRDefault="008E5334" w:rsidP="008E5334">
      <w:pPr>
        <w:pStyle w:val="Corpsdetex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Corpsdetexte"/>
        <w:spacing w:line="360" w:lineRule="auto"/>
        <w:rPr>
          <w:rFonts w:ascii="Georgia" w:hAnsi="Georgia"/>
          <w:sz w:val="20"/>
          <w:szCs w:val="24"/>
        </w:rPr>
      </w:pPr>
    </w:p>
    <w:p w:rsidR="00104367" w:rsidRPr="00EB1DBB" w:rsidRDefault="00A35E06" w:rsidP="00104367">
      <w:pPr>
        <w:pStyle w:val="Corpsdetex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Corpsdetexte"/>
        <w:spacing w:line="360" w:lineRule="auto"/>
        <w:rPr>
          <w:rFonts w:ascii="Georgia" w:hAnsi="Georgia"/>
          <w:sz w:val="20"/>
          <w:szCs w:val="24"/>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Corpsdetexte"/>
        <w:spacing w:line="360" w:lineRule="auto"/>
        <w:rPr>
          <w:rFonts w:ascii="Georgia" w:hAnsi="Georgia"/>
          <w:sz w:val="20"/>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EB1DBB" w:rsidRPr="00EB1DBB">
        <w:rPr>
          <w:rFonts w:ascii="Georgia" w:hAnsi="Georgia" w:cs="Arial"/>
        </w:rPr>
        <w:t xml:space="preserve">2015-00450-00 solicitó aplicar el artículo 121 del CGP, pero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900A65" w:rsidRPr="00EB1DBB">
        <w:rPr>
          <w:rFonts w:ascii="Georgia" w:hAnsi="Georgia" w:cs="Arial"/>
        </w:rPr>
        <w:t xml:space="preserve">negó </w:t>
      </w:r>
      <w:r w:rsidR="00EB1DBB" w:rsidRPr="00EB1DBB">
        <w:rPr>
          <w:rFonts w:ascii="Georgia" w:hAnsi="Georgia" w:cs="Arial"/>
        </w:rPr>
        <w:t xml:space="preserve">a hacerlo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Default="00517909" w:rsidP="004B1EB8">
      <w:pPr>
        <w:spacing w:line="360" w:lineRule="auto"/>
        <w:jc w:val="both"/>
        <w:rPr>
          <w:rFonts w:ascii="Georgia" w:hAnsi="Georgia" w:cs="Arial"/>
        </w:rPr>
      </w:pPr>
    </w:p>
    <w:p w:rsidR="0099045D" w:rsidRPr="00EB1DBB" w:rsidRDefault="00265F36" w:rsidP="0099045D">
      <w:pPr>
        <w:pStyle w:val="Corpsdetexte"/>
        <w:numPr>
          <w:ilvl w:val="0"/>
          <w:numId w:val="1"/>
        </w:numPr>
        <w:spacing w:line="360" w:lineRule="auto"/>
        <w:rPr>
          <w:rFonts w:ascii="Georgia" w:hAnsi="Georgia"/>
          <w:szCs w:val="24"/>
        </w:rPr>
      </w:pPr>
      <w:r w:rsidRPr="00EB1DBB">
        <w:rPr>
          <w:rFonts w:ascii="Georgia" w:hAnsi="Georgia"/>
          <w:szCs w:val="24"/>
        </w:rPr>
        <w:lastRenderedPageBreak/>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Corpsdetex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EB1DBB" w:rsidRPr="00EB1DBB">
        <w:rPr>
          <w:rFonts w:ascii="Georgia" w:hAnsi="Georgia" w:cs="Arial"/>
          <w:spacing w:val="-3"/>
          <w:lang w:val="es-ES_tradnl"/>
        </w:rPr>
        <w:t>el derecho al debido proceso y los artículos 13 y 83 del CP (Folio</w:t>
      </w:r>
      <w:r w:rsidRPr="00EB1DBB">
        <w:rPr>
          <w:rFonts w:ascii="Georgia" w:hAnsi="Georgia" w:cs="Arial"/>
          <w:spacing w:val="-3"/>
          <w:lang w:val="es-ES_tradnl"/>
        </w:rPr>
        <w:t xml:space="preserve"> 2,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Corpsdetex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ansinterligne"/>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EB1DBB" w:rsidRPr="00EB1DBB">
        <w:rPr>
          <w:rFonts w:ascii="Georgia" w:hAnsi="Georgia" w:cs="Arial"/>
          <w:i/>
          <w:sz w:val="22"/>
        </w:rPr>
        <w:t>“(…) se ordene nulidad en derecho de todo lo actuado por el tutelado después de un año, amparado CGP art. 121 (…)”</w:t>
      </w:r>
      <w:r w:rsidR="00900A65" w:rsidRPr="00EB1DBB">
        <w:rPr>
          <w:rFonts w:ascii="Georgia" w:hAnsi="Georgia" w:cs="Arial"/>
          <w:lang w:val="es-CO"/>
        </w:rPr>
        <w:t xml:space="preserve"> </w:t>
      </w:r>
      <w:r w:rsidR="00612C75" w:rsidRPr="00EB1DBB">
        <w:rPr>
          <w:rFonts w:ascii="Georgia" w:hAnsi="Georgia" w:cs="Arial"/>
          <w:spacing w:val="-3"/>
          <w:lang w:val="es-ES_tradnl"/>
        </w:rPr>
        <w:t>(Folio</w:t>
      </w:r>
      <w:r w:rsidR="00BB4CEF" w:rsidRPr="00EB1DBB">
        <w:rPr>
          <w:rFonts w:ascii="Georgia" w:hAnsi="Georgia" w:cs="Arial"/>
          <w:spacing w:val="-3"/>
          <w:lang w:val="es-ES_tradnl"/>
        </w:rPr>
        <w:t>s</w:t>
      </w:r>
      <w:r w:rsidR="00612C75" w:rsidRPr="00EB1DBB">
        <w:rPr>
          <w:rFonts w:ascii="Georgia" w:hAnsi="Georgia" w:cs="Arial"/>
          <w:spacing w:val="-3"/>
          <w:lang w:val="es-ES_tradnl"/>
        </w:rPr>
        <w:t xml:space="preserve"> </w:t>
      </w:r>
      <w:r w:rsidR="00EB1DBB" w:rsidRPr="00EB1DBB">
        <w:rPr>
          <w:rFonts w:ascii="Georgia" w:hAnsi="Georgia" w:cs="Arial"/>
          <w:spacing w:val="-3"/>
          <w:lang w:val="es-ES_tradnl"/>
        </w:rPr>
        <w:t xml:space="preserve">1 y </w:t>
      </w:r>
      <w:r w:rsidR="00EA458D" w:rsidRPr="00EB1DBB">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EB1DBB" w:rsidRDefault="00CE71D8" w:rsidP="000145EA">
      <w:pPr>
        <w:pStyle w:val="Sansinterligne"/>
        <w:spacing w:line="360" w:lineRule="auto"/>
        <w:jc w:val="both"/>
        <w:rPr>
          <w:rFonts w:ascii="Georgia" w:hAnsi="Georgia" w:cs="Arial"/>
          <w:szCs w:val="24"/>
        </w:rPr>
      </w:pPr>
    </w:p>
    <w:p w:rsidR="0099045D" w:rsidRPr="00EB1DBB" w:rsidRDefault="00270A8D" w:rsidP="00101AE0">
      <w:pPr>
        <w:pStyle w:val="Sansinterligne"/>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A969B4" w:rsidRDefault="00BB4CEF" w:rsidP="00BB4CEF">
      <w:pPr>
        <w:pStyle w:val="Sansinterligne"/>
        <w:spacing w:line="360" w:lineRule="auto"/>
        <w:ind w:left="360"/>
        <w:jc w:val="both"/>
        <w:rPr>
          <w:rFonts w:ascii="Georgia" w:hAnsi="Georgia"/>
          <w:sz w:val="22"/>
          <w:szCs w:val="24"/>
          <w:lang w:val="es-CO"/>
        </w:rPr>
      </w:pPr>
    </w:p>
    <w:p w:rsidR="00A969B4"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EB1DBB" w:rsidRPr="00EB1DBB">
        <w:rPr>
          <w:rFonts w:ascii="Georgia" w:hAnsi="Georgia"/>
        </w:rPr>
        <w:t>14</w:t>
      </w:r>
      <w:r w:rsidR="00900A65" w:rsidRPr="00EB1DBB">
        <w:rPr>
          <w:rFonts w:ascii="Georgia" w:hAnsi="Georgia"/>
        </w:rPr>
        <w:t>-</w:t>
      </w:r>
      <w:r w:rsidR="00EB1DBB" w:rsidRPr="00EB1DBB">
        <w:rPr>
          <w:rFonts w:ascii="Georgia" w:hAnsi="Georgia"/>
        </w:rPr>
        <w:t>08</w:t>
      </w:r>
      <w:r w:rsidR="00900A65" w:rsidRPr="00EB1DBB">
        <w:rPr>
          <w:rFonts w:ascii="Georgia" w:hAnsi="Georgia"/>
        </w:rPr>
        <w:t xml:space="preserve">-2017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16-</w:t>
      </w:r>
    </w:p>
    <w:p w:rsidR="004B1EB8" w:rsidRPr="00EB1DBB" w:rsidRDefault="00EB1DBB" w:rsidP="004B1EB8">
      <w:pPr>
        <w:spacing w:line="360" w:lineRule="auto"/>
        <w:jc w:val="both"/>
        <w:rPr>
          <w:rFonts w:ascii="Georgia" w:hAnsi="Georgia" w:cs="Arial"/>
        </w:rPr>
      </w:pPr>
      <w:r w:rsidRPr="00EB1DBB">
        <w:rPr>
          <w:rFonts w:ascii="Georgia" w:hAnsi="Georgia" w:cs="Arial"/>
          <w:color w:val="000000"/>
        </w:rPr>
        <w:t xml:space="preserve">08-2017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s </w:t>
      </w:r>
      <w:r w:rsidRPr="00EB1DBB">
        <w:rPr>
          <w:rFonts w:ascii="Georgia" w:hAnsi="Georgia" w:cs="Arial"/>
          <w:color w:val="000000"/>
        </w:rPr>
        <w:t>6 y 7</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EA458D" w:rsidRPr="00EB1DBB">
        <w:rPr>
          <w:rFonts w:ascii="Georgia" w:hAnsi="Georgia" w:cs="Arial"/>
          <w:color w:val="000000"/>
        </w:rPr>
        <w:t xml:space="preserve">la Procuraduría General de la Nación, Regional Risaralda </w:t>
      </w:r>
      <w:r w:rsidRPr="00EB1DBB">
        <w:rPr>
          <w:rFonts w:ascii="Georgia" w:hAnsi="Georgia" w:cs="Arial"/>
          <w:color w:val="000000"/>
        </w:rPr>
        <w:t xml:space="preserve">(En adelante PGNR) </w:t>
      </w:r>
      <w:r w:rsidR="00EA458D" w:rsidRPr="00EB1DBB">
        <w:rPr>
          <w:rFonts w:ascii="Georgia" w:hAnsi="Georgia" w:cs="Arial"/>
          <w:color w:val="000000"/>
        </w:rPr>
        <w:t>(Folio</w:t>
      </w:r>
      <w:r w:rsidR="00612C75" w:rsidRPr="00EB1DBB">
        <w:rPr>
          <w:rFonts w:ascii="Georgia" w:hAnsi="Georgia" w:cs="Arial"/>
          <w:color w:val="000000"/>
        </w:rPr>
        <w:t xml:space="preserve"> </w:t>
      </w:r>
      <w:r w:rsidRPr="00EB1DBB">
        <w:rPr>
          <w:rFonts w:ascii="Georgia" w:hAnsi="Georgia" w:cs="Arial"/>
          <w:color w:val="000000"/>
        </w:rPr>
        <w:t>8</w:t>
      </w:r>
      <w:r w:rsidR="00612C75" w:rsidRPr="00EB1DBB">
        <w:rPr>
          <w:rFonts w:ascii="Georgia" w:hAnsi="Georgia" w:cs="Arial"/>
          <w:color w:val="000000"/>
        </w:rPr>
        <w:t>, ib.)</w:t>
      </w:r>
      <w:r w:rsidRPr="00EB1DBB">
        <w:rPr>
          <w:rFonts w:ascii="Georgia" w:hAnsi="Georgia" w:cs="Arial"/>
          <w:color w:val="000000"/>
        </w:rPr>
        <w:t xml:space="preserve"> y la Alcaldía de Pereira (Folios 10 y 11, ib.)</w:t>
      </w:r>
      <w:r w:rsidR="00517909" w:rsidRPr="00EB1DBB">
        <w:rPr>
          <w:rFonts w:ascii="Georgia" w:hAnsi="Georgia" w:cs="Arial"/>
        </w:rPr>
        <w:t xml:space="preserve">. El Juzgado accionado arrimó </w:t>
      </w:r>
      <w:r w:rsidRPr="00EB1DBB">
        <w:rPr>
          <w:rFonts w:ascii="Georgia" w:hAnsi="Georgia" w:cs="Arial"/>
        </w:rPr>
        <w:t>la información requerida</w:t>
      </w:r>
      <w:r w:rsidR="00270A8D" w:rsidRPr="00EB1DBB">
        <w:rPr>
          <w:rFonts w:ascii="Georgia" w:hAnsi="Georgia" w:cs="Arial"/>
        </w:rPr>
        <w:t xml:space="preserve"> (Folio</w:t>
      </w:r>
      <w:r w:rsidR="00517909" w:rsidRPr="00EB1DBB">
        <w:rPr>
          <w:rFonts w:ascii="Georgia" w:hAnsi="Georgia" w:cs="Arial"/>
        </w:rPr>
        <w:t xml:space="preserve"> </w:t>
      </w:r>
      <w:r w:rsidRPr="00EB1DBB">
        <w:rPr>
          <w:rFonts w:ascii="Georgia" w:hAnsi="Georgia" w:cs="Arial"/>
        </w:rPr>
        <w:t>20 a 22</w:t>
      </w:r>
      <w:r w:rsidR="00517909" w:rsidRPr="00EB1DBB">
        <w:rPr>
          <w:rFonts w:ascii="Georgia" w:hAnsi="Georgia" w:cs="Arial"/>
        </w:rPr>
        <w:t>, ib.).</w:t>
      </w:r>
    </w:p>
    <w:p w:rsidR="00B41B34" w:rsidRPr="00EB1DBB" w:rsidRDefault="00B41B34" w:rsidP="00B50331">
      <w:pPr>
        <w:spacing w:line="360" w:lineRule="auto"/>
        <w:jc w:val="both"/>
        <w:rPr>
          <w:rFonts w:ascii="Georgia" w:hAnsi="Georgia"/>
          <w:sz w:val="20"/>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EB1DBB" w:rsidRDefault="006F4450" w:rsidP="00730CA7">
      <w:pPr>
        <w:pStyle w:val="Corpsdetexte"/>
        <w:spacing w:line="360" w:lineRule="auto"/>
        <w:rPr>
          <w:rFonts w:ascii="Georgia" w:hAnsi="Georgia"/>
          <w:sz w:val="20"/>
          <w:szCs w:val="24"/>
        </w:rPr>
      </w:pPr>
    </w:p>
    <w:p w:rsidR="00EB1DBB" w:rsidRPr="004E5CAF" w:rsidRDefault="00EB1DBB" w:rsidP="00EB1DBB">
      <w:pPr>
        <w:spacing w:line="360" w:lineRule="auto"/>
        <w:jc w:val="both"/>
        <w:rPr>
          <w:rFonts w:ascii="Georgia" w:hAnsi="Georgia" w:cs="Arial"/>
          <w:color w:val="000000"/>
        </w:rPr>
      </w:pPr>
      <w:r w:rsidRPr="00EB1DBB">
        <w:rPr>
          <w:rFonts w:ascii="Georgia" w:hAnsi="Georgia" w:cs="Arial"/>
          <w:color w:val="000000"/>
        </w:rPr>
        <w:t xml:space="preserve">La PGNR </w:t>
      </w:r>
      <w:r w:rsidRPr="00EB1DBB">
        <w:rPr>
          <w:rFonts w:ascii="Georgia" w:hAnsi="Georgia"/>
        </w:rPr>
        <w:t xml:space="preserve">y la Alcaldía </w:t>
      </w:r>
      <w:r w:rsidRPr="00EB1DBB">
        <w:rPr>
          <w:rFonts w:ascii="Georgia" w:hAnsi="Georgia" w:cs="Arial"/>
          <w:color w:val="000000"/>
        </w:rPr>
        <w:t>de Pereira</w:t>
      </w:r>
      <w:r w:rsidRPr="00EB1DBB">
        <w:rPr>
          <w:rFonts w:ascii="Georgia" w:hAnsi="Georgia"/>
        </w:rPr>
        <w:t>, adujeron que la situación alegada es ajena a sus funciones, y que es al Juzgado accionado al que le corresponde tramitar la acción popular y tomar las decisiones respectivas, por lo tanto, no se les pued</w:t>
      </w:r>
      <w:r w:rsidRPr="004E5CAF">
        <w:rPr>
          <w:rFonts w:ascii="Georgia" w:hAnsi="Georgia"/>
        </w:rPr>
        <w:t>e imputar responsabilidad alguna. Solicitaron su desvinculación</w:t>
      </w:r>
      <w:r w:rsidRPr="004E5CAF">
        <w:rPr>
          <w:rFonts w:ascii="Georgia" w:hAnsi="Georgia" w:cs="Arial"/>
          <w:color w:val="000000"/>
        </w:rPr>
        <w:t xml:space="preserve"> (Folios </w:t>
      </w:r>
      <w:r>
        <w:rPr>
          <w:rFonts w:ascii="Georgia" w:hAnsi="Georgia" w:cs="Arial"/>
          <w:color w:val="000000"/>
        </w:rPr>
        <w:t>8, 10 y 11</w:t>
      </w:r>
      <w:r w:rsidRPr="004E5CAF">
        <w:rPr>
          <w:rFonts w:ascii="Georgia" w:hAnsi="Georgia" w:cs="Arial"/>
          <w:color w:val="000000"/>
        </w:rPr>
        <w:t>, ib.).</w:t>
      </w:r>
    </w:p>
    <w:p w:rsidR="00930478" w:rsidRPr="00EB1DBB" w:rsidRDefault="00DC2991" w:rsidP="00AE621B">
      <w:pPr>
        <w:spacing w:line="360" w:lineRule="auto"/>
        <w:jc w:val="both"/>
        <w:rPr>
          <w:rFonts w:ascii="Georgia" w:hAnsi="Georgia"/>
          <w:sz w:val="20"/>
        </w:rPr>
      </w:pPr>
      <w:r w:rsidRPr="00FD594D">
        <w:rPr>
          <w:rFonts w:ascii="Arial" w:hAnsi="Arial"/>
        </w:rPr>
        <w:t xml:space="preserve"> </w:t>
      </w:r>
    </w:p>
    <w:p w:rsidR="00CF429F" w:rsidRPr="00EB1DBB" w:rsidRDefault="005764A9" w:rsidP="00CF429F">
      <w:pPr>
        <w:pStyle w:val="Corpsdetex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EB1DBB" w:rsidRDefault="006232EF" w:rsidP="006232EF">
      <w:pPr>
        <w:pStyle w:val="Corpsdetexte"/>
        <w:spacing w:line="360" w:lineRule="auto"/>
        <w:ind w:left="400"/>
        <w:rPr>
          <w:rFonts w:ascii="Georgia" w:hAnsi="Georgia"/>
          <w:sz w:val="20"/>
          <w:szCs w:val="24"/>
        </w:rPr>
      </w:pPr>
    </w:p>
    <w:p w:rsidR="00D33789" w:rsidRPr="00EB1DBB" w:rsidRDefault="00CF429F" w:rsidP="005764A9">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EB1DBB">
        <w:rPr>
          <w:rFonts w:ascii="Georgia" w:hAnsi="Georgia" w:cs="Arial"/>
          <w:color w:val="000000"/>
          <w:szCs w:val="24"/>
        </w:rPr>
        <w:t>Tercero Civil del Circuito de Pereira.</w:t>
      </w:r>
    </w:p>
    <w:p w:rsidR="00730CA7" w:rsidRPr="00EB1DBB" w:rsidRDefault="00C843CF" w:rsidP="005764A9">
      <w:pPr>
        <w:pStyle w:val="Retraitcorpsdetexte2"/>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Corpsdetex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B1DBB" w:rsidRDefault="005764A9" w:rsidP="00314361">
      <w:pPr>
        <w:pStyle w:val="Paragraphedeliste"/>
        <w:spacing w:line="360" w:lineRule="auto"/>
        <w:rPr>
          <w:rFonts w:ascii="Georgia" w:hAnsi="Georgia" w:cs="Arial"/>
          <w:lang w:val="es-CO"/>
        </w:rPr>
      </w:pPr>
    </w:p>
    <w:p w:rsidR="00270A8D" w:rsidRPr="00EB1DBB" w:rsidRDefault="00270A8D" w:rsidP="00270A8D">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aragraphedeliste"/>
        <w:spacing w:line="360" w:lineRule="auto"/>
        <w:rPr>
          <w:rFonts w:ascii="Georgia" w:hAnsi="Georgia" w:cs="Arial"/>
          <w:lang w:val="es-CO"/>
        </w:rPr>
      </w:pPr>
    </w:p>
    <w:p w:rsidR="00270A8D" w:rsidRPr="00EB1DBB" w:rsidRDefault="00270A8D" w:rsidP="00270A8D">
      <w:pPr>
        <w:pStyle w:val="Corpsdetex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FB071B" w:rsidRPr="007C23E2" w:rsidRDefault="00FB071B" w:rsidP="00FB071B">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lastRenderedPageBreak/>
        <w:t>Las sub-reglas de análisis en la procedibilidad frente a decisiones judiciales</w:t>
      </w:r>
    </w:p>
    <w:p w:rsidR="00FB071B" w:rsidRPr="00E445DE" w:rsidRDefault="00FB071B" w:rsidP="00FB071B">
      <w:pPr>
        <w:pStyle w:val="Corpsdetexte"/>
        <w:spacing w:line="360" w:lineRule="auto"/>
        <w:rPr>
          <w:rFonts w:ascii="Georgia" w:hAnsi="Georgia" w:cs="Arial"/>
          <w:szCs w:val="24"/>
          <w:lang w:val="es-CO"/>
        </w:rPr>
      </w:pPr>
    </w:p>
    <w:p w:rsidR="00FB071B"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FB071B" w:rsidRPr="007C23E2" w:rsidRDefault="00FB071B" w:rsidP="00FB071B">
      <w:pPr>
        <w:pStyle w:val="Corpsdetexte"/>
        <w:shd w:val="clear" w:color="auto" w:fill="FFFFFF" w:themeFill="background1"/>
        <w:spacing w:line="360" w:lineRule="auto"/>
        <w:rPr>
          <w:rFonts w:ascii="Georgia" w:hAnsi="Georgia" w:cs="Arial"/>
          <w:szCs w:val="24"/>
        </w:rPr>
      </w:pPr>
    </w:p>
    <w:p w:rsidR="00FB071B" w:rsidRPr="007C23E2"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FB071B" w:rsidRPr="007C23E2" w:rsidRDefault="00FB071B" w:rsidP="00FB071B">
      <w:pPr>
        <w:pStyle w:val="Corpsdetexte"/>
        <w:shd w:val="clear" w:color="auto" w:fill="FFFFFF" w:themeFill="background1"/>
        <w:spacing w:line="360" w:lineRule="auto"/>
        <w:rPr>
          <w:rFonts w:ascii="Georgia" w:hAnsi="Georgia" w:cs="Arial"/>
          <w:szCs w:val="24"/>
        </w:rPr>
      </w:pPr>
    </w:p>
    <w:p w:rsidR="00FB071B" w:rsidRPr="007C23E2"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FB071B" w:rsidRPr="007C23E2"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FB071B" w:rsidRPr="007C23E2" w:rsidRDefault="00FB071B" w:rsidP="00FB071B">
      <w:pPr>
        <w:pStyle w:val="Corpsdetexte"/>
        <w:shd w:val="clear" w:color="auto" w:fill="FFFFFF" w:themeFill="background1"/>
        <w:spacing w:line="360" w:lineRule="auto"/>
        <w:rPr>
          <w:rFonts w:ascii="Georgia" w:hAnsi="Georgia" w:cs="Arial"/>
          <w:szCs w:val="24"/>
        </w:rPr>
      </w:pPr>
    </w:p>
    <w:p w:rsidR="00FB071B" w:rsidRPr="007C23E2"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FB071B" w:rsidRPr="007C23E2" w:rsidRDefault="00FB071B" w:rsidP="00FB071B">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FB071B" w:rsidRPr="007C23E2" w:rsidRDefault="00FB071B" w:rsidP="00FB071B">
      <w:pPr>
        <w:pStyle w:val="Corpsdetexte"/>
        <w:spacing w:line="360" w:lineRule="auto"/>
        <w:rPr>
          <w:rFonts w:ascii="Georgia" w:hAnsi="Georgia" w:cs="Arial"/>
          <w:szCs w:val="24"/>
        </w:rPr>
      </w:pPr>
    </w:p>
    <w:p w:rsidR="00FB071B" w:rsidRPr="007C23E2" w:rsidRDefault="00FB071B" w:rsidP="00FB071B">
      <w:pPr>
        <w:pStyle w:val="Paragraphedeliste"/>
        <w:numPr>
          <w:ilvl w:val="1"/>
          <w:numId w:val="18"/>
        </w:numPr>
        <w:spacing w:line="360" w:lineRule="auto"/>
        <w:jc w:val="both"/>
        <w:rPr>
          <w:rFonts w:ascii="Georgia" w:hAnsi="Georgia" w:cs="Arial"/>
          <w:smallCaps/>
          <w:lang w:val="es-ES_tradnl"/>
        </w:rPr>
      </w:pPr>
      <w:r w:rsidRPr="007C23E2">
        <w:rPr>
          <w:rFonts w:ascii="Georgia" w:hAnsi="Georgia" w:cs="Arial"/>
          <w:smallCaps/>
          <w:lang w:val="es-ES_tradnl"/>
        </w:rPr>
        <w:t>La mora judicial</w:t>
      </w:r>
    </w:p>
    <w:p w:rsidR="00FB071B" w:rsidRPr="007C23E2" w:rsidRDefault="00FB071B" w:rsidP="00FB071B">
      <w:pPr>
        <w:pStyle w:val="Paragraphedeliste"/>
        <w:spacing w:line="360" w:lineRule="auto"/>
        <w:ind w:left="720"/>
        <w:jc w:val="both"/>
        <w:rPr>
          <w:rFonts w:ascii="Georgia" w:hAnsi="Georgia" w:cs="Arial"/>
          <w:smallCaps/>
          <w:lang w:val="es-ES_tradnl"/>
        </w:rPr>
      </w:pPr>
    </w:p>
    <w:p w:rsidR="00FB071B" w:rsidRPr="007C23E2" w:rsidRDefault="00FB071B" w:rsidP="00FB071B">
      <w:pPr>
        <w:spacing w:line="360" w:lineRule="auto"/>
        <w:jc w:val="both"/>
        <w:rPr>
          <w:rFonts w:ascii="Georgia" w:hAnsi="Georgia" w:cs="Arial"/>
          <w:sz w:val="22"/>
          <w:szCs w:val="22"/>
          <w:lang w:val="es-CO"/>
        </w:rPr>
      </w:pPr>
      <w:r w:rsidRPr="007C23E2">
        <w:rPr>
          <w:rFonts w:ascii="Georgia" w:hAnsi="Georgia"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sidRPr="007C23E2">
        <w:rPr>
          <w:rFonts w:ascii="Georgia" w:hAnsi="Georgia" w:cs="Arial"/>
        </w:rPr>
        <w:t xml:space="preserve"> ha recordado la doctrina constitucional</w:t>
      </w:r>
      <w:r w:rsidRPr="007C23E2">
        <w:rPr>
          <w:rStyle w:val="Appelnotedebasdep"/>
          <w:rFonts w:ascii="Georgia" w:hAnsi="Georgia"/>
        </w:rPr>
        <w:footnoteReference w:id="10"/>
      </w:r>
      <w:r w:rsidRPr="007C23E2">
        <w:rPr>
          <w:rFonts w:ascii="Georgia" w:hAnsi="Georgia" w:cs="Arial"/>
        </w:rPr>
        <w:t xml:space="preserve"> que limitó la prosperidad del amparo a que:</w:t>
      </w:r>
      <w:r w:rsidRPr="007C23E2">
        <w:rPr>
          <w:rFonts w:ascii="Georgia" w:hAnsi="Georgia" w:cs="Arial"/>
          <w:lang w:val="es-ES_tradnl"/>
        </w:rPr>
        <w:t xml:space="preserve"> </w:t>
      </w:r>
      <w:r w:rsidRPr="007C23E2">
        <w:rPr>
          <w:rFonts w:ascii="Georgia" w:hAnsi="Georgia" w:cs="Arial"/>
          <w:i/>
          <w:sz w:val="22"/>
          <w:szCs w:val="22"/>
          <w:lang w:val="es-ES_tradnl"/>
        </w:rPr>
        <w:t xml:space="preserve">“(…) </w:t>
      </w:r>
      <w:r w:rsidRPr="007C23E2">
        <w:rPr>
          <w:rFonts w:ascii="Georgia" w:hAnsi="Georgia" w:cs="Arial"/>
          <w:i/>
          <w:sz w:val="22"/>
          <w:szCs w:val="22"/>
          <w:lang w:val="es-CO"/>
        </w:rPr>
        <w:t xml:space="preserve">(i) el funcionario haya incurrido en mora judicial injustificada y que (ii) se </w:t>
      </w:r>
      <w:proofErr w:type="spellStart"/>
      <w:r w:rsidRPr="007C23E2">
        <w:rPr>
          <w:rFonts w:ascii="Georgia" w:hAnsi="Georgia" w:cs="Arial"/>
          <w:i/>
          <w:sz w:val="22"/>
          <w:szCs w:val="22"/>
          <w:lang w:val="es-CO"/>
        </w:rPr>
        <w:t>este</w:t>
      </w:r>
      <w:proofErr w:type="spellEnd"/>
      <w:r w:rsidRPr="007C23E2">
        <w:rPr>
          <w:rFonts w:ascii="Georgia" w:hAnsi="Georgia" w:cs="Arial"/>
          <w:i/>
          <w:sz w:val="22"/>
          <w:szCs w:val="22"/>
          <w:lang w:val="es-CO"/>
        </w:rPr>
        <w:t xml:space="preserve"> (Sic) ante la posibilidad de que se materialice un daño que genere un perjuicio que no pueda ser subsanado</w:t>
      </w:r>
      <w:r w:rsidRPr="007C23E2">
        <w:rPr>
          <w:rFonts w:ascii="Georgia" w:hAnsi="Georgia" w:cs="Arial"/>
          <w:i/>
          <w:sz w:val="22"/>
          <w:szCs w:val="22"/>
          <w:vertAlign w:val="superscript"/>
          <w:lang w:val="es-CO"/>
        </w:rPr>
        <w:footnoteReference w:id="11"/>
      </w:r>
      <w:r w:rsidRPr="007C23E2">
        <w:rPr>
          <w:rFonts w:ascii="Georgia" w:hAnsi="Georgia" w:cs="Arial"/>
          <w:i/>
          <w:sz w:val="22"/>
          <w:szCs w:val="22"/>
          <w:lang w:val="es-CO"/>
        </w:rPr>
        <w:t xml:space="preserve"> (…)”.</w:t>
      </w:r>
      <w:r w:rsidRPr="007C23E2">
        <w:rPr>
          <w:rFonts w:ascii="Georgia" w:hAnsi="Georgia" w:cs="Arial"/>
          <w:sz w:val="22"/>
          <w:szCs w:val="22"/>
          <w:lang w:val="es-CO"/>
        </w:rPr>
        <w:t xml:space="preserve"> </w:t>
      </w:r>
    </w:p>
    <w:p w:rsidR="00FB071B" w:rsidRPr="007C23E2" w:rsidRDefault="00FB071B" w:rsidP="00FB071B">
      <w:pPr>
        <w:spacing w:line="360" w:lineRule="auto"/>
        <w:ind w:right="567"/>
        <w:jc w:val="both"/>
        <w:rPr>
          <w:rFonts w:ascii="Georgia" w:hAnsi="Georgia" w:cs="Arial"/>
          <w:lang w:val="es-CO"/>
        </w:rPr>
      </w:pPr>
    </w:p>
    <w:p w:rsidR="00FB071B" w:rsidRPr="007C23E2" w:rsidRDefault="00FB071B" w:rsidP="00FB071B">
      <w:pPr>
        <w:pStyle w:val="NormalWeb"/>
        <w:spacing w:after="0" w:line="360" w:lineRule="auto"/>
        <w:jc w:val="both"/>
        <w:rPr>
          <w:rFonts w:ascii="Georgia" w:hAnsi="Georgia" w:cs="Arial"/>
          <w:i/>
          <w:sz w:val="22"/>
          <w:szCs w:val="22"/>
          <w:lang w:val="es-ES_tradnl"/>
        </w:rPr>
      </w:pPr>
      <w:r w:rsidRPr="007C23E2">
        <w:rPr>
          <w:rFonts w:ascii="Georgia" w:hAnsi="Georgia" w:cs="Arial"/>
          <w:lang w:val="es-ES_tradnl"/>
        </w:rPr>
        <w:t>Sobre la justificación de la mora judicial se ha pronunciado la CSJ</w:t>
      </w:r>
      <w:r w:rsidRPr="007C23E2">
        <w:rPr>
          <w:rStyle w:val="Appelnotedebasdep"/>
          <w:rFonts w:ascii="Georgia" w:hAnsi="Georgia"/>
          <w:lang w:val="es-ES_tradnl"/>
        </w:rPr>
        <w:footnoteReference w:id="12"/>
      </w:r>
      <w:r w:rsidRPr="007C23E2">
        <w:rPr>
          <w:rFonts w:ascii="Georgia" w:hAnsi="Georgia" w:cs="Arial"/>
          <w:lang w:val="es-ES_tradnl"/>
        </w:rPr>
        <w:t xml:space="preserve">, en la especialidad Civil y en ese sentido señaló: </w:t>
      </w:r>
      <w:r w:rsidRPr="007C23E2">
        <w:rPr>
          <w:rFonts w:ascii="Georgia" w:hAnsi="Georgia" w:cs="Arial"/>
          <w:i/>
          <w:sz w:val="22"/>
          <w:szCs w:val="22"/>
          <w:lang w:val="es-ES_tradnl"/>
        </w:rPr>
        <w:t>“</w:t>
      </w:r>
      <w:r w:rsidRPr="007C23E2">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7C23E2">
        <w:rPr>
          <w:rFonts w:ascii="Georgia" w:hAnsi="Georgia" w:cs="Arial"/>
          <w:i/>
          <w:sz w:val="22"/>
          <w:szCs w:val="22"/>
          <w:lang w:val="es-ES_tradnl"/>
        </w:rPr>
        <w:t xml:space="preserve"> </w:t>
      </w:r>
    </w:p>
    <w:p w:rsidR="00FB071B" w:rsidRPr="00E445DE" w:rsidRDefault="00FB071B" w:rsidP="00FB071B">
      <w:pPr>
        <w:pStyle w:val="NormalWeb"/>
        <w:spacing w:after="0" w:line="360" w:lineRule="auto"/>
        <w:jc w:val="both"/>
        <w:rPr>
          <w:rFonts w:ascii="Georgia" w:hAnsi="Georgia" w:cs="Arial"/>
          <w:i/>
          <w:szCs w:val="22"/>
          <w:lang w:val="es-ES_tradnl"/>
        </w:rPr>
      </w:pPr>
    </w:p>
    <w:p w:rsidR="00AB5BDE" w:rsidRPr="00EB1DBB" w:rsidRDefault="008E1295" w:rsidP="00D942D7">
      <w:pPr>
        <w:pStyle w:val="Corpsdetex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AB5BDE" w:rsidRDefault="00AB5BDE" w:rsidP="00314361">
      <w:pPr>
        <w:pStyle w:val="Corpsdetexte"/>
        <w:spacing w:line="360" w:lineRule="auto"/>
        <w:rPr>
          <w:rFonts w:ascii="Georgia" w:hAnsi="Georgia"/>
          <w:sz w:val="22"/>
          <w:szCs w:val="24"/>
        </w:rPr>
      </w:pPr>
    </w:p>
    <w:p w:rsidR="00FB071B" w:rsidRPr="00FB071B" w:rsidRDefault="00FB071B" w:rsidP="00FB071B">
      <w:pPr>
        <w:pStyle w:val="Corpsdetexte"/>
        <w:numPr>
          <w:ilvl w:val="1"/>
          <w:numId w:val="18"/>
        </w:numPr>
        <w:spacing w:line="360" w:lineRule="auto"/>
        <w:rPr>
          <w:rFonts w:ascii="Georgia" w:hAnsi="Georgia"/>
          <w:smallCaps/>
          <w:sz w:val="22"/>
          <w:szCs w:val="24"/>
        </w:rPr>
      </w:pPr>
      <w:r w:rsidRPr="00FB071B">
        <w:rPr>
          <w:rFonts w:ascii="Georgia" w:hAnsi="Georgia"/>
          <w:smallCaps/>
          <w:sz w:val="22"/>
          <w:szCs w:val="24"/>
        </w:rPr>
        <w:t>Inexistencia de Hechos</w:t>
      </w:r>
    </w:p>
    <w:p w:rsidR="00FB071B" w:rsidRPr="00EB1DBB" w:rsidRDefault="00FB071B" w:rsidP="00FB071B">
      <w:pPr>
        <w:pStyle w:val="Corpsdetexte"/>
        <w:spacing w:line="360" w:lineRule="auto"/>
        <w:ind w:left="720"/>
        <w:rPr>
          <w:rFonts w:ascii="Georgia" w:hAnsi="Georgia"/>
          <w:sz w:val="22"/>
          <w:szCs w:val="24"/>
        </w:rPr>
      </w:pPr>
    </w:p>
    <w:p w:rsidR="00D942D7" w:rsidRPr="00EB1DBB" w:rsidRDefault="00FB071B" w:rsidP="00D942D7">
      <w:pPr>
        <w:widowControl/>
        <w:spacing w:line="360" w:lineRule="auto"/>
        <w:jc w:val="both"/>
        <w:rPr>
          <w:rFonts w:ascii="Georgia" w:hAnsi="Georgia" w:cs="Arial"/>
        </w:rPr>
      </w:pPr>
      <w:r>
        <w:rPr>
          <w:rFonts w:ascii="Georgia" w:hAnsi="Georgia" w:cs="Arial"/>
          <w:lang w:val="es-ES_tradnl"/>
        </w:rPr>
        <w:t>De entrada h</w:t>
      </w:r>
      <w:r w:rsidR="00D942D7" w:rsidRPr="00EB1DBB">
        <w:rPr>
          <w:rFonts w:ascii="Georgia" w:hAnsi="Georgia" w:cs="Arial"/>
          <w:lang w:val="es-ES_tradnl"/>
        </w:rPr>
        <w:t>alla la Sala</w:t>
      </w:r>
      <w:r>
        <w:rPr>
          <w:rFonts w:ascii="Georgia" w:hAnsi="Georgia" w:cs="Arial"/>
          <w:lang w:val="es-ES_tradnl"/>
        </w:rPr>
        <w:t xml:space="preserve"> que son inexistentes </w:t>
      </w:r>
      <w:r w:rsidR="00D942D7" w:rsidRPr="00EB1DBB">
        <w:rPr>
          <w:rFonts w:ascii="Georgia" w:hAnsi="Georgia"/>
          <w:lang w:val="es-CO"/>
        </w:rPr>
        <w:t xml:space="preserve">los hechos vulneradores o amenazantes </w:t>
      </w:r>
      <w:r w:rsidR="00EB1DBB">
        <w:rPr>
          <w:rFonts w:ascii="Georgia" w:hAnsi="Georgia"/>
          <w:lang w:val="es-CO"/>
        </w:rPr>
        <w:t>descritos en el petitorio de amparo.</w:t>
      </w:r>
      <w:r w:rsidR="00D942D7" w:rsidRPr="00EB1DBB">
        <w:rPr>
          <w:rFonts w:ascii="Georgia" w:hAnsi="Georgia" w:cs="Arial"/>
        </w:rPr>
        <w:t xml:space="preserve"> En efecto, conforme al material probatorio</w:t>
      </w:r>
      <w:r w:rsidR="006C452A">
        <w:rPr>
          <w:rFonts w:ascii="Georgia" w:hAnsi="Georgia" w:cs="Arial"/>
        </w:rPr>
        <w:t>,</w:t>
      </w:r>
      <w:r w:rsidR="00D942D7" w:rsidRPr="00EB1DBB">
        <w:rPr>
          <w:rFonts w:ascii="Georgia" w:hAnsi="Georgia" w:cs="Arial"/>
        </w:rPr>
        <w:t xml:space="preserve"> </w:t>
      </w:r>
      <w:r w:rsidR="00EB1DBB">
        <w:rPr>
          <w:rFonts w:ascii="Georgia" w:hAnsi="Georgia" w:cs="Arial"/>
        </w:rPr>
        <w:t xml:space="preserve">el accionante </w:t>
      </w:r>
      <w:r w:rsidR="006C452A">
        <w:rPr>
          <w:rFonts w:ascii="Georgia" w:hAnsi="Georgia" w:cs="Arial"/>
        </w:rPr>
        <w:t xml:space="preserve">con memorial radicado el 27-04-2017, solicitó al juzgado, entre otros pedimentos, aplicar el artículo 121 del CGP (Folio 134 de disco compacto visible a folio </w:t>
      </w:r>
      <w:r w:rsidR="006C452A">
        <w:rPr>
          <w:rFonts w:ascii="Georgia" w:hAnsi="Georgia" w:cs="Arial"/>
        </w:rPr>
        <w:lastRenderedPageBreak/>
        <w:t xml:space="preserve">21, ib.), sin que a la fecha de presentación de la tutela </w:t>
      </w:r>
      <w:r w:rsidR="00BA782A">
        <w:rPr>
          <w:rFonts w:ascii="Georgia" w:hAnsi="Georgia" w:cs="Arial"/>
        </w:rPr>
        <w:t xml:space="preserve">se </w:t>
      </w:r>
      <w:r w:rsidR="006C452A">
        <w:rPr>
          <w:rFonts w:ascii="Georgia" w:hAnsi="Georgia" w:cs="Arial"/>
        </w:rPr>
        <w:t>haya hecho pronunciamiento alguno</w:t>
      </w:r>
      <w:r w:rsidR="00D942D7" w:rsidRPr="00EB1DBB">
        <w:rPr>
          <w:rFonts w:ascii="Georgia" w:hAnsi="Georgia" w:cs="Arial"/>
        </w:rPr>
        <w:t xml:space="preserve">. </w:t>
      </w:r>
    </w:p>
    <w:p w:rsidR="00D942D7" w:rsidRPr="00EB1DBB" w:rsidRDefault="00D942D7" w:rsidP="00D942D7">
      <w:pPr>
        <w:shd w:val="clear" w:color="auto" w:fill="FFFFFF"/>
        <w:spacing w:line="360" w:lineRule="auto"/>
        <w:jc w:val="both"/>
        <w:textAlignment w:val="baseline"/>
        <w:rPr>
          <w:rFonts w:ascii="Georgia" w:hAnsi="Georgia" w:cs="Arial"/>
          <w:sz w:val="22"/>
        </w:rPr>
      </w:pPr>
    </w:p>
    <w:p w:rsidR="00D942D7" w:rsidRDefault="00D942D7" w:rsidP="00D942D7">
      <w:pPr>
        <w:spacing w:line="360" w:lineRule="auto"/>
        <w:jc w:val="both"/>
        <w:rPr>
          <w:rFonts w:ascii="Georgia" w:hAnsi="Georgia" w:cs="Arial"/>
          <w:lang w:val="es-CO"/>
        </w:rPr>
      </w:pPr>
      <w:r w:rsidRPr="00EB1DBB">
        <w:rPr>
          <w:rFonts w:ascii="Georgia" w:hAnsi="Georgia" w:cs="Arial"/>
          <w:lang w:val="es-CO"/>
        </w:rPr>
        <w:t xml:space="preserve">Así las cosas, es evidente la ausencia de los supuestos fácticos, </w:t>
      </w:r>
      <w:r w:rsidR="006C452A">
        <w:rPr>
          <w:rFonts w:ascii="Georgia" w:hAnsi="Georgia" w:cs="Arial"/>
          <w:lang w:val="es-CO"/>
        </w:rPr>
        <w:t xml:space="preserve">el accionado no se ha negado a declarar la nulidad de que trata la mentada norma, </w:t>
      </w:r>
      <w:r w:rsidRPr="00EB1DBB">
        <w:rPr>
          <w:rFonts w:ascii="Georgia" w:hAnsi="Georgia" w:cs="Arial"/>
          <w:lang w:val="es-CO"/>
        </w:rPr>
        <w:t>de tal suerte, que es inviable endilgar afectación de las garantías procesales del actor con ocasi</w:t>
      </w:r>
      <w:r w:rsidR="00D97A99" w:rsidRPr="00EB1DBB">
        <w:rPr>
          <w:rFonts w:ascii="Georgia" w:hAnsi="Georgia" w:cs="Arial"/>
          <w:lang w:val="es-CO"/>
        </w:rPr>
        <w:t xml:space="preserve">ón de una </w:t>
      </w:r>
      <w:r w:rsidR="006C452A">
        <w:rPr>
          <w:rFonts w:ascii="Georgia" w:hAnsi="Georgia" w:cs="Arial"/>
          <w:lang w:val="es-CO"/>
        </w:rPr>
        <w:t>decisión inexistente</w:t>
      </w:r>
      <w:r w:rsidR="00FB071B">
        <w:rPr>
          <w:rFonts w:ascii="Georgia" w:hAnsi="Georgia" w:cs="Arial"/>
          <w:lang w:val="es-CO"/>
        </w:rPr>
        <w:t>, por lo tanto, se negará el amparo constitucional.</w:t>
      </w:r>
    </w:p>
    <w:p w:rsidR="00FB071B" w:rsidRDefault="00FB071B" w:rsidP="00D942D7">
      <w:pPr>
        <w:spacing w:line="360" w:lineRule="auto"/>
        <w:jc w:val="both"/>
        <w:rPr>
          <w:rFonts w:ascii="Georgia" w:hAnsi="Georgia" w:cs="Arial"/>
          <w:lang w:val="es-CO"/>
        </w:rPr>
      </w:pPr>
    </w:p>
    <w:p w:rsidR="00FB071B" w:rsidRDefault="00FB071B" w:rsidP="00FB071B">
      <w:pPr>
        <w:pStyle w:val="Paragraphedeliste"/>
        <w:numPr>
          <w:ilvl w:val="1"/>
          <w:numId w:val="18"/>
        </w:numPr>
        <w:spacing w:line="360" w:lineRule="auto"/>
        <w:jc w:val="both"/>
        <w:rPr>
          <w:rFonts w:ascii="Georgia" w:hAnsi="Georgia" w:cs="Arial"/>
          <w:smallCaps/>
          <w:sz w:val="22"/>
          <w:lang w:val="es-CO"/>
        </w:rPr>
      </w:pPr>
      <w:r w:rsidRPr="00FB071B">
        <w:rPr>
          <w:rFonts w:ascii="Georgia" w:hAnsi="Georgia" w:cs="Arial"/>
          <w:smallCaps/>
          <w:sz w:val="22"/>
          <w:lang w:val="es-CO"/>
        </w:rPr>
        <w:t xml:space="preserve">La mora judicial </w:t>
      </w:r>
    </w:p>
    <w:p w:rsidR="00FB071B" w:rsidRDefault="00FB071B" w:rsidP="00FB071B">
      <w:pPr>
        <w:spacing w:line="360" w:lineRule="auto"/>
        <w:jc w:val="both"/>
        <w:rPr>
          <w:rFonts w:ascii="Georgia" w:hAnsi="Georgia" w:cs="Arial"/>
          <w:smallCaps/>
          <w:sz w:val="22"/>
          <w:lang w:val="es-CO"/>
        </w:rPr>
      </w:pPr>
    </w:p>
    <w:p w:rsidR="00FB071B" w:rsidRPr="007C23E2" w:rsidRDefault="00FB071B" w:rsidP="00FB071B">
      <w:pPr>
        <w:pStyle w:val="Corpsdetexte"/>
        <w:spacing w:line="360" w:lineRule="auto"/>
        <w:rPr>
          <w:rFonts w:ascii="Georgia" w:hAnsi="Georgia"/>
          <w:szCs w:val="24"/>
        </w:rPr>
      </w:pPr>
      <w:r>
        <w:rPr>
          <w:rFonts w:ascii="Georgia" w:hAnsi="Georgia" w:cs="Arial"/>
        </w:rPr>
        <w:t xml:space="preserve">De otro lado, es notorio </w:t>
      </w:r>
      <w:r w:rsidRPr="007C23E2">
        <w:rPr>
          <w:rFonts w:ascii="Georgia" w:hAnsi="Georgia" w:cs="Arial"/>
        </w:rPr>
        <w:t xml:space="preserve">que el </w:t>
      </w:r>
      <w:r>
        <w:rPr>
          <w:rFonts w:ascii="Georgia" w:hAnsi="Georgia" w:cs="Arial"/>
        </w:rPr>
        <w:t xml:space="preserve">Despacho judicial </w:t>
      </w:r>
      <w:r w:rsidRPr="007C23E2">
        <w:rPr>
          <w:rFonts w:ascii="Georgia" w:hAnsi="Georgia" w:cs="Arial"/>
        </w:rPr>
        <w:t xml:space="preserve">no ha resuelto oportunamente </w:t>
      </w:r>
      <w:r>
        <w:rPr>
          <w:rFonts w:ascii="Georgia" w:hAnsi="Georgia" w:cs="Arial"/>
        </w:rPr>
        <w:t xml:space="preserve">el </w:t>
      </w:r>
      <w:r w:rsidRPr="007C23E2">
        <w:rPr>
          <w:rFonts w:ascii="Georgia" w:hAnsi="Georgia" w:cs="Arial"/>
        </w:rPr>
        <w:t xml:space="preserve">pedimento </w:t>
      </w:r>
      <w:r>
        <w:rPr>
          <w:rFonts w:ascii="Georgia" w:hAnsi="Georgia" w:cs="Arial"/>
        </w:rPr>
        <w:t>del actor</w:t>
      </w:r>
      <w:r w:rsidRPr="007C23E2">
        <w:rPr>
          <w:rFonts w:ascii="Georgia" w:hAnsi="Georgia" w:cs="Arial"/>
        </w:rPr>
        <w:t xml:space="preserve">, y para esos efectos, </w:t>
      </w:r>
      <w:r>
        <w:rPr>
          <w:rFonts w:ascii="Georgia" w:hAnsi="Georgia" w:cs="Arial"/>
        </w:rPr>
        <w:t xml:space="preserve">se consideran </w:t>
      </w:r>
      <w:r w:rsidRPr="007C23E2">
        <w:rPr>
          <w:rFonts w:ascii="Georgia" w:hAnsi="Georgia" w:cs="Arial"/>
        </w:rPr>
        <w:t xml:space="preserve">cumplidos </w:t>
      </w:r>
      <w:r w:rsidRPr="007C23E2">
        <w:rPr>
          <w:rFonts w:ascii="Georgia" w:hAnsi="Georgia"/>
          <w:szCs w:val="24"/>
        </w:rPr>
        <w:t>los presupuestos generales de procedibilidad del amparo.</w:t>
      </w:r>
    </w:p>
    <w:p w:rsidR="00FB071B" w:rsidRPr="007C23E2" w:rsidRDefault="00FB071B" w:rsidP="00FB071B">
      <w:pPr>
        <w:pStyle w:val="Corpsdetexte"/>
        <w:spacing w:line="360" w:lineRule="auto"/>
        <w:rPr>
          <w:rFonts w:ascii="Georgia" w:hAnsi="Georgia"/>
          <w:szCs w:val="24"/>
        </w:rPr>
      </w:pPr>
    </w:p>
    <w:p w:rsidR="00FB071B" w:rsidRPr="007C23E2" w:rsidRDefault="00FB071B" w:rsidP="00FB071B">
      <w:pPr>
        <w:widowControl/>
        <w:autoSpaceDE/>
        <w:autoSpaceDN/>
        <w:adjustRightInd/>
        <w:spacing w:line="360" w:lineRule="auto"/>
        <w:jc w:val="both"/>
        <w:rPr>
          <w:rFonts w:ascii="Georgia" w:hAnsi="Georgia" w:cs="Arial"/>
        </w:rPr>
      </w:pPr>
      <w:r w:rsidRPr="007C23E2">
        <w:rPr>
          <w:rFonts w:ascii="Georgia" w:hAnsi="Georgia"/>
        </w:rPr>
        <w:t xml:space="preserve">El asunto es de relevancia constitucional; se carece de medios ordinarios adicionales que puedan agotarse; no se trata de una decisión de tutela; hay inmediatez porque </w:t>
      </w:r>
      <w:r>
        <w:rPr>
          <w:rFonts w:ascii="Georgia" w:hAnsi="Georgia"/>
        </w:rPr>
        <w:t xml:space="preserve">el escrito data del 27-04-2017 </w:t>
      </w:r>
      <w:r>
        <w:rPr>
          <w:rFonts w:ascii="Georgia" w:hAnsi="Georgia" w:cs="Arial"/>
        </w:rPr>
        <w:t xml:space="preserve">(Folio 134 de disco compacto visible a folio 21, ib.) </w:t>
      </w:r>
      <w:r w:rsidRPr="007C23E2">
        <w:rPr>
          <w:rFonts w:ascii="Georgia" w:hAnsi="Georgia"/>
        </w:rPr>
        <w:t xml:space="preserve">y la acción fue instaurada el </w:t>
      </w:r>
      <w:r w:rsidR="00BA782A">
        <w:rPr>
          <w:rFonts w:ascii="Georgia" w:hAnsi="Georgia"/>
        </w:rPr>
        <w:t xml:space="preserve">14-08-2017 </w:t>
      </w:r>
      <w:r w:rsidRPr="007C23E2">
        <w:rPr>
          <w:rFonts w:ascii="Georgia" w:hAnsi="Georgia"/>
        </w:rPr>
        <w:t xml:space="preserve">(Folio </w:t>
      </w:r>
      <w:r w:rsidR="00BA782A">
        <w:rPr>
          <w:rFonts w:ascii="Georgia" w:hAnsi="Georgia"/>
        </w:rPr>
        <w:t>3</w:t>
      </w:r>
      <w:r w:rsidRPr="007C23E2">
        <w:rPr>
          <w:rFonts w:ascii="Georgia" w:hAnsi="Georgia"/>
        </w:rPr>
        <w:t>, ib.); las irregularidades resultan ser trascendentes en el trámite procedimental.</w:t>
      </w:r>
    </w:p>
    <w:p w:rsidR="00FB071B" w:rsidRDefault="00FB071B" w:rsidP="00FB071B">
      <w:pPr>
        <w:pStyle w:val="Corpsdetexte"/>
        <w:spacing w:line="360" w:lineRule="auto"/>
        <w:rPr>
          <w:rFonts w:ascii="Georgia" w:hAnsi="Georgia"/>
          <w:szCs w:val="24"/>
        </w:rPr>
      </w:pPr>
    </w:p>
    <w:p w:rsidR="00FB071B" w:rsidRDefault="00FB071B" w:rsidP="00FB071B">
      <w:pPr>
        <w:pStyle w:val="Corpsdetexte"/>
        <w:spacing w:line="360" w:lineRule="auto"/>
        <w:rPr>
          <w:rFonts w:ascii="Georgia" w:hAnsi="Georgia"/>
          <w:szCs w:val="24"/>
        </w:rPr>
      </w:pPr>
      <w:r>
        <w:rPr>
          <w:rFonts w:ascii="Georgia" w:hAnsi="Georgia"/>
          <w:szCs w:val="24"/>
        </w:rPr>
        <w:t xml:space="preserve">Fácil se aprecia </w:t>
      </w:r>
      <w:r w:rsidRPr="007C23E2">
        <w:rPr>
          <w:rFonts w:ascii="Georgia" w:hAnsi="Georgia"/>
          <w:szCs w:val="24"/>
        </w:rPr>
        <w:t xml:space="preserve">que el despacho judicial incurrió en mora judicial, pues dejó vencer el término legal con que contaba para proferir </w:t>
      </w:r>
      <w:r w:rsidR="00BA782A">
        <w:rPr>
          <w:rFonts w:ascii="Georgia" w:hAnsi="Georgia"/>
          <w:szCs w:val="24"/>
        </w:rPr>
        <w:t>la decisión</w:t>
      </w:r>
      <w:r>
        <w:rPr>
          <w:rFonts w:ascii="Georgia" w:hAnsi="Georgia"/>
          <w:szCs w:val="24"/>
        </w:rPr>
        <w:t xml:space="preserve"> </w:t>
      </w:r>
      <w:r w:rsidRPr="007C23E2">
        <w:rPr>
          <w:rFonts w:ascii="Georgia" w:hAnsi="Georgia"/>
          <w:szCs w:val="24"/>
        </w:rPr>
        <w:t>correspondiente (Artículo 120, CGP)</w:t>
      </w:r>
      <w:r w:rsidR="00BA782A">
        <w:rPr>
          <w:rFonts w:ascii="Georgia" w:hAnsi="Georgia"/>
          <w:szCs w:val="24"/>
        </w:rPr>
        <w:t xml:space="preserve">. </w:t>
      </w:r>
      <w:r w:rsidRPr="007C23E2">
        <w:rPr>
          <w:rFonts w:ascii="Georgia" w:hAnsi="Georgia"/>
          <w:szCs w:val="24"/>
        </w:rPr>
        <w:t xml:space="preserve">A estas alturas han pasado aproximadamente </w:t>
      </w:r>
      <w:r w:rsidR="00BA782A">
        <w:rPr>
          <w:rFonts w:ascii="Georgia" w:hAnsi="Georgia"/>
          <w:szCs w:val="24"/>
        </w:rPr>
        <w:t xml:space="preserve">cuarto </w:t>
      </w:r>
      <w:r w:rsidRPr="007C23E2">
        <w:rPr>
          <w:rFonts w:ascii="Georgia" w:hAnsi="Georgia"/>
          <w:szCs w:val="24"/>
        </w:rPr>
        <w:t>(</w:t>
      </w:r>
      <w:r w:rsidR="00BA782A">
        <w:rPr>
          <w:rFonts w:ascii="Georgia" w:hAnsi="Georgia"/>
          <w:szCs w:val="24"/>
        </w:rPr>
        <w:t>4</w:t>
      </w:r>
      <w:r w:rsidRPr="007C23E2">
        <w:rPr>
          <w:rFonts w:ascii="Georgia" w:hAnsi="Georgia"/>
          <w:szCs w:val="24"/>
        </w:rPr>
        <w:t xml:space="preserve">) meses desde </w:t>
      </w:r>
      <w:r w:rsidR="00BA782A">
        <w:rPr>
          <w:rFonts w:ascii="Georgia" w:hAnsi="Georgia"/>
          <w:szCs w:val="24"/>
        </w:rPr>
        <w:t xml:space="preserve">la </w:t>
      </w:r>
      <w:r w:rsidRPr="007C23E2">
        <w:rPr>
          <w:rFonts w:ascii="Georgia" w:hAnsi="Georgia"/>
          <w:szCs w:val="24"/>
        </w:rPr>
        <w:t>radicación</w:t>
      </w:r>
      <w:r w:rsidR="00BA782A">
        <w:rPr>
          <w:rFonts w:ascii="Georgia" w:hAnsi="Georgia"/>
          <w:szCs w:val="24"/>
        </w:rPr>
        <w:t xml:space="preserve"> del pedimento</w:t>
      </w:r>
      <w:r w:rsidRPr="007C23E2">
        <w:rPr>
          <w:rFonts w:ascii="Georgia" w:hAnsi="Georgia"/>
          <w:szCs w:val="24"/>
        </w:rPr>
        <w:t xml:space="preserve">, en silencio. </w:t>
      </w:r>
      <w:r>
        <w:rPr>
          <w:rFonts w:ascii="Georgia" w:hAnsi="Georgia"/>
          <w:szCs w:val="24"/>
        </w:rPr>
        <w:t xml:space="preserve">En esta sede </w:t>
      </w:r>
      <w:r w:rsidR="00BA782A">
        <w:rPr>
          <w:rFonts w:ascii="Georgia" w:hAnsi="Georgia"/>
          <w:szCs w:val="24"/>
        </w:rPr>
        <w:t xml:space="preserve">no se ofreció </w:t>
      </w:r>
      <w:r>
        <w:rPr>
          <w:rFonts w:ascii="Georgia" w:hAnsi="Georgia"/>
          <w:szCs w:val="24"/>
        </w:rPr>
        <w:t>ninguna justificación.</w:t>
      </w:r>
    </w:p>
    <w:p w:rsidR="00BA782A" w:rsidRPr="007C23E2" w:rsidRDefault="00BA782A" w:rsidP="00FB071B">
      <w:pPr>
        <w:pStyle w:val="Corpsdetexte"/>
        <w:spacing w:line="360" w:lineRule="auto"/>
        <w:rPr>
          <w:rFonts w:ascii="Georgia" w:hAnsi="Georgia"/>
          <w:szCs w:val="24"/>
        </w:rPr>
      </w:pPr>
    </w:p>
    <w:p w:rsidR="00FB071B" w:rsidRDefault="00BA782A" w:rsidP="00FB071B">
      <w:pPr>
        <w:pStyle w:val="Corpsdetexte"/>
        <w:spacing w:line="360" w:lineRule="auto"/>
        <w:rPr>
          <w:rFonts w:ascii="Georgia" w:hAnsi="Georgia"/>
        </w:rPr>
      </w:pPr>
      <w:r>
        <w:rPr>
          <w:rFonts w:ascii="Georgia" w:hAnsi="Georgia"/>
          <w:szCs w:val="24"/>
        </w:rPr>
        <w:t xml:space="preserve">Clara es la afectación del </w:t>
      </w:r>
      <w:r w:rsidR="00FB071B" w:rsidRPr="007C23E2">
        <w:rPr>
          <w:rFonts w:ascii="Georgia" w:hAnsi="Georgia"/>
          <w:szCs w:val="24"/>
        </w:rPr>
        <w:t xml:space="preserve">derecho fundamental al debido proceso por mora judicial, por lo tanto, </w:t>
      </w:r>
      <w:r w:rsidR="00FB071B" w:rsidRPr="007C23E2">
        <w:rPr>
          <w:rFonts w:ascii="Georgia" w:hAnsi="Georgia"/>
        </w:rPr>
        <w:t xml:space="preserve">se concederá el amparo para ordenarle a la funcionaria acusada que se pronuncie frente a la petición formulada por la </w:t>
      </w:r>
      <w:proofErr w:type="spellStart"/>
      <w:r w:rsidR="00FB071B" w:rsidRPr="007C23E2">
        <w:rPr>
          <w:rFonts w:ascii="Georgia" w:hAnsi="Georgia"/>
        </w:rPr>
        <w:t>tutelante</w:t>
      </w:r>
      <w:proofErr w:type="spellEnd"/>
      <w:r w:rsidR="00FB071B" w:rsidRPr="007C23E2">
        <w:rPr>
          <w:rFonts w:ascii="Georgia" w:hAnsi="Georgia"/>
        </w:rPr>
        <w:t>.</w:t>
      </w:r>
    </w:p>
    <w:p w:rsidR="004D732D" w:rsidRPr="006C452A" w:rsidRDefault="004D732D" w:rsidP="00566506">
      <w:pPr>
        <w:widowControl/>
        <w:spacing w:line="360" w:lineRule="auto"/>
        <w:jc w:val="both"/>
        <w:rPr>
          <w:rFonts w:ascii="Georgia" w:hAnsi="Georgia"/>
          <w:lang w:val="es-CO"/>
        </w:rPr>
      </w:pPr>
    </w:p>
    <w:p w:rsidR="00FF5B57" w:rsidRPr="00EB1DBB" w:rsidRDefault="00FF5B57" w:rsidP="00270A8D">
      <w:pPr>
        <w:pStyle w:val="Corpsdetex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6C452A" w:rsidRDefault="00511FE0" w:rsidP="00424EC5">
      <w:pPr>
        <w:pStyle w:val="Corpsdetexte"/>
        <w:spacing w:line="360" w:lineRule="auto"/>
        <w:rPr>
          <w:rFonts w:ascii="Georgia" w:hAnsi="Georgia" w:cs="Arial"/>
          <w:szCs w:val="24"/>
          <w:lang w:val="es-ES"/>
        </w:rPr>
      </w:pPr>
    </w:p>
    <w:p w:rsidR="00BA782A" w:rsidRPr="007C23E2" w:rsidRDefault="00BA782A" w:rsidP="00BA782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Con fundamento en las consideraciones expuestas, en los acápites anteriores: </w:t>
      </w:r>
      <w:r w:rsidRPr="007C23E2">
        <w:rPr>
          <w:rFonts w:ascii="Georgia" w:hAnsi="Georgia"/>
        </w:rPr>
        <w:t>(i) Se concedería el amparo del derecho al debido proceso por la injustificada mora judicial en que incurrió el Juzgado accionado; y, (ii)</w:t>
      </w:r>
      <w:r w:rsidRPr="007C23E2">
        <w:rPr>
          <w:rFonts w:ascii="Georgia" w:hAnsi="Georgia" w:cs="Arial"/>
        </w:rPr>
        <w:t xml:space="preserve"> Se </w:t>
      </w:r>
      <w:r>
        <w:rPr>
          <w:rFonts w:ascii="Georgia" w:hAnsi="Georgia" w:cs="Arial"/>
        </w:rPr>
        <w:t xml:space="preserve">negará </w:t>
      </w:r>
      <w:r w:rsidRPr="007C23E2">
        <w:rPr>
          <w:rFonts w:ascii="Georgia" w:hAnsi="Georgia" w:cs="Arial"/>
        </w:rPr>
        <w:t xml:space="preserve">con relación a las pretensiones </w:t>
      </w:r>
      <w:r w:rsidRPr="007C23E2">
        <w:rPr>
          <w:rFonts w:ascii="Georgia" w:hAnsi="Georgia" w:cs="Arial"/>
          <w:lang w:val="es-ES_tradnl"/>
        </w:rPr>
        <w:t xml:space="preserve">tendientes a que se </w:t>
      </w:r>
      <w:r>
        <w:rPr>
          <w:rFonts w:ascii="Georgia" w:hAnsi="Georgia" w:cs="Arial"/>
          <w:lang w:val="es-ES_tradnl"/>
        </w:rPr>
        <w:t>declare la nulidad contemplada en el artículo 121 del CGP, por inexistencia de hechos</w:t>
      </w:r>
      <w:r w:rsidRPr="007C23E2">
        <w:rPr>
          <w:rFonts w:ascii="Georgia" w:hAnsi="Georgia" w:cs="Arial"/>
        </w:rPr>
        <w:t>.</w:t>
      </w:r>
    </w:p>
    <w:p w:rsidR="00BA782A" w:rsidRPr="00E445DE" w:rsidRDefault="00BA782A" w:rsidP="00BA782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BA782A" w:rsidRPr="007C23E2" w:rsidRDefault="00BA782A" w:rsidP="00BA782A">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xml:space="preserve">, administrando Justicia, en nombre de la República y por </w:t>
      </w:r>
      <w:r w:rsidRPr="007C23E2">
        <w:rPr>
          <w:rFonts w:ascii="Georgia" w:hAnsi="Georgia" w:cs="Arial"/>
        </w:rPr>
        <w:lastRenderedPageBreak/>
        <w:t>autoridad de la Ley,</w:t>
      </w:r>
    </w:p>
    <w:p w:rsidR="00BA782A" w:rsidRPr="007C23E2" w:rsidRDefault="00BA782A" w:rsidP="00BA782A">
      <w:pPr>
        <w:pStyle w:val="Corpsdetexte"/>
        <w:spacing w:line="360" w:lineRule="auto"/>
        <w:jc w:val="center"/>
        <w:rPr>
          <w:rFonts w:ascii="Georgia" w:hAnsi="Georgia" w:cs="Arial"/>
          <w:bCs/>
          <w:smallCaps/>
          <w:szCs w:val="24"/>
        </w:rPr>
      </w:pPr>
      <w:r w:rsidRPr="007C23E2">
        <w:rPr>
          <w:rFonts w:ascii="Georgia" w:hAnsi="Georgia" w:cs="Arial"/>
          <w:bCs/>
          <w:smallCaps/>
          <w:szCs w:val="24"/>
        </w:rPr>
        <w:t xml:space="preserve">F A L </w:t>
      </w:r>
      <w:proofErr w:type="spellStart"/>
      <w:r w:rsidRPr="007C23E2">
        <w:rPr>
          <w:rFonts w:ascii="Georgia" w:hAnsi="Georgia" w:cs="Arial"/>
          <w:bCs/>
          <w:smallCaps/>
          <w:szCs w:val="24"/>
        </w:rPr>
        <w:t>L</w:t>
      </w:r>
      <w:proofErr w:type="spellEnd"/>
      <w:r w:rsidRPr="007C23E2">
        <w:rPr>
          <w:rFonts w:ascii="Georgia" w:hAnsi="Georgia" w:cs="Arial"/>
          <w:bCs/>
          <w:smallCaps/>
          <w:szCs w:val="24"/>
        </w:rPr>
        <w:t xml:space="preserve"> A,</w:t>
      </w:r>
    </w:p>
    <w:p w:rsidR="00BA782A" w:rsidRPr="00E64913" w:rsidRDefault="00BA782A" w:rsidP="00BA782A">
      <w:pPr>
        <w:pStyle w:val="Corpsdetexte"/>
        <w:spacing w:line="360" w:lineRule="auto"/>
        <w:jc w:val="center"/>
        <w:rPr>
          <w:rFonts w:ascii="Georgia" w:hAnsi="Georgia" w:cs="Arial"/>
          <w:bCs/>
          <w:smallCaps/>
          <w:sz w:val="20"/>
          <w:szCs w:val="24"/>
        </w:rPr>
      </w:pPr>
    </w:p>
    <w:p w:rsidR="00BA782A" w:rsidRPr="00BA782A" w:rsidRDefault="00BA782A" w:rsidP="00BA782A">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TUTELAR e</w:t>
      </w:r>
      <w:r w:rsidRPr="007C23E2">
        <w:rPr>
          <w:rFonts w:ascii="Georgia" w:hAnsi="Georgia" w:cs="Arial"/>
          <w:szCs w:val="24"/>
          <w:lang w:val="es-ES"/>
        </w:rPr>
        <w:t xml:space="preserve">l derecho fundamental al debido proceso por mora judicial, conculcado por el Juzgado </w:t>
      </w:r>
      <w:r>
        <w:rPr>
          <w:rFonts w:ascii="Georgia" w:hAnsi="Georgia" w:cs="Arial"/>
          <w:szCs w:val="24"/>
          <w:lang w:val="es-ES"/>
        </w:rPr>
        <w:t>Tercero</w:t>
      </w:r>
      <w:r w:rsidRPr="00BA782A">
        <w:rPr>
          <w:rFonts w:ascii="Georgia" w:hAnsi="Georgia" w:cs="Arial"/>
          <w:szCs w:val="24"/>
          <w:lang w:val="es-ES"/>
        </w:rPr>
        <w:t xml:space="preserve"> Civil del Circuito de Pereira.</w:t>
      </w:r>
    </w:p>
    <w:p w:rsidR="00BA782A" w:rsidRPr="00E64913" w:rsidRDefault="00BA782A" w:rsidP="00BA782A">
      <w:pPr>
        <w:pStyle w:val="Corpsdetexte"/>
        <w:tabs>
          <w:tab w:val="clear" w:pos="708"/>
        </w:tabs>
        <w:spacing w:line="360" w:lineRule="auto"/>
        <w:ind w:left="360"/>
        <w:rPr>
          <w:rFonts w:ascii="Georgia" w:hAnsi="Georgia"/>
          <w:sz w:val="20"/>
          <w:szCs w:val="24"/>
        </w:rPr>
      </w:pPr>
    </w:p>
    <w:p w:rsidR="00BA782A" w:rsidRPr="00E64913" w:rsidRDefault="00BA782A" w:rsidP="00BA782A">
      <w:pPr>
        <w:pStyle w:val="Paragraphedeliste"/>
        <w:numPr>
          <w:ilvl w:val="0"/>
          <w:numId w:val="6"/>
        </w:numPr>
        <w:tabs>
          <w:tab w:val="clear" w:pos="720"/>
          <w:tab w:val="num" w:pos="360"/>
          <w:tab w:val="num" w:pos="426"/>
        </w:tabs>
        <w:spacing w:line="360" w:lineRule="auto"/>
        <w:ind w:left="360"/>
        <w:jc w:val="both"/>
        <w:rPr>
          <w:rFonts w:ascii="Georgia" w:hAnsi="Georgia" w:cs="Times New Roman"/>
        </w:rPr>
      </w:pPr>
      <w:r w:rsidRPr="007C23E2">
        <w:rPr>
          <w:rFonts w:ascii="Georgia" w:hAnsi="Georgia" w:cs="Arial"/>
        </w:rPr>
        <w:t>ORDENAR</w:t>
      </w:r>
      <w:r w:rsidRPr="007C23E2">
        <w:rPr>
          <w:rFonts w:ascii="Georgia" w:hAnsi="Georgia" w:cs="Times New Roman"/>
        </w:rPr>
        <w:t xml:space="preserve"> </w:t>
      </w:r>
      <w:r>
        <w:rPr>
          <w:rFonts w:ascii="Georgia" w:hAnsi="Georgia" w:cs="Times New Roman"/>
        </w:rPr>
        <w:t xml:space="preserve">el Juez Tercero </w:t>
      </w:r>
      <w:r w:rsidRPr="007C23E2">
        <w:rPr>
          <w:rFonts w:ascii="Georgia" w:hAnsi="Georgia" w:cs="Arial"/>
        </w:rPr>
        <w:t>Civil del Circuito de Pereira</w:t>
      </w:r>
      <w:r w:rsidRPr="007C23E2">
        <w:rPr>
          <w:rFonts w:ascii="Georgia" w:hAnsi="Georgia" w:cs="Times New Roman"/>
        </w:rPr>
        <w:t xml:space="preserve">, que en el perentorio término de cuarenta y ocho (48) horas, </w:t>
      </w:r>
      <w:r w:rsidRPr="007C23E2">
        <w:rPr>
          <w:rFonts w:ascii="Georgia" w:hAnsi="Georgia" w:cs="Verdana"/>
        </w:rPr>
        <w:t>siguientes a la notificación de esta providencia</w:t>
      </w:r>
      <w:r w:rsidRPr="007C23E2">
        <w:rPr>
          <w:rFonts w:ascii="Georgia" w:hAnsi="Georgia" w:cs="Times New Roman"/>
        </w:rPr>
        <w:t xml:space="preserve">, </w:t>
      </w:r>
      <w:r w:rsidRPr="007C23E2">
        <w:rPr>
          <w:rFonts w:ascii="Georgia" w:hAnsi="Georgia"/>
        </w:rPr>
        <w:t xml:space="preserve">resuelva de fondo </w:t>
      </w:r>
      <w:r>
        <w:rPr>
          <w:rFonts w:ascii="Georgia" w:hAnsi="Georgia"/>
        </w:rPr>
        <w:t xml:space="preserve">el memorial </w:t>
      </w:r>
      <w:r w:rsidRPr="007C23E2">
        <w:rPr>
          <w:rFonts w:ascii="Georgia" w:hAnsi="Georgia"/>
        </w:rPr>
        <w:t xml:space="preserve">que </w:t>
      </w:r>
      <w:r>
        <w:rPr>
          <w:rFonts w:ascii="Georgia" w:hAnsi="Georgia"/>
        </w:rPr>
        <w:t xml:space="preserve">el </w:t>
      </w:r>
      <w:r w:rsidRPr="007C23E2">
        <w:rPr>
          <w:rFonts w:ascii="Georgia" w:hAnsi="Georgia"/>
        </w:rPr>
        <w:t xml:space="preserve">accionante radicó </w:t>
      </w:r>
      <w:r>
        <w:rPr>
          <w:rFonts w:ascii="Georgia" w:hAnsi="Georgia"/>
        </w:rPr>
        <w:t>el día 27-04-2017 en la acción popular No.2015-00450-00</w:t>
      </w:r>
      <w:r w:rsidRPr="007C23E2">
        <w:rPr>
          <w:rFonts w:ascii="Georgia" w:hAnsi="Georgia"/>
        </w:rPr>
        <w:t>.</w:t>
      </w:r>
    </w:p>
    <w:p w:rsidR="00BA782A" w:rsidRPr="00E64913" w:rsidRDefault="00BA782A" w:rsidP="00BA782A">
      <w:pPr>
        <w:tabs>
          <w:tab w:val="num" w:pos="720"/>
        </w:tabs>
        <w:spacing w:line="360" w:lineRule="auto"/>
        <w:jc w:val="both"/>
        <w:rPr>
          <w:rFonts w:ascii="Georgia" w:hAnsi="Georgia" w:cs="Times New Roman"/>
          <w:sz w:val="20"/>
        </w:rPr>
      </w:pPr>
    </w:p>
    <w:p w:rsidR="00BA782A" w:rsidRDefault="00BA782A" w:rsidP="00BA782A">
      <w:pPr>
        <w:pStyle w:val="Corpsdetexte"/>
        <w:numPr>
          <w:ilvl w:val="0"/>
          <w:numId w:val="6"/>
        </w:numPr>
        <w:tabs>
          <w:tab w:val="clear" w:pos="720"/>
          <w:tab w:val="num" w:pos="360"/>
        </w:tabs>
        <w:spacing w:line="360" w:lineRule="auto"/>
        <w:ind w:left="360"/>
        <w:rPr>
          <w:rFonts w:ascii="Georgia" w:hAnsi="Georgia"/>
          <w:szCs w:val="24"/>
        </w:rPr>
      </w:pPr>
      <w:r>
        <w:rPr>
          <w:rFonts w:ascii="Georgia" w:hAnsi="Georgia"/>
          <w:szCs w:val="24"/>
        </w:rPr>
        <w:t xml:space="preserve">NEGAR </w:t>
      </w:r>
      <w:r w:rsidRPr="007C23E2">
        <w:rPr>
          <w:rFonts w:ascii="Georgia" w:hAnsi="Georgia"/>
          <w:szCs w:val="24"/>
        </w:rPr>
        <w:t xml:space="preserve">el amparo frente al Juzgado </w:t>
      </w:r>
      <w:r>
        <w:rPr>
          <w:rFonts w:ascii="Georgia" w:hAnsi="Georgia"/>
          <w:szCs w:val="24"/>
        </w:rPr>
        <w:t xml:space="preserve">Tercero </w:t>
      </w:r>
      <w:r w:rsidRPr="007C23E2">
        <w:rPr>
          <w:rFonts w:ascii="Georgia" w:hAnsi="Georgia"/>
          <w:szCs w:val="24"/>
        </w:rPr>
        <w:t>Civil del Circuito de Pereira, conforme a lo expuesto en la parte motiva.</w:t>
      </w:r>
    </w:p>
    <w:p w:rsidR="00BA782A" w:rsidRPr="00E64913" w:rsidRDefault="00BA782A" w:rsidP="00BA782A">
      <w:pPr>
        <w:pStyle w:val="Corpsdetexte"/>
        <w:tabs>
          <w:tab w:val="clear" w:pos="708"/>
        </w:tabs>
        <w:spacing w:line="360" w:lineRule="auto"/>
        <w:rPr>
          <w:rFonts w:ascii="Georgia" w:hAnsi="Georgia"/>
          <w:sz w:val="20"/>
          <w:szCs w:val="24"/>
        </w:rPr>
      </w:pPr>
    </w:p>
    <w:p w:rsidR="00BA782A" w:rsidRDefault="00BA782A" w:rsidP="00BA782A">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NOTIFICAR esta decisión a todas las partes, por el medio más expedito y eficaz.</w:t>
      </w:r>
    </w:p>
    <w:p w:rsidR="00BA782A" w:rsidRPr="00E64913" w:rsidRDefault="00BA782A" w:rsidP="00BA782A">
      <w:pPr>
        <w:pStyle w:val="Corpsdetexte"/>
        <w:tabs>
          <w:tab w:val="clear" w:pos="708"/>
        </w:tabs>
        <w:spacing w:line="360" w:lineRule="auto"/>
        <w:ind w:left="360"/>
        <w:rPr>
          <w:rFonts w:ascii="Georgia" w:hAnsi="Georgia"/>
          <w:sz w:val="20"/>
          <w:szCs w:val="24"/>
        </w:rPr>
      </w:pPr>
    </w:p>
    <w:p w:rsidR="00BA782A" w:rsidRPr="007C23E2" w:rsidRDefault="00BA782A" w:rsidP="00BA782A">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REMITIR este expediente, a la CC para su eventual revisión, de no ser impugnada.</w:t>
      </w:r>
    </w:p>
    <w:p w:rsidR="00BA782A" w:rsidRPr="00E64913" w:rsidRDefault="00BA782A" w:rsidP="00BA782A">
      <w:pPr>
        <w:pStyle w:val="Corpsdetexte"/>
        <w:tabs>
          <w:tab w:val="clear" w:pos="708"/>
        </w:tabs>
        <w:spacing w:line="360" w:lineRule="auto"/>
        <w:ind w:left="360"/>
        <w:rPr>
          <w:rFonts w:ascii="Georgia" w:hAnsi="Georgia"/>
          <w:sz w:val="20"/>
          <w:szCs w:val="24"/>
        </w:rPr>
      </w:pPr>
    </w:p>
    <w:p w:rsidR="00BA782A" w:rsidRPr="007C23E2" w:rsidRDefault="00BA782A" w:rsidP="00BA782A">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BA782A" w:rsidRPr="00E445DE" w:rsidRDefault="00BA782A" w:rsidP="00BA782A">
      <w:pPr>
        <w:pStyle w:val="Paragraphedeliste"/>
        <w:widowControl/>
        <w:autoSpaceDE/>
        <w:autoSpaceDN/>
        <w:adjustRightInd/>
        <w:spacing w:line="360" w:lineRule="auto"/>
        <w:ind w:left="360" w:right="51"/>
        <w:contextualSpacing/>
        <w:jc w:val="both"/>
        <w:rPr>
          <w:rFonts w:ascii="Georgia" w:hAnsi="Georgia"/>
          <w:sz w:val="16"/>
        </w:rPr>
      </w:pPr>
    </w:p>
    <w:p w:rsidR="00626C89" w:rsidRPr="00EB1DBB" w:rsidRDefault="00626C89" w:rsidP="00FF5B57">
      <w:pPr>
        <w:pStyle w:val="Paragraphedeliste"/>
        <w:widowControl/>
        <w:autoSpaceDE/>
        <w:autoSpaceDN/>
        <w:adjustRightInd/>
        <w:spacing w:line="360" w:lineRule="auto"/>
        <w:ind w:left="360" w:right="51"/>
        <w:contextualSpacing/>
        <w:jc w:val="both"/>
        <w:rPr>
          <w:rFonts w:ascii="Georgia" w:hAnsi="Georgia"/>
          <w:sz w:val="12"/>
        </w:rPr>
      </w:pPr>
    </w:p>
    <w:p w:rsidR="00B30152" w:rsidRPr="00EB1DBB" w:rsidRDefault="00126266" w:rsidP="00417DA5">
      <w:pPr>
        <w:pStyle w:val="Corpsdetexte"/>
        <w:spacing w:line="360" w:lineRule="auto"/>
        <w:jc w:val="center"/>
        <w:rPr>
          <w:rFonts w:ascii="Georgia" w:hAnsi="Georgia"/>
          <w:smallCaps/>
          <w:szCs w:val="24"/>
          <w:lang w:val="en-US"/>
        </w:rPr>
      </w:pPr>
      <w:proofErr w:type="spellStart"/>
      <w:r w:rsidRPr="00EB1DBB">
        <w:rPr>
          <w:rFonts w:ascii="Georgia" w:hAnsi="Georgia"/>
          <w:smallCaps/>
          <w:szCs w:val="24"/>
          <w:lang w:val="en-US"/>
        </w:rPr>
        <w:t>Notifíquese</w:t>
      </w:r>
      <w:proofErr w:type="spellEnd"/>
      <w:r w:rsidRPr="00EB1DBB">
        <w:rPr>
          <w:rFonts w:ascii="Georgia" w:hAnsi="Georgia"/>
          <w:smallCaps/>
          <w:szCs w:val="24"/>
          <w:lang w:val="en-US"/>
        </w:rPr>
        <w:t>,</w:t>
      </w:r>
    </w:p>
    <w:p w:rsid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6C452A" w:rsidRPr="00EB1DBB"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D97A99" w:rsidRPr="00EB1DBB"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lang w:val="en-US"/>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EB1DBB">
        <w:rPr>
          <w:rFonts w:ascii="Georgia" w:hAnsi="Georgia" w:cs="Arial"/>
          <w:spacing w:val="-3"/>
          <w:w w:val="150"/>
          <w:sz w:val="28"/>
          <w:lang w:val="en-US"/>
        </w:rPr>
        <w:t>D</w:t>
      </w:r>
      <w:r w:rsidRPr="00EB1DBB">
        <w:rPr>
          <w:rFonts w:ascii="Georgia" w:hAnsi="Georgia" w:cs="Arial"/>
          <w:spacing w:val="-3"/>
          <w:w w:val="150"/>
          <w:sz w:val="18"/>
          <w:szCs w:val="16"/>
          <w:lang w:val="en-US"/>
        </w:rPr>
        <w:t xml:space="preserve">UBERNEY </w:t>
      </w:r>
      <w:r w:rsidRPr="00EB1DBB">
        <w:rPr>
          <w:rFonts w:ascii="Georgia" w:hAnsi="Georgia" w:cs="Arial"/>
          <w:spacing w:val="-3"/>
          <w:w w:val="150"/>
          <w:sz w:val="28"/>
          <w:lang w:val="en-US"/>
        </w:rPr>
        <w:t>G</w:t>
      </w:r>
      <w:r w:rsidRPr="00EB1DBB">
        <w:rPr>
          <w:rFonts w:ascii="Georgia" w:hAnsi="Georgia" w:cs="Arial"/>
          <w:spacing w:val="-3"/>
          <w:w w:val="150"/>
          <w:sz w:val="18"/>
          <w:szCs w:val="16"/>
          <w:lang w:val="en-US"/>
        </w:rPr>
        <w:t xml:space="preserve">RISALES </w:t>
      </w:r>
      <w:r w:rsidRPr="00EB1DBB">
        <w:rPr>
          <w:rFonts w:ascii="Georgia" w:hAnsi="Georgia" w:cs="Arial"/>
          <w:spacing w:val="-3"/>
          <w:w w:val="150"/>
          <w:sz w:val="28"/>
          <w:lang w:val="en-US"/>
        </w:rPr>
        <w:t>H</w:t>
      </w:r>
      <w:r w:rsidRPr="00EB1DBB">
        <w:rPr>
          <w:rFonts w:ascii="Georgia" w:hAnsi="Georgia" w:cs="Arial"/>
          <w:spacing w:val="-3"/>
          <w:w w:val="150"/>
          <w:sz w:val="18"/>
          <w:szCs w:val="16"/>
          <w:lang w:val="en-US"/>
        </w:rPr>
        <w:t>ERRERA</w:t>
      </w: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EB1DBB">
        <w:rPr>
          <w:rFonts w:ascii="Georgia" w:hAnsi="Georgia" w:cs="Arial"/>
          <w:spacing w:val="-3"/>
          <w:w w:val="150"/>
          <w:sz w:val="28"/>
          <w:lang w:val="en-US"/>
        </w:rPr>
        <w:t>M</w:t>
      </w:r>
      <w:r w:rsidRPr="00EB1DBB">
        <w:rPr>
          <w:rFonts w:ascii="Georgia" w:hAnsi="Georgia" w:cs="Arial"/>
          <w:spacing w:val="-3"/>
          <w:w w:val="150"/>
          <w:lang w:val="en-US"/>
        </w:rPr>
        <w:t xml:space="preserve"> </w:t>
      </w:r>
      <w:r w:rsidRPr="00EB1DBB">
        <w:rPr>
          <w:rFonts w:ascii="Georgia" w:hAnsi="Georgia" w:cs="Arial"/>
          <w:spacing w:val="-3"/>
          <w:w w:val="150"/>
          <w:sz w:val="18"/>
          <w:szCs w:val="20"/>
          <w:lang w:val="en-US"/>
        </w:rPr>
        <w:t>A G I S T R A D O</w:t>
      </w:r>
    </w:p>
    <w:p w:rsid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6C452A" w:rsidRPr="00EB1DBB"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D97A99" w:rsidRPr="002E3E4C"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4"/>
          <w:szCs w:val="18"/>
          <w:lang w:val="en-GB"/>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proofErr w:type="gramStart"/>
      <w:r w:rsidRPr="00EB1DBB">
        <w:rPr>
          <w:rFonts w:ascii="Georgia" w:hAnsi="Georgia"/>
          <w:w w:val="150"/>
          <w:sz w:val="28"/>
          <w:szCs w:val="18"/>
          <w:lang w:val="en-US"/>
        </w:rPr>
        <w:t>E</w:t>
      </w:r>
      <w:r w:rsidRPr="00EB1DBB">
        <w:rPr>
          <w:rFonts w:ascii="Georgia" w:hAnsi="Georgia"/>
          <w:w w:val="150"/>
          <w:sz w:val="18"/>
          <w:szCs w:val="18"/>
          <w:lang w:val="en-US"/>
        </w:rPr>
        <w:t>DDER</w:t>
      </w:r>
      <w:proofErr w:type="spellEnd"/>
      <w:r w:rsidRPr="00EB1DBB">
        <w:rPr>
          <w:rFonts w:ascii="Georgia" w:hAnsi="Georgia"/>
          <w:w w:val="150"/>
          <w:sz w:val="18"/>
          <w:lang w:val="en-US"/>
        </w:rPr>
        <w:t xml:space="preserve"> </w:t>
      </w:r>
      <w:r w:rsidRPr="00EB1DBB">
        <w:rPr>
          <w:rFonts w:ascii="Georgia" w:hAnsi="Georgia"/>
          <w:w w:val="150"/>
          <w:sz w:val="28"/>
          <w:lang w:val="en-US"/>
        </w:rPr>
        <w:t>J</w:t>
      </w:r>
      <w:r w:rsidRPr="00EB1DBB">
        <w:rPr>
          <w:rFonts w:ascii="Georgia" w:hAnsi="Georgia"/>
          <w:w w:val="150"/>
          <w:sz w:val="18"/>
          <w:szCs w:val="18"/>
          <w:lang w:val="en-US"/>
        </w:rPr>
        <w:t xml:space="preserve">IMMY </w:t>
      </w:r>
      <w:r w:rsidRPr="00EB1DBB">
        <w:rPr>
          <w:rFonts w:ascii="Georgia" w:hAnsi="Georgia"/>
          <w:w w:val="150"/>
          <w:sz w:val="28"/>
          <w:lang w:val="en-US"/>
        </w:rPr>
        <w:t>S</w:t>
      </w:r>
      <w:r w:rsidRPr="00EB1DBB">
        <w:rPr>
          <w:rFonts w:ascii="Georgia" w:hAnsi="Georgia"/>
          <w:w w:val="150"/>
          <w:sz w:val="18"/>
          <w:szCs w:val="18"/>
          <w:lang w:val="en-US"/>
        </w:rPr>
        <w:t xml:space="preserve">ÁNCHEZ </w:t>
      </w:r>
      <w:r w:rsidRPr="00EB1DBB">
        <w:rPr>
          <w:rFonts w:ascii="Georgia" w:hAnsi="Georgia"/>
          <w:w w:val="150"/>
          <w:sz w:val="28"/>
          <w:szCs w:val="18"/>
          <w:lang w:val="en-US"/>
        </w:rPr>
        <w:t>C.</w:t>
      </w:r>
      <w:proofErr w:type="gramEnd"/>
      <w:r w:rsidRPr="00EB1DBB">
        <w:rPr>
          <w:rFonts w:ascii="Georgia" w:hAnsi="Georgia"/>
          <w:w w:val="150"/>
          <w:sz w:val="28"/>
          <w:szCs w:val="18"/>
          <w:lang w:val="en-US"/>
        </w:rPr>
        <w:tab/>
      </w:r>
      <w:r w:rsidRPr="00EB1DBB">
        <w:rPr>
          <w:rFonts w:ascii="Georgia" w:hAnsi="Georgia"/>
          <w:w w:val="150"/>
          <w:sz w:val="28"/>
          <w:szCs w:val="18"/>
          <w:lang w:val="en-US"/>
        </w:rPr>
        <w:tab/>
      </w:r>
      <w:r w:rsidRPr="00EB1DBB">
        <w:rPr>
          <w:rFonts w:ascii="Georgia" w:hAnsi="Georgia" w:cs="Arial"/>
          <w:spacing w:val="-3"/>
          <w:w w:val="150"/>
          <w:sz w:val="28"/>
          <w:szCs w:val="18"/>
          <w:lang w:val="en-US"/>
        </w:rPr>
        <w:t>J</w:t>
      </w:r>
      <w:r w:rsidRPr="00EB1DBB">
        <w:rPr>
          <w:rFonts w:ascii="Georgia" w:hAnsi="Georgia" w:cs="Arial"/>
          <w:spacing w:val="-3"/>
          <w:w w:val="150"/>
          <w:sz w:val="18"/>
          <w:szCs w:val="18"/>
          <w:lang w:val="en-US"/>
        </w:rPr>
        <w:t xml:space="preserve">AIME </w:t>
      </w:r>
      <w:r w:rsidRPr="00EB1DBB">
        <w:rPr>
          <w:rFonts w:ascii="Georgia" w:hAnsi="Georgia" w:cs="Arial"/>
          <w:spacing w:val="-3"/>
          <w:w w:val="150"/>
          <w:sz w:val="28"/>
          <w:szCs w:val="18"/>
          <w:lang w:val="en-US"/>
        </w:rPr>
        <w:t>A</w:t>
      </w:r>
      <w:r w:rsidRPr="00EB1DBB">
        <w:rPr>
          <w:rFonts w:ascii="Georgia" w:hAnsi="Georgia"/>
          <w:w w:val="150"/>
          <w:sz w:val="18"/>
          <w:szCs w:val="18"/>
          <w:lang w:val="en-US"/>
        </w:rPr>
        <w:t xml:space="preserve">LBERTO </w:t>
      </w:r>
      <w:r w:rsidRPr="00EB1DBB">
        <w:rPr>
          <w:rFonts w:ascii="Georgia" w:hAnsi="Georgia" w:cs="Arial"/>
          <w:spacing w:val="-3"/>
          <w:w w:val="150"/>
          <w:sz w:val="28"/>
          <w:szCs w:val="18"/>
          <w:lang w:val="en-US"/>
        </w:rPr>
        <w:t>S</w:t>
      </w:r>
      <w:r w:rsidRPr="00EB1DBB">
        <w:rPr>
          <w:rFonts w:ascii="Georgia" w:hAnsi="Georgia" w:cs="Arial"/>
          <w:spacing w:val="-3"/>
          <w:w w:val="150"/>
          <w:sz w:val="18"/>
          <w:szCs w:val="16"/>
          <w:lang w:val="en-US"/>
        </w:rPr>
        <w:t xml:space="preserve">ARAZA </w:t>
      </w:r>
      <w:r w:rsidRPr="00EB1DBB">
        <w:rPr>
          <w:rFonts w:ascii="Georgia" w:hAnsi="Georgia" w:cs="Arial"/>
          <w:spacing w:val="-3"/>
          <w:w w:val="150"/>
          <w:sz w:val="28"/>
          <w:szCs w:val="18"/>
          <w:lang w:val="en-US"/>
        </w:rPr>
        <w:t>N.</w:t>
      </w:r>
    </w:p>
    <w:p w:rsidR="00E5393F" w:rsidRPr="00EB1DBB"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EB1DBB">
        <w:rPr>
          <w:rFonts w:ascii="Georgia" w:hAnsi="Georgia" w:cs="Arial"/>
          <w:w w:val="150"/>
          <w:sz w:val="28"/>
          <w:lang w:val="en-US"/>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 </w:t>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w:t>
      </w:r>
      <w:r w:rsidR="004B7598" w:rsidRPr="00EB1DBB">
        <w:rPr>
          <w:rFonts w:ascii="Georgia" w:hAnsi="Georgia" w:cs="Arial"/>
          <w:w w:val="150"/>
          <w:sz w:val="18"/>
          <w:lang w:val="en-GB"/>
        </w:rPr>
        <w:t xml:space="preserve">  </w:t>
      </w:r>
    </w:p>
    <w:p w:rsidR="00E606C4" w:rsidRPr="00EB1DBB"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Pr="00EB1DBB">
        <w:rPr>
          <w:rFonts w:ascii="Georgia" w:hAnsi="Georgia"/>
          <w:w w:val="150"/>
          <w:sz w:val="8"/>
          <w:szCs w:val="10"/>
          <w:lang w:val="en-US"/>
        </w:rPr>
        <w:t>/</w:t>
      </w:r>
      <w:r w:rsidR="00081FDD" w:rsidRPr="00EB1DBB">
        <w:rPr>
          <w:rFonts w:ascii="Georgia" w:hAnsi="Georgia"/>
          <w:w w:val="150"/>
          <w:sz w:val="8"/>
          <w:szCs w:val="10"/>
          <w:lang w:val="en-US"/>
        </w:rPr>
        <w:t>2017</w:t>
      </w:r>
    </w:p>
    <w:sectPr w:rsidR="00E606C4" w:rsidRPr="00EB1DBB" w:rsidSect="00FA51F5">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8E" w:rsidRDefault="00C3408E" w:rsidP="0099045D">
      <w:r>
        <w:separator/>
      </w:r>
    </w:p>
  </w:endnote>
  <w:endnote w:type="continuationSeparator" w:id="0">
    <w:p w:rsidR="00C3408E" w:rsidRDefault="00C3408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96" w:rsidRPr="00BD4B96" w:rsidRDefault="00BD4B96">
    <w:pPr>
      <w:pStyle w:val="Pieddepage"/>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BD4B96" w:rsidRDefault="00800180"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800180" w:rsidRPr="00BD4B96" w:rsidRDefault="00800180" w:rsidP="0013771A">
    <w:pPr>
      <w:pStyle w:val="Pieddepage"/>
      <w:spacing w:line="360" w:lineRule="auto"/>
      <w:jc w:val="right"/>
      <w:rPr>
        <w:rFonts w:ascii="Georgia" w:hAnsi="Georgia" w:cs="Arial"/>
        <w:spacing w:val="20"/>
        <w:w w:val="200"/>
        <w:sz w:val="14"/>
        <w:szCs w:val="10"/>
        <w:lang w:val="es-CO"/>
      </w:rPr>
    </w:pPr>
  </w:p>
  <w:p w:rsidR="00800180" w:rsidRPr="00BD4B96" w:rsidRDefault="00800180" w:rsidP="0013771A">
    <w:pPr>
      <w:pStyle w:val="Pieddepage"/>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depage"/>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96" w:rsidRDefault="00BD4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8E" w:rsidRDefault="00C3408E" w:rsidP="0099045D">
      <w:r>
        <w:separator/>
      </w:r>
    </w:p>
  </w:footnote>
  <w:footnote w:type="continuationSeparator" w:id="0">
    <w:p w:rsidR="00C3408E" w:rsidRDefault="00C3408E" w:rsidP="0099045D">
      <w:r>
        <w:continuationSeparator/>
      </w:r>
    </w:p>
  </w:footnote>
  <w:footnote w:id="1">
    <w:p w:rsidR="00FB071B" w:rsidRPr="00E17BD7" w:rsidRDefault="00FB071B" w:rsidP="00FB071B">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FB071B" w:rsidRPr="00E17BD7" w:rsidRDefault="00FB071B" w:rsidP="00FB071B">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FB071B" w:rsidRPr="002E3E4C" w:rsidRDefault="00FB071B" w:rsidP="00FB071B">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E3E4C">
        <w:rPr>
          <w:rFonts w:asciiTheme="minorHAnsi" w:hAnsiTheme="minorHAnsi" w:cs="Calibri"/>
          <w:lang w:val="fr-FR"/>
        </w:rPr>
        <w:t xml:space="preserve"> CC. T-917 de 2011.</w:t>
      </w:r>
    </w:p>
  </w:footnote>
  <w:footnote w:id="4">
    <w:p w:rsidR="00FB071B" w:rsidRPr="002E3E4C" w:rsidRDefault="00FB071B" w:rsidP="00FB071B">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E3E4C">
        <w:rPr>
          <w:rFonts w:asciiTheme="minorHAnsi" w:hAnsiTheme="minorHAnsi" w:cs="Calibri"/>
          <w:lang w:val="fr-FR"/>
        </w:rPr>
        <w:t xml:space="preserve"> CC. C-590 de 2005.</w:t>
      </w:r>
    </w:p>
  </w:footnote>
  <w:footnote w:id="5">
    <w:p w:rsidR="00FB071B" w:rsidRPr="002E3E4C" w:rsidRDefault="00FB071B" w:rsidP="00FB071B">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2E3E4C">
        <w:rPr>
          <w:rFonts w:asciiTheme="minorHAnsi" w:hAnsiTheme="minorHAnsi" w:cs="Calibri"/>
          <w:lang w:val="fr-FR"/>
        </w:rPr>
        <w:t xml:space="preserve"> CC. </w:t>
      </w:r>
      <w:r w:rsidRPr="002E3E4C">
        <w:rPr>
          <w:rFonts w:asciiTheme="minorHAnsi" w:hAnsiTheme="minorHAnsi" w:cs="Calibri"/>
          <w:bCs/>
          <w:lang w:val="fr-FR"/>
        </w:rPr>
        <w:t>SU-222 de 2016</w:t>
      </w:r>
      <w:r w:rsidRPr="002E3E4C">
        <w:rPr>
          <w:rFonts w:asciiTheme="minorHAnsi" w:hAnsiTheme="minorHAnsi" w:cs="Calibri"/>
          <w:lang w:val="fr-FR"/>
        </w:rPr>
        <w:t>.</w:t>
      </w:r>
    </w:p>
  </w:footnote>
  <w:footnote w:id="6">
    <w:p w:rsidR="00FB071B" w:rsidRPr="002E3E4C" w:rsidRDefault="00FB071B" w:rsidP="00FB071B">
      <w:pPr>
        <w:pStyle w:val="Notedebasdepage"/>
        <w:rPr>
          <w:rFonts w:ascii="Calibri" w:hAnsi="Calibri"/>
          <w:b/>
          <w:bCs/>
          <w:lang w:val="fr-FR"/>
        </w:rPr>
      </w:pPr>
      <w:r w:rsidRPr="00D65FBA">
        <w:rPr>
          <w:rStyle w:val="Appelnotedebasdep"/>
          <w:rFonts w:ascii="Calibri" w:hAnsi="Calibri"/>
        </w:rPr>
        <w:footnoteRef/>
      </w:r>
      <w:r w:rsidRPr="002E3E4C">
        <w:rPr>
          <w:rFonts w:ascii="Calibri" w:hAnsi="Calibri"/>
          <w:lang w:val="fr-FR"/>
        </w:rPr>
        <w:t xml:space="preserve"> </w:t>
      </w:r>
      <w:r w:rsidRPr="002E3E4C">
        <w:rPr>
          <w:rFonts w:ascii="Calibri" w:hAnsi="Calibri"/>
          <w:bCs/>
          <w:lang w:val="fr-FR"/>
        </w:rPr>
        <w:t>CC. T-137 de 2017.</w:t>
      </w:r>
    </w:p>
  </w:footnote>
  <w:footnote w:id="7">
    <w:p w:rsidR="00FB071B" w:rsidRPr="00E17BD7" w:rsidRDefault="00FB071B" w:rsidP="00FB071B">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FB071B" w:rsidRPr="00E17BD7" w:rsidRDefault="00FB071B" w:rsidP="00FB071B">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FB071B" w:rsidRPr="00E17BD7" w:rsidRDefault="00FB071B" w:rsidP="00FB071B">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FB071B" w:rsidRPr="00642852" w:rsidRDefault="00FB071B" w:rsidP="00FB071B">
      <w:pPr>
        <w:pStyle w:val="Notedebasdepage"/>
        <w:rPr>
          <w:rFonts w:asciiTheme="majorHAnsi" w:hAnsiTheme="majorHAnsi"/>
          <w:lang w:val="es-CO"/>
        </w:rPr>
      </w:pPr>
      <w:r w:rsidRPr="00642852">
        <w:rPr>
          <w:rStyle w:val="Appelnotedebasdep"/>
          <w:rFonts w:asciiTheme="majorHAnsi" w:hAnsiTheme="majorHAnsi"/>
        </w:rPr>
        <w:footnoteRef/>
      </w:r>
      <w:r w:rsidRPr="00642852">
        <w:rPr>
          <w:rFonts w:asciiTheme="majorHAnsi" w:hAnsiTheme="majorHAnsi"/>
        </w:rPr>
        <w:t xml:space="preserve"> CC. T-230 de 2013.</w:t>
      </w:r>
    </w:p>
  </w:footnote>
  <w:footnote w:id="11">
    <w:p w:rsidR="00FB071B" w:rsidRDefault="00FB071B" w:rsidP="00FB071B">
      <w:pPr>
        <w:pStyle w:val="Notedebasdepage"/>
        <w:jc w:val="both"/>
      </w:pPr>
      <w:r w:rsidRPr="00642852">
        <w:rPr>
          <w:rStyle w:val="Appelnotedebasdep"/>
          <w:rFonts w:asciiTheme="majorHAnsi" w:hAnsiTheme="majorHAnsi"/>
          <w:lang w:val="es-CO"/>
        </w:rPr>
        <w:footnoteRef/>
      </w:r>
      <w:r w:rsidRPr="00642852">
        <w:rPr>
          <w:rFonts w:asciiTheme="majorHAnsi" w:hAnsiTheme="majorHAnsi"/>
          <w:lang w:val="es-CO"/>
        </w:rPr>
        <w:t xml:space="preserve"> En algunos casos</w:t>
      </w:r>
      <w:r>
        <w:rPr>
          <w:rFonts w:asciiTheme="minorHAnsi" w:hAnsiTheme="minorHAnsi"/>
          <w:lang w:val="es-CO"/>
        </w:rPr>
        <w:t xml:space="preserve">,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12">
    <w:p w:rsidR="00FB071B" w:rsidRDefault="00FB071B" w:rsidP="00FB071B">
      <w:pPr>
        <w:pStyle w:val="Notedebasdepage"/>
        <w:jc w:val="both"/>
        <w:rPr>
          <w:rFonts w:asciiTheme="minorHAnsi" w:hAnsiTheme="minorHAnsi" w:cs="Calibri"/>
        </w:rPr>
      </w:pPr>
      <w:r>
        <w:rPr>
          <w:rStyle w:val="Appelnotedebasdep"/>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96" w:rsidRDefault="00BD4B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BD4B96" w:rsidRDefault="00800180">
    <w:pPr>
      <w:pStyle w:val="En-tte"/>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2E3E4C">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tte"/>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EB1DBB" w:rsidRPr="00BD4B96">
      <w:rPr>
        <w:rFonts w:ascii="Georgia" w:hAnsi="Georgia" w:cs="Calibri"/>
        <w:i/>
        <w:sz w:val="20"/>
        <w:szCs w:val="22"/>
      </w:rPr>
      <w:t>00804</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96" w:rsidRDefault="00BD4B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C"/>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08E"/>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130D-ABD5-4C5B-915A-D3054682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2017-08-24T21:05:00Z</cp:lastPrinted>
  <dcterms:created xsi:type="dcterms:W3CDTF">2017-08-24T20:47:00Z</dcterms:created>
  <dcterms:modified xsi:type="dcterms:W3CDTF">2017-10-13T15:01:00Z</dcterms:modified>
</cp:coreProperties>
</file>