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09" w:rsidRPr="00DB0209" w:rsidRDefault="00DB0209" w:rsidP="00DB020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DB0209">
        <w:rPr>
          <w:rFonts w:ascii="Calibri" w:eastAsia="Calibri" w:hAnsi="Calibri" w:cs="Calibri"/>
          <w:color w:val="FF0000"/>
          <w:sz w:val="16"/>
          <w:szCs w:val="16"/>
          <w:lang w:val="es-CO" w:eastAsia="fr-FR"/>
        </w:rPr>
        <w:t xml:space="preserve">El siguiente es el documento presentado por el Magistrado. </w:t>
      </w:r>
    </w:p>
    <w:p w:rsidR="00DB0209" w:rsidRPr="00DB0209" w:rsidRDefault="00DB0209" w:rsidP="00DB020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DB0209">
        <w:rPr>
          <w:rFonts w:ascii="Calibri" w:eastAsia="Calibri" w:hAnsi="Calibri" w:cs="Calibri"/>
          <w:color w:val="FF0000"/>
          <w:sz w:val="16"/>
          <w:szCs w:val="16"/>
          <w:lang w:val="es-CO" w:eastAsia="fr-FR"/>
        </w:rPr>
        <w:t>El contenido total y fiel debe ser verificado en la Secretaría de esta Sala.</w:t>
      </w:r>
      <w:r w:rsidRPr="00DB0209">
        <w:rPr>
          <w:rFonts w:ascii="Calibri" w:eastAsia="Calibri" w:hAnsi="Calibri" w:cs="Calibri"/>
          <w:color w:val="222222"/>
          <w:sz w:val="18"/>
          <w:szCs w:val="18"/>
          <w:lang w:val="es-CO" w:eastAsia="fr-FR"/>
        </w:rPr>
        <w:t> </w:t>
      </w:r>
    </w:p>
    <w:p w:rsidR="00DB0209" w:rsidRPr="00DB0209" w:rsidRDefault="00DB0209" w:rsidP="00DB0209">
      <w:pPr>
        <w:shd w:val="clear" w:color="auto" w:fill="FFFFFF"/>
        <w:ind w:left="2124" w:hanging="2124"/>
        <w:jc w:val="both"/>
        <w:rPr>
          <w:rFonts w:ascii="Calibri" w:hAnsi="Calibri" w:cs="Calibri"/>
          <w:color w:val="222222"/>
          <w:sz w:val="18"/>
          <w:szCs w:val="18"/>
          <w:lang w:val="es-CO" w:eastAsia="fr-FR"/>
        </w:rPr>
      </w:pPr>
      <w:r w:rsidRPr="00DB0209">
        <w:rPr>
          <w:rFonts w:ascii="Calibri" w:hAnsi="Calibri" w:cs="Calibri"/>
          <w:color w:val="222222"/>
          <w:sz w:val="18"/>
          <w:szCs w:val="18"/>
          <w:lang w:val="es-CO" w:eastAsia="fr-FR"/>
        </w:rPr>
        <w:t>Providencia:</w:t>
      </w:r>
      <w:r w:rsidRPr="00DB0209">
        <w:rPr>
          <w:rFonts w:ascii="Calibri" w:hAnsi="Calibri" w:cs="Calibri"/>
          <w:color w:val="222222"/>
          <w:sz w:val="18"/>
          <w:szCs w:val="18"/>
          <w:lang w:val="es-CO" w:eastAsia="fr-FR"/>
        </w:rPr>
        <w:tab/>
        <w:t>Auto - 19 de septiembre de 2017</w:t>
      </w:r>
    </w:p>
    <w:p w:rsidR="00DB0209" w:rsidRPr="00DB0209" w:rsidRDefault="00DB0209" w:rsidP="00DB0209">
      <w:pPr>
        <w:shd w:val="clear" w:color="auto" w:fill="FFFFFF"/>
        <w:ind w:left="2124" w:hanging="2124"/>
        <w:jc w:val="both"/>
        <w:rPr>
          <w:rFonts w:ascii="Calibri" w:hAnsi="Calibri" w:cs="Calibri"/>
          <w:color w:val="222222"/>
          <w:sz w:val="18"/>
          <w:szCs w:val="18"/>
          <w:lang w:val="es-CO" w:eastAsia="fr-FR"/>
        </w:rPr>
      </w:pPr>
      <w:r w:rsidRPr="00DB0209">
        <w:rPr>
          <w:rFonts w:ascii="Calibri" w:hAnsi="Calibri" w:cs="Calibri"/>
          <w:color w:val="222222"/>
          <w:sz w:val="18"/>
          <w:szCs w:val="18"/>
          <w:lang w:val="es-CO" w:eastAsia="fr-FR"/>
        </w:rPr>
        <w:t xml:space="preserve">Proceso: </w:t>
      </w:r>
      <w:r w:rsidRPr="00DB0209">
        <w:rPr>
          <w:rFonts w:ascii="Calibri" w:hAnsi="Calibri" w:cs="Calibri"/>
          <w:color w:val="222222"/>
          <w:sz w:val="18"/>
          <w:szCs w:val="18"/>
          <w:lang w:val="es-CO" w:eastAsia="fr-FR"/>
        </w:rPr>
        <w:tab/>
        <w:t>Ejecutivo  – Confirma decisión del a quo que negó levantamiento de embargo y secuestro</w:t>
      </w:r>
    </w:p>
    <w:p w:rsidR="00DB0209" w:rsidRPr="00DB0209" w:rsidRDefault="00DB0209" w:rsidP="00DB0209">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DB0209">
        <w:rPr>
          <w:rFonts w:ascii="Calibri" w:eastAsia="Calibri" w:hAnsi="Calibri" w:cs="Calibri"/>
          <w:color w:val="222222"/>
          <w:sz w:val="18"/>
          <w:szCs w:val="18"/>
          <w:lang w:val="es-CO" w:eastAsia="fr-FR"/>
        </w:rPr>
        <w:t>Radicación Nro. :</w:t>
      </w:r>
      <w:r w:rsidRPr="00DB0209">
        <w:rPr>
          <w:rFonts w:ascii="Calibri" w:eastAsia="Calibri" w:hAnsi="Calibri" w:cs="Calibri"/>
          <w:color w:val="222222"/>
          <w:sz w:val="18"/>
          <w:szCs w:val="18"/>
          <w:lang w:val="es-CO" w:eastAsia="fr-FR"/>
        </w:rPr>
        <w:tab/>
        <w:t xml:space="preserve">  </w:t>
      </w:r>
      <w:r w:rsidRPr="00DB0209">
        <w:rPr>
          <w:rFonts w:ascii="Calibri" w:eastAsia="Calibri" w:hAnsi="Calibri" w:cs="Calibri"/>
          <w:color w:val="222222"/>
          <w:sz w:val="18"/>
          <w:szCs w:val="18"/>
          <w:lang w:val="es-CO" w:eastAsia="fr-FR"/>
        </w:rPr>
        <w:tab/>
        <w:t xml:space="preserve"> </w:t>
      </w:r>
      <w:r w:rsidRPr="00DB0209">
        <w:rPr>
          <w:rFonts w:ascii="Calibri" w:eastAsia="Calibri" w:hAnsi="Calibri" w:cs="Calibri"/>
          <w:bCs/>
          <w:color w:val="222222"/>
          <w:sz w:val="18"/>
          <w:szCs w:val="18"/>
          <w:lang w:eastAsia="fr-FR"/>
        </w:rPr>
        <w:t>2011-00381-01</w:t>
      </w:r>
    </w:p>
    <w:p w:rsidR="00DB0209" w:rsidRPr="00DB0209" w:rsidRDefault="00DB0209" w:rsidP="00DB0209">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DB0209">
        <w:rPr>
          <w:rFonts w:ascii="Calibri" w:eastAsia="Calibri" w:hAnsi="Calibri" w:cs="Calibri"/>
          <w:color w:val="222222"/>
          <w:sz w:val="18"/>
          <w:szCs w:val="18"/>
          <w:lang w:val="es-MX" w:eastAsia="fr-FR"/>
        </w:rPr>
        <w:t>Ejecutante:</w:t>
      </w:r>
      <w:r w:rsidRPr="00DB0209">
        <w:rPr>
          <w:rFonts w:ascii="Calibri" w:eastAsia="Calibri" w:hAnsi="Calibri" w:cs="Calibri"/>
          <w:color w:val="222222"/>
          <w:sz w:val="18"/>
          <w:szCs w:val="18"/>
          <w:lang w:val="es-MX" w:eastAsia="fr-FR"/>
        </w:rPr>
        <w:tab/>
      </w:r>
      <w:r w:rsidRPr="00DB0209">
        <w:rPr>
          <w:rFonts w:ascii="Calibri" w:eastAsia="Calibri" w:hAnsi="Calibri" w:cs="Calibri"/>
          <w:color w:val="222222"/>
          <w:sz w:val="18"/>
          <w:szCs w:val="18"/>
          <w:lang w:val="es-MX" w:eastAsia="fr-FR"/>
        </w:rPr>
        <w:tab/>
      </w:r>
      <w:r w:rsidRPr="00DB0209">
        <w:rPr>
          <w:rFonts w:ascii="Calibri" w:eastAsia="Calibri" w:hAnsi="Calibri" w:cs="Calibri"/>
          <w:bCs/>
          <w:color w:val="222222"/>
          <w:sz w:val="18"/>
          <w:szCs w:val="18"/>
          <w:lang w:eastAsia="fr-FR"/>
        </w:rPr>
        <w:tab/>
      </w:r>
      <w:proofErr w:type="spellStart"/>
      <w:r w:rsidRPr="00DB0209">
        <w:rPr>
          <w:rFonts w:ascii="Calibri" w:eastAsia="Calibri" w:hAnsi="Calibri" w:cs="Calibri"/>
          <w:bCs/>
          <w:color w:val="222222"/>
          <w:sz w:val="18"/>
          <w:szCs w:val="18"/>
          <w:lang w:eastAsia="fr-FR"/>
        </w:rPr>
        <w:t>MORTGAGE</w:t>
      </w:r>
      <w:proofErr w:type="spellEnd"/>
      <w:r w:rsidRPr="00DB0209">
        <w:rPr>
          <w:rFonts w:ascii="Calibri" w:eastAsia="Calibri" w:hAnsi="Calibri" w:cs="Calibri"/>
          <w:bCs/>
          <w:color w:val="222222"/>
          <w:sz w:val="18"/>
          <w:szCs w:val="18"/>
          <w:lang w:eastAsia="fr-FR"/>
        </w:rPr>
        <w:t xml:space="preserve"> INTERNACIONAL CORPORACIÓN </w:t>
      </w:r>
      <w:proofErr w:type="spellStart"/>
      <w:r w:rsidRPr="00DB0209">
        <w:rPr>
          <w:rFonts w:ascii="Calibri" w:eastAsia="Calibri" w:hAnsi="Calibri" w:cs="Calibri"/>
          <w:bCs/>
          <w:color w:val="222222"/>
          <w:sz w:val="18"/>
          <w:szCs w:val="18"/>
          <w:lang w:eastAsia="fr-FR"/>
        </w:rPr>
        <w:t>SA</w:t>
      </w:r>
      <w:proofErr w:type="spellEnd"/>
      <w:r w:rsidRPr="00DB0209">
        <w:rPr>
          <w:rFonts w:ascii="Calibri" w:eastAsia="Calibri" w:hAnsi="Calibri" w:cs="Calibri"/>
          <w:bCs/>
          <w:color w:val="222222"/>
          <w:sz w:val="18"/>
          <w:szCs w:val="18"/>
          <w:lang w:val="es-ES_tradnl" w:eastAsia="fr-FR"/>
        </w:rPr>
        <w:t xml:space="preserve"> </w:t>
      </w:r>
      <w:bookmarkStart w:id="0" w:name="_GoBack"/>
      <w:bookmarkEnd w:id="0"/>
    </w:p>
    <w:p w:rsidR="00DB0209" w:rsidRPr="00DB0209" w:rsidRDefault="00DB0209" w:rsidP="00DB0209">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DB0209">
        <w:rPr>
          <w:rFonts w:ascii="Calibri" w:eastAsia="Calibri" w:hAnsi="Calibri" w:cs="Calibri"/>
          <w:bCs/>
          <w:color w:val="222222"/>
          <w:sz w:val="18"/>
          <w:szCs w:val="18"/>
          <w:lang w:val="es-ES_tradnl" w:eastAsia="fr-FR"/>
        </w:rPr>
        <w:t>Ejecutado:</w:t>
      </w:r>
      <w:r w:rsidRPr="00DB0209">
        <w:rPr>
          <w:rFonts w:ascii="Calibri" w:eastAsia="Calibri" w:hAnsi="Calibri" w:cs="Calibri"/>
          <w:bCs/>
          <w:color w:val="222222"/>
          <w:sz w:val="18"/>
          <w:szCs w:val="18"/>
          <w:lang w:val="es-ES_tradnl" w:eastAsia="fr-FR"/>
        </w:rPr>
        <w:tab/>
      </w:r>
      <w:r w:rsidRPr="00DB0209">
        <w:rPr>
          <w:rFonts w:ascii="Calibri" w:eastAsia="Calibri" w:hAnsi="Calibri" w:cs="Calibri"/>
          <w:bCs/>
          <w:color w:val="222222"/>
          <w:sz w:val="18"/>
          <w:szCs w:val="18"/>
          <w:lang w:val="es-ES_tradnl" w:eastAsia="fr-FR"/>
        </w:rPr>
        <w:tab/>
      </w:r>
      <w:r w:rsidRPr="00DB0209">
        <w:rPr>
          <w:rFonts w:ascii="Calibri" w:eastAsia="Calibri" w:hAnsi="Calibri" w:cs="Calibri"/>
          <w:bCs/>
          <w:color w:val="222222"/>
          <w:sz w:val="18"/>
          <w:szCs w:val="18"/>
          <w:lang w:val="es-ES_tradnl" w:eastAsia="fr-FR"/>
        </w:rPr>
        <w:tab/>
        <w:t>LUZ PATRICIA GÓMEZ ECHEVERRY Y OTRO</w:t>
      </w:r>
    </w:p>
    <w:p w:rsidR="00DB0209" w:rsidRPr="00DB0209" w:rsidRDefault="00DB0209" w:rsidP="00DB0209">
      <w:pPr>
        <w:shd w:val="clear" w:color="auto" w:fill="FFFFFF"/>
        <w:tabs>
          <w:tab w:val="left" w:pos="1418"/>
          <w:tab w:val="left" w:pos="2127"/>
        </w:tabs>
        <w:jc w:val="both"/>
        <w:rPr>
          <w:rFonts w:ascii="Calibri" w:eastAsia="Calibri" w:hAnsi="Calibri" w:cs="Calibri"/>
          <w:bCs/>
          <w:iCs/>
          <w:color w:val="222222"/>
          <w:sz w:val="18"/>
          <w:szCs w:val="18"/>
          <w:lang w:eastAsia="fr-FR"/>
        </w:rPr>
      </w:pPr>
      <w:r w:rsidRPr="00DB0209">
        <w:rPr>
          <w:rFonts w:ascii="Calibri" w:eastAsia="Calibri" w:hAnsi="Calibri" w:cs="Calibri"/>
          <w:color w:val="222222"/>
          <w:sz w:val="18"/>
          <w:szCs w:val="18"/>
          <w:lang w:val="es-MX" w:eastAsia="fr-FR"/>
        </w:rPr>
        <w:t xml:space="preserve">Magistrado Sustanciador: </w:t>
      </w:r>
      <w:r w:rsidRPr="00DB0209">
        <w:rPr>
          <w:rFonts w:ascii="Calibri" w:eastAsia="Calibri" w:hAnsi="Calibri" w:cs="Calibri"/>
          <w:color w:val="222222"/>
          <w:sz w:val="18"/>
          <w:szCs w:val="18"/>
          <w:lang w:val="es-MX" w:eastAsia="fr-FR"/>
        </w:rPr>
        <w:tab/>
      </w:r>
      <w:proofErr w:type="spellStart"/>
      <w:r w:rsidRPr="00DB0209">
        <w:rPr>
          <w:rFonts w:ascii="Calibri" w:eastAsia="Calibri" w:hAnsi="Calibri" w:cs="Calibri"/>
          <w:bCs/>
          <w:iCs/>
          <w:color w:val="222222"/>
          <w:sz w:val="18"/>
          <w:szCs w:val="18"/>
          <w:lang w:eastAsia="fr-FR"/>
        </w:rPr>
        <w:t>DUBERNEY</w:t>
      </w:r>
      <w:proofErr w:type="spellEnd"/>
      <w:r w:rsidRPr="00DB0209">
        <w:rPr>
          <w:rFonts w:ascii="Calibri" w:eastAsia="Calibri" w:hAnsi="Calibri" w:cs="Calibri"/>
          <w:bCs/>
          <w:iCs/>
          <w:color w:val="222222"/>
          <w:sz w:val="18"/>
          <w:szCs w:val="18"/>
          <w:lang w:eastAsia="fr-FR"/>
        </w:rPr>
        <w:t xml:space="preserve"> GRISALES HERRERA</w:t>
      </w:r>
    </w:p>
    <w:p w:rsidR="00DB0209" w:rsidRPr="00DB0209" w:rsidRDefault="00DB0209" w:rsidP="00DB0209">
      <w:pPr>
        <w:shd w:val="clear" w:color="auto" w:fill="FFFFFF"/>
        <w:tabs>
          <w:tab w:val="left" w:pos="1418"/>
          <w:tab w:val="left" w:pos="2127"/>
        </w:tabs>
        <w:jc w:val="both"/>
        <w:rPr>
          <w:rFonts w:ascii="Calibri" w:eastAsia="Calibri" w:hAnsi="Calibri" w:cs="Calibri"/>
          <w:color w:val="222222"/>
          <w:sz w:val="18"/>
          <w:szCs w:val="18"/>
          <w:lang w:eastAsia="fr-FR"/>
        </w:rPr>
      </w:pPr>
    </w:p>
    <w:p w:rsidR="00DB0209" w:rsidRPr="00DB0209" w:rsidRDefault="00DB0209" w:rsidP="00DB0209">
      <w:pPr>
        <w:shd w:val="clear" w:color="auto" w:fill="FFFFFF"/>
        <w:spacing w:after="200"/>
        <w:jc w:val="both"/>
        <w:rPr>
          <w:rFonts w:ascii="Calibri" w:eastAsia="Calibri" w:hAnsi="Calibri" w:cs="Calibri"/>
          <w:color w:val="222222"/>
          <w:sz w:val="18"/>
          <w:szCs w:val="18"/>
          <w:lang w:eastAsia="fr-FR"/>
        </w:rPr>
      </w:pPr>
      <w:r w:rsidRPr="00DB0209">
        <w:rPr>
          <w:rFonts w:ascii="Calibri" w:eastAsia="Calibri" w:hAnsi="Calibri" w:cs="Calibri"/>
          <w:b/>
          <w:color w:val="222222"/>
          <w:sz w:val="18"/>
          <w:szCs w:val="18"/>
          <w:lang w:val="es-MX" w:eastAsia="fr-FR"/>
        </w:rPr>
        <w:t>Temas:</w:t>
      </w:r>
      <w:r w:rsidRPr="00DB0209">
        <w:rPr>
          <w:rFonts w:ascii="Calibri" w:eastAsia="Calibri" w:hAnsi="Calibri" w:cs="Calibri"/>
          <w:b/>
          <w:color w:val="222222"/>
          <w:sz w:val="18"/>
          <w:szCs w:val="18"/>
          <w:lang w:val="es-MX" w:eastAsia="fr-FR"/>
        </w:rPr>
        <w:tab/>
      </w:r>
      <w:r w:rsidRPr="00DB0209">
        <w:rPr>
          <w:rFonts w:ascii="Calibri" w:eastAsia="Calibri" w:hAnsi="Calibri" w:cs="Calibri"/>
          <w:b/>
          <w:color w:val="222222"/>
          <w:sz w:val="18"/>
          <w:szCs w:val="18"/>
          <w:lang w:val="es-MX" w:eastAsia="fr-FR"/>
        </w:rPr>
        <w:tab/>
      </w:r>
      <w:r w:rsidRPr="00DB0209">
        <w:rPr>
          <w:rFonts w:ascii="Calibri" w:eastAsia="Calibri" w:hAnsi="Calibri" w:cs="Calibri"/>
          <w:b/>
          <w:color w:val="222222"/>
          <w:sz w:val="18"/>
          <w:szCs w:val="18"/>
          <w:lang w:val="es-MX" w:eastAsia="fr-FR"/>
        </w:rPr>
        <w:tab/>
        <w:t xml:space="preserve">FALTA DE LEGITIMACIÓN PARA SOLICITAR LEVANTAMIENTO DE MEDIDA CAUTELAR. </w:t>
      </w:r>
      <w:r w:rsidRPr="00DB0209">
        <w:rPr>
          <w:rFonts w:ascii="Calibri" w:eastAsia="Calibri" w:hAnsi="Calibri" w:cs="Calibri"/>
          <w:color w:val="222222"/>
          <w:sz w:val="18"/>
          <w:szCs w:val="18"/>
          <w:lang w:val="es-MX" w:eastAsia="fr-FR"/>
        </w:rPr>
        <w:t>[S]</w:t>
      </w:r>
      <w:proofErr w:type="spellStart"/>
      <w:r w:rsidRPr="00DB0209">
        <w:rPr>
          <w:rFonts w:ascii="Calibri" w:eastAsia="Calibri" w:hAnsi="Calibri" w:cs="Calibri"/>
          <w:color w:val="222222"/>
          <w:sz w:val="18"/>
          <w:szCs w:val="18"/>
          <w:lang w:eastAsia="fr-FR"/>
        </w:rPr>
        <w:t>e</w:t>
      </w:r>
      <w:proofErr w:type="spellEnd"/>
      <w:r w:rsidRPr="00DB0209">
        <w:rPr>
          <w:rFonts w:ascii="Calibri" w:eastAsia="Calibri" w:hAnsi="Calibri" w:cs="Calibri"/>
          <w:color w:val="222222"/>
          <w:sz w:val="18"/>
          <w:szCs w:val="18"/>
          <w:lang w:eastAsia="fr-FR"/>
        </w:rPr>
        <w:t xml:space="preserve"> encuentra probado que el </w:t>
      </w:r>
      <w:proofErr w:type="spellStart"/>
      <w:r w:rsidRPr="00DB0209">
        <w:rPr>
          <w:rFonts w:ascii="Calibri" w:eastAsia="Calibri" w:hAnsi="Calibri" w:cs="Calibri"/>
          <w:color w:val="222222"/>
          <w:sz w:val="18"/>
          <w:szCs w:val="18"/>
          <w:lang w:eastAsia="fr-FR"/>
        </w:rPr>
        <w:t>opugnante</w:t>
      </w:r>
      <w:proofErr w:type="spellEnd"/>
      <w:r w:rsidRPr="00DB0209">
        <w:rPr>
          <w:rFonts w:ascii="Calibri" w:eastAsia="Calibri" w:hAnsi="Calibri" w:cs="Calibri"/>
          <w:color w:val="222222"/>
          <w:sz w:val="18"/>
          <w:szCs w:val="18"/>
          <w:lang w:eastAsia="fr-FR"/>
        </w:rPr>
        <w:t xml:space="preserve"> como mandante de los ejecutados suscribió en su nombre las escrituras de hipoteca y de aclaración, otorgadas los días 20-12-2007 y 13-03-2008 (Folios 29 a 58, cuaderno principal) y, recibió el inmueble en calidad de tenedor el día el 15-09-2008, según lo explica en el interrogatorio (Folio 2, cuaderno </w:t>
      </w:r>
      <w:proofErr w:type="spellStart"/>
      <w:r w:rsidRPr="00DB0209">
        <w:rPr>
          <w:rFonts w:ascii="Calibri" w:eastAsia="Calibri" w:hAnsi="Calibri" w:cs="Calibri"/>
          <w:color w:val="222222"/>
          <w:sz w:val="18"/>
          <w:szCs w:val="18"/>
          <w:lang w:eastAsia="fr-FR"/>
        </w:rPr>
        <w:t>No.4</w:t>
      </w:r>
      <w:proofErr w:type="spellEnd"/>
      <w:r w:rsidRPr="00DB0209">
        <w:rPr>
          <w:rFonts w:ascii="Calibri" w:eastAsia="Calibri" w:hAnsi="Calibri" w:cs="Calibri"/>
          <w:color w:val="222222"/>
          <w:sz w:val="18"/>
          <w:szCs w:val="18"/>
          <w:lang w:eastAsia="fr-FR"/>
        </w:rPr>
        <w:t xml:space="preserve">). De otro lado, conforme a lo relatado por el </w:t>
      </w:r>
      <w:proofErr w:type="spellStart"/>
      <w:r w:rsidRPr="00DB0209">
        <w:rPr>
          <w:rFonts w:ascii="Calibri" w:eastAsia="Calibri" w:hAnsi="Calibri" w:cs="Calibri"/>
          <w:color w:val="222222"/>
          <w:sz w:val="18"/>
          <w:szCs w:val="18"/>
          <w:lang w:eastAsia="fr-FR"/>
        </w:rPr>
        <w:t>incidentante</w:t>
      </w:r>
      <w:proofErr w:type="spellEnd"/>
      <w:r w:rsidRPr="00DB0209">
        <w:rPr>
          <w:rFonts w:ascii="Calibri" w:eastAsia="Calibri" w:hAnsi="Calibri" w:cs="Calibri"/>
          <w:color w:val="222222"/>
          <w:sz w:val="18"/>
          <w:szCs w:val="18"/>
          <w:lang w:eastAsia="fr-FR"/>
        </w:rPr>
        <w:t xml:space="preserve">, se tiene que unilateralmente trastocó la calidad de tenedor que inicialmente tenía para considerarse poseedor del bien, ejerciendo actos de señor y dueño, porque hizo mejoras necesarias y útiles con su propio peculio separado de la participación de los propietarios; claramente alega la </w:t>
      </w:r>
      <w:proofErr w:type="spellStart"/>
      <w:r w:rsidRPr="00DB0209">
        <w:rPr>
          <w:rFonts w:ascii="Calibri" w:eastAsia="Calibri" w:hAnsi="Calibri" w:cs="Calibri"/>
          <w:color w:val="222222"/>
          <w:sz w:val="18"/>
          <w:szCs w:val="18"/>
          <w:lang w:eastAsia="fr-FR"/>
        </w:rPr>
        <w:t>interversión</w:t>
      </w:r>
      <w:proofErr w:type="spellEnd"/>
      <w:r w:rsidRPr="00DB0209">
        <w:rPr>
          <w:rFonts w:ascii="Calibri" w:eastAsia="Calibri" w:hAnsi="Calibri" w:cs="Calibri"/>
          <w:color w:val="222222"/>
          <w:sz w:val="18"/>
          <w:szCs w:val="18"/>
          <w:lang w:eastAsia="fr-FR"/>
        </w:rPr>
        <w:t xml:space="preserve"> del título de mera tenencia al de poseedor, en manifiesta sublevación al mandato original de los ejecutados. Así las cosas, la resistencia a la cautela se hace por quien no tiene un interés ajeno a la pretensión ejecutiva de pago con el bien hipotecado, toda vez que siempre tuvo conocimiento de la existencia del gravamen, inclusive, con anterioridad a considerarse su poseedor; el origen de los derechos alegados deriva del mandato dado por los ejecutados frente al que el actor se rebeló.</w:t>
      </w:r>
    </w:p>
    <w:p w:rsidR="00FE5476" w:rsidRPr="00490B75" w:rsidRDefault="00FE5476" w:rsidP="006A381D">
      <w:pPr>
        <w:pStyle w:val="Sansinterligne"/>
        <w:tabs>
          <w:tab w:val="left" w:pos="3579"/>
        </w:tabs>
        <w:spacing w:line="360" w:lineRule="auto"/>
        <w:ind w:left="5664" w:hanging="5664"/>
        <w:jc w:val="center"/>
        <w:rPr>
          <w:rFonts w:ascii="Georgia" w:hAnsi="Georgia" w:cs="Arial"/>
          <w:w w:val="140"/>
          <w:sz w:val="14"/>
          <w:lang w:val="es-CO"/>
        </w:rPr>
      </w:pPr>
      <w:r w:rsidRPr="00490B75">
        <w:rPr>
          <w:rFonts w:ascii="Georgia" w:hAnsi="Georgia" w:cs="Arial"/>
          <w:noProof/>
          <w:lang w:val="fr-FR" w:eastAsia="fr-FR"/>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490B75"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1C4912" w:rsidRPr="00490B75" w:rsidRDefault="001C4912" w:rsidP="001C4912">
      <w:pPr>
        <w:pStyle w:val="Sansinterligne"/>
        <w:tabs>
          <w:tab w:val="left" w:pos="3579"/>
        </w:tabs>
        <w:spacing w:line="360" w:lineRule="auto"/>
        <w:rPr>
          <w:rFonts w:ascii="Georgia" w:hAnsi="Georgia" w:cs="Arial"/>
          <w:w w:val="140"/>
          <w:sz w:val="14"/>
          <w:lang w:val="es-CO"/>
        </w:rPr>
      </w:pPr>
    </w:p>
    <w:p w:rsidR="00FE5476" w:rsidRPr="00490B75" w:rsidRDefault="00FE5476" w:rsidP="001C4912">
      <w:pPr>
        <w:pStyle w:val="Sansinterligne"/>
        <w:tabs>
          <w:tab w:val="left" w:pos="3579"/>
        </w:tabs>
        <w:spacing w:line="360" w:lineRule="auto"/>
        <w:jc w:val="center"/>
        <w:rPr>
          <w:rFonts w:ascii="Georgia" w:hAnsi="Georgia" w:cs="Arial"/>
          <w:w w:val="140"/>
          <w:sz w:val="14"/>
          <w:lang w:val="es-CO"/>
        </w:rPr>
      </w:pPr>
      <w:r w:rsidRPr="00490B75">
        <w:rPr>
          <w:rFonts w:ascii="Georgia" w:hAnsi="Georgia" w:cs="Arial"/>
          <w:w w:val="140"/>
          <w:sz w:val="14"/>
          <w:lang w:val="es-CO"/>
        </w:rPr>
        <w:t>REPUBLICA DE COLOMBIA</w:t>
      </w:r>
    </w:p>
    <w:p w:rsidR="00FE5476" w:rsidRPr="00490B75" w:rsidRDefault="00FE5476" w:rsidP="00FE5476">
      <w:pPr>
        <w:pStyle w:val="Sansinterligne"/>
        <w:tabs>
          <w:tab w:val="center" w:pos="4987"/>
          <w:tab w:val="left" w:pos="8449"/>
        </w:tabs>
        <w:spacing w:line="360" w:lineRule="auto"/>
        <w:jc w:val="center"/>
        <w:rPr>
          <w:rFonts w:ascii="Georgia" w:hAnsi="Georgia" w:cs="Arial"/>
          <w:w w:val="140"/>
          <w:lang w:val="es-CO"/>
        </w:rPr>
      </w:pPr>
      <w:r w:rsidRPr="00490B75">
        <w:rPr>
          <w:rFonts w:ascii="Georgia" w:hAnsi="Georgia" w:cs="Arial"/>
          <w:w w:val="140"/>
          <w:sz w:val="14"/>
          <w:lang w:val="es-CO"/>
        </w:rPr>
        <w:t>RAMA JUDICIAL DEL PODER PÚBLICO</w:t>
      </w:r>
    </w:p>
    <w:p w:rsidR="00FE5476" w:rsidRPr="00490B75" w:rsidRDefault="00FE5476" w:rsidP="00FE5476">
      <w:pPr>
        <w:pStyle w:val="Sansinterligne"/>
        <w:spacing w:line="360" w:lineRule="auto"/>
        <w:jc w:val="center"/>
        <w:rPr>
          <w:rFonts w:ascii="Georgia" w:hAnsi="Georgia" w:cs="Arial"/>
          <w:w w:val="140"/>
          <w:sz w:val="16"/>
          <w:lang w:val="es-CO"/>
        </w:rPr>
      </w:pPr>
      <w:r w:rsidRPr="00490B75">
        <w:rPr>
          <w:rFonts w:ascii="Georgia" w:hAnsi="Georgia" w:cs="Arial"/>
          <w:w w:val="140"/>
          <w:sz w:val="18"/>
          <w:lang w:val="es-CO"/>
        </w:rPr>
        <w:t>T</w:t>
      </w:r>
      <w:r w:rsidRPr="00490B75">
        <w:rPr>
          <w:rFonts w:ascii="Georgia" w:hAnsi="Georgia" w:cs="Arial"/>
          <w:w w:val="140"/>
          <w:sz w:val="16"/>
          <w:lang w:val="es-CO"/>
        </w:rPr>
        <w:t>RIBUNAL</w:t>
      </w:r>
      <w:r w:rsidRPr="00490B75">
        <w:rPr>
          <w:rFonts w:ascii="Georgia" w:hAnsi="Georgia" w:cs="Arial"/>
          <w:w w:val="140"/>
          <w:sz w:val="18"/>
          <w:lang w:val="es-CO"/>
        </w:rPr>
        <w:t xml:space="preserve"> S</w:t>
      </w:r>
      <w:r w:rsidRPr="00490B75">
        <w:rPr>
          <w:rFonts w:ascii="Georgia" w:hAnsi="Georgia" w:cs="Arial"/>
          <w:w w:val="140"/>
          <w:sz w:val="16"/>
          <w:lang w:val="es-CO"/>
        </w:rPr>
        <w:t xml:space="preserve">UPERIOR DEL </w:t>
      </w:r>
      <w:r w:rsidRPr="00490B75">
        <w:rPr>
          <w:rFonts w:ascii="Georgia" w:hAnsi="Georgia" w:cs="Arial"/>
          <w:w w:val="140"/>
          <w:sz w:val="18"/>
          <w:lang w:val="es-CO"/>
        </w:rPr>
        <w:t>D</w:t>
      </w:r>
      <w:r w:rsidRPr="00490B75">
        <w:rPr>
          <w:rFonts w:ascii="Georgia" w:hAnsi="Georgia" w:cs="Arial"/>
          <w:w w:val="140"/>
          <w:sz w:val="16"/>
          <w:lang w:val="es-CO"/>
        </w:rPr>
        <w:t>ISTRITO</w:t>
      </w:r>
      <w:r w:rsidRPr="00490B75">
        <w:rPr>
          <w:rFonts w:ascii="Georgia" w:hAnsi="Georgia" w:cs="Arial"/>
          <w:w w:val="140"/>
          <w:sz w:val="18"/>
          <w:lang w:val="es-CO"/>
        </w:rPr>
        <w:t xml:space="preserve"> J</w:t>
      </w:r>
      <w:r w:rsidRPr="00490B75">
        <w:rPr>
          <w:rFonts w:ascii="Georgia" w:hAnsi="Georgia" w:cs="Arial"/>
          <w:w w:val="140"/>
          <w:sz w:val="16"/>
          <w:lang w:val="es-CO"/>
        </w:rPr>
        <w:t>UDICIAL</w:t>
      </w:r>
    </w:p>
    <w:p w:rsidR="00FE5476" w:rsidRPr="00490B75" w:rsidRDefault="00FE5476" w:rsidP="00FE5476">
      <w:pPr>
        <w:pStyle w:val="Sansinterligne"/>
        <w:spacing w:line="360" w:lineRule="auto"/>
        <w:jc w:val="center"/>
        <w:rPr>
          <w:rFonts w:ascii="Georgia" w:hAnsi="Georgia" w:cs="Arial"/>
          <w:w w:val="140"/>
          <w:sz w:val="16"/>
          <w:szCs w:val="18"/>
          <w:lang w:val="es-CO"/>
        </w:rPr>
      </w:pPr>
      <w:r w:rsidRPr="00490B75">
        <w:rPr>
          <w:rFonts w:ascii="Georgia" w:hAnsi="Georgia" w:cs="Arial"/>
          <w:w w:val="140"/>
          <w:sz w:val="18"/>
          <w:szCs w:val="16"/>
        </w:rPr>
        <w:t>S</w:t>
      </w:r>
      <w:r w:rsidRPr="00490B75">
        <w:rPr>
          <w:rFonts w:ascii="Georgia" w:hAnsi="Georgia" w:cs="Arial"/>
          <w:w w:val="140"/>
          <w:sz w:val="16"/>
          <w:szCs w:val="14"/>
        </w:rPr>
        <w:t xml:space="preserve">ALA </w:t>
      </w:r>
      <w:r w:rsidRPr="00490B75">
        <w:rPr>
          <w:rFonts w:ascii="Georgia" w:hAnsi="Georgia" w:cs="Arial"/>
          <w:w w:val="140"/>
          <w:sz w:val="18"/>
          <w:szCs w:val="18"/>
        </w:rPr>
        <w:t>U</w:t>
      </w:r>
      <w:r w:rsidRPr="00490B75">
        <w:rPr>
          <w:rFonts w:ascii="Georgia" w:hAnsi="Georgia" w:cs="Arial"/>
          <w:w w:val="140"/>
          <w:sz w:val="16"/>
          <w:szCs w:val="16"/>
        </w:rPr>
        <w:t>NITARIA</w:t>
      </w:r>
      <w:r w:rsidRPr="00490B75">
        <w:rPr>
          <w:rFonts w:ascii="Georgia" w:hAnsi="Georgia" w:cs="Arial"/>
          <w:w w:val="140"/>
          <w:sz w:val="14"/>
          <w:szCs w:val="14"/>
        </w:rPr>
        <w:t xml:space="preserve"> </w:t>
      </w:r>
      <w:r w:rsidRPr="00490B75">
        <w:rPr>
          <w:rFonts w:ascii="Georgia" w:hAnsi="Georgia" w:cs="Arial"/>
          <w:w w:val="140"/>
          <w:sz w:val="18"/>
          <w:szCs w:val="16"/>
        </w:rPr>
        <w:t>C</w:t>
      </w:r>
      <w:r w:rsidRPr="00490B75">
        <w:rPr>
          <w:rFonts w:ascii="Georgia" w:hAnsi="Georgia" w:cs="Arial"/>
          <w:w w:val="140"/>
          <w:sz w:val="16"/>
          <w:szCs w:val="16"/>
        </w:rPr>
        <w:t>IVIL</w:t>
      </w:r>
      <w:r w:rsidRPr="00490B75">
        <w:rPr>
          <w:rFonts w:ascii="Georgia" w:hAnsi="Georgia" w:cs="Arial"/>
          <w:w w:val="140"/>
          <w:sz w:val="14"/>
          <w:szCs w:val="14"/>
        </w:rPr>
        <w:t xml:space="preserve">– </w:t>
      </w:r>
      <w:r w:rsidRPr="00490B75">
        <w:rPr>
          <w:rFonts w:ascii="Georgia" w:hAnsi="Georgia" w:cs="Arial"/>
          <w:w w:val="140"/>
          <w:sz w:val="18"/>
          <w:szCs w:val="16"/>
        </w:rPr>
        <w:t>F</w:t>
      </w:r>
      <w:r w:rsidRPr="00490B75">
        <w:rPr>
          <w:rFonts w:ascii="Georgia" w:hAnsi="Georgia" w:cs="Arial"/>
          <w:w w:val="140"/>
          <w:sz w:val="16"/>
          <w:szCs w:val="16"/>
        </w:rPr>
        <w:t xml:space="preserve">AMILIA – </w:t>
      </w:r>
      <w:r w:rsidRPr="00490B75">
        <w:rPr>
          <w:rFonts w:ascii="Georgia" w:hAnsi="Georgia" w:cs="Arial"/>
          <w:w w:val="140"/>
          <w:sz w:val="18"/>
          <w:szCs w:val="16"/>
        </w:rPr>
        <w:t>D</w:t>
      </w:r>
      <w:r w:rsidRPr="00490B75">
        <w:rPr>
          <w:rFonts w:ascii="Georgia" w:hAnsi="Georgia" w:cs="Arial"/>
          <w:w w:val="140"/>
          <w:sz w:val="16"/>
          <w:szCs w:val="16"/>
        </w:rPr>
        <w:t xml:space="preserve">ISTRITO DE </w:t>
      </w:r>
      <w:r w:rsidRPr="00490B75">
        <w:rPr>
          <w:rFonts w:ascii="Georgia" w:hAnsi="Georgia" w:cs="Arial"/>
          <w:w w:val="140"/>
          <w:sz w:val="18"/>
          <w:szCs w:val="16"/>
        </w:rPr>
        <w:t>P</w:t>
      </w:r>
      <w:r w:rsidRPr="00490B75">
        <w:rPr>
          <w:rFonts w:ascii="Georgia" w:hAnsi="Georgia" w:cs="Arial"/>
          <w:w w:val="140"/>
          <w:sz w:val="16"/>
          <w:szCs w:val="16"/>
        </w:rPr>
        <w:t>EREIRA</w:t>
      </w:r>
    </w:p>
    <w:p w:rsidR="00AC5058" w:rsidRPr="00490B75" w:rsidRDefault="00AC5058" w:rsidP="00FE5476">
      <w:pPr>
        <w:pStyle w:val="Sansinterligne"/>
        <w:spacing w:line="360" w:lineRule="auto"/>
        <w:jc w:val="center"/>
        <w:rPr>
          <w:rFonts w:ascii="Georgia" w:hAnsi="Georgia" w:cs="Arial"/>
          <w:w w:val="140"/>
          <w:sz w:val="16"/>
          <w:szCs w:val="16"/>
          <w:lang w:val="es-CO"/>
        </w:rPr>
      </w:pPr>
      <w:r w:rsidRPr="00490B75">
        <w:rPr>
          <w:rFonts w:ascii="Georgia" w:hAnsi="Georgia" w:cs="Arial"/>
          <w:w w:val="140"/>
          <w:sz w:val="16"/>
          <w:szCs w:val="18"/>
        </w:rPr>
        <w:t>D</w:t>
      </w:r>
      <w:r w:rsidR="00B30904" w:rsidRPr="00490B75">
        <w:rPr>
          <w:rFonts w:ascii="Georgia" w:hAnsi="Georgia" w:cs="Arial"/>
          <w:w w:val="140"/>
          <w:sz w:val="16"/>
          <w:szCs w:val="18"/>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P</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R</w:t>
      </w:r>
      <w:r w:rsidR="00B30904" w:rsidRPr="00490B75">
        <w:rPr>
          <w:rFonts w:ascii="Georgia" w:hAnsi="Georgia" w:cs="Arial"/>
          <w:w w:val="140"/>
          <w:sz w:val="14"/>
          <w:szCs w:val="16"/>
        </w:rPr>
        <w:t xml:space="preserve"> </w:t>
      </w:r>
      <w:r w:rsidRPr="00490B75">
        <w:rPr>
          <w:rFonts w:ascii="Georgia" w:hAnsi="Georgia" w:cs="Arial"/>
          <w:w w:val="140"/>
          <w:sz w:val="14"/>
          <w:szCs w:val="16"/>
        </w:rPr>
        <w:t>T</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82EA3" w:rsidRPr="00490B75">
        <w:rPr>
          <w:rFonts w:ascii="Georgia" w:hAnsi="Georgia" w:cs="Arial"/>
          <w:w w:val="140"/>
          <w:sz w:val="14"/>
          <w:szCs w:val="16"/>
        </w:rPr>
        <w:t xml:space="preserve"> </w:t>
      </w:r>
      <w:r w:rsidRPr="00490B75">
        <w:rPr>
          <w:rFonts w:ascii="Georgia" w:hAnsi="Georgia" w:cs="Arial"/>
          <w:w w:val="140"/>
          <w:sz w:val="14"/>
          <w:szCs w:val="16"/>
        </w:rPr>
        <w:t>M</w:t>
      </w:r>
      <w:r w:rsidR="00B30904" w:rsidRPr="00490B75">
        <w:rPr>
          <w:rFonts w:ascii="Georgia" w:hAnsi="Georgia" w:cs="Arial"/>
          <w:w w:val="140"/>
          <w:sz w:val="14"/>
          <w:szCs w:val="16"/>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N</w:t>
      </w:r>
      <w:r w:rsidR="00B30904" w:rsidRPr="00490B75">
        <w:rPr>
          <w:rFonts w:ascii="Georgia" w:hAnsi="Georgia" w:cs="Arial"/>
          <w:w w:val="140"/>
          <w:sz w:val="14"/>
          <w:szCs w:val="16"/>
        </w:rPr>
        <w:t xml:space="preserve"> </w:t>
      </w:r>
      <w:r w:rsidRPr="00490B75">
        <w:rPr>
          <w:rFonts w:ascii="Georgia" w:hAnsi="Georgia" w:cs="Arial"/>
          <w:w w:val="140"/>
          <w:sz w:val="14"/>
          <w:szCs w:val="16"/>
        </w:rPr>
        <w:t>T</w:t>
      </w:r>
      <w:r w:rsidR="00B30904" w:rsidRPr="00490B75">
        <w:rPr>
          <w:rFonts w:ascii="Georgia" w:hAnsi="Georgia" w:cs="Arial"/>
          <w:w w:val="140"/>
          <w:sz w:val="14"/>
          <w:szCs w:val="16"/>
        </w:rPr>
        <w:t xml:space="preserve"> </w:t>
      </w:r>
      <w:r w:rsidRPr="00490B75">
        <w:rPr>
          <w:rFonts w:ascii="Georgia" w:hAnsi="Georgia" w:cs="Arial"/>
          <w:w w:val="140"/>
          <w:sz w:val="14"/>
          <w:szCs w:val="16"/>
        </w:rPr>
        <w:t xml:space="preserve">O </w:t>
      </w:r>
      <w:r w:rsidR="00B30904" w:rsidRPr="00490B75">
        <w:rPr>
          <w:rFonts w:ascii="Georgia" w:hAnsi="Georgia" w:cs="Arial"/>
          <w:w w:val="140"/>
          <w:sz w:val="14"/>
          <w:szCs w:val="16"/>
        </w:rPr>
        <w:t xml:space="preserve">  </w:t>
      </w:r>
      <w:r w:rsidRPr="00490B75">
        <w:rPr>
          <w:rFonts w:ascii="Georgia" w:hAnsi="Georgia" w:cs="Arial"/>
          <w:w w:val="140"/>
          <w:sz w:val="14"/>
          <w:szCs w:val="16"/>
        </w:rPr>
        <w:t>D</w:t>
      </w:r>
      <w:r w:rsidR="00B30904" w:rsidRPr="00490B75">
        <w:rPr>
          <w:rFonts w:ascii="Georgia" w:hAnsi="Georgia" w:cs="Arial"/>
          <w:w w:val="140"/>
          <w:sz w:val="14"/>
          <w:szCs w:val="16"/>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L</w:t>
      </w:r>
      <w:r w:rsidR="00B30904" w:rsidRPr="00490B75">
        <w:rPr>
          <w:rFonts w:ascii="Georgia" w:hAnsi="Georgia" w:cs="Arial"/>
          <w:w w:val="140"/>
          <w:sz w:val="14"/>
          <w:szCs w:val="16"/>
        </w:rPr>
        <w:t xml:space="preserve"> </w:t>
      </w:r>
      <w:r w:rsidRPr="00490B75">
        <w:rPr>
          <w:rFonts w:ascii="Georgia" w:hAnsi="Georgia" w:cs="Arial"/>
          <w:w w:val="140"/>
          <w:sz w:val="12"/>
          <w:szCs w:val="14"/>
        </w:rPr>
        <w:t xml:space="preserve"> </w:t>
      </w:r>
      <w:r w:rsidR="00B30904" w:rsidRPr="00490B75">
        <w:rPr>
          <w:rFonts w:ascii="Georgia" w:hAnsi="Georgia" w:cs="Arial"/>
          <w:w w:val="140"/>
          <w:sz w:val="12"/>
          <w:szCs w:val="14"/>
        </w:rPr>
        <w:t xml:space="preserve">  </w:t>
      </w:r>
      <w:r w:rsidRPr="00490B75">
        <w:rPr>
          <w:rFonts w:ascii="Georgia" w:hAnsi="Georgia" w:cs="Arial"/>
          <w:w w:val="140"/>
          <w:sz w:val="16"/>
          <w:szCs w:val="16"/>
        </w:rPr>
        <w:t>R</w:t>
      </w:r>
      <w:r w:rsidR="00B30904" w:rsidRPr="00490B75">
        <w:rPr>
          <w:rFonts w:ascii="Georgia" w:hAnsi="Georgia" w:cs="Arial"/>
          <w:w w:val="140"/>
          <w:sz w:val="16"/>
          <w:szCs w:val="16"/>
        </w:rPr>
        <w:t xml:space="preserve"> </w:t>
      </w:r>
      <w:r w:rsidRPr="00490B75">
        <w:rPr>
          <w:rFonts w:ascii="Georgia" w:hAnsi="Georgia" w:cs="Arial"/>
          <w:w w:val="140"/>
          <w:sz w:val="14"/>
          <w:szCs w:val="16"/>
        </w:rPr>
        <w:t>I</w:t>
      </w:r>
      <w:r w:rsidR="00B30904" w:rsidRPr="00490B75">
        <w:rPr>
          <w:rFonts w:ascii="Georgia" w:hAnsi="Georgia" w:cs="Arial"/>
          <w:w w:val="140"/>
          <w:sz w:val="14"/>
          <w:szCs w:val="16"/>
        </w:rPr>
        <w:t xml:space="preserve"> </w:t>
      </w:r>
      <w:r w:rsidRPr="00490B75">
        <w:rPr>
          <w:rFonts w:ascii="Georgia" w:hAnsi="Georgia" w:cs="Arial"/>
          <w:w w:val="140"/>
          <w:sz w:val="14"/>
          <w:szCs w:val="16"/>
        </w:rPr>
        <w:t>S</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R</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L</w:t>
      </w:r>
      <w:r w:rsidR="00B30904" w:rsidRPr="00490B75">
        <w:rPr>
          <w:rFonts w:ascii="Georgia" w:hAnsi="Georgia" w:cs="Arial"/>
          <w:w w:val="140"/>
          <w:sz w:val="14"/>
          <w:szCs w:val="16"/>
        </w:rPr>
        <w:t xml:space="preserve"> </w:t>
      </w:r>
      <w:r w:rsidRPr="00490B75">
        <w:rPr>
          <w:rFonts w:ascii="Georgia" w:hAnsi="Georgia" w:cs="Arial"/>
          <w:w w:val="140"/>
          <w:sz w:val="14"/>
          <w:szCs w:val="16"/>
        </w:rPr>
        <w:t>D</w:t>
      </w:r>
      <w:r w:rsidR="00B30904" w:rsidRPr="00490B75">
        <w:rPr>
          <w:rFonts w:ascii="Georgia" w:hAnsi="Georgia" w:cs="Arial"/>
          <w:w w:val="140"/>
          <w:sz w:val="14"/>
          <w:szCs w:val="16"/>
        </w:rPr>
        <w:t xml:space="preserve"> </w:t>
      </w:r>
      <w:r w:rsidRPr="00490B75">
        <w:rPr>
          <w:rFonts w:ascii="Georgia" w:hAnsi="Georgia" w:cs="Arial"/>
          <w:w w:val="140"/>
          <w:sz w:val="14"/>
          <w:szCs w:val="16"/>
        </w:rPr>
        <w:t>A</w:t>
      </w:r>
    </w:p>
    <w:p w:rsidR="00AC5058" w:rsidRPr="00490B75" w:rsidRDefault="00AC5058" w:rsidP="00AC5058">
      <w:pPr>
        <w:spacing w:line="360" w:lineRule="auto"/>
        <w:jc w:val="center"/>
        <w:rPr>
          <w:rFonts w:ascii="Georgia" w:hAnsi="Georgia" w:cs="Arial"/>
          <w:b/>
          <w:bCs/>
          <w:sz w:val="22"/>
          <w:szCs w:val="22"/>
        </w:rPr>
      </w:pPr>
    </w:p>
    <w:p w:rsidR="00AC5058" w:rsidRPr="00490B75" w:rsidRDefault="00AC5058" w:rsidP="00FE5476">
      <w:pPr>
        <w:pStyle w:val="Corpsdetexte"/>
        <w:spacing w:line="360" w:lineRule="auto"/>
        <w:ind w:left="708" w:firstLine="708"/>
        <w:rPr>
          <w:rFonts w:ascii="Georgia" w:hAnsi="Georgia" w:cs="Arial"/>
          <w:szCs w:val="22"/>
        </w:rPr>
      </w:pPr>
      <w:r w:rsidRPr="00490B75">
        <w:rPr>
          <w:rFonts w:ascii="Georgia" w:hAnsi="Georgia" w:cs="Arial"/>
          <w:szCs w:val="22"/>
        </w:rPr>
        <w:t>Asunto</w:t>
      </w:r>
      <w:r w:rsidRPr="00490B75">
        <w:rPr>
          <w:rFonts w:ascii="Georgia" w:hAnsi="Georgia" w:cs="Arial"/>
          <w:szCs w:val="22"/>
        </w:rPr>
        <w:tab/>
      </w:r>
      <w:r w:rsidR="00AF5080" w:rsidRPr="00490B75">
        <w:rPr>
          <w:rFonts w:ascii="Georgia" w:hAnsi="Georgia" w:cs="Arial"/>
          <w:szCs w:val="22"/>
        </w:rPr>
        <w:tab/>
      </w:r>
      <w:r w:rsidRPr="00490B75">
        <w:rPr>
          <w:rFonts w:ascii="Georgia" w:hAnsi="Georgia" w:cs="Arial"/>
          <w:szCs w:val="22"/>
        </w:rPr>
        <w:tab/>
      </w:r>
      <w:r w:rsidRPr="00490B75">
        <w:rPr>
          <w:rFonts w:ascii="Georgia" w:hAnsi="Georgia" w:cs="Arial"/>
          <w:szCs w:val="22"/>
        </w:rPr>
        <w:tab/>
        <w:t xml:space="preserve">: </w:t>
      </w:r>
      <w:r w:rsidR="00714652" w:rsidRPr="00490B75">
        <w:rPr>
          <w:rFonts w:ascii="Georgia" w:hAnsi="Georgia" w:cs="Arial"/>
          <w:szCs w:val="22"/>
        </w:rPr>
        <w:t>A</w:t>
      </w:r>
      <w:r w:rsidR="00B506FA" w:rsidRPr="00490B75">
        <w:rPr>
          <w:rFonts w:ascii="Georgia" w:hAnsi="Georgia" w:cs="Arial"/>
          <w:szCs w:val="22"/>
        </w:rPr>
        <w:t xml:space="preserve">pelación </w:t>
      </w:r>
      <w:r w:rsidR="00714652" w:rsidRPr="00490B75">
        <w:rPr>
          <w:rFonts w:ascii="Georgia" w:hAnsi="Georgia" w:cs="Arial"/>
          <w:szCs w:val="22"/>
        </w:rPr>
        <w:t xml:space="preserve">de </w:t>
      </w:r>
      <w:r w:rsidR="007D3015" w:rsidRPr="00490B75">
        <w:rPr>
          <w:rFonts w:ascii="Georgia" w:hAnsi="Georgia" w:cs="Arial"/>
          <w:szCs w:val="22"/>
        </w:rPr>
        <w:t xml:space="preserve">auto </w:t>
      </w:r>
    </w:p>
    <w:p w:rsidR="00D811AA" w:rsidRPr="00490B75" w:rsidRDefault="00D811AA" w:rsidP="00FE5476">
      <w:pPr>
        <w:pStyle w:val="Corpsdetexte"/>
        <w:spacing w:line="360" w:lineRule="auto"/>
        <w:ind w:left="708"/>
        <w:rPr>
          <w:rFonts w:ascii="Georgia" w:hAnsi="Georgia" w:cs="Arial"/>
          <w:szCs w:val="22"/>
        </w:rPr>
      </w:pPr>
      <w:r w:rsidRPr="00490B75">
        <w:rPr>
          <w:rFonts w:ascii="Georgia" w:hAnsi="Georgia" w:cs="Arial"/>
          <w:szCs w:val="22"/>
        </w:rPr>
        <w:tab/>
        <w:t>Tipo de proceso</w:t>
      </w:r>
      <w:r w:rsidRPr="00490B75">
        <w:rPr>
          <w:rFonts w:ascii="Georgia" w:hAnsi="Georgia" w:cs="Arial"/>
          <w:szCs w:val="22"/>
        </w:rPr>
        <w:tab/>
      </w:r>
      <w:r w:rsidRPr="00490B75">
        <w:rPr>
          <w:rFonts w:ascii="Georgia" w:hAnsi="Georgia" w:cs="Arial"/>
          <w:szCs w:val="22"/>
        </w:rPr>
        <w:tab/>
        <w:t xml:space="preserve">: </w:t>
      </w:r>
      <w:r w:rsidR="004D67F0" w:rsidRPr="00490B75">
        <w:rPr>
          <w:rFonts w:ascii="Georgia" w:hAnsi="Georgia" w:cs="Arial"/>
          <w:szCs w:val="22"/>
        </w:rPr>
        <w:t>Ejecutivo con garantía real - Hipotecario</w:t>
      </w:r>
    </w:p>
    <w:p w:rsidR="00D811AA" w:rsidRPr="00490B75" w:rsidRDefault="00D811AA" w:rsidP="00FE5476">
      <w:pPr>
        <w:pStyle w:val="Corpsdetexte"/>
        <w:spacing w:line="360" w:lineRule="auto"/>
        <w:ind w:left="708"/>
        <w:rPr>
          <w:rFonts w:ascii="Georgia" w:hAnsi="Georgia" w:cs="Arial"/>
          <w:szCs w:val="22"/>
          <w:lang w:val="es-CO"/>
        </w:rPr>
      </w:pPr>
      <w:r w:rsidRPr="00490B75">
        <w:rPr>
          <w:rFonts w:ascii="Georgia" w:hAnsi="Georgia" w:cs="Arial"/>
          <w:szCs w:val="22"/>
        </w:rPr>
        <w:tab/>
      </w:r>
      <w:r w:rsidR="004D67F0" w:rsidRPr="00490B75">
        <w:rPr>
          <w:rFonts w:ascii="Georgia" w:hAnsi="Georgia" w:cs="Arial"/>
          <w:szCs w:val="22"/>
        </w:rPr>
        <w:t xml:space="preserve">Ejecutante </w:t>
      </w:r>
      <w:r w:rsidR="00331DEB" w:rsidRPr="00490B75">
        <w:rPr>
          <w:rFonts w:ascii="Georgia" w:hAnsi="Georgia" w:cs="Arial"/>
          <w:szCs w:val="22"/>
        </w:rPr>
        <w:t xml:space="preserve"> </w:t>
      </w:r>
      <w:r w:rsidR="00C31D80" w:rsidRPr="00490B75">
        <w:rPr>
          <w:rFonts w:ascii="Georgia" w:hAnsi="Georgia" w:cs="Arial"/>
          <w:szCs w:val="22"/>
        </w:rPr>
        <w:t xml:space="preserve"> </w:t>
      </w:r>
      <w:r w:rsidRPr="00490B75">
        <w:rPr>
          <w:rFonts w:ascii="Georgia" w:hAnsi="Georgia" w:cs="Arial"/>
          <w:szCs w:val="22"/>
        </w:rPr>
        <w:tab/>
      </w:r>
      <w:r w:rsidRPr="00490B75">
        <w:rPr>
          <w:rFonts w:ascii="Georgia" w:hAnsi="Georgia" w:cs="Arial"/>
          <w:szCs w:val="22"/>
        </w:rPr>
        <w:tab/>
      </w:r>
      <w:r w:rsidRPr="00490B75">
        <w:rPr>
          <w:rFonts w:ascii="Georgia" w:hAnsi="Georgia" w:cs="Arial"/>
          <w:szCs w:val="22"/>
        </w:rPr>
        <w:tab/>
        <w:t xml:space="preserve">: </w:t>
      </w:r>
      <w:proofErr w:type="spellStart"/>
      <w:r w:rsidR="004D67F0" w:rsidRPr="00490B75">
        <w:rPr>
          <w:rFonts w:ascii="Georgia" w:hAnsi="Georgia" w:cs="Arial"/>
          <w:szCs w:val="22"/>
        </w:rPr>
        <w:t>Mortgage</w:t>
      </w:r>
      <w:proofErr w:type="spellEnd"/>
      <w:r w:rsidR="004D67F0" w:rsidRPr="00490B75">
        <w:rPr>
          <w:rFonts w:ascii="Georgia" w:hAnsi="Georgia" w:cs="Arial"/>
          <w:szCs w:val="22"/>
        </w:rPr>
        <w:t xml:space="preserve"> International </w:t>
      </w:r>
      <w:proofErr w:type="spellStart"/>
      <w:r w:rsidR="004D67F0" w:rsidRPr="00490B75">
        <w:rPr>
          <w:rFonts w:ascii="Georgia" w:hAnsi="Georgia" w:cs="Arial"/>
          <w:szCs w:val="22"/>
        </w:rPr>
        <w:t>Corporation</w:t>
      </w:r>
      <w:proofErr w:type="spellEnd"/>
      <w:r w:rsidR="004D67F0" w:rsidRPr="00490B75">
        <w:rPr>
          <w:rFonts w:ascii="Georgia" w:hAnsi="Georgia" w:cs="Arial"/>
          <w:szCs w:val="22"/>
        </w:rPr>
        <w:t xml:space="preserve"> </w:t>
      </w:r>
      <w:proofErr w:type="spellStart"/>
      <w:r w:rsidR="004D67F0" w:rsidRPr="00490B75">
        <w:rPr>
          <w:rFonts w:ascii="Georgia" w:hAnsi="Georgia" w:cs="Arial"/>
          <w:szCs w:val="22"/>
        </w:rPr>
        <w:t>SA</w:t>
      </w:r>
      <w:proofErr w:type="spellEnd"/>
      <w:r w:rsidR="004D67F0" w:rsidRPr="00490B75">
        <w:rPr>
          <w:rFonts w:ascii="Georgia" w:hAnsi="Georgia" w:cs="Arial"/>
          <w:szCs w:val="22"/>
        </w:rPr>
        <w:t xml:space="preserve"> </w:t>
      </w:r>
    </w:p>
    <w:p w:rsidR="00D811AA" w:rsidRPr="00490B75" w:rsidRDefault="004D67F0" w:rsidP="00FE5476">
      <w:pPr>
        <w:spacing w:line="360" w:lineRule="auto"/>
        <w:ind w:left="708" w:firstLine="708"/>
        <w:rPr>
          <w:rFonts w:ascii="Georgia" w:hAnsi="Georgia" w:cs="Arial"/>
          <w:sz w:val="18"/>
          <w:szCs w:val="18"/>
        </w:rPr>
      </w:pPr>
      <w:r w:rsidRPr="00490B75">
        <w:rPr>
          <w:rFonts w:ascii="Georgia" w:hAnsi="Georgia" w:cs="Arial"/>
          <w:sz w:val="22"/>
          <w:szCs w:val="22"/>
        </w:rPr>
        <w:t xml:space="preserve">Ejecutado (s) </w:t>
      </w:r>
      <w:r w:rsidR="00C31D80" w:rsidRPr="00490B75">
        <w:rPr>
          <w:rFonts w:ascii="Georgia" w:hAnsi="Georgia" w:cs="Arial"/>
          <w:sz w:val="22"/>
          <w:szCs w:val="22"/>
        </w:rPr>
        <w:tab/>
      </w:r>
      <w:r w:rsidR="00BC78BB" w:rsidRPr="00490B75">
        <w:rPr>
          <w:rFonts w:ascii="Georgia" w:hAnsi="Georgia" w:cs="Arial"/>
          <w:sz w:val="22"/>
          <w:szCs w:val="22"/>
        </w:rPr>
        <w:t xml:space="preserve"> </w:t>
      </w:r>
      <w:r w:rsidR="00D811AA" w:rsidRPr="00490B75">
        <w:rPr>
          <w:rFonts w:ascii="Georgia" w:hAnsi="Georgia" w:cs="Arial"/>
          <w:sz w:val="22"/>
          <w:szCs w:val="22"/>
        </w:rPr>
        <w:tab/>
      </w:r>
      <w:r w:rsidR="00D811AA" w:rsidRPr="00490B75">
        <w:rPr>
          <w:rFonts w:ascii="Georgia" w:hAnsi="Georgia" w:cs="Arial"/>
          <w:sz w:val="22"/>
          <w:szCs w:val="22"/>
        </w:rPr>
        <w:tab/>
        <w:t>:</w:t>
      </w:r>
      <w:r w:rsidR="0096227D" w:rsidRPr="00490B75">
        <w:rPr>
          <w:rFonts w:ascii="Georgia" w:hAnsi="Georgia" w:cs="Arial"/>
          <w:sz w:val="22"/>
          <w:szCs w:val="22"/>
        </w:rPr>
        <w:t xml:space="preserve"> </w:t>
      </w:r>
      <w:r w:rsidRPr="00490B75">
        <w:rPr>
          <w:rFonts w:ascii="Georgia" w:hAnsi="Georgia" w:cs="Arial"/>
          <w:sz w:val="22"/>
          <w:szCs w:val="22"/>
        </w:rPr>
        <w:t>Luz Patricia Gómez Echeverry y otro</w:t>
      </w:r>
    </w:p>
    <w:p w:rsidR="00D811AA" w:rsidRPr="00490B75" w:rsidRDefault="00D811AA" w:rsidP="00FE5476">
      <w:pPr>
        <w:spacing w:line="360" w:lineRule="auto"/>
        <w:ind w:left="708" w:firstLine="708"/>
        <w:rPr>
          <w:rFonts w:ascii="Georgia" w:hAnsi="Georgia" w:cs="Arial"/>
          <w:sz w:val="22"/>
          <w:szCs w:val="22"/>
        </w:rPr>
      </w:pPr>
      <w:r w:rsidRPr="00490B75">
        <w:rPr>
          <w:rFonts w:ascii="Georgia" w:hAnsi="Georgia" w:cs="Arial"/>
          <w:sz w:val="22"/>
          <w:szCs w:val="22"/>
        </w:rPr>
        <w:t xml:space="preserve">Procedencia </w:t>
      </w:r>
      <w:r w:rsidRPr="00490B75">
        <w:rPr>
          <w:rFonts w:ascii="Georgia" w:hAnsi="Georgia" w:cs="Arial"/>
          <w:sz w:val="22"/>
          <w:szCs w:val="22"/>
        </w:rPr>
        <w:tab/>
      </w:r>
      <w:r w:rsidRPr="00490B75">
        <w:rPr>
          <w:rFonts w:ascii="Georgia" w:hAnsi="Georgia" w:cs="Arial"/>
          <w:sz w:val="22"/>
          <w:szCs w:val="22"/>
        </w:rPr>
        <w:tab/>
      </w:r>
      <w:r w:rsidRPr="00490B75">
        <w:rPr>
          <w:rFonts w:ascii="Georgia" w:hAnsi="Georgia" w:cs="Arial"/>
          <w:sz w:val="22"/>
          <w:szCs w:val="22"/>
        </w:rPr>
        <w:tab/>
        <w:t xml:space="preserve">: </w:t>
      </w:r>
      <w:r w:rsidR="004D67F0" w:rsidRPr="00490B75">
        <w:rPr>
          <w:rFonts w:ascii="Georgia" w:hAnsi="Georgia" w:cs="Arial"/>
          <w:sz w:val="22"/>
          <w:szCs w:val="22"/>
        </w:rPr>
        <w:t>Juzgado Quinto Civil del Circuito de Pereira</w:t>
      </w:r>
    </w:p>
    <w:p w:rsidR="00D811AA" w:rsidRPr="00490B75" w:rsidRDefault="00D811AA" w:rsidP="00FE5476">
      <w:pPr>
        <w:spacing w:line="360" w:lineRule="auto"/>
        <w:ind w:left="708" w:firstLine="708"/>
        <w:rPr>
          <w:rFonts w:ascii="Georgia" w:hAnsi="Georgia" w:cs="Arial"/>
          <w:sz w:val="22"/>
          <w:szCs w:val="22"/>
        </w:rPr>
      </w:pPr>
      <w:r w:rsidRPr="00490B75">
        <w:rPr>
          <w:rFonts w:ascii="Georgia" w:hAnsi="Georgia" w:cs="Arial"/>
          <w:sz w:val="22"/>
          <w:szCs w:val="22"/>
        </w:rPr>
        <w:t>Radicación</w:t>
      </w:r>
      <w:r w:rsidRPr="00490B75">
        <w:rPr>
          <w:rFonts w:ascii="Georgia" w:hAnsi="Georgia" w:cs="Arial"/>
          <w:sz w:val="22"/>
          <w:szCs w:val="22"/>
        </w:rPr>
        <w:tab/>
      </w:r>
      <w:r w:rsidRPr="00490B75">
        <w:rPr>
          <w:rFonts w:ascii="Georgia" w:hAnsi="Georgia" w:cs="Arial"/>
          <w:sz w:val="22"/>
          <w:szCs w:val="22"/>
        </w:rPr>
        <w:tab/>
      </w:r>
      <w:r w:rsidRPr="00490B75">
        <w:rPr>
          <w:rFonts w:ascii="Georgia" w:hAnsi="Georgia" w:cs="Arial"/>
          <w:sz w:val="22"/>
          <w:szCs w:val="22"/>
        </w:rPr>
        <w:tab/>
        <w:t xml:space="preserve">: </w:t>
      </w:r>
      <w:r w:rsidR="004D67F0" w:rsidRPr="00490B75">
        <w:rPr>
          <w:rFonts w:ascii="Georgia" w:hAnsi="Georgia" w:cs="Arial"/>
          <w:sz w:val="22"/>
          <w:szCs w:val="22"/>
        </w:rPr>
        <w:t>2011-00381-01</w:t>
      </w:r>
    </w:p>
    <w:p w:rsidR="00AF385C" w:rsidRPr="00490B75" w:rsidRDefault="00AF5080" w:rsidP="00FE5476">
      <w:pPr>
        <w:spacing w:line="360" w:lineRule="auto"/>
        <w:ind w:left="708"/>
        <w:jc w:val="both"/>
        <w:rPr>
          <w:rFonts w:ascii="Georgia" w:hAnsi="Georgia" w:cs="Arial"/>
          <w:sz w:val="22"/>
          <w:szCs w:val="22"/>
        </w:rPr>
      </w:pPr>
      <w:r w:rsidRPr="00490B75">
        <w:rPr>
          <w:rFonts w:ascii="Georgia" w:hAnsi="Georgia" w:cs="Arial"/>
          <w:sz w:val="22"/>
          <w:szCs w:val="22"/>
        </w:rPr>
        <w:tab/>
      </w:r>
      <w:r w:rsidR="00AF385C" w:rsidRPr="00490B75">
        <w:rPr>
          <w:rFonts w:ascii="Georgia" w:hAnsi="Georgia" w:cs="Arial"/>
          <w:sz w:val="22"/>
          <w:szCs w:val="22"/>
        </w:rPr>
        <w:t>Tema</w:t>
      </w:r>
      <w:r w:rsidR="00153450" w:rsidRPr="00490B75">
        <w:rPr>
          <w:rFonts w:ascii="Georgia" w:hAnsi="Georgia" w:cs="Arial"/>
          <w:sz w:val="22"/>
          <w:szCs w:val="22"/>
        </w:rPr>
        <w:t>s</w:t>
      </w:r>
      <w:r w:rsidR="00AF385C" w:rsidRPr="00490B75">
        <w:rPr>
          <w:rFonts w:ascii="Georgia" w:hAnsi="Georgia" w:cs="Arial"/>
          <w:sz w:val="22"/>
          <w:szCs w:val="22"/>
        </w:rPr>
        <w:tab/>
      </w:r>
      <w:r w:rsidR="00AF385C" w:rsidRPr="00490B75">
        <w:rPr>
          <w:rFonts w:ascii="Georgia" w:hAnsi="Georgia" w:cs="Arial"/>
          <w:sz w:val="22"/>
          <w:szCs w:val="22"/>
        </w:rPr>
        <w:tab/>
      </w:r>
      <w:r w:rsidRPr="00490B75">
        <w:rPr>
          <w:rFonts w:ascii="Georgia" w:hAnsi="Georgia" w:cs="Arial"/>
          <w:sz w:val="22"/>
          <w:szCs w:val="22"/>
        </w:rPr>
        <w:tab/>
      </w:r>
      <w:r w:rsidR="00AF385C" w:rsidRPr="00490B75">
        <w:rPr>
          <w:rFonts w:ascii="Georgia" w:hAnsi="Georgia" w:cs="Arial"/>
          <w:sz w:val="22"/>
          <w:szCs w:val="22"/>
        </w:rPr>
        <w:tab/>
        <w:t>:</w:t>
      </w:r>
      <w:r w:rsidR="0096227D" w:rsidRPr="00490B75">
        <w:rPr>
          <w:rFonts w:ascii="Georgia" w:hAnsi="Georgia" w:cs="Arial"/>
          <w:sz w:val="22"/>
          <w:szCs w:val="22"/>
        </w:rPr>
        <w:t xml:space="preserve"> </w:t>
      </w:r>
      <w:r w:rsidR="004D67F0" w:rsidRPr="00490B75">
        <w:rPr>
          <w:rFonts w:ascii="Georgia" w:hAnsi="Georgia" w:cs="Arial"/>
          <w:sz w:val="22"/>
          <w:szCs w:val="22"/>
        </w:rPr>
        <w:t>Oposición secuestro – Tercero – Posesión</w:t>
      </w:r>
    </w:p>
    <w:p w:rsidR="00AC5058" w:rsidRPr="00490B75" w:rsidRDefault="00F30001" w:rsidP="00FE5476">
      <w:pPr>
        <w:spacing w:line="360" w:lineRule="auto"/>
        <w:ind w:left="708" w:firstLine="708"/>
        <w:rPr>
          <w:rFonts w:ascii="Georgia" w:hAnsi="Georgia" w:cs="Arial"/>
          <w:sz w:val="22"/>
          <w:szCs w:val="22"/>
        </w:rPr>
      </w:pPr>
      <w:proofErr w:type="spellStart"/>
      <w:r w:rsidRPr="00490B75">
        <w:rPr>
          <w:rFonts w:ascii="Georgia" w:hAnsi="Georgia" w:cs="Arial"/>
          <w:sz w:val="22"/>
          <w:szCs w:val="22"/>
        </w:rPr>
        <w:t>Mag</w:t>
      </w:r>
      <w:proofErr w:type="spellEnd"/>
      <w:r w:rsidRPr="00490B75">
        <w:rPr>
          <w:rFonts w:ascii="Georgia" w:hAnsi="Georgia" w:cs="Arial"/>
          <w:sz w:val="22"/>
          <w:szCs w:val="22"/>
        </w:rPr>
        <w:t>. S</w:t>
      </w:r>
      <w:r w:rsidR="00AC5058" w:rsidRPr="00490B75">
        <w:rPr>
          <w:rFonts w:ascii="Georgia" w:hAnsi="Georgia" w:cs="Arial"/>
          <w:sz w:val="22"/>
          <w:szCs w:val="22"/>
        </w:rPr>
        <w:t>ustanciador</w:t>
      </w:r>
      <w:r w:rsidR="00AC5058" w:rsidRPr="00490B75">
        <w:rPr>
          <w:rFonts w:ascii="Georgia" w:hAnsi="Georgia" w:cs="Arial"/>
          <w:sz w:val="22"/>
          <w:szCs w:val="22"/>
        </w:rPr>
        <w:tab/>
      </w:r>
      <w:r w:rsidR="00AF5080" w:rsidRPr="00490B75">
        <w:rPr>
          <w:rFonts w:ascii="Georgia" w:hAnsi="Georgia" w:cs="Arial"/>
          <w:sz w:val="22"/>
          <w:szCs w:val="22"/>
        </w:rPr>
        <w:tab/>
      </w:r>
      <w:r w:rsidR="00AC5058" w:rsidRPr="00490B75">
        <w:rPr>
          <w:rFonts w:ascii="Georgia" w:hAnsi="Georgia" w:cs="Arial"/>
          <w:sz w:val="22"/>
          <w:szCs w:val="22"/>
        </w:rPr>
        <w:t xml:space="preserve">: </w:t>
      </w:r>
      <w:proofErr w:type="spellStart"/>
      <w:r w:rsidR="00AC5058" w:rsidRPr="00490B75">
        <w:rPr>
          <w:rFonts w:ascii="Georgia" w:hAnsi="Georgia" w:cs="Arial"/>
          <w:smallCaps/>
          <w:sz w:val="22"/>
          <w:szCs w:val="22"/>
        </w:rPr>
        <w:t>Duberney</w:t>
      </w:r>
      <w:proofErr w:type="spellEnd"/>
      <w:r w:rsidR="00AC5058" w:rsidRPr="00490B75">
        <w:rPr>
          <w:rFonts w:ascii="Georgia" w:hAnsi="Georgia" w:cs="Arial"/>
          <w:smallCaps/>
          <w:sz w:val="22"/>
          <w:szCs w:val="22"/>
        </w:rPr>
        <w:t xml:space="preserve"> Grisales Herrera</w:t>
      </w:r>
    </w:p>
    <w:p w:rsidR="00AC5058" w:rsidRPr="00490B75" w:rsidRDefault="00AC5058" w:rsidP="00AC5058">
      <w:pPr>
        <w:pStyle w:val="Titre"/>
        <w:pBdr>
          <w:bottom w:val="double" w:sz="6" w:space="1" w:color="auto"/>
        </w:pBdr>
        <w:spacing w:line="360" w:lineRule="auto"/>
        <w:rPr>
          <w:rFonts w:ascii="Georgia" w:hAnsi="Georgia"/>
          <w:b w:val="0"/>
          <w:bCs w:val="0"/>
          <w:i w:val="0"/>
          <w:iCs w:val="0"/>
          <w:spacing w:val="-3"/>
        </w:rPr>
      </w:pPr>
    </w:p>
    <w:p w:rsidR="00DA52A9" w:rsidRPr="00490B75" w:rsidRDefault="00DA52A9" w:rsidP="00AC5058">
      <w:pPr>
        <w:pStyle w:val="Titre"/>
        <w:spacing w:line="360" w:lineRule="auto"/>
        <w:rPr>
          <w:rFonts w:ascii="Georgia" w:hAnsi="Georgia"/>
          <w:b w:val="0"/>
          <w:bCs w:val="0"/>
          <w:i w:val="0"/>
          <w:iCs w:val="0"/>
          <w:spacing w:val="-3"/>
        </w:rPr>
      </w:pPr>
    </w:p>
    <w:p w:rsidR="00AC5058" w:rsidRPr="00490B75" w:rsidRDefault="00715B01" w:rsidP="00BC78BB">
      <w:pPr>
        <w:pStyle w:val="Titre"/>
        <w:spacing w:line="360" w:lineRule="auto"/>
        <w:rPr>
          <w:rFonts w:ascii="Georgia" w:hAnsi="Georgia"/>
          <w:b w:val="0"/>
          <w:bCs w:val="0"/>
          <w:i w:val="0"/>
          <w:smallCaps/>
          <w:spacing w:val="-3"/>
          <w:sz w:val="28"/>
        </w:rPr>
      </w:pPr>
      <w:r w:rsidRPr="00490B75">
        <w:rPr>
          <w:rFonts w:ascii="Georgia" w:hAnsi="Georgia"/>
          <w:b w:val="0"/>
          <w:bCs w:val="0"/>
          <w:i w:val="0"/>
          <w:smallCaps/>
          <w:spacing w:val="-3"/>
          <w:sz w:val="28"/>
        </w:rPr>
        <w:t xml:space="preserve">Pereira, R., </w:t>
      </w:r>
      <w:r w:rsidR="006208D3">
        <w:rPr>
          <w:rFonts w:ascii="Georgia" w:hAnsi="Georgia"/>
          <w:b w:val="0"/>
          <w:bCs w:val="0"/>
          <w:i w:val="0"/>
          <w:smallCaps/>
          <w:spacing w:val="-3"/>
          <w:sz w:val="28"/>
        </w:rPr>
        <w:t>diecinueve</w:t>
      </w:r>
      <w:r w:rsidR="004D67F0" w:rsidRPr="00490B75">
        <w:rPr>
          <w:rFonts w:ascii="Georgia" w:hAnsi="Georgia"/>
          <w:b w:val="0"/>
          <w:bCs w:val="0"/>
          <w:i w:val="0"/>
          <w:smallCaps/>
          <w:spacing w:val="-3"/>
          <w:sz w:val="28"/>
        </w:rPr>
        <w:t xml:space="preserve"> </w:t>
      </w:r>
      <w:r w:rsidR="005C5B79" w:rsidRPr="00490B75">
        <w:rPr>
          <w:rFonts w:ascii="Georgia" w:hAnsi="Georgia"/>
          <w:b w:val="0"/>
          <w:bCs w:val="0"/>
          <w:i w:val="0"/>
          <w:smallCaps/>
          <w:spacing w:val="-3"/>
          <w:sz w:val="28"/>
        </w:rPr>
        <w:t>(</w:t>
      </w:r>
      <w:r w:rsidR="006208D3">
        <w:rPr>
          <w:rFonts w:ascii="Georgia" w:hAnsi="Georgia"/>
          <w:b w:val="0"/>
          <w:bCs w:val="0"/>
          <w:i w:val="0"/>
          <w:smallCaps/>
          <w:spacing w:val="-3"/>
          <w:sz w:val="28"/>
        </w:rPr>
        <w:t>19</w:t>
      </w:r>
      <w:r w:rsidR="0096227D" w:rsidRPr="00490B75">
        <w:rPr>
          <w:rFonts w:ascii="Georgia" w:hAnsi="Georgia"/>
          <w:b w:val="0"/>
          <w:bCs w:val="0"/>
          <w:i w:val="0"/>
          <w:smallCaps/>
          <w:spacing w:val="-3"/>
          <w:sz w:val="28"/>
        </w:rPr>
        <w:t>)</w:t>
      </w:r>
      <w:r w:rsidR="00AC5058" w:rsidRPr="00490B75">
        <w:rPr>
          <w:rFonts w:ascii="Georgia" w:hAnsi="Georgia"/>
          <w:b w:val="0"/>
          <w:bCs w:val="0"/>
          <w:i w:val="0"/>
          <w:smallCaps/>
          <w:spacing w:val="-3"/>
          <w:sz w:val="28"/>
        </w:rPr>
        <w:t xml:space="preserve"> de </w:t>
      </w:r>
      <w:r w:rsidR="004D67F0" w:rsidRPr="00490B75">
        <w:rPr>
          <w:rFonts w:ascii="Georgia" w:hAnsi="Georgia"/>
          <w:b w:val="0"/>
          <w:bCs w:val="0"/>
          <w:i w:val="0"/>
          <w:smallCaps/>
          <w:spacing w:val="-3"/>
          <w:sz w:val="28"/>
        </w:rPr>
        <w:t xml:space="preserve">septiembre </w:t>
      </w:r>
      <w:r w:rsidR="00AC5058" w:rsidRPr="00490B75">
        <w:rPr>
          <w:rFonts w:ascii="Georgia" w:hAnsi="Georgia"/>
          <w:b w:val="0"/>
          <w:bCs w:val="0"/>
          <w:i w:val="0"/>
          <w:smallCaps/>
          <w:spacing w:val="-3"/>
          <w:sz w:val="28"/>
        </w:rPr>
        <w:t xml:space="preserve">de dos mil </w:t>
      </w:r>
      <w:r w:rsidR="00BC78BB" w:rsidRPr="00490B75">
        <w:rPr>
          <w:rFonts w:ascii="Georgia" w:hAnsi="Georgia"/>
          <w:b w:val="0"/>
          <w:bCs w:val="0"/>
          <w:i w:val="0"/>
          <w:smallCaps/>
          <w:spacing w:val="-3"/>
          <w:sz w:val="28"/>
        </w:rPr>
        <w:t xml:space="preserve">diecisiete </w:t>
      </w:r>
      <w:r w:rsidR="0005630C" w:rsidRPr="00490B75">
        <w:rPr>
          <w:rFonts w:ascii="Georgia" w:hAnsi="Georgia"/>
          <w:b w:val="0"/>
          <w:bCs w:val="0"/>
          <w:i w:val="0"/>
          <w:smallCaps/>
          <w:spacing w:val="-3"/>
          <w:sz w:val="28"/>
        </w:rPr>
        <w:t>(</w:t>
      </w:r>
      <w:r w:rsidR="00BC78BB" w:rsidRPr="00490B75">
        <w:rPr>
          <w:rFonts w:ascii="Georgia" w:hAnsi="Georgia"/>
          <w:b w:val="0"/>
          <w:bCs w:val="0"/>
          <w:i w:val="0"/>
          <w:smallCaps/>
          <w:spacing w:val="-3"/>
          <w:sz w:val="28"/>
        </w:rPr>
        <w:t>2017</w:t>
      </w:r>
      <w:r w:rsidR="00AC5058" w:rsidRPr="00490B75">
        <w:rPr>
          <w:rFonts w:ascii="Georgia" w:hAnsi="Georgia"/>
          <w:b w:val="0"/>
          <w:bCs w:val="0"/>
          <w:i w:val="0"/>
          <w:smallCaps/>
          <w:spacing w:val="-3"/>
          <w:sz w:val="28"/>
        </w:rPr>
        <w:t>)</w:t>
      </w:r>
      <w:r w:rsidR="00AC5058" w:rsidRPr="00490B75">
        <w:rPr>
          <w:rFonts w:ascii="Georgia" w:hAnsi="Georgia"/>
          <w:b w:val="0"/>
          <w:bCs w:val="0"/>
          <w:i w:val="0"/>
          <w:spacing w:val="-3"/>
          <w:sz w:val="28"/>
        </w:rPr>
        <w:t>.</w:t>
      </w:r>
    </w:p>
    <w:p w:rsidR="0058642D" w:rsidRPr="00490B75" w:rsidRDefault="0058642D" w:rsidP="003C5E61">
      <w:pPr>
        <w:pStyle w:val="Sansinterligne"/>
        <w:spacing w:line="360" w:lineRule="auto"/>
        <w:rPr>
          <w:rFonts w:ascii="Georgia" w:hAnsi="Georgia" w:cs="Arial"/>
          <w:sz w:val="18"/>
        </w:rPr>
      </w:pPr>
    </w:p>
    <w:p w:rsidR="00356104" w:rsidRPr="00490B75" w:rsidRDefault="00356104" w:rsidP="00356104">
      <w:pPr>
        <w:pStyle w:val="Sansinterligne"/>
        <w:numPr>
          <w:ilvl w:val="0"/>
          <w:numId w:val="4"/>
        </w:numPr>
        <w:spacing w:line="360" w:lineRule="auto"/>
        <w:jc w:val="both"/>
        <w:rPr>
          <w:rFonts w:ascii="Georgia" w:hAnsi="Georgia" w:cs="Arial"/>
          <w:sz w:val="24"/>
        </w:rPr>
      </w:pPr>
      <w:r w:rsidRPr="00490B75">
        <w:rPr>
          <w:rFonts w:ascii="Georgia" w:hAnsi="Georgia" w:cs="Arial"/>
          <w:sz w:val="32"/>
        </w:rPr>
        <w:t>E</w:t>
      </w:r>
      <w:r w:rsidRPr="00490B75">
        <w:rPr>
          <w:rFonts w:ascii="Georgia" w:hAnsi="Georgia" w:cs="Arial"/>
          <w:sz w:val="24"/>
        </w:rPr>
        <w:t>L ASUNTO POR DECIDIR</w:t>
      </w:r>
    </w:p>
    <w:p w:rsidR="00590404" w:rsidRPr="00490B75" w:rsidRDefault="00590404" w:rsidP="004D67F0">
      <w:pPr>
        <w:pStyle w:val="Sansinterligne"/>
        <w:spacing w:line="360" w:lineRule="auto"/>
        <w:jc w:val="both"/>
        <w:rPr>
          <w:rFonts w:ascii="Georgia" w:hAnsi="Georgia" w:cs="Arial"/>
          <w:sz w:val="18"/>
          <w:szCs w:val="24"/>
        </w:rPr>
      </w:pPr>
    </w:p>
    <w:p w:rsidR="004D67F0" w:rsidRPr="00490B75" w:rsidRDefault="004D67F0" w:rsidP="004D67F0">
      <w:pPr>
        <w:pStyle w:val="Sansinterligne"/>
        <w:spacing w:line="360" w:lineRule="auto"/>
        <w:jc w:val="both"/>
        <w:rPr>
          <w:rFonts w:ascii="Georgia" w:hAnsi="Georgia" w:cs="Arial"/>
          <w:sz w:val="24"/>
          <w:szCs w:val="24"/>
        </w:rPr>
      </w:pPr>
      <w:r w:rsidRPr="00490B75">
        <w:rPr>
          <w:rFonts w:ascii="Georgia" w:hAnsi="Georgia" w:cs="Arial"/>
          <w:sz w:val="24"/>
          <w:szCs w:val="24"/>
        </w:rPr>
        <w:t xml:space="preserve">El recurso ordinario de apelación propuesto por el apoderado de la parte </w:t>
      </w:r>
      <w:proofErr w:type="spellStart"/>
      <w:r w:rsidR="00D17C18" w:rsidRPr="00490B75">
        <w:rPr>
          <w:rFonts w:ascii="Georgia" w:hAnsi="Georgia" w:cs="Arial"/>
          <w:sz w:val="24"/>
          <w:szCs w:val="24"/>
        </w:rPr>
        <w:t>incidentante</w:t>
      </w:r>
      <w:proofErr w:type="spellEnd"/>
      <w:r w:rsidRPr="00490B75">
        <w:rPr>
          <w:rFonts w:ascii="Georgia" w:hAnsi="Georgia" w:cs="Arial"/>
          <w:sz w:val="24"/>
          <w:szCs w:val="24"/>
        </w:rPr>
        <w:t>, contra la providencia datada el 09-03-2017 que denegó la oposición a la diligencia de secuestro de un inmueble aprisionado en el proceso, previas las apreciaciones jurídicas que enseguida se plantean.</w:t>
      </w:r>
    </w:p>
    <w:p w:rsidR="00356104" w:rsidRPr="00490B75" w:rsidRDefault="00356104" w:rsidP="004D67F0">
      <w:pPr>
        <w:pStyle w:val="Sansinterligne"/>
        <w:spacing w:line="360" w:lineRule="auto"/>
        <w:jc w:val="both"/>
        <w:rPr>
          <w:rFonts w:ascii="Georgia" w:hAnsi="Georgia" w:cs="Arial"/>
          <w:sz w:val="18"/>
          <w:szCs w:val="24"/>
        </w:rPr>
      </w:pPr>
    </w:p>
    <w:p w:rsidR="00356104" w:rsidRPr="00490B75" w:rsidRDefault="00356104" w:rsidP="00356104">
      <w:pPr>
        <w:pStyle w:val="Sansinterligne"/>
        <w:numPr>
          <w:ilvl w:val="0"/>
          <w:numId w:val="4"/>
        </w:numPr>
        <w:spacing w:line="360" w:lineRule="auto"/>
        <w:jc w:val="both"/>
        <w:rPr>
          <w:rFonts w:ascii="Georgia" w:hAnsi="Georgia" w:cs="Arial"/>
          <w:sz w:val="24"/>
        </w:rPr>
      </w:pPr>
      <w:r w:rsidRPr="00490B75">
        <w:rPr>
          <w:rFonts w:ascii="Georgia" w:hAnsi="Georgia" w:cs="Arial"/>
          <w:sz w:val="32"/>
        </w:rPr>
        <w:t>L</w:t>
      </w:r>
      <w:r w:rsidRPr="00490B75">
        <w:rPr>
          <w:rFonts w:ascii="Georgia" w:hAnsi="Georgia" w:cs="Arial"/>
          <w:sz w:val="24"/>
        </w:rPr>
        <w:t xml:space="preserve">A </w:t>
      </w:r>
      <w:r w:rsidR="007A6289" w:rsidRPr="00490B75">
        <w:rPr>
          <w:rFonts w:ascii="Georgia" w:hAnsi="Georgia" w:cs="Arial"/>
          <w:sz w:val="24"/>
        </w:rPr>
        <w:t xml:space="preserve">RESEÑA DE LA </w:t>
      </w:r>
      <w:r w:rsidR="00707EBC" w:rsidRPr="00490B75">
        <w:rPr>
          <w:rFonts w:ascii="Georgia" w:hAnsi="Georgia" w:cs="Arial"/>
          <w:sz w:val="24"/>
        </w:rPr>
        <w:t>P</w:t>
      </w:r>
      <w:r w:rsidRPr="00490B75">
        <w:rPr>
          <w:rFonts w:ascii="Georgia" w:hAnsi="Georgia" w:cs="Arial"/>
          <w:sz w:val="24"/>
        </w:rPr>
        <w:t>ROVIDENCIA RECURRIDA</w:t>
      </w:r>
    </w:p>
    <w:p w:rsidR="00590404" w:rsidRPr="00490B75" w:rsidRDefault="00590404" w:rsidP="0043399D">
      <w:pPr>
        <w:pStyle w:val="Sansinterligne"/>
        <w:spacing w:line="360" w:lineRule="auto"/>
        <w:jc w:val="both"/>
        <w:rPr>
          <w:rFonts w:ascii="Georgia" w:hAnsi="Georgia" w:cs="Arial"/>
          <w:sz w:val="18"/>
        </w:rPr>
      </w:pPr>
    </w:p>
    <w:p w:rsidR="00707270" w:rsidRDefault="004D67F0" w:rsidP="00356104">
      <w:pPr>
        <w:spacing w:line="360" w:lineRule="auto"/>
        <w:jc w:val="both"/>
        <w:rPr>
          <w:rFonts w:ascii="Georgia" w:hAnsi="Georgia" w:cs="Arial"/>
          <w:szCs w:val="22"/>
        </w:rPr>
      </w:pPr>
      <w:r w:rsidRPr="00490B75">
        <w:rPr>
          <w:rFonts w:ascii="Georgia" w:hAnsi="Georgia" w:cs="Arial"/>
          <w:szCs w:val="22"/>
        </w:rPr>
        <w:t>Desatendió las s</w:t>
      </w:r>
      <w:r w:rsidR="00113B21">
        <w:rPr>
          <w:rFonts w:ascii="Georgia" w:hAnsi="Georgia" w:cs="Arial"/>
          <w:szCs w:val="22"/>
        </w:rPr>
        <w:t>ú</w:t>
      </w:r>
      <w:r w:rsidRPr="00490B75">
        <w:rPr>
          <w:rFonts w:ascii="Georgia" w:hAnsi="Georgia" w:cs="Arial"/>
          <w:szCs w:val="22"/>
        </w:rPr>
        <w:t xml:space="preserve">plicas del opositor </w:t>
      </w:r>
      <w:r w:rsidR="00CF4354" w:rsidRPr="00490B75">
        <w:rPr>
          <w:rFonts w:ascii="Georgia" w:hAnsi="Georgia" w:cs="Arial"/>
          <w:szCs w:val="22"/>
        </w:rPr>
        <w:t>al considerar que no probó</w:t>
      </w:r>
      <w:r w:rsidRPr="00490B75">
        <w:rPr>
          <w:rFonts w:ascii="Georgia" w:hAnsi="Georgia" w:cs="Arial"/>
          <w:szCs w:val="22"/>
        </w:rPr>
        <w:t xml:space="preserve"> </w:t>
      </w:r>
      <w:r w:rsidR="00CF4354" w:rsidRPr="00490B75">
        <w:rPr>
          <w:rFonts w:ascii="Georgia" w:hAnsi="Georgia" w:cs="Arial"/>
          <w:szCs w:val="22"/>
        </w:rPr>
        <w:t xml:space="preserve">uno de los </w:t>
      </w:r>
      <w:r w:rsidRPr="00490B75">
        <w:rPr>
          <w:rFonts w:ascii="Georgia" w:hAnsi="Georgia" w:cs="Arial"/>
          <w:szCs w:val="22"/>
        </w:rPr>
        <w:t xml:space="preserve">presupuestos de la posesión, </w:t>
      </w:r>
      <w:r w:rsidR="00CF4354" w:rsidRPr="00490B75">
        <w:rPr>
          <w:rFonts w:ascii="Georgia" w:hAnsi="Georgia" w:cs="Arial"/>
          <w:szCs w:val="22"/>
        </w:rPr>
        <w:t xml:space="preserve">esto es, </w:t>
      </w:r>
      <w:r w:rsidRPr="00490B75">
        <w:rPr>
          <w:rFonts w:ascii="Georgia" w:hAnsi="Georgia" w:cs="Arial"/>
          <w:szCs w:val="22"/>
        </w:rPr>
        <w:t xml:space="preserve">el </w:t>
      </w:r>
      <w:r w:rsidRPr="00490B75">
        <w:rPr>
          <w:rFonts w:ascii="Georgia" w:hAnsi="Georgia" w:cs="Arial"/>
          <w:i/>
          <w:szCs w:val="22"/>
        </w:rPr>
        <w:t>“animus”</w:t>
      </w:r>
      <w:r w:rsidR="00CF4354" w:rsidRPr="00490B75">
        <w:rPr>
          <w:rFonts w:ascii="Georgia" w:hAnsi="Georgia" w:cs="Arial"/>
          <w:i/>
          <w:szCs w:val="22"/>
        </w:rPr>
        <w:t xml:space="preserve">. </w:t>
      </w:r>
      <w:r w:rsidR="00CF4354" w:rsidRPr="00490B75">
        <w:rPr>
          <w:rFonts w:ascii="Georgia" w:hAnsi="Georgia" w:cs="Arial"/>
          <w:szCs w:val="22"/>
        </w:rPr>
        <w:t xml:space="preserve">Explicó que </w:t>
      </w:r>
      <w:r w:rsidR="00707270">
        <w:rPr>
          <w:rFonts w:ascii="Georgia" w:hAnsi="Georgia" w:cs="Arial"/>
          <w:szCs w:val="22"/>
        </w:rPr>
        <w:t>(i) E</w:t>
      </w:r>
      <w:r w:rsidR="00A73BEB" w:rsidRPr="00490B75">
        <w:rPr>
          <w:rFonts w:ascii="Georgia" w:hAnsi="Georgia" w:cs="Arial"/>
          <w:szCs w:val="22"/>
        </w:rPr>
        <w:t xml:space="preserve">n el interrogatorio reconoció </w:t>
      </w:r>
      <w:r w:rsidR="00A73BEB" w:rsidRPr="00490B75">
        <w:rPr>
          <w:rFonts w:ascii="Georgia" w:hAnsi="Georgia" w:cs="Arial"/>
          <w:szCs w:val="22"/>
          <w:lang w:val="es-CO"/>
        </w:rPr>
        <w:t xml:space="preserve">la </w:t>
      </w:r>
      <w:r w:rsidR="00A73BEB" w:rsidRPr="00490B75">
        <w:rPr>
          <w:rFonts w:ascii="Georgia" w:hAnsi="Georgia" w:cs="Arial"/>
          <w:szCs w:val="22"/>
          <w:lang w:val="es-CO"/>
        </w:rPr>
        <w:lastRenderedPageBreak/>
        <w:t xml:space="preserve">copropiedad que los señores Luz Patricia Gómez y Horacio </w:t>
      </w:r>
      <w:proofErr w:type="spellStart"/>
      <w:r w:rsidR="00A73BEB" w:rsidRPr="00490B75">
        <w:rPr>
          <w:rFonts w:ascii="Georgia" w:hAnsi="Georgia" w:cs="Arial"/>
          <w:szCs w:val="22"/>
          <w:lang w:val="es-CO"/>
        </w:rPr>
        <w:t>Vialpando</w:t>
      </w:r>
      <w:proofErr w:type="spellEnd"/>
      <w:r w:rsidR="00A73BEB" w:rsidRPr="00490B75">
        <w:rPr>
          <w:rFonts w:ascii="Georgia" w:hAnsi="Georgia" w:cs="Arial"/>
          <w:szCs w:val="22"/>
          <w:lang w:val="es-CO"/>
        </w:rPr>
        <w:t xml:space="preserve"> tienen sobre </w:t>
      </w:r>
      <w:r w:rsidR="00CF4354" w:rsidRPr="00490B75">
        <w:rPr>
          <w:rFonts w:ascii="Georgia" w:hAnsi="Georgia" w:cs="Arial"/>
          <w:szCs w:val="22"/>
        </w:rPr>
        <w:t>el inmueble</w:t>
      </w:r>
      <w:r w:rsidR="00A73BEB" w:rsidRPr="00490B75">
        <w:rPr>
          <w:rFonts w:ascii="Georgia" w:hAnsi="Georgia" w:cs="Arial"/>
          <w:szCs w:val="22"/>
        </w:rPr>
        <w:t xml:space="preserve">; </w:t>
      </w:r>
      <w:r w:rsidR="00707270">
        <w:rPr>
          <w:rFonts w:ascii="Georgia" w:hAnsi="Georgia" w:cs="Arial"/>
          <w:szCs w:val="22"/>
        </w:rPr>
        <w:t>(ii) A</w:t>
      </w:r>
      <w:r w:rsidR="00A73BEB" w:rsidRPr="00490B75">
        <w:rPr>
          <w:rFonts w:ascii="Georgia" w:hAnsi="Georgia" w:cs="Arial"/>
          <w:szCs w:val="22"/>
        </w:rPr>
        <w:t>ctuó en nombre y representación de los comparadores</w:t>
      </w:r>
      <w:r w:rsidR="0081029C" w:rsidRPr="00490B75">
        <w:rPr>
          <w:rFonts w:ascii="Georgia" w:hAnsi="Georgia" w:cs="Arial"/>
          <w:szCs w:val="22"/>
        </w:rPr>
        <w:t xml:space="preserve"> conforme al poder que le fuera otorgado, </w:t>
      </w:r>
      <w:r w:rsidR="00D53412" w:rsidRPr="00490B75">
        <w:rPr>
          <w:rFonts w:ascii="Georgia" w:hAnsi="Georgia" w:cs="Arial"/>
          <w:szCs w:val="22"/>
        </w:rPr>
        <w:t xml:space="preserve">es así que </w:t>
      </w:r>
      <w:r w:rsidR="0081029C" w:rsidRPr="00490B75">
        <w:rPr>
          <w:rFonts w:ascii="Georgia" w:hAnsi="Georgia" w:cs="Arial"/>
          <w:szCs w:val="22"/>
        </w:rPr>
        <w:t xml:space="preserve">suscribió </w:t>
      </w:r>
      <w:r w:rsidR="00A73BEB" w:rsidRPr="00490B75">
        <w:rPr>
          <w:rFonts w:ascii="Georgia" w:hAnsi="Georgia" w:cs="Arial"/>
          <w:szCs w:val="22"/>
        </w:rPr>
        <w:t xml:space="preserve">la escritura de compraventa e hipoteca, </w:t>
      </w:r>
      <w:r w:rsidR="00D17C18" w:rsidRPr="00490B75">
        <w:rPr>
          <w:rFonts w:ascii="Georgia" w:hAnsi="Georgia" w:cs="Arial"/>
          <w:szCs w:val="22"/>
        </w:rPr>
        <w:t xml:space="preserve">en la que tampoco tuvo a bien </w:t>
      </w:r>
      <w:r w:rsidR="0081029C" w:rsidRPr="00490B75">
        <w:rPr>
          <w:rFonts w:ascii="Georgia" w:hAnsi="Georgia" w:cs="Arial"/>
          <w:szCs w:val="22"/>
        </w:rPr>
        <w:t xml:space="preserve">hacer </w:t>
      </w:r>
      <w:r w:rsidR="00A73BEB" w:rsidRPr="00490B75">
        <w:rPr>
          <w:rFonts w:ascii="Georgia" w:hAnsi="Georgia" w:cs="Arial"/>
          <w:szCs w:val="22"/>
        </w:rPr>
        <w:t>precisión alguna sobre el origen de los recursos</w:t>
      </w:r>
      <w:r w:rsidR="00F2227D" w:rsidRPr="00490B75">
        <w:rPr>
          <w:rFonts w:ascii="Georgia" w:hAnsi="Georgia" w:cs="Arial"/>
          <w:szCs w:val="22"/>
        </w:rPr>
        <w:t xml:space="preserve"> que aportó</w:t>
      </w:r>
      <w:r w:rsidR="0081029C" w:rsidRPr="00490B75">
        <w:rPr>
          <w:rFonts w:ascii="Georgia" w:hAnsi="Georgia" w:cs="Arial"/>
          <w:szCs w:val="22"/>
        </w:rPr>
        <w:t xml:space="preserve"> </w:t>
      </w:r>
      <w:r w:rsidR="00D53412" w:rsidRPr="00490B75">
        <w:rPr>
          <w:rFonts w:ascii="Georgia" w:hAnsi="Georgia" w:cs="Arial"/>
          <w:szCs w:val="22"/>
        </w:rPr>
        <w:t xml:space="preserve">y </w:t>
      </w:r>
      <w:r w:rsidR="0081029C" w:rsidRPr="00490B75">
        <w:rPr>
          <w:rFonts w:ascii="Georgia" w:hAnsi="Georgia" w:cs="Arial"/>
          <w:szCs w:val="22"/>
        </w:rPr>
        <w:t xml:space="preserve">que </w:t>
      </w:r>
      <w:r w:rsidR="00D53412" w:rsidRPr="00490B75">
        <w:rPr>
          <w:rFonts w:ascii="Georgia" w:hAnsi="Georgia" w:cs="Arial"/>
          <w:szCs w:val="22"/>
        </w:rPr>
        <w:t>afirma haber obtenido de la venta de una casa propia</w:t>
      </w:r>
      <w:r w:rsidR="00707270">
        <w:rPr>
          <w:rFonts w:ascii="Georgia" w:hAnsi="Georgia" w:cs="Arial"/>
          <w:szCs w:val="22"/>
        </w:rPr>
        <w:t>.</w:t>
      </w:r>
      <w:r w:rsidR="0081029C" w:rsidRPr="00490B75">
        <w:rPr>
          <w:rFonts w:ascii="Georgia" w:hAnsi="Georgia" w:cs="Arial"/>
          <w:szCs w:val="22"/>
        </w:rPr>
        <w:t xml:space="preserve"> </w:t>
      </w:r>
    </w:p>
    <w:p w:rsidR="00707270" w:rsidRDefault="00707270" w:rsidP="00356104">
      <w:pPr>
        <w:spacing w:line="360" w:lineRule="auto"/>
        <w:jc w:val="both"/>
        <w:rPr>
          <w:rFonts w:ascii="Georgia" w:hAnsi="Georgia" w:cs="Arial"/>
          <w:szCs w:val="22"/>
        </w:rPr>
      </w:pPr>
    </w:p>
    <w:p w:rsidR="00847809" w:rsidRPr="00490B75" w:rsidRDefault="00707270" w:rsidP="00356104">
      <w:pPr>
        <w:spacing w:line="360" w:lineRule="auto"/>
        <w:jc w:val="both"/>
        <w:rPr>
          <w:rFonts w:ascii="Georgia" w:hAnsi="Georgia" w:cs="Arial"/>
          <w:szCs w:val="22"/>
        </w:rPr>
      </w:pPr>
      <w:r>
        <w:rPr>
          <w:rFonts w:ascii="Georgia" w:hAnsi="Georgia" w:cs="Arial"/>
          <w:szCs w:val="22"/>
        </w:rPr>
        <w:t>(iii) R</w:t>
      </w:r>
      <w:r w:rsidR="0081029C" w:rsidRPr="00490B75">
        <w:rPr>
          <w:rFonts w:ascii="Georgia" w:hAnsi="Georgia" w:cs="Arial"/>
          <w:szCs w:val="22"/>
        </w:rPr>
        <w:t xml:space="preserve">ecibió el bien con la autorización de los copropietarios y no como </w:t>
      </w:r>
      <w:r w:rsidR="0081029C" w:rsidRPr="00490B75">
        <w:rPr>
          <w:rFonts w:ascii="Georgia" w:hAnsi="Georgia" w:cs="Arial"/>
          <w:szCs w:val="22"/>
          <w:lang w:val="es-CO"/>
        </w:rPr>
        <w:t>“</w:t>
      </w:r>
      <w:r w:rsidR="0081029C" w:rsidRPr="00490B75">
        <w:rPr>
          <w:rFonts w:ascii="Georgia" w:hAnsi="Georgia" w:cs="Arial"/>
          <w:szCs w:val="22"/>
        </w:rPr>
        <w:t>comprador” (Sic)</w:t>
      </w:r>
      <w:r w:rsidR="00D53412" w:rsidRPr="00490B75">
        <w:rPr>
          <w:rFonts w:ascii="Georgia" w:hAnsi="Georgia" w:cs="Arial"/>
          <w:szCs w:val="22"/>
        </w:rPr>
        <w:t xml:space="preserve"> (I</w:t>
      </w:r>
      <w:r w:rsidR="0081029C" w:rsidRPr="00490B75">
        <w:rPr>
          <w:rFonts w:ascii="Georgia" w:hAnsi="Georgia" w:cs="Arial"/>
          <w:szCs w:val="22"/>
        </w:rPr>
        <w:t xml:space="preserve">gual reflexión se </w:t>
      </w:r>
      <w:r w:rsidR="00D53412" w:rsidRPr="00490B75">
        <w:rPr>
          <w:rFonts w:ascii="Georgia" w:hAnsi="Georgia" w:cs="Arial"/>
          <w:szCs w:val="22"/>
        </w:rPr>
        <w:t xml:space="preserve">hizo </w:t>
      </w:r>
      <w:r w:rsidR="0081029C" w:rsidRPr="00490B75">
        <w:rPr>
          <w:rFonts w:ascii="Georgia" w:hAnsi="Georgia" w:cs="Arial"/>
          <w:szCs w:val="22"/>
        </w:rPr>
        <w:t xml:space="preserve">sobre los abonos </w:t>
      </w:r>
      <w:r w:rsidR="00F2227D" w:rsidRPr="00490B75">
        <w:rPr>
          <w:rFonts w:ascii="Georgia" w:hAnsi="Georgia" w:cs="Arial"/>
          <w:szCs w:val="22"/>
        </w:rPr>
        <w:t>realizados</w:t>
      </w:r>
      <w:r w:rsidR="00D53412" w:rsidRPr="00490B75">
        <w:rPr>
          <w:rFonts w:ascii="Georgia" w:hAnsi="Georgia" w:cs="Arial"/>
          <w:szCs w:val="22"/>
        </w:rPr>
        <w:t>)</w:t>
      </w:r>
      <w:r>
        <w:rPr>
          <w:rFonts w:ascii="Georgia" w:hAnsi="Georgia" w:cs="Arial"/>
          <w:szCs w:val="22"/>
        </w:rPr>
        <w:t>; Y, f</w:t>
      </w:r>
      <w:r w:rsidR="0081029C" w:rsidRPr="00490B75">
        <w:rPr>
          <w:rFonts w:ascii="Georgia" w:hAnsi="Georgia" w:cs="Arial"/>
          <w:szCs w:val="22"/>
        </w:rPr>
        <w:t>inalmente</w:t>
      </w:r>
      <w:r>
        <w:rPr>
          <w:rFonts w:ascii="Georgia" w:hAnsi="Georgia" w:cs="Arial"/>
          <w:szCs w:val="22"/>
        </w:rPr>
        <w:t>, (iv)</w:t>
      </w:r>
      <w:r w:rsidR="0081029C" w:rsidRPr="00490B75">
        <w:rPr>
          <w:rFonts w:ascii="Georgia" w:hAnsi="Georgia" w:cs="Arial"/>
          <w:szCs w:val="22"/>
        </w:rPr>
        <w:t xml:space="preserve"> </w:t>
      </w:r>
      <w:r>
        <w:rPr>
          <w:rFonts w:ascii="Georgia" w:hAnsi="Georgia" w:cs="Arial"/>
          <w:szCs w:val="22"/>
        </w:rPr>
        <w:t>A</w:t>
      </w:r>
      <w:r w:rsidR="0081029C" w:rsidRPr="00490B75">
        <w:rPr>
          <w:rFonts w:ascii="Georgia" w:hAnsi="Georgia" w:cs="Arial"/>
          <w:szCs w:val="22"/>
        </w:rPr>
        <w:t xml:space="preserve">ceptó asumir las obligaciones crediticias </w:t>
      </w:r>
      <w:r w:rsidR="00D53412" w:rsidRPr="00490B75">
        <w:rPr>
          <w:rFonts w:ascii="Georgia" w:hAnsi="Georgia" w:cs="Arial"/>
          <w:szCs w:val="22"/>
        </w:rPr>
        <w:t xml:space="preserve">porque </w:t>
      </w:r>
      <w:r w:rsidR="0081029C" w:rsidRPr="00490B75">
        <w:rPr>
          <w:rFonts w:ascii="Georgia" w:hAnsi="Georgia" w:cs="Arial"/>
          <w:szCs w:val="22"/>
        </w:rPr>
        <w:t>sabía sobre la constitución del gravamen hipotecario</w:t>
      </w:r>
      <w:r w:rsidR="00B401AF" w:rsidRPr="00490B75">
        <w:rPr>
          <w:rFonts w:ascii="Georgia" w:hAnsi="Georgia" w:cs="Arial"/>
          <w:szCs w:val="22"/>
        </w:rPr>
        <w:t xml:space="preserve"> </w:t>
      </w:r>
      <w:r w:rsidR="0055738B" w:rsidRPr="00490B75">
        <w:rPr>
          <w:rFonts w:ascii="Georgia" w:hAnsi="Georgia" w:cs="Arial"/>
          <w:szCs w:val="22"/>
        </w:rPr>
        <w:t>(</w:t>
      </w:r>
      <w:r w:rsidR="00D53412" w:rsidRPr="00490B75">
        <w:rPr>
          <w:rFonts w:ascii="Georgia" w:hAnsi="Georgia" w:cs="Arial"/>
          <w:szCs w:val="22"/>
        </w:rPr>
        <w:t xml:space="preserve">Folios 5 a 8, tomo II del cuaderno </w:t>
      </w:r>
      <w:proofErr w:type="spellStart"/>
      <w:r w:rsidR="00D53412" w:rsidRPr="00490B75">
        <w:rPr>
          <w:rFonts w:ascii="Georgia" w:hAnsi="Georgia" w:cs="Arial"/>
          <w:szCs w:val="22"/>
        </w:rPr>
        <w:t>No.3</w:t>
      </w:r>
      <w:proofErr w:type="spellEnd"/>
      <w:r w:rsidR="00D53412" w:rsidRPr="00490B75">
        <w:rPr>
          <w:rFonts w:ascii="Georgia" w:hAnsi="Georgia" w:cs="Arial"/>
          <w:szCs w:val="22"/>
        </w:rPr>
        <w:t>, incidente de levantamiento de embargo</w:t>
      </w:r>
      <w:r w:rsidR="0055738B" w:rsidRPr="00490B75">
        <w:rPr>
          <w:rFonts w:ascii="Georgia" w:hAnsi="Georgia" w:cs="Arial"/>
          <w:szCs w:val="22"/>
        </w:rPr>
        <w:t>)</w:t>
      </w:r>
      <w:r w:rsidR="002E31D1" w:rsidRPr="00490B75">
        <w:rPr>
          <w:rFonts w:ascii="Georgia" w:hAnsi="Georgia" w:cs="Arial"/>
          <w:szCs w:val="22"/>
        </w:rPr>
        <w:t>.</w:t>
      </w:r>
    </w:p>
    <w:p w:rsidR="004F7C9D" w:rsidRPr="00490B75" w:rsidRDefault="004F7C9D" w:rsidP="00356104">
      <w:pPr>
        <w:spacing w:line="360" w:lineRule="auto"/>
        <w:jc w:val="both"/>
        <w:rPr>
          <w:rFonts w:ascii="Georgia" w:hAnsi="Georgia" w:cs="Arial"/>
          <w:sz w:val="18"/>
          <w:szCs w:val="22"/>
          <w:lang w:val="es-CO"/>
        </w:rPr>
      </w:pPr>
    </w:p>
    <w:p w:rsidR="00356104" w:rsidRDefault="00356104" w:rsidP="00356104">
      <w:pPr>
        <w:pStyle w:val="Sansinterligne"/>
        <w:numPr>
          <w:ilvl w:val="0"/>
          <w:numId w:val="4"/>
        </w:numPr>
        <w:spacing w:line="360" w:lineRule="auto"/>
        <w:jc w:val="both"/>
        <w:rPr>
          <w:rFonts w:ascii="Georgia" w:hAnsi="Georgia" w:cs="Arial"/>
          <w:sz w:val="24"/>
        </w:rPr>
      </w:pPr>
      <w:r w:rsidRPr="00490B75">
        <w:rPr>
          <w:rFonts w:ascii="Georgia" w:hAnsi="Georgia" w:cs="Arial"/>
          <w:sz w:val="32"/>
        </w:rPr>
        <w:t>L</w:t>
      </w:r>
      <w:r w:rsidRPr="00490B75">
        <w:rPr>
          <w:rFonts w:ascii="Georgia" w:hAnsi="Georgia" w:cs="Arial"/>
          <w:sz w:val="24"/>
        </w:rPr>
        <w:t xml:space="preserve">A SÍNTESIS DE LA </w:t>
      </w:r>
      <w:r w:rsidR="00953DFF" w:rsidRPr="00490B75">
        <w:rPr>
          <w:rFonts w:ascii="Georgia" w:hAnsi="Georgia" w:cs="Arial"/>
          <w:sz w:val="24"/>
        </w:rPr>
        <w:t>APELACIÓN</w:t>
      </w:r>
    </w:p>
    <w:p w:rsidR="00707270" w:rsidRPr="00490B75" w:rsidRDefault="00707270" w:rsidP="00707270">
      <w:pPr>
        <w:pStyle w:val="Sansinterligne"/>
        <w:spacing w:line="360" w:lineRule="auto"/>
        <w:ind w:left="360"/>
        <w:jc w:val="both"/>
        <w:rPr>
          <w:rFonts w:ascii="Georgia" w:hAnsi="Georgia" w:cs="Arial"/>
          <w:sz w:val="24"/>
        </w:rPr>
      </w:pPr>
    </w:p>
    <w:p w:rsidR="00254921" w:rsidRPr="00490B75" w:rsidRDefault="009B0A4D" w:rsidP="00356104">
      <w:pPr>
        <w:pStyle w:val="Sansinterligne"/>
        <w:spacing w:line="360" w:lineRule="auto"/>
        <w:jc w:val="both"/>
        <w:rPr>
          <w:rFonts w:ascii="Georgia" w:hAnsi="Georgia" w:cs="Arial"/>
          <w:sz w:val="24"/>
        </w:rPr>
      </w:pPr>
      <w:r w:rsidRPr="00490B75">
        <w:rPr>
          <w:rFonts w:ascii="Georgia" w:hAnsi="Georgia" w:cs="Arial"/>
          <w:sz w:val="24"/>
        </w:rPr>
        <w:t xml:space="preserve">Se </w:t>
      </w:r>
      <w:r w:rsidR="00D45BB1" w:rsidRPr="00490B75">
        <w:rPr>
          <w:rFonts w:ascii="Georgia" w:hAnsi="Georgia" w:cs="Arial"/>
          <w:sz w:val="24"/>
        </w:rPr>
        <w:t xml:space="preserve">arguye que la valoración probatoria fue errada; no se tuvo en cuenta que todos los testigos coincidieron en afirmar </w:t>
      </w:r>
      <w:r w:rsidR="00254921" w:rsidRPr="00490B75">
        <w:rPr>
          <w:rFonts w:ascii="Georgia" w:hAnsi="Georgia" w:cs="Arial"/>
          <w:sz w:val="24"/>
        </w:rPr>
        <w:t xml:space="preserve">la posesión que ejerce </w:t>
      </w:r>
      <w:r w:rsidR="00D45BB1" w:rsidRPr="00490B75">
        <w:rPr>
          <w:rFonts w:ascii="Georgia" w:hAnsi="Georgia" w:cs="Arial"/>
          <w:sz w:val="24"/>
        </w:rPr>
        <w:t>de buena fe</w:t>
      </w:r>
      <w:r w:rsidR="00254921" w:rsidRPr="00490B75">
        <w:rPr>
          <w:rFonts w:ascii="Georgia" w:hAnsi="Georgia" w:cs="Arial"/>
          <w:sz w:val="24"/>
        </w:rPr>
        <w:t>; además</w:t>
      </w:r>
      <w:r w:rsidR="00D17C18" w:rsidRPr="00490B75">
        <w:rPr>
          <w:rFonts w:ascii="Georgia" w:hAnsi="Georgia" w:cs="Arial"/>
          <w:sz w:val="24"/>
        </w:rPr>
        <w:t xml:space="preserve"> la </w:t>
      </w:r>
      <w:r w:rsidR="00254921" w:rsidRPr="00490B75">
        <w:rPr>
          <w:rFonts w:ascii="Georgia" w:hAnsi="Georgia" w:cs="Arial"/>
          <w:sz w:val="24"/>
        </w:rPr>
        <w:t xml:space="preserve">actuación </w:t>
      </w:r>
      <w:r w:rsidR="00D45BB1" w:rsidRPr="00490B75">
        <w:rPr>
          <w:rFonts w:ascii="Georgia" w:hAnsi="Georgia" w:cs="Arial"/>
          <w:sz w:val="24"/>
        </w:rPr>
        <w:t xml:space="preserve">como apoderado de los compradores </w:t>
      </w:r>
      <w:r w:rsidR="00254921" w:rsidRPr="00490B75">
        <w:rPr>
          <w:rFonts w:ascii="Georgia" w:hAnsi="Georgia" w:cs="Arial"/>
          <w:sz w:val="24"/>
        </w:rPr>
        <w:t xml:space="preserve">no le puede impedir acceder al derecho de posesión que adquirió al asumir </w:t>
      </w:r>
      <w:r w:rsidR="00D45BB1" w:rsidRPr="00490B75">
        <w:rPr>
          <w:rFonts w:ascii="Georgia" w:hAnsi="Georgia" w:cs="Arial"/>
          <w:sz w:val="24"/>
        </w:rPr>
        <w:t>el sostenimiento y mantenimiento del inmueble</w:t>
      </w:r>
      <w:r w:rsidR="00254921" w:rsidRPr="00490B75">
        <w:rPr>
          <w:rFonts w:ascii="Georgia" w:hAnsi="Georgia" w:cs="Arial"/>
          <w:sz w:val="24"/>
        </w:rPr>
        <w:t xml:space="preserve"> </w:t>
      </w:r>
      <w:r w:rsidR="00D17C18" w:rsidRPr="00490B75">
        <w:rPr>
          <w:rFonts w:ascii="Georgia" w:hAnsi="Georgia" w:cs="Arial"/>
          <w:sz w:val="24"/>
        </w:rPr>
        <w:t xml:space="preserve">debido al </w:t>
      </w:r>
      <w:r w:rsidR="00254921" w:rsidRPr="00490B75">
        <w:rPr>
          <w:rFonts w:ascii="Georgia" w:hAnsi="Georgia" w:cs="Arial"/>
          <w:sz w:val="24"/>
        </w:rPr>
        <w:t xml:space="preserve">abandono </w:t>
      </w:r>
      <w:r w:rsidR="00D17C18" w:rsidRPr="00490B75">
        <w:rPr>
          <w:rFonts w:ascii="Georgia" w:hAnsi="Georgia" w:cs="Arial"/>
          <w:sz w:val="24"/>
        </w:rPr>
        <w:t xml:space="preserve">de </w:t>
      </w:r>
      <w:r w:rsidR="00254921" w:rsidRPr="00490B75">
        <w:rPr>
          <w:rFonts w:ascii="Georgia" w:hAnsi="Georgia" w:cs="Arial"/>
          <w:sz w:val="24"/>
        </w:rPr>
        <w:t xml:space="preserve">los </w:t>
      </w:r>
      <w:r w:rsidR="00F2227D" w:rsidRPr="00490B75">
        <w:rPr>
          <w:rFonts w:ascii="Georgia" w:hAnsi="Georgia" w:cs="Arial"/>
          <w:sz w:val="24"/>
        </w:rPr>
        <w:t>co</w:t>
      </w:r>
      <w:r w:rsidR="00254921" w:rsidRPr="00490B75">
        <w:rPr>
          <w:rFonts w:ascii="Georgia" w:hAnsi="Georgia" w:cs="Arial"/>
          <w:sz w:val="24"/>
        </w:rPr>
        <w:t>propietarios.</w:t>
      </w:r>
    </w:p>
    <w:p w:rsidR="00254921" w:rsidRPr="00490B75" w:rsidRDefault="00254921" w:rsidP="00356104">
      <w:pPr>
        <w:pStyle w:val="Sansinterligne"/>
        <w:spacing w:line="360" w:lineRule="auto"/>
        <w:jc w:val="both"/>
        <w:rPr>
          <w:rFonts w:ascii="Georgia" w:hAnsi="Georgia" w:cs="Arial"/>
        </w:rPr>
      </w:pPr>
    </w:p>
    <w:p w:rsidR="008D06FE" w:rsidRPr="00490B75" w:rsidRDefault="00254921" w:rsidP="00356104">
      <w:pPr>
        <w:pStyle w:val="Sansinterligne"/>
        <w:spacing w:line="360" w:lineRule="auto"/>
        <w:jc w:val="both"/>
        <w:rPr>
          <w:rFonts w:ascii="Georgia" w:hAnsi="Georgia" w:cs="Arial"/>
          <w:sz w:val="24"/>
        </w:rPr>
      </w:pPr>
      <w:r w:rsidRPr="00490B75">
        <w:rPr>
          <w:rFonts w:ascii="Georgia" w:hAnsi="Georgia" w:cs="Arial"/>
          <w:sz w:val="24"/>
        </w:rPr>
        <w:t xml:space="preserve">También se queja de la ausencia de decisión sobre las mejoras solicitadas y debidamente probadas en el plenario, </w:t>
      </w:r>
      <w:r w:rsidR="00F2227D" w:rsidRPr="00490B75">
        <w:rPr>
          <w:rFonts w:ascii="Georgia" w:hAnsi="Georgia" w:cs="Arial"/>
          <w:sz w:val="24"/>
        </w:rPr>
        <w:t xml:space="preserve">pues </w:t>
      </w:r>
      <w:r w:rsidRPr="00490B75">
        <w:rPr>
          <w:rFonts w:ascii="Georgia" w:hAnsi="Georgia" w:cs="Arial"/>
          <w:sz w:val="24"/>
        </w:rPr>
        <w:t xml:space="preserve">si no se acepta </w:t>
      </w:r>
      <w:r w:rsidR="00F2227D" w:rsidRPr="00490B75">
        <w:rPr>
          <w:rFonts w:ascii="Georgia" w:hAnsi="Georgia" w:cs="Arial"/>
          <w:sz w:val="24"/>
        </w:rPr>
        <w:t xml:space="preserve">su </w:t>
      </w:r>
      <w:r w:rsidRPr="00490B75">
        <w:rPr>
          <w:rFonts w:ascii="Georgia" w:hAnsi="Georgia" w:cs="Arial"/>
          <w:sz w:val="24"/>
        </w:rPr>
        <w:t>posesión como tenedor</w:t>
      </w:r>
      <w:r w:rsidR="00F2227D" w:rsidRPr="00490B75">
        <w:rPr>
          <w:rFonts w:ascii="Georgia" w:hAnsi="Georgia" w:cs="Arial"/>
          <w:sz w:val="24"/>
        </w:rPr>
        <w:t xml:space="preserve"> entonces </w:t>
      </w:r>
      <w:r w:rsidRPr="00490B75">
        <w:rPr>
          <w:rFonts w:ascii="Georgia" w:hAnsi="Georgia" w:cs="Arial"/>
          <w:sz w:val="24"/>
        </w:rPr>
        <w:t>tiene derecho a su reconocimiento, de los contrario habría un enriquecimiento sin causa en perjuicio suyo</w:t>
      </w:r>
      <w:r w:rsidR="00D45BB1" w:rsidRPr="00490B75">
        <w:rPr>
          <w:rFonts w:ascii="Georgia" w:hAnsi="Georgia" w:cs="Arial"/>
          <w:sz w:val="24"/>
        </w:rPr>
        <w:t xml:space="preserve"> </w:t>
      </w:r>
      <w:r w:rsidR="00E42FEC" w:rsidRPr="00490B75">
        <w:rPr>
          <w:rFonts w:ascii="Georgia" w:hAnsi="Georgia" w:cs="Arial"/>
          <w:sz w:val="24"/>
        </w:rPr>
        <w:t xml:space="preserve">(Folios </w:t>
      </w:r>
      <w:r w:rsidR="00BC2A00" w:rsidRPr="00490B75">
        <w:rPr>
          <w:rFonts w:ascii="Georgia" w:hAnsi="Georgia" w:cs="Arial"/>
          <w:sz w:val="24"/>
        </w:rPr>
        <w:t>35 a 36</w:t>
      </w:r>
      <w:r w:rsidR="001B40E9" w:rsidRPr="00490B75">
        <w:rPr>
          <w:rFonts w:ascii="Georgia" w:hAnsi="Georgia" w:cs="Arial"/>
          <w:sz w:val="24"/>
        </w:rPr>
        <w:t xml:space="preserve">, </w:t>
      </w:r>
      <w:r w:rsidR="00BC2A00" w:rsidRPr="00490B75">
        <w:rPr>
          <w:rFonts w:ascii="Georgia" w:hAnsi="Georgia" w:cs="Arial"/>
          <w:sz w:val="24"/>
        </w:rPr>
        <w:t>ibídem</w:t>
      </w:r>
      <w:r w:rsidR="001B40E9" w:rsidRPr="00490B75">
        <w:rPr>
          <w:rFonts w:ascii="Georgia" w:hAnsi="Georgia" w:cs="Arial"/>
          <w:sz w:val="24"/>
        </w:rPr>
        <w:t>)</w:t>
      </w:r>
      <w:r w:rsidR="0001219A" w:rsidRPr="00490B75">
        <w:rPr>
          <w:rFonts w:ascii="Georgia" w:hAnsi="Georgia" w:cs="Arial"/>
          <w:sz w:val="24"/>
        </w:rPr>
        <w:t>.</w:t>
      </w:r>
    </w:p>
    <w:p w:rsidR="000E0F77" w:rsidRPr="00490B75" w:rsidRDefault="000E0F77" w:rsidP="00356104">
      <w:pPr>
        <w:pStyle w:val="Sansinterligne"/>
        <w:spacing w:line="360" w:lineRule="auto"/>
        <w:jc w:val="both"/>
        <w:rPr>
          <w:rFonts w:ascii="Georgia" w:hAnsi="Georgia" w:cs="Arial"/>
          <w:sz w:val="18"/>
        </w:rPr>
      </w:pPr>
    </w:p>
    <w:p w:rsidR="00356104" w:rsidRPr="00490B75" w:rsidRDefault="00356104" w:rsidP="00356104">
      <w:pPr>
        <w:numPr>
          <w:ilvl w:val="0"/>
          <w:numId w:val="4"/>
        </w:numPr>
        <w:spacing w:line="360" w:lineRule="auto"/>
        <w:jc w:val="both"/>
        <w:rPr>
          <w:rFonts w:ascii="Georgia" w:hAnsi="Georgia" w:cs="Arial"/>
        </w:rPr>
      </w:pPr>
      <w:r w:rsidRPr="00490B75">
        <w:rPr>
          <w:rFonts w:ascii="Georgia" w:hAnsi="Georgia" w:cs="Arial"/>
          <w:sz w:val="32"/>
        </w:rPr>
        <w:t>L</w:t>
      </w:r>
      <w:r w:rsidRPr="00490B75">
        <w:rPr>
          <w:rFonts w:ascii="Georgia" w:hAnsi="Georgia" w:cs="Arial"/>
        </w:rPr>
        <w:t>AS ESTIMACIONES JURÍDICAS PARA DECIDIR</w:t>
      </w:r>
    </w:p>
    <w:p w:rsidR="00E70738" w:rsidRPr="00490B75" w:rsidRDefault="00E70738" w:rsidP="00E70738">
      <w:pPr>
        <w:pStyle w:val="Sansinterligne"/>
        <w:spacing w:line="360" w:lineRule="auto"/>
        <w:jc w:val="both"/>
        <w:rPr>
          <w:rFonts w:ascii="Georgia" w:hAnsi="Georgia" w:cs="Arial"/>
          <w:sz w:val="18"/>
          <w:szCs w:val="24"/>
        </w:rPr>
      </w:pPr>
    </w:p>
    <w:p w:rsidR="00E70738" w:rsidRPr="00490B75" w:rsidRDefault="00E70738" w:rsidP="0030233B">
      <w:pPr>
        <w:pStyle w:val="Textopredeterminado"/>
        <w:numPr>
          <w:ilvl w:val="1"/>
          <w:numId w:val="4"/>
        </w:numPr>
        <w:spacing w:line="360" w:lineRule="auto"/>
        <w:jc w:val="both"/>
        <w:rPr>
          <w:rFonts w:ascii="Georgia" w:hAnsi="Georgia" w:cs="Arial"/>
          <w:szCs w:val="22"/>
          <w:lang w:val="es-MX"/>
        </w:rPr>
      </w:pPr>
      <w:r w:rsidRPr="00490B75">
        <w:rPr>
          <w:rFonts w:ascii="Georgia" w:hAnsi="Georgia" w:cs="Arial"/>
          <w:smallCaps/>
          <w:color w:val="auto"/>
        </w:rPr>
        <w:t>La competencia funcional</w:t>
      </w:r>
      <w:r w:rsidR="00872C4D" w:rsidRPr="00490B75">
        <w:rPr>
          <w:rFonts w:ascii="Georgia" w:hAnsi="Georgia" w:cs="Arial"/>
          <w:color w:val="auto"/>
        </w:rPr>
        <w:t xml:space="preserve">. </w:t>
      </w:r>
      <w:r w:rsidR="003A3702" w:rsidRPr="00490B75">
        <w:rPr>
          <w:rFonts w:ascii="Georgia" w:hAnsi="Georgia" w:cs="Arial"/>
          <w:szCs w:val="22"/>
        </w:rPr>
        <w:t xml:space="preserve">La </w:t>
      </w:r>
      <w:r w:rsidRPr="00490B75">
        <w:rPr>
          <w:rFonts w:ascii="Georgia" w:hAnsi="Georgia" w:cs="Arial"/>
          <w:szCs w:val="22"/>
        </w:rPr>
        <w:t xml:space="preserve">facultad </w:t>
      </w:r>
      <w:r w:rsidR="003A3702" w:rsidRPr="00490B75">
        <w:rPr>
          <w:rFonts w:ascii="Georgia" w:hAnsi="Georgia" w:cs="Arial"/>
          <w:szCs w:val="22"/>
        </w:rPr>
        <w:t xml:space="preserve">jurídica </w:t>
      </w:r>
      <w:r w:rsidRPr="00490B75">
        <w:rPr>
          <w:rFonts w:ascii="Georgia" w:hAnsi="Georgia" w:cs="Arial"/>
          <w:szCs w:val="22"/>
        </w:rPr>
        <w:t xml:space="preserve">para </w:t>
      </w:r>
      <w:r w:rsidR="00E914B9" w:rsidRPr="00490B75">
        <w:rPr>
          <w:rFonts w:ascii="Georgia" w:hAnsi="Georgia" w:cs="Arial"/>
          <w:szCs w:val="22"/>
        </w:rPr>
        <w:t>resolver esta controversia</w:t>
      </w:r>
      <w:r w:rsidR="003A3702" w:rsidRPr="00490B75">
        <w:rPr>
          <w:rFonts w:ascii="Georgia" w:hAnsi="Georgia" w:cs="Arial"/>
          <w:szCs w:val="22"/>
        </w:rPr>
        <w:t xml:space="preserve"> radica en esta Colegiatura por e</w:t>
      </w:r>
      <w:r w:rsidRPr="00490B75">
        <w:rPr>
          <w:rFonts w:ascii="Georgia" w:hAnsi="Georgia" w:cs="Arial"/>
          <w:szCs w:val="22"/>
        </w:rPr>
        <w:t>l factor funcional</w:t>
      </w:r>
      <w:r w:rsidR="00EB2D8F" w:rsidRPr="00490B75">
        <w:rPr>
          <w:rFonts w:ascii="Georgia" w:hAnsi="Georgia" w:cs="Arial"/>
          <w:szCs w:val="22"/>
        </w:rPr>
        <w:t xml:space="preserve"> (Artículo </w:t>
      </w:r>
      <w:r w:rsidR="00FF556E" w:rsidRPr="00490B75">
        <w:rPr>
          <w:rFonts w:ascii="Georgia" w:hAnsi="Georgia" w:cs="Arial"/>
          <w:szCs w:val="22"/>
        </w:rPr>
        <w:t>32-1º</w:t>
      </w:r>
      <w:r w:rsidR="005E5EEB" w:rsidRPr="00490B75">
        <w:rPr>
          <w:rFonts w:ascii="Georgia" w:hAnsi="Georgia" w:cs="Arial"/>
          <w:szCs w:val="22"/>
        </w:rPr>
        <w:t>,</w:t>
      </w:r>
      <w:r w:rsidR="00EB2D8F" w:rsidRPr="00490B75">
        <w:rPr>
          <w:rFonts w:ascii="Georgia" w:hAnsi="Georgia" w:cs="Arial"/>
          <w:szCs w:val="22"/>
        </w:rPr>
        <w:t xml:space="preserve"> </w:t>
      </w:r>
      <w:proofErr w:type="spellStart"/>
      <w:r w:rsidR="00FF556E" w:rsidRPr="00490B75">
        <w:rPr>
          <w:rFonts w:ascii="Georgia" w:hAnsi="Georgia" w:cs="Arial"/>
          <w:szCs w:val="22"/>
        </w:rPr>
        <w:t>CGP</w:t>
      </w:r>
      <w:proofErr w:type="spellEnd"/>
      <w:r w:rsidR="00EB2D8F" w:rsidRPr="00490B75">
        <w:rPr>
          <w:rFonts w:ascii="Georgia" w:hAnsi="Georgia" w:cs="Arial"/>
          <w:szCs w:val="22"/>
        </w:rPr>
        <w:t>)</w:t>
      </w:r>
      <w:r w:rsidRPr="00490B75">
        <w:rPr>
          <w:rFonts w:ascii="Georgia" w:hAnsi="Georgia" w:cs="Arial"/>
          <w:szCs w:val="22"/>
        </w:rPr>
        <w:t xml:space="preserve">, </w:t>
      </w:r>
      <w:r w:rsidR="003A3702" w:rsidRPr="00490B75">
        <w:rPr>
          <w:rFonts w:ascii="Georgia" w:hAnsi="Georgia" w:cs="Arial"/>
          <w:szCs w:val="22"/>
        </w:rPr>
        <w:t xml:space="preserve">dada su condición de </w:t>
      </w:r>
      <w:r w:rsidRPr="00490B75">
        <w:rPr>
          <w:rFonts w:ascii="Georgia" w:hAnsi="Georgia" w:cs="Arial"/>
          <w:szCs w:val="22"/>
          <w:lang w:val="es-MX"/>
        </w:rPr>
        <w:t>superior</w:t>
      </w:r>
      <w:r w:rsidR="00FD430C" w:rsidRPr="00490B75">
        <w:rPr>
          <w:rFonts w:ascii="Georgia" w:hAnsi="Georgia" w:cs="Arial"/>
          <w:szCs w:val="22"/>
          <w:lang w:val="es-MX"/>
        </w:rPr>
        <w:t>a jerárquica</w:t>
      </w:r>
      <w:r w:rsidRPr="00490B75">
        <w:rPr>
          <w:rFonts w:ascii="Georgia" w:hAnsi="Georgia" w:cs="Arial"/>
          <w:szCs w:val="22"/>
          <w:lang w:val="es-MX"/>
        </w:rPr>
        <w:t xml:space="preserve"> del Juzgado</w:t>
      </w:r>
      <w:r w:rsidRPr="00490B75">
        <w:rPr>
          <w:rFonts w:ascii="Georgia" w:hAnsi="Georgia" w:cs="Arial"/>
        </w:rPr>
        <w:t xml:space="preserve"> </w:t>
      </w:r>
      <w:r w:rsidR="00CC11D5" w:rsidRPr="00490B75">
        <w:rPr>
          <w:rFonts w:ascii="Georgia" w:hAnsi="Georgia" w:cs="Arial"/>
          <w:szCs w:val="22"/>
          <w:lang w:val="es-MX"/>
        </w:rPr>
        <w:t>emisor de la decisión apelada</w:t>
      </w:r>
      <w:r w:rsidRPr="00490B75">
        <w:rPr>
          <w:rFonts w:ascii="Georgia" w:hAnsi="Georgia" w:cs="Arial"/>
          <w:szCs w:val="22"/>
          <w:lang w:val="es-MX"/>
        </w:rPr>
        <w:t>.</w:t>
      </w:r>
    </w:p>
    <w:p w:rsidR="00DD243C" w:rsidRPr="00490B75" w:rsidRDefault="00DD243C" w:rsidP="00DD243C">
      <w:pPr>
        <w:pStyle w:val="Sansinterligne"/>
        <w:spacing w:line="360" w:lineRule="auto"/>
        <w:ind w:left="720"/>
        <w:jc w:val="both"/>
        <w:rPr>
          <w:rFonts w:ascii="Georgia" w:hAnsi="Georgia" w:cs="Arial"/>
          <w:sz w:val="18"/>
        </w:rPr>
      </w:pPr>
    </w:p>
    <w:p w:rsidR="00840AAA" w:rsidRPr="00490B75" w:rsidRDefault="00840AAA" w:rsidP="00840AAA">
      <w:pPr>
        <w:pStyle w:val="Paragraphedeliste"/>
        <w:widowControl w:val="0"/>
        <w:numPr>
          <w:ilvl w:val="1"/>
          <w:numId w:val="4"/>
        </w:numPr>
        <w:autoSpaceDE w:val="0"/>
        <w:autoSpaceDN w:val="0"/>
        <w:adjustRightInd w:val="0"/>
        <w:spacing w:line="360" w:lineRule="auto"/>
        <w:jc w:val="both"/>
        <w:rPr>
          <w:rFonts w:ascii="Georgia" w:hAnsi="Georgia" w:cs="Arial"/>
          <w:lang w:val="es-MX"/>
        </w:rPr>
      </w:pPr>
      <w:r w:rsidRPr="00490B75">
        <w:rPr>
          <w:rFonts w:ascii="Georgia" w:hAnsi="Georgia" w:cs="Arial"/>
          <w:smallCaps/>
          <w:lang w:val="es-CO"/>
        </w:rPr>
        <w:t>Los presupuestos de viabilidad del recurso</w:t>
      </w:r>
      <w:r w:rsidRPr="00490B75">
        <w:rPr>
          <w:rFonts w:ascii="Georgia" w:hAnsi="Georgia" w:cs="Arial"/>
          <w:lang w:val="es-CO"/>
        </w:rPr>
        <w:t>. Siempre es indispensable la revisión de los supuestos de viabilidad del recurso, como rotula la doctrina</w:t>
      </w:r>
      <w:r w:rsidRPr="00490B75">
        <w:rPr>
          <w:rFonts w:ascii="Georgia" w:hAnsi="Georgia"/>
          <w:vertAlign w:val="superscript"/>
          <w:lang w:val="es-CO"/>
        </w:rPr>
        <w:footnoteReference w:id="1"/>
      </w:r>
      <w:r w:rsidRPr="00490B75">
        <w:rPr>
          <w:rFonts w:ascii="Georgia" w:hAnsi="Georgia" w:cs="Arial"/>
          <w:vertAlign w:val="superscript"/>
          <w:lang w:val="es-CO"/>
        </w:rPr>
        <w:t>-</w:t>
      </w:r>
      <w:r w:rsidRPr="00490B75">
        <w:rPr>
          <w:rFonts w:ascii="Georgia" w:hAnsi="Georgia"/>
          <w:vertAlign w:val="superscript"/>
          <w:lang w:val="es-CO"/>
        </w:rPr>
        <w:footnoteReference w:id="2"/>
      </w:r>
      <w:r w:rsidRPr="00490B75">
        <w:rPr>
          <w:rFonts w:ascii="Georgia" w:hAnsi="Georgia" w:cs="Arial"/>
          <w:lang w:val="es-CO"/>
        </w:rPr>
        <w:t xml:space="preserve">, a efectos de examinar el tema discutido por vía de apelación. </w:t>
      </w:r>
    </w:p>
    <w:p w:rsidR="00840AAA" w:rsidRPr="00490B75" w:rsidRDefault="00840AAA" w:rsidP="00840AAA">
      <w:pPr>
        <w:spacing w:line="360" w:lineRule="auto"/>
        <w:ind w:left="720"/>
        <w:jc w:val="both"/>
        <w:rPr>
          <w:rFonts w:ascii="Georgia" w:hAnsi="Georgia" w:cs="Arial"/>
          <w:sz w:val="22"/>
        </w:rPr>
      </w:pPr>
    </w:p>
    <w:p w:rsidR="00840AAA" w:rsidRPr="00490B75" w:rsidRDefault="00840AAA" w:rsidP="00840AAA">
      <w:pPr>
        <w:spacing w:line="360" w:lineRule="auto"/>
        <w:ind w:left="720"/>
        <w:jc w:val="both"/>
        <w:rPr>
          <w:rFonts w:ascii="Georgia" w:hAnsi="Georgia" w:cs="Arial"/>
          <w:lang w:val="es-MX"/>
        </w:rPr>
      </w:pPr>
      <w:r w:rsidRPr="00490B75">
        <w:rPr>
          <w:rFonts w:ascii="Georgia" w:hAnsi="Georgia" w:cs="Arial"/>
          <w:lang w:val="es-CO"/>
        </w:rPr>
        <w:t xml:space="preserve">Se dice que son ellos una serie de exigencias normativas formales que permiten su trámite y aseguran su decisión.  Y como anota el profesor López Blanco: </w:t>
      </w:r>
      <w:r w:rsidRPr="00490B75">
        <w:rPr>
          <w:rFonts w:ascii="Georgia" w:hAnsi="Georgia" w:cs="Arial"/>
          <w:sz w:val="22"/>
          <w:lang w:val="es-CO"/>
        </w:rPr>
        <w:t>“</w:t>
      </w:r>
      <w:r w:rsidRPr="00490B75">
        <w:rPr>
          <w:rFonts w:ascii="Georgia" w:hAnsi="Georgia" w:cs="Arial"/>
          <w:i/>
          <w:sz w:val="22"/>
          <w:lang w:val="es-CO"/>
        </w:rPr>
        <w:t xml:space="preserve">En todo caso sin estar reunidos los requisitos de viabilidad del recurso jamás se podrá tener </w:t>
      </w:r>
      <w:r w:rsidRPr="00490B75">
        <w:rPr>
          <w:rFonts w:ascii="Georgia" w:hAnsi="Georgia" w:cs="Arial"/>
          <w:i/>
          <w:sz w:val="22"/>
          <w:lang w:val="es-CO"/>
        </w:rPr>
        <w:lastRenderedPageBreak/>
        <w:t>éxito en el mismo por constituir un precedente necesario para decidirlo.</w:t>
      </w:r>
      <w:r w:rsidRPr="00490B75">
        <w:rPr>
          <w:rFonts w:ascii="Georgia" w:hAnsi="Georgia" w:cs="Arial"/>
          <w:sz w:val="22"/>
          <w:lang w:val="es-CO"/>
        </w:rPr>
        <w:t>”</w:t>
      </w:r>
      <w:r w:rsidRPr="00490B75">
        <w:rPr>
          <w:rFonts w:ascii="Georgia" w:hAnsi="Georgia" w:cs="Arial"/>
          <w:vertAlign w:val="superscript"/>
          <w:lang w:val="es-CO"/>
        </w:rPr>
        <w:footnoteReference w:id="3"/>
      </w:r>
      <w:r w:rsidRPr="00490B75">
        <w:rPr>
          <w:rFonts w:ascii="Georgia" w:hAnsi="Georgia" w:cs="Arial"/>
          <w:lang w:val="es-CO"/>
        </w:rPr>
        <w:t>. Idénticos términos expresa en su obra más reciente</w:t>
      </w:r>
      <w:r w:rsidRPr="00490B75">
        <w:rPr>
          <w:rFonts w:ascii="Georgia" w:hAnsi="Georgia" w:cs="Arial"/>
          <w:vertAlign w:val="superscript"/>
          <w:lang w:val="es-CO"/>
        </w:rPr>
        <w:footnoteReference w:id="4"/>
      </w:r>
      <w:r w:rsidRPr="00490B75">
        <w:rPr>
          <w:rFonts w:ascii="Georgia" w:hAnsi="Georgia" w:cs="Arial"/>
          <w:lang w:val="es-CO"/>
        </w:rPr>
        <w:t xml:space="preserve">. </w:t>
      </w:r>
    </w:p>
    <w:p w:rsidR="00840AAA" w:rsidRPr="00490B75" w:rsidRDefault="00840AAA" w:rsidP="00840AAA">
      <w:pPr>
        <w:spacing w:line="360" w:lineRule="auto"/>
        <w:ind w:left="720"/>
        <w:jc w:val="both"/>
        <w:rPr>
          <w:rFonts w:ascii="Georgia" w:hAnsi="Georgia" w:cs="Arial"/>
          <w:sz w:val="22"/>
        </w:rPr>
      </w:pPr>
    </w:p>
    <w:p w:rsidR="00840AAA" w:rsidRPr="00490B75" w:rsidRDefault="00840AAA" w:rsidP="00840AAA">
      <w:pPr>
        <w:spacing w:line="360" w:lineRule="auto"/>
        <w:ind w:left="720"/>
        <w:jc w:val="both"/>
        <w:rPr>
          <w:rFonts w:ascii="Georgia" w:hAnsi="Georgia" w:cs="Arial"/>
          <w:lang w:val="es-MX"/>
        </w:rPr>
      </w:pPr>
      <w:r w:rsidRPr="00490B75">
        <w:rPr>
          <w:rFonts w:ascii="Georgia" w:hAnsi="Georgia" w:cs="Arial"/>
          <w:lang w:val="es-CO"/>
        </w:rPr>
        <w:t>Y lo explica el profesor Rojas Gómez</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840AAA" w:rsidRPr="00490B75" w:rsidRDefault="00840AAA" w:rsidP="00840AAA">
      <w:pPr>
        <w:spacing w:line="360" w:lineRule="auto"/>
        <w:ind w:left="720"/>
        <w:jc w:val="both"/>
        <w:rPr>
          <w:rFonts w:ascii="Georgia" w:hAnsi="Georgia" w:cs="Arial"/>
          <w:sz w:val="22"/>
        </w:rPr>
      </w:pPr>
    </w:p>
    <w:p w:rsidR="00490B75" w:rsidRPr="00490B75" w:rsidRDefault="00840AAA" w:rsidP="00840AAA">
      <w:pPr>
        <w:spacing w:line="360" w:lineRule="auto"/>
        <w:ind w:left="720"/>
        <w:jc w:val="both"/>
        <w:rPr>
          <w:rFonts w:ascii="Georgia" w:hAnsi="Georgia" w:cs="Arial"/>
        </w:rPr>
      </w:pPr>
      <w:r w:rsidRPr="00490B75">
        <w:rPr>
          <w:rFonts w:ascii="Georgia" w:hAnsi="Georgia" w:cs="Arial"/>
        </w:rPr>
        <w:t xml:space="preserve">Los requisitos son concurrentes, ausente uno debe desecharse el estudio de la impugnación. Para este caso se encuentran cumplidos, hay legitimación en la parte que recurre porque hay mengua de sus intereses con la decisión atacada, el recurso es tempestivo, </w:t>
      </w:r>
      <w:r w:rsidR="00490B75" w:rsidRPr="00490B75">
        <w:rPr>
          <w:rFonts w:ascii="Georgia" w:hAnsi="Georgia" w:cs="Arial"/>
        </w:rPr>
        <w:t xml:space="preserve"> </w:t>
      </w:r>
      <w:r w:rsidRPr="00490B75">
        <w:rPr>
          <w:rFonts w:ascii="Georgia" w:hAnsi="Georgia" w:cs="Arial"/>
        </w:rPr>
        <w:t xml:space="preserve">la </w:t>
      </w:r>
      <w:r w:rsidR="00490B75" w:rsidRPr="00490B75">
        <w:rPr>
          <w:rFonts w:ascii="Georgia" w:hAnsi="Georgia" w:cs="Arial"/>
        </w:rPr>
        <w:t xml:space="preserve"> </w:t>
      </w:r>
      <w:r w:rsidRPr="00490B75">
        <w:rPr>
          <w:rFonts w:ascii="Georgia" w:hAnsi="Georgia" w:cs="Arial"/>
        </w:rPr>
        <w:t xml:space="preserve">aludida </w:t>
      </w:r>
      <w:r w:rsidR="00490B75" w:rsidRPr="00490B75">
        <w:rPr>
          <w:rFonts w:ascii="Georgia" w:hAnsi="Georgia" w:cs="Arial"/>
        </w:rPr>
        <w:t xml:space="preserve"> </w:t>
      </w:r>
      <w:r w:rsidRPr="00490B75">
        <w:rPr>
          <w:rFonts w:ascii="Georgia" w:hAnsi="Georgia" w:cs="Arial"/>
        </w:rPr>
        <w:t>providencia es susceptible de apelación (</w:t>
      </w:r>
      <w:r w:rsidR="00F2227D" w:rsidRPr="00490B75">
        <w:rPr>
          <w:rFonts w:ascii="Georgia" w:hAnsi="Georgia" w:cs="Arial"/>
        </w:rPr>
        <w:t>321-5º</w:t>
      </w:r>
      <w:r w:rsidRPr="00490B75">
        <w:rPr>
          <w:rFonts w:ascii="Georgia" w:hAnsi="Georgia" w:cs="Arial"/>
        </w:rPr>
        <w:t xml:space="preserve">, </w:t>
      </w:r>
      <w:proofErr w:type="spellStart"/>
      <w:r w:rsidRPr="00490B75">
        <w:rPr>
          <w:rFonts w:ascii="Georgia" w:hAnsi="Georgia" w:cs="Arial"/>
        </w:rPr>
        <w:t>CGP</w:t>
      </w:r>
      <w:proofErr w:type="spellEnd"/>
      <w:r w:rsidRPr="00490B75">
        <w:rPr>
          <w:rFonts w:ascii="Georgia" w:hAnsi="Georgia" w:cs="Arial"/>
        </w:rPr>
        <w:t xml:space="preserve">) y </w:t>
      </w:r>
    </w:p>
    <w:p w:rsidR="0015042A" w:rsidRPr="00490B75" w:rsidRDefault="00840AAA" w:rsidP="00840AAA">
      <w:pPr>
        <w:spacing w:line="360" w:lineRule="auto"/>
        <w:ind w:left="720"/>
        <w:jc w:val="both"/>
        <w:rPr>
          <w:rFonts w:ascii="Georgia" w:hAnsi="Georgia" w:cs="Arial"/>
        </w:rPr>
      </w:pPr>
      <w:r w:rsidRPr="00490B75">
        <w:rPr>
          <w:rFonts w:ascii="Georgia" w:hAnsi="Georgia" w:cs="Arial"/>
        </w:rPr>
        <w:t xml:space="preserve">está cumplida la carga procesal de la sustentación (Artículo 322-3º, </w:t>
      </w:r>
      <w:proofErr w:type="spellStart"/>
      <w:r w:rsidRPr="00490B75">
        <w:rPr>
          <w:rFonts w:ascii="Georgia" w:hAnsi="Georgia" w:cs="Arial"/>
        </w:rPr>
        <w:t>CGP</w:t>
      </w:r>
      <w:proofErr w:type="spellEnd"/>
      <w:r w:rsidRPr="00490B75">
        <w:rPr>
          <w:rFonts w:ascii="Georgia" w:hAnsi="Georgia" w:cs="Arial"/>
        </w:rPr>
        <w:t>).</w:t>
      </w:r>
    </w:p>
    <w:p w:rsidR="00840AAA" w:rsidRPr="00490B75" w:rsidRDefault="00840AAA" w:rsidP="00840AAA">
      <w:pPr>
        <w:spacing w:line="360" w:lineRule="auto"/>
        <w:ind w:left="720"/>
        <w:jc w:val="both"/>
        <w:rPr>
          <w:rFonts w:ascii="Georgia" w:hAnsi="Georgia" w:cs="Arial"/>
          <w:sz w:val="20"/>
        </w:rPr>
      </w:pPr>
    </w:p>
    <w:p w:rsidR="00BE1397" w:rsidRPr="00490B75" w:rsidRDefault="00BE1397" w:rsidP="00BE1397">
      <w:pPr>
        <w:pStyle w:val="Paragraphedeliste"/>
        <w:widowControl w:val="0"/>
        <w:numPr>
          <w:ilvl w:val="1"/>
          <w:numId w:val="4"/>
        </w:numPr>
        <w:autoSpaceDE w:val="0"/>
        <w:autoSpaceDN w:val="0"/>
        <w:adjustRightInd w:val="0"/>
        <w:spacing w:line="360" w:lineRule="auto"/>
        <w:jc w:val="both"/>
        <w:rPr>
          <w:rFonts w:ascii="Georgia" w:hAnsi="Georgia" w:cs="Arial"/>
          <w:szCs w:val="22"/>
          <w:lang w:val="es-CO"/>
        </w:rPr>
      </w:pPr>
      <w:r w:rsidRPr="00490B75">
        <w:rPr>
          <w:rFonts w:ascii="Georgia" w:hAnsi="Georgia" w:cs="Arial"/>
          <w:smallCaps/>
          <w:szCs w:val="26"/>
          <w:lang w:val="es-CO"/>
        </w:rPr>
        <w:t xml:space="preserve">El problema jurídico a resolver. </w:t>
      </w:r>
      <w:r w:rsidRPr="00490B75">
        <w:rPr>
          <w:rFonts w:ascii="Georgia" w:hAnsi="Georgia"/>
          <w:lang w:val="es-CO"/>
        </w:rPr>
        <w:t xml:space="preserve">¿Se debe revocar, modificar o confirmar el auto que </w:t>
      </w:r>
      <w:r w:rsidR="00C03370" w:rsidRPr="00490B75">
        <w:rPr>
          <w:rFonts w:ascii="Georgia" w:hAnsi="Georgia"/>
          <w:lang w:val="es-CO"/>
        </w:rPr>
        <w:t>negó el levantamiento de la medida de embargo y secuestro</w:t>
      </w:r>
      <w:r w:rsidR="001F19B4" w:rsidRPr="00490B75">
        <w:rPr>
          <w:rFonts w:ascii="Georgia" w:hAnsi="Georgia"/>
          <w:lang w:val="es-CO"/>
        </w:rPr>
        <w:t xml:space="preserve">, elaborada por </w:t>
      </w:r>
      <w:r w:rsidRPr="00490B75">
        <w:rPr>
          <w:rFonts w:ascii="Georgia" w:hAnsi="Georgia"/>
          <w:lang w:val="es-CO"/>
        </w:rPr>
        <w:t xml:space="preserve">el Juzgado </w:t>
      </w:r>
      <w:r w:rsidR="00C03370" w:rsidRPr="00490B75">
        <w:rPr>
          <w:rFonts w:ascii="Georgia" w:hAnsi="Georgia"/>
          <w:lang w:val="es-CO"/>
        </w:rPr>
        <w:t>Quinto Civil del Circuito de Pereira</w:t>
      </w:r>
      <w:r w:rsidRPr="00490B75">
        <w:rPr>
          <w:rFonts w:ascii="Georgia" w:hAnsi="Georgia"/>
          <w:lang w:val="es-CO"/>
        </w:rPr>
        <w:t xml:space="preserve">, según la argumentación de la apelación, interpuesta por la parte </w:t>
      </w:r>
      <w:proofErr w:type="spellStart"/>
      <w:r w:rsidR="00C03370" w:rsidRPr="00490B75">
        <w:rPr>
          <w:rFonts w:ascii="Georgia" w:hAnsi="Georgia"/>
          <w:lang w:val="es-CO"/>
        </w:rPr>
        <w:t>incidentante</w:t>
      </w:r>
      <w:proofErr w:type="spellEnd"/>
      <w:r w:rsidRPr="00490B75">
        <w:rPr>
          <w:rFonts w:ascii="Georgia" w:hAnsi="Georgia" w:cs="Arial"/>
          <w:szCs w:val="22"/>
          <w:lang w:val="es-CO"/>
        </w:rPr>
        <w:t>?</w:t>
      </w:r>
    </w:p>
    <w:p w:rsidR="001F19B4" w:rsidRPr="00490B75" w:rsidRDefault="001F19B4" w:rsidP="001F19B4">
      <w:pPr>
        <w:pStyle w:val="Paragraphedeliste"/>
        <w:widowControl w:val="0"/>
        <w:autoSpaceDE w:val="0"/>
        <w:autoSpaceDN w:val="0"/>
        <w:adjustRightInd w:val="0"/>
        <w:spacing w:line="360" w:lineRule="auto"/>
        <w:jc w:val="both"/>
        <w:rPr>
          <w:rFonts w:ascii="Georgia" w:hAnsi="Georgia" w:cs="Arial"/>
          <w:sz w:val="20"/>
          <w:szCs w:val="22"/>
          <w:lang w:val="es-CO"/>
        </w:rPr>
      </w:pPr>
    </w:p>
    <w:p w:rsidR="00CC11D5" w:rsidRPr="00490B75" w:rsidRDefault="00CC11D5" w:rsidP="00C60468">
      <w:pPr>
        <w:widowControl w:val="0"/>
        <w:numPr>
          <w:ilvl w:val="1"/>
          <w:numId w:val="4"/>
        </w:numPr>
        <w:overflowPunct w:val="0"/>
        <w:autoSpaceDE w:val="0"/>
        <w:autoSpaceDN w:val="0"/>
        <w:adjustRightInd w:val="0"/>
        <w:spacing w:line="360" w:lineRule="auto"/>
        <w:jc w:val="both"/>
        <w:rPr>
          <w:rFonts w:ascii="Georgia" w:hAnsi="Georgia" w:cs="Arial"/>
          <w:lang w:val="es-CO"/>
        </w:rPr>
      </w:pPr>
      <w:r w:rsidRPr="00490B75">
        <w:rPr>
          <w:rFonts w:ascii="Georgia" w:hAnsi="Georgia" w:cs="Arial"/>
          <w:smallCaps/>
          <w:sz w:val="26"/>
          <w:szCs w:val="26"/>
          <w:lang w:val="es-CO"/>
        </w:rPr>
        <w:t xml:space="preserve">La resolución del problema jurídico planteado. </w:t>
      </w:r>
      <w:r w:rsidRPr="00490B75">
        <w:rPr>
          <w:rFonts w:ascii="Georgia" w:hAnsi="Georgia" w:cs="Arial"/>
          <w:lang w:val="es-CO"/>
        </w:rPr>
        <w:t xml:space="preserve">Delimitados por el marco argumental formulado en la alzada, en acatamiento del artículo 328 del </w:t>
      </w:r>
      <w:proofErr w:type="spellStart"/>
      <w:r w:rsidRPr="00490B75">
        <w:rPr>
          <w:rFonts w:ascii="Georgia" w:hAnsi="Georgia" w:cs="Arial"/>
          <w:lang w:val="es-CO"/>
        </w:rPr>
        <w:t>CGP</w:t>
      </w:r>
      <w:proofErr w:type="spellEnd"/>
      <w:r w:rsidRPr="00490B75">
        <w:rPr>
          <w:rFonts w:ascii="Georgia" w:hAnsi="Georgia" w:cs="Arial"/>
          <w:lang w:val="es-CO"/>
        </w:rPr>
        <w:t>, se examinará el asunto litigioso, con desarrollo de los precisos aspectos cuestionados.</w:t>
      </w:r>
    </w:p>
    <w:p w:rsidR="003900EC" w:rsidRPr="00490B75" w:rsidRDefault="003900EC" w:rsidP="00D70128">
      <w:pPr>
        <w:pStyle w:val="Sansinterligne"/>
        <w:spacing w:line="360" w:lineRule="auto"/>
        <w:jc w:val="both"/>
        <w:rPr>
          <w:rFonts w:ascii="Georgia" w:hAnsi="Georgia" w:cs="Arial"/>
          <w:sz w:val="20"/>
          <w:szCs w:val="24"/>
        </w:rPr>
      </w:pPr>
    </w:p>
    <w:p w:rsidR="00C03370" w:rsidRPr="00490B75" w:rsidRDefault="00C03370" w:rsidP="00D70128">
      <w:pPr>
        <w:pStyle w:val="Sansinterligne"/>
        <w:numPr>
          <w:ilvl w:val="1"/>
          <w:numId w:val="4"/>
        </w:numPr>
        <w:spacing w:line="360" w:lineRule="auto"/>
        <w:jc w:val="both"/>
        <w:rPr>
          <w:rFonts w:ascii="Georgia" w:hAnsi="Georgia" w:cs="Arial"/>
          <w:smallCaps/>
          <w:sz w:val="24"/>
          <w:szCs w:val="24"/>
        </w:rPr>
      </w:pPr>
      <w:r w:rsidRPr="00490B75">
        <w:rPr>
          <w:rFonts w:ascii="Georgia" w:hAnsi="Georgia" w:cs="Arial"/>
          <w:smallCaps/>
          <w:sz w:val="24"/>
          <w:szCs w:val="24"/>
        </w:rPr>
        <w:t>Los presupuestos de la oposición</w:t>
      </w:r>
    </w:p>
    <w:p w:rsidR="00C03370" w:rsidRPr="00490B75" w:rsidRDefault="00C03370" w:rsidP="00D70128">
      <w:pPr>
        <w:pStyle w:val="Sansinterligne"/>
        <w:spacing w:line="360" w:lineRule="auto"/>
        <w:jc w:val="both"/>
        <w:rPr>
          <w:rFonts w:ascii="Georgia" w:hAnsi="Georgia" w:cs="Arial"/>
          <w:sz w:val="20"/>
          <w:szCs w:val="24"/>
        </w:rPr>
      </w:pPr>
    </w:p>
    <w:p w:rsidR="00C03370" w:rsidRPr="00490B75" w:rsidRDefault="00C03370" w:rsidP="00D70128">
      <w:pPr>
        <w:pStyle w:val="Sansinterligne"/>
        <w:spacing w:line="360" w:lineRule="auto"/>
        <w:jc w:val="both"/>
        <w:rPr>
          <w:rFonts w:ascii="Georgia" w:hAnsi="Georgia" w:cs="Arial"/>
          <w:sz w:val="24"/>
          <w:szCs w:val="24"/>
        </w:rPr>
      </w:pPr>
      <w:r w:rsidRPr="00490B75">
        <w:rPr>
          <w:rFonts w:ascii="Georgia" w:hAnsi="Georgia" w:cs="Arial"/>
          <w:sz w:val="24"/>
          <w:szCs w:val="24"/>
        </w:rPr>
        <w:t>Los requisitos son concurrentes y necesarios, para declarar la prosperidad de la oposición</w:t>
      </w:r>
      <w:r w:rsidRPr="00490B75">
        <w:rPr>
          <w:rFonts w:ascii="Georgia" w:hAnsi="Georgia" w:cs="Arial"/>
          <w:sz w:val="24"/>
          <w:szCs w:val="24"/>
          <w:vertAlign w:val="superscript"/>
        </w:rPr>
        <w:footnoteReference w:id="6"/>
      </w:r>
      <w:r w:rsidRPr="00490B75">
        <w:rPr>
          <w:rFonts w:ascii="Georgia" w:hAnsi="Georgia" w:cs="Arial"/>
          <w:sz w:val="24"/>
          <w:szCs w:val="24"/>
        </w:rPr>
        <w:t xml:space="preserve">; ausente uno se malogra su configuración.  Emergen del contenido del artículo 687-8º, </w:t>
      </w:r>
      <w:proofErr w:type="spellStart"/>
      <w:r w:rsidRPr="00490B75">
        <w:rPr>
          <w:rFonts w:ascii="Georgia" w:hAnsi="Georgia" w:cs="Arial"/>
          <w:sz w:val="24"/>
          <w:szCs w:val="24"/>
        </w:rPr>
        <w:t>CPC</w:t>
      </w:r>
      <w:proofErr w:type="spellEnd"/>
      <w:r w:rsidRPr="00490B75">
        <w:rPr>
          <w:rFonts w:ascii="Georgia" w:hAnsi="Georgia" w:cs="Arial"/>
          <w:sz w:val="24"/>
          <w:szCs w:val="24"/>
        </w:rPr>
        <w:t>, son cinco (5), a saber: (i) Que el incidente sea promovido por un tercero, esto es, que no tenga la calidad de parte en el litigio y por ende, sea ajeno a las consecuencias jurídicas que de él puedan derivarse; (ii) Que si se trata de un proceso de ejecución no se haya efectuado el remate del bien; (iii) Que el incidente sea promovido dentro del término legal; (iv) Que se preste oportunamente la caución exigida; (v) Que el tercero demuestre posesión material sobre el bien, para la época del secuestro.</w:t>
      </w:r>
    </w:p>
    <w:p w:rsidR="000A5F71" w:rsidRPr="00490B75" w:rsidRDefault="000A5F71" w:rsidP="00BF3114">
      <w:pPr>
        <w:pStyle w:val="Sansinterligne"/>
        <w:spacing w:line="360" w:lineRule="auto"/>
        <w:jc w:val="both"/>
        <w:rPr>
          <w:rFonts w:ascii="Georgia" w:hAnsi="Georgia" w:cs="Arial"/>
          <w:sz w:val="20"/>
          <w:szCs w:val="24"/>
        </w:rPr>
      </w:pPr>
    </w:p>
    <w:p w:rsidR="00F16DE2" w:rsidRPr="00490B75" w:rsidRDefault="00F16DE2" w:rsidP="00EA7041">
      <w:pPr>
        <w:pStyle w:val="Paragraphedeliste"/>
        <w:widowControl w:val="0"/>
        <w:numPr>
          <w:ilvl w:val="1"/>
          <w:numId w:val="4"/>
        </w:numPr>
        <w:overflowPunct w:val="0"/>
        <w:autoSpaceDE w:val="0"/>
        <w:autoSpaceDN w:val="0"/>
        <w:adjustRightInd w:val="0"/>
        <w:spacing w:line="360" w:lineRule="auto"/>
        <w:jc w:val="both"/>
        <w:rPr>
          <w:rFonts w:ascii="Georgia" w:hAnsi="Georgia" w:cs="Arial"/>
          <w:smallCaps/>
        </w:rPr>
      </w:pPr>
      <w:r w:rsidRPr="00490B75">
        <w:rPr>
          <w:rFonts w:ascii="Georgia" w:hAnsi="Georgia" w:cs="Arial"/>
          <w:smallCaps/>
        </w:rPr>
        <w:t>El análisis del caso</w:t>
      </w:r>
    </w:p>
    <w:p w:rsidR="00CA0ECE" w:rsidRPr="00490B75" w:rsidRDefault="00CA0ECE" w:rsidP="00CA0ECE">
      <w:pPr>
        <w:pStyle w:val="Paragraphedeliste"/>
        <w:tabs>
          <w:tab w:val="left" w:pos="360"/>
        </w:tabs>
        <w:spacing w:line="360" w:lineRule="auto"/>
        <w:ind w:left="0"/>
        <w:jc w:val="both"/>
        <w:rPr>
          <w:rFonts w:ascii="Georgia" w:hAnsi="Georgia" w:cs="Arial"/>
          <w:sz w:val="20"/>
          <w:szCs w:val="22"/>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lang w:val="es-CO"/>
        </w:rPr>
      </w:pPr>
      <w:r w:rsidRPr="00490B75">
        <w:rPr>
          <w:rFonts w:ascii="Georgia" w:hAnsi="Georgia" w:cs="Arial"/>
        </w:rPr>
        <w:t>Habrá de confirmarse la decisión interlocutoria impugnada,</w:t>
      </w:r>
      <w:r w:rsidR="00F2227D" w:rsidRPr="00490B75">
        <w:rPr>
          <w:rFonts w:ascii="Georgia" w:hAnsi="Georgia" w:cs="Arial"/>
        </w:rPr>
        <w:t xml:space="preserve"> pero con apoyo </w:t>
      </w:r>
      <w:r w:rsidRPr="00490B75">
        <w:rPr>
          <w:rFonts w:ascii="Georgia" w:hAnsi="Georgia" w:cs="Arial"/>
        </w:rPr>
        <w:t xml:space="preserve">en los planteamientos jurídicos </w:t>
      </w:r>
      <w:r w:rsidR="00F2227D" w:rsidRPr="00490B75">
        <w:rPr>
          <w:rFonts w:ascii="Georgia" w:hAnsi="Georgia" w:cs="Arial"/>
        </w:rPr>
        <w:t>que a continuación se expondrán</w:t>
      </w:r>
      <w:r w:rsidRPr="00490B75">
        <w:rPr>
          <w:rFonts w:ascii="Georgia" w:hAnsi="Georgia" w:cs="Arial"/>
        </w:rPr>
        <w:t xml:space="preserve">, habida consideración de que </w:t>
      </w:r>
      <w:r w:rsidR="00F2227D" w:rsidRPr="00490B75">
        <w:rPr>
          <w:rFonts w:ascii="Georgia" w:hAnsi="Georgia" w:cs="Arial"/>
        </w:rPr>
        <w:t xml:space="preserve">serán suficientes para el fracaso de las pretensiones del impugnante, atendiendo que </w:t>
      </w:r>
      <w:r w:rsidR="00324435" w:rsidRPr="00490B75">
        <w:rPr>
          <w:rFonts w:ascii="Georgia" w:hAnsi="Georgia" w:cs="Arial"/>
        </w:rPr>
        <w:t xml:space="preserve">se </w:t>
      </w:r>
      <w:r w:rsidR="00F2227D" w:rsidRPr="00490B75">
        <w:rPr>
          <w:rFonts w:ascii="Georgia" w:hAnsi="Georgia" w:cs="Arial"/>
        </w:rPr>
        <w:t xml:space="preserve">dejó de probar el </w:t>
      </w:r>
      <w:r w:rsidR="00324435" w:rsidRPr="00490B75">
        <w:rPr>
          <w:rFonts w:ascii="Georgia" w:hAnsi="Georgia" w:cs="Arial"/>
        </w:rPr>
        <w:t>primer</w:t>
      </w:r>
      <w:r w:rsidR="00F2227D" w:rsidRPr="00490B75">
        <w:rPr>
          <w:rFonts w:ascii="Georgia" w:hAnsi="Georgia" w:cs="Arial"/>
        </w:rPr>
        <w:t xml:space="preserve"> presupuesto </w:t>
      </w:r>
      <w:r w:rsidR="00324435" w:rsidRPr="00490B75">
        <w:rPr>
          <w:rFonts w:ascii="Georgia" w:hAnsi="Georgia" w:cs="Arial"/>
        </w:rPr>
        <w:t xml:space="preserve">para que la </w:t>
      </w:r>
      <w:r w:rsidR="00F2227D" w:rsidRPr="00490B75">
        <w:rPr>
          <w:rFonts w:ascii="Georgia" w:hAnsi="Georgia" w:cs="Arial"/>
        </w:rPr>
        <w:t xml:space="preserve">oposición </w:t>
      </w:r>
      <w:r w:rsidR="00324435" w:rsidRPr="00490B75">
        <w:rPr>
          <w:rFonts w:ascii="Georgia" w:hAnsi="Georgia" w:cs="Arial"/>
        </w:rPr>
        <w:t>triunfara</w:t>
      </w:r>
      <w:r w:rsidRPr="00490B75">
        <w:rPr>
          <w:rFonts w:ascii="Georgia" w:hAnsi="Georgia" w:cs="Arial"/>
        </w:rPr>
        <w:t>.</w:t>
      </w: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 w:val="20"/>
        </w:rPr>
      </w:pPr>
    </w:p>
    <w:p w:rsidR="000B7EEC" w:rsidRPr="00490B75" w:rsidRDefault="00324435" w:rsidP="000B7EEC">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 xml:space="preserve">En este asunto es evidente que quien alegó la posesión </w:t>
      </w:r>
      <w:r w:rsidR="000B7EEC" w:rsidRPr="00490B75">
        <w:rPr>
          <w:rFonts w:ascii="Georgia" w:hAnsi="Georgia" w:cs="Arial"/>
        </w:rPr>
        <w:t xml:space="preserve">deriva tal derecho de quienes </w:t>
      </w:r>
      <w:r w:rsidRPr="00490B75">
        <w:rPr>
          <w:rFonts w:ascii="Georgia" w:hAnsi="Georgia" w:cs="Arial"/>
        </w:rPr>
        <w:t xml:space="preserve">integran </w:t>
      </w:r>
      <w:r w:rsidR="000B7EEC" w:rsidRPr="00490B75">
        <w:rPr>
          <w:rFonts w:ascii="Georgia" w:hAnsi="Georgia" w:cs="Arial"/>
        </w:rPr>
        <w:t xml:space="preserve">la parte ejecutada en el proceso hipotecario, donde justamente se hace valer la garantía hipotecaria. </w:t>
      </w:r>
      <w:r w:rsidRPr="00490B75">
        <w:rPr>
          <w:rFonts w:ascii="Georgia" w:hAnsi="Georgia" w:cs="Arial"/>
        </w:rPr>
        <w:t>E</w:t>
      </w:r>
      <w:r w:rsidR="000B7EEC" w:rsidRPr="00490B75">
        <w:rPr>
          <w:rFonts w:ascii="Georgia" w:hAnsi="Georgia" w:cs="Arial"/>
        </w:rPr>
        <w:t xml:space="preserve">l primer supuesto, que es de fondo, consiste en que se legitima para postular la súplica opositora a la cautela, quien sea tercero, es decir, </w:t>
      </w:r>
      <w:r w:rsidR="000B7EEC" w:rsidRPr="00490B75">
        <w:rPr>
          <w:rFonts w:ascii="Georgia" w:hAnsi="Georgia" w:cs="Arial"/>
          <w:u w:val="single"/>
        </w:rPr>
        <w:t xml:space="preserve">ajeno a las partes trabadas en la </w:t>
      </w:r>
      <w:proofErr w:type="spellStart"/>
      <w:r w:rsidR="000B7EEC" w:rsidRPr="00490B75">
        <w:rPr>
          <w:rFonts w:ascii="Georgia" w:hAnsi="Georgia" w:cs="Arial"/>
          <w:u w:val="single"/>
        </w:rPr>
        <w:t>litis</w:t>
      </w:r>
      <w:proofErr w:type="spellEnd"/>
      <w:r w:rsidR="000B7EEC" w:rsidRPr="00490B75">
        <w:rPr>
          <w:rFonts w:ascii="Georgia" w:hAnsi="Georgia" w:cs="Arial"/>
        </w:rPr>
        <w:t>.</w:t>
      </w: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 w:val="20"/>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Si bien el Estatuto Procesal Adjetivo omite una noción sobre quién es parte y quién tercero, lo cierto es que la doctrina nacional se inclina</w:t>
      </w:r>
      <w:r w:rsidR="00490B75" w:rsidRPr="00490B75">
        <w:rPr>
          <w:rFonts w:ascii="Georgia" w:hAnsi="Georgia" w:cs="Arial"/>
        </w:rPr>
        <w:t xml:space="preserve"> para entender que son aquellos </w:t>
      </w:r>
      <w:r w:rsidRPr="00490B75">
        <w:rPr>
          <w:rFonts w:ascii="Georgia" w:hAnsi="Georgia" w:cs="Arial"/>
        </w:rPr>
        <w:t>que no tienen la calidad de demandante o demandado procesal</w:t>
      </w:r>
      <w:r w:rsidRPr="00490B75">
        <w:rPr>
          <w:rStyle w:val="Appelnotedebasdep"/>
          <w:rFonts w:ascii="Georgia" w:hAnsi="Georgia"/>
        </w:rPr>
        <w:footnoteReference w:id="7"/>
      </w:r>
      <w:r w:rsidRPr="00490B75">
        <w:rPr>
          <w:rFonts w:ascii="Georgia" w:hAnsi="Georgia" w:cs="Arial"/>
        </w:rPr>
        <w:t xml:space="preserve">, y su participación en el litigio obedece a factores diferentes a los de aquellas. Ninguna discusión ofrece que </w:t>
      </w:r>
      <w:r w:rsidR="00324435" w:rsidRPr="00490B75">
        <w:rPr>
          <w:rFonts w:ascii="Georgia" w:hAnsi="Georgia" w:cs="Arial"/>
        </w:rPr>
        <w:t>el pretenso opositor</w:t>
      </w:r>
      <w:r w:rsidR="00707270">
        <w:rPr>
          <w:rFonts w:ascii="Georgia" w:hAnsi="Georgia" w:cs="Arial"/>
        </w:rPr>
        <w:t xml:space="preserve"> “adquirió sus </w:t>
      </w:r>
      <w:r w:rsidRPr="00490B75">
        <w:rPr>
          <w:rFonts w:ascii="Georgia" w:hAnsi="Georgia" w:cs="Arial"/>
        </w:rPr>
        <w:t xml:space="preserve">derechos” </w:t>
      </w:r>
      <w:r w:rsidR="00324435" w:rsidRPr="00490B75">
        <w:rPr>
          <w:rFonts w:ascii="Georgia" w:hAnsi="Georgia" w:cs="Arial"/>
        </w:rPr>
        <w:t xml:space="preserve">de los señores Luz Patricia Gómez </w:t>
      </w:r>
      <w:proofErr w:type="spellStart"/>
      <w:r w:rsidR="00324435" w:rsidRPr="00490B75">
        <w:rPr>
          <w:rFonts w:ascii="Georgia" w:hAnsi="Georgia" w:cs="Arial"/>
        </w:rPr>
        <w:t>Echeverrry</w:t>
      </w:r>
      <w:proofErr w:type="spellEnd"/>
      <w:r w:rsidR="00324435" w:rsidRPr="00490B75">
        <w:rPr>
          <w:rFonts w:ascii="Georgia" w:hAnsi="Georgia" w:cs="Arial"/>
        </w:rPr>
        <w:t xml:space="preserve"> y Horacio Roberto </w:t>
      </w:r>
      <w:proofErr w:type="spellStart"/>
      <w:r w:rsidR="00324435" w:rsidRPr="00490B75">
        <w:rPr>
          <w:rFonts w:ascii="Georgia" w:hAnsi="Georgia" w:cs="Arial"/>
        </w:rPr>
        <w:t>Vialpando</w:t>
      </w:r>
      <w:proofErr w:type="spellEnd"/>
      <w:r w:rsidRPr="00490B75">
        <w:rPr>
          <w:rFonts w:ascii="Georgia" w:hAnsi="Georgia" w:cs="Arial"/>
        </w:rPr>
        <w:t>, ejecutado</w:t>
      </w:r>
      <w:r w:rsidR="00324435" w:rsidRPr="00490B75">
        <w:rPr>
          <w:rFonts w:ascii="Georgia" w:hAnsi="Georgia" w:cs="Arial"/>
        </w:rPr>
        <w:t>s</w:t>
      </w:r>
      <w:r w:rsidRPr="00490B75">
        <w:rPr>
          <w:rFonts w:ascii="Georgia" w:hAnsi="Georgia" w:cs="Arial"/>
        </w:rPr>
        <w:t xml:space="preserve"> en este proceso, por ende, es su causahabiente, calidad que en nada se desfigura porque actúe de buena fe, como sostiene el procurador judicial recurrente. </w:t>
      </w:r>
      <w:r w:rsidRPr="00490B75">
        <w:rPr>
          <w:rFonts w:ascii="Georgia" w:hAnsi="Georgia" w:cs="Arial"/>
          <w:u w:val="single"/>
        </w:rPr>
        <w:t xml:space="preserve">Nótese que </w:t>
      </w:r>
      <w:r w:rsidRPr="00490B75">
        <w:rPr>
          <w:rFonts w:ascii="Georgia" w:hAnsi="Georgia" w:cs="Arial"/>
          <w:b/>
          <w:u w:val="single"/>
        </w:rPr>
        <w:t>no</w:t>
      </w:r>
      <w:r w:rsidR="00324435" w:rsidRPr="00490B75">
        <w:rPr>
          <w:rFonts w:ascii="Georgia" w:hAnsi="Georgia" w:cs="Arial"/>
          <w:u w:val="single"/>
        </w:rPr>
        <w:t xml:space="preserve"> es ajeno</w:t>
      </w:r>
      <w:r w:rsidRPr="00490B75">
        <w:rPr>
          <w:rFonts w:ascii="Georgia" w:hAnsi="Georgia" w:cs="Arial"/>
          <w:u w:val="single"/>
        </w:rPr>
        <w:t xml:space="preserve"> </w:t>
      </w:r>
      <w:r w:rsidR="00324435" w:rsidRPr="00490B75">
        <w:rPr>
          <w:rFonts w:ascii="Georgia" w:hAnsi="Georgia" w:cs="Arial"/>
          <w:u w:val="single"/>
        </w:rPr>
        <w:t xml:space="preserve">a los </w:t>
      </w:r>
      <w:r w:rsidRPr="00490B75">
        <w:rPr>
          <w:rFonts w:ascii="Georgia" w:hAnsi="Georgia" w:cs="Arial"/>
          <w:u w:val="single"/>
        </w:rPr>
        <w:t>ejecutado</w:t>
      </w:r>
      <w:r w:rsidR="00324435" w:rsidRPr="00490B75">
        <w:rPr>
          <w:rFonts w:ascii="Georgia" w:hAnsi="Georgia" w:cs="Arial"/>
          <w:u w:val="single"/>
        </w:rPr>
        <w:t>s</w:t>
      </w:r>
      <w:r w:rsidRPr="00490B75">
        <w:rPr>
          <w:rFonts w:ascii="Georgia" w:hAnsi="Georgia" w:cs="Arial"/>
        </w:rPr>
        <w:t>.</w:t>
      </w:r>
    </w:p>
    <w:p w:rsidR="00324435" w:rsidRPr="00490B75" w:rsidRDefault="00324435" w:rsidP="000B7EEC">
      <w:pPr>
        <w:overflowPunct w:val="0"/>
        <w:autoSpaceDE w:val="0"/>
        <w:autoSpaceDN w:val="0"/>
        <w:adjustRightInd w:val="0"/>
        <w:spacing w:line="360" w:lineRule="auto"/>
        <w:jc w:val="both"/>
        <w:textAlignment w:val="baseline"/>
        <w:rPr>
          <w:rFonts w:ascii="Georgia" w:hAnsi="Georgia" w:cs="Arial"/>
          <w:sz w:val="22"/>
        </w:rPr>
      </w:pPr>
    </w:p>
    <w:p w:rsidR="00707270" w:rsidRDefault="007E2632" w:rsidP="007E2632">
      <w:pPr>
        <w:spacing w:line="360" w:lineRule="auto"/>
        <w:jc w:val="both"/>
        <w:textAlignment w:val="baseline"/>
        <w:rPr>
          <w:rFonts w:ascii="Georgia" w:hAnsi="Georgia" w:cs="Arial"/>
        </w:rPr>
      </w:pPr>
      <w:r w:rsidRPr="00490B75">
        <w:rPr>
          <w:rFonts w:ascii="Georgia" w:hAnsi="Georgia" w:cs="Arial"/>
        </w:rPr>
        <w:t xml:space="preserve">En efecto, </w:t>
      </w:r>
      <w:r w:rsidR="00707270">
        <w:rPr>
          <w:rFonts w:ascii="Georgia" w:hAnsi="Georgia" w:cs="Arial"/>
        </w:rPr>
        <w:t xml:space="preserve">se encuentra probado que el </w:t>
      </w:r>
      <w:proofErr w:type="spellStart"/>
      <w:r w:rsidR="00707270">
        <w:rPr>
          <w:rFonts w:ascii="Georgia" w:hAnsi="Georgia" w:cs="Arial"/>
        </w:rPr>
        <w:t>opugnante</w:t>
      </w:r>
      <w:proofErr w:type="spellEnd"/>
      <w:r w:rsidR="00707270">
        <w:rPr>
          <w:rFonts w:ascii="Georgia" w:hAnsi="Georgia" w:cs="Arial"/>
        </w:rPr>
        <w:t xml:space="preserve"> como mandante de los ejecutados </w:t>
      </w:r>
      <w:r w:rsidR="00707270" w:rsidRPr="00490B75">
        <w:rPr>
          <w:rFonts w:ascii="Georgia" w:hAnsi="Georgia" w:cs="Arial"/>
        </w:rPr>
        <w:t xml:space="preserve">suscribió </w:t>
      </w:r>
      <w:r w:rsidR="00707270">
        <w:rPr>
          <w:rFonts w:ascii="Georgia" w:hAnsi="Georgia" w:cs="Arial"/>
        </w:rPr>
        <w:t xml:space="preserve">en su nombre las </w:t>
      </w:r>
      <w:r w:rsidR="00707270" w:rsidRPr="00490B75">
        <w:rPr>
          <w:rFonts w:ascii="Georgia" w:hAnsi="Georgia" w:cs="Arial"/>
        </w:rPr>
        <w:t>escritura</w:t>
      </w:r>
      <w:r w:rsidR="00707270">
        <w:rPr>
          <w:rFonts w:ascii="Georgia" w:hAnsi="Georgia" w:cs="Arial"/>
        </w:rPr>
        <w:t>s</w:t>
      </w:r>
      <w:r w:rsidR="00707270" w:rsidRPr="00490B75">
        <w:rPr>
          <w:rFonts w:ascii="Georgia" w:hAnsi="Georgia" w:cs="Arial"/>
        </w:rPr>
        <w:t xml:space="preserve"> de hipoteca y de aclaración, otorgadas los días 20-12-2007 y 13-03-2008 (Folios 29 a 58, cuaderno principal)</w:t>
      </w:r>
      <w:r w:rsidR="00B45D9F">
        <w:rPr>
          <w:rFonts w:ascii="Georgia" w:hAnsi="Georgia" w:cs="Arial"/>
        </w:rPr>
        <w:t xml:space="preserve"> y, recibió el inmueble en calidad de tenedor el día </w:t>
      </w:r>
      <w:r w:rsidR="00B45D9F" w:rsidRPr="00490B75">
        <w:rPr>
          <w:rFonts w:ascii="Georgia" w:hAnsi="Georgia" w:cs="Arial"/>
        </w:rPr>
        <w:t>el 15-09-2008</w:t>
      </w:r>
      <w:r w:rsidR="00B45D9F">
        <w:rPr>
          <w:rFonts w:ascii="Georgia" w:hAnsi="Georgia" w:cs="Arial"/>
        </w:rPr>
        <w:t>, según lo explica en el interrogatorio</w:t>
      </w:r>
      <w:r w:rsidR="005D722B">
        <w:rPr>
          <w:rFonts w:ascii="Georgia" w:hAnsi="Georgia" w:cs="Arial"/>
        </w:rPr>
        <w:t xml:space="preserve"> </w:t>
      </w:r>
      <w:r w:rsidR="00B45D9F">
        <w:rPr>
          <w:rFonts w:ascii="Georgia" w:hAnsi="Georgia" w:cs="Arial"/>
        </w:rPr>
        <w:t xml:space="preserve">(Folio 2, cuaderno </w:t>
      </w:r>
      <w:proofErr w:type="spellStart"/>
      <w:r w:rsidR="00B45D9F">
        <w:rPr>
          <w:rFonts w:ascii="Georgia" w:hAnsi="Georgia" w:cs="Arial"/>
        </w:rPr>
        <w:t>No.4</w:t>
      </w:r>
      <w:proofErr w:type="spellEnd"/>
      <w:r w:rsidR="00B45D9F">
        <w:rPr>
          <w:rFonts w:ascii="Georgia" w:hAnsi="Georgia" w:cs="Arial"/>
        </w:rPr>
        <w:t>).</w:t>
      </w:r>
    </w:p>
    <w:p w:rsidR="00B45D9F" w:rsidRDefault="00B45D9F" w:rsidP="007E2632">
      <w:pPr>
        <w:spacing w:line="360" w:lineRule="auto"/>
        <w:jc w:val="both"/>
        <w:textAlignment w:val="baseline"/>
        <w:rPr>
          <w:rFonts w:ascii="Georgia" w:hAnsi="Georgia" w:cs="Arial"/>
        </w:rPr>
      </w:pPr>
    </w:p>
    <w:p w:rsidR="00B45D9F" w:rsidRDefault="00B45D9F" w:rsidP="007E2632">
      <w:pPr>
        <w:spacing w:line="360" w:lineRule="auto"/>
        <w:jc w:val="both"/>
        <w:textAlignment w:val="baseline"/>
        <w:rPr>
          <w:rFonts w:ascii="Georgia" w:hAnsi="Georgia" w:cs="Arial"/>
        </w:rPr>
      </w:pPr>
      <w:r>
        <w:rPr>
          <w:rFonts w:ascii="Georgia" w:hAnsi="Georgia" w:cs="Arial"/>
        </w:rPr>
        <w:t>De otro lado</w:t>
      </w:r>
      <w:r w:rsidR="00CD2B5E">
        <w:rPr>
          <w:rFonts w:ascii="Georgia" w:hAnsi="Georgia" w:cs="Arial"/>
        </w:rPr>
        <w:t xml:space="preserve">, </w:t>
      </w:r>
      <w:r>
        <w:rPr>
          <w:rFonts w:ascii="Georgia" w:hAnsi="Georgia" w:cs="Arial"/>
        </w:rPr>
        <w:t xml:space="preserve">conforme a lo relatado por el </w:t>
      </w:r>
      <w:proofErr w:type="spellStart"/>
      <w:r w:rsidR="005D722B">
        <w:rPr>
          <w:rFonts w:ascii="Georgia" w:hAnsi="Georgia" w:cs="Arial"/>
        </w:rPr>
        <w:t>incident</w:t>
      </w:r>
      <w:r>
        <w:rPr>
          <w:rFonts w:ascii="Georgia" w:hAnsi="Georgia" w:cs="Arial"/>
        </w:rPr>
        <w:t>ante</w:t>
      </w:r>
      <w:proofErr w:type="spellEnd"/>
      <w:r w:rsidR="005D722B">
        <w:rPr>
          <w:rFonts w:ascii="Georgia" w:hAnsi="Georgia" w:cs="Arial"/>
        </w:rPr>
        <w:t>,</w:t>
      </w:r>
      <w:r>
        <w:rPr>
          <w:rFonts w:ascii="Georgia" w:hAnsi="Georgia" w:cs="Arial"/>
        </w:rPr>
        <w:t xml:space="preserve"> </w:t>
      </w:r>
      <w:r w:rsidR="00CD2B5E">
        <w:rPr>
          <w:rFonts w:ascii="Georgia" w:hAnsi="Georgia" w:cs="Arial"/>
        </w:rPr>
        <w:t xml:space="preserve">se tiene </w:t>
      </w:r>
      <w:r>
        <w:rPr>
          <w:rFonts w:ascii="Georgia" w:hAnsi="Georgia" w:cs="Arial"/>
        </w:rPr>
        <w:t xml:space="preserve">que unilateralmente trastocó la calidad </w:t>
      </w:r>
      <w:r w:rsidR="00D92997">
        <w:rPr>
          <w:rFonts w:ascii="Georgia" w:hAnsi="Georgia" w:cs="Arial"/>
        </w:rPr>
        <w:t xml:space="preserve">de </w:t>
      </w:r>
      <w:r>
        <w:rPr>
          <w:rFonts w:ascii="Georgia" w:hAnsi="Georgia" w:cs="Arial"/>
        </w:rPr>
        <w:t xml:space="preserve">tenedor que inicialmente tenía para </w:t>
      </w:r>
      <w:r w:rsidR="00CD2B5E">
        <w:rPr>
          <w:rFonts w:ascii="Georgia" w:hAnsi="Georgia" w:cs="Arial"/>
        </w:rPr>
        <w:t>considerarse</w:t>
      </w:r>
      <w:r>
        <w:rPr>
          <w:rFonts w:ascii="Georgia" w:hAnsi="Georgia" w:cs="Arial"/>
        </w:rPr>
        <w:t xml:space="preserve"> poseedor del bien, ejerciendo actos de señor y dueño, </w:t>
      </w:r>
      <w:r w:rsidR="005C5342">
        <w:rPr>
          <w:rFonts w:ascii="Georgia" w:hAnsi="Georgia" w:cs="Arial"/>
        </w:rPr>
        <w:t xml:space="preserve">porque hizo </w:t>
      </w:r>
      <w:r>
        <w:rPr>
          <w:rFonts w:ascii="Georgia" w:hAnsi="Georgia" w:cs="Arial"/>
        </w:rPr>
        <w:t xml:space="preserve">mejoras necesarias y útiles con su propio peculio separado de la participación de los propietarios; claramente alega la </w:t>
      </w:r>
      <w:proofErr w:type="spellStart"/>
      <w:r>
        <w:rPr>
          <w:rFonts w:ascii="Georgia" w:hAnsi="Georgia" w:cs="Arial"/>
        </w:rPr>
        <w:t>interversión</w:t>
      </w:r>
      <w:proofErr w:type="spellEnd"/>
      <w:r>
        <w:rPr>
          <w:rFonts w:ascii="Georgia" w:hAnsi="Georgia" w:cs="Arial"/>
        </w:rPr>
        <w:t xml:space="preserve"> del título</w:t>
      </w:r>
      <w:r w:rsidR="00CD2B5E">
        <w:rPr>
          <w:rStyle w:val="Appelnotedebasdep"/>
          <w:rFonts w:ascii="Georgia" w:hAnsi="Georgia"/>
        </w:rPr>
        <w:footnoteReference w:id="8"/>
      </w:r>
      <w:r>
        <w:rPr>
          <w:rFonts w:ascii="Georgia" w:hAnsi="Georgia" w:cs="Arial"/>
        </w:rPr>
        <w:t xml:space="preserve"> de mera tenencia al de poseedor, en manifiesta </w:t>
      </w:r>
      <w:r w:rsidR="00CD2B5E">
        <w:rPr>
          <w:rFonts w:ascii="Georgia" w:hAnsi="Georgia" w:cs="Arial"/>
        </w:rPr>
        <w:t xml:space="preserve">sublevación </w:t>
      </w:r>
      <w:r>
        <w:rPr>
          <w:rFonts w:ascii="Georgia" w:hAnsi="Georgia" w:cs="Arial"/>
        </w:rPr>
        <w:t xml:space="preserve">al mandato original de los ejecutados. </w:t>
      </w:r>
    </w:p>
    <w:p w:rsidR="00707270" w:rsidRDefault="00707270" w:rsidP="007E2632">
      <w:pPr>
        <w:spacing w:line="360" w:lineRule="auto"/>
        <w:jc w:val="both"/>
        <w:textAlignment w:val="baseline"/>
        <w:rPr>
          <w:rFonts w:ascii="Georgia" w:hAnsi="Georgia" w:cs="Arial"/>
        </w:rPr>
      </w:pPr>
    </w:p>
    <w:p w:rsidR="007E2632" w:rsidRPr="00490B75" w:rsidRDefault="00CD2B5E" w:rsidP="007E2632">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Así las cosas, </w:t>
      </w:r>
      <w:r w:rsidR="007E2632" w:rsidRPr="00490B75">
        <w:rPr>
          <w:rFonts w:ascii="Georgia" w:hAnsi="Georgia" w:cs="Arial"/>
        </w:rPr>
        <w:t xml:space="preserve">la resistencia a la cautela se hace por quien </w:t>
      </w:r>
      <w:r w:rsidR="005D722B">
        <w:rPr>
          <w:rFonts w:ascii="Georgia" w:hAnsi="Georgia" w:cs="Arial"/>
        </w:rPr>
        <w:t xml:space="preserve">no </w:t>
      </w:r>
      <w:r w:rsidR="007E2632" w:rsidRPr="00490B75">
        <w:rPr>
          <w:rFonts w:ascii="Georgia" w:hAnsi="Georgia" w:cs="Arial"/>
        </w:rPr>
        <w:t xml:space="preserve">tiene un interés ajeno a la pretensión ejecutiva </w:t>
      </w:r>
      <w:r w:rsidR="005D722B">
        <w:rPr>
          <w:rFonts w:ascii="Georgia" w:hAnsi="Georgia" w:cs="Arial"/>
        </w:rPr>
        <w:t>de pago</w:t>
      </w:r>
      <w:r>
        <w:rPr>
          <w:rFonts w:ascii="Georgia" w:hAnsi="Georgia" w:cs="Arial"/>
        </w:rPr>
        <w:t xml:space="preserve"> con el bien hipotecado, toda vez que </w:t>
      </w:r>
      <w:r w:rsidR="005D722B">
        <w:rPr>
          <w:rFonts w:ascii="Georgia" w:hAnsi="Georgia" w:cs="Arial"/>
        </w:rPr>
        <w:t xml:space="preserve">siempre tuvo </w:t>
      </w:r>
      <w:r w:rsidR="005D722B">
        <w:rPr>
          <w:rFonts w:ascii="Georgia" w:hAnsi="Georgia" w:cs="Arial"/>
        </w:rPr>
        <w:lastRenderedPageBreak/>
        <w:t xml:space="preserve">conocimiento de la existencia del gravamen, inclusive, con anterioridad a considerarse su poseedor; el </w:t>
      </w:r>
      <w:r w:rsidR="007E2632" w:rsidRPr="00490B75">
        <w:rPr>
          <w:rFonts w:ascii="Georgia" w:hAnsi="Georgia" w:cs="Arial"/>
        </w:rPr>
        <w:t>origen de los derechos alegados</w:t>
      </w:r>
      <w:r w:rsidR="005D722B">
        <w:rPr>
          <w:rFonts w:ascii="Georgia" w:hAnsi="Georgia" w:cs="Arial"/>
        </w:rPr>
        <w:t xml:space="preserve"> </w:t>
      </w:r>
      <w:r>
        <w:rPr>
          <w:rFonts w:ascii="Georgia" w:hAnsi="Georgia" w:cs="Arial"/>
        </w:rPr>
        <w:t xml:space="preserve">deriva </w:t>
      </w:r>
      <w:r w:rsidR="005D722B">
        <w:rPr>
          <w:rFonts w:ascii="Georgia" w:hAnsi="Georgia" w:cs="Arial"/>
        </w:rPr>
        <w:t xml:space="preserve">del mandato dado por los </w:t>
      </w:r>
      <w:r w:rsidR="007E2632" w:rsidRPr="00490B75">
        <w:rPr>
          <w:rFonts w:ascii="Georgia" w:hAnsi="Georgia" w:cs="Arial"/>
        </w:rPr>
        <w:t>ejecutados</w:t>
      </w:r>
      <w:r w:rsidR="005D722B">
        <w:rPr>
          <w:rFonts w:ascii="Georgia" w:hAnsi="Georgia" w:cs="Arial"/>
        </w:rPr>
        <w:t xml:space="preserve"> </w:t>
      </w:r>
      <w:r>
        <w:rPr>
          <w:rFonts w:ascii="Georgia" w:hAnsi="Georgia" w:cs="Arial"/>
        </w:rPr>
        <w:t xml:space="preserve">frente al que el </w:t>
      </w:r>
      <w:r w:rsidR="005D722B">
        <w:rPr>
          <w:rFonts w:ascii="Georgia" w:hAnsi="Georgia" w:cs="Arial"/>
        </w:rPr>
        <w:t xml:space="preserve">actor se </w:t>
      </w:r>
      <w:r w:rsidR="005C5342">
        <w:rPr>
          <w:rFonts w:ascii="Georgia" w:hAnsi="Georgia" w:cs="Arial"/>
        </w:rPr>
        <w:t>rebeló</w:t>
      </w:r>
      <w:r w:rsidR="007E2632" w:rsidRPr="00490B75">
        <w:rPr>
          <w:rFonts w:ascii="Georgia" w:hAnsi="Georgia" w:cs="Arial"/>
        </w:rPr>
        <w:t>.</w:t>
      </w:r>
    </w:p>
    <w:p w:rsidR="00B83685" w:rsidRPr="00490B75" w:rsidRDefault="00B83685" w:rsidP="000B7EEC">
      <w:pPr>
        <w:overflowPunct w:val="0"/>
        <w:autoSpaceDE w:val="0"/>
        <w:autoSpaceDN w:val="0"/>
        <w:adjustRightInd w:val="0"/>
        <w:spacing w:line="360" w:lineRule="auto"/>
        <w:jc w:val="both"/>
        <w:textAlignment w:val="baseline"/>
        <w:rPr>
          <w:rFonts w:ascii="Georgia" w:hAnsi="Georgia" w:cs="Arial"/>
          <w:sz w:val="22"/>
        </w:rPr>
      </w:pPr>
    </w:p>
    <w:p w:rsidR="000B7EEC" w:rsidRPr="00490B75" w:rsidRDefault="00323555" w:rsidP="000B7EEC">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 xml:space="preserve">No </w:t>
      </w:r>
      <w:r w:rsidR="000B7EEC" w:rsidRPr="00490B75">
        <w:rPr>
          <w:rFonts w:ascii="Georgia" w:hAnsi="Georgia" w:cs="Arial"/>
        </w:rPr>
        <w:t>basta demostrar la posesión, pues se comparte lo dicho por el reconocido procesalista, López Blanco</w:t>
      </w:r>
      <w:r w:rsidR="000B7EEC" w:rsidRPr="00490B75">
        <w:rPr>
          <w:rStyle w:val="Appelnotedebasdep"/>
          <w:rFonts w:ascii="Georgia" w:hAnsi="Georgia"/>
        </w:rPr>
        <w:footnoteReference w:id="9"/>
      </w:r>
      <w:r w:rsidR="000B7EEC" w:rsidRPr="00490B75">
        <w:rPr>
          <w:rFonts w:ascii="Georgia" w:hAnsi="Georgia" w:cs="Arial"/>
        </w:rPr>
        <w:t>: “</w:t>
      </w:r>
      <w:r w:rsidR="000B7EEC" w:rsidRPr="00490B75">
        <w:rPr>
          <w:rFonts w:ascii="Georgia" w:hAnsi="Georgia" w:cs="Arial"/>
          <w:i/>
          <w:sz w:val="22"/>
        </w:rPr>
        <w:t>Téngase muy presente que no basta demostrar la calidad de poseedor sino que siempre es menester acreditar la de tercero o, en otras palabras, la de tercero poseedor, pues existen casos donde se puede ser poseedor pero no tercero, por ejemplo, cuando adquiero un bien y recibo la posesión material del mismo pero este se halla gravado con hipoteca, evento en el cual ante una diligencia de secuestro bien podría acreditar mi calidad de poseedor pero carezco de la calidad de tercero, porque al comprar sabía de la existencia del derecho real accesorio de hipoteca.</w:t>
      </w:r>
      <w:r w:rsidR="000B7EEC" w:rsidRPr="00490B75">
        <w:rPr>
          <w:rFonts w:ascii="Georgia" w:hAnsi="Georgia" w:cs="Arial"/>
        </w:rPr>
        <w:t>”.</w:t>
      </w: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 w:val="22"/>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 xml:space="preserve">En refuerzo de lo dicho, importa resaltar el carácter real del derecho de hipoteca, que </w:t>
      </w:r>
      <w:r w:rsidRPr="00490B75">
        <w:rPr>
          <w:rFonts w:ascii="Georgia" w:hAnsi="Georgia" w:cs="Arial"/>
          <w:i/>
          <w:sz w:val="22"/>
        </w:rPr>
        <w:t>confiere a su titular los atributos de (i) Persecución y de (ii) Preferencia</w:t>
      </w:r>
      <w:r w:rsidRPr="00490B75">
        <w:rPr>
          <w:rStyle w:val="Appelnotedebasdep"/>
          <w:rFonts w:ascii="Georgia" w:hAnsi="Georgia"/>
          <w:i/>
          <w:sz w:val="22"/>
        </w:rPr>
        <w:footnoteReference w:id="10"/>
      </w:r>
      <w:r w:rsidRPr="00490B75">
        <w:rPr>
          <w:rFonts w:ascii="Georgia" w:hAnsi="Georgia" w:cs="Arial"/>
        </w:rPr>
        <w:t>, siendo por el primero de ellos, que el acreedor puede perseguir el bien hipotecado, sin observancia de: “en manos de quien se encuentre”.  Ello de conformidad con lo establecido en el artículo 2452 del CC y siempre que no se trate del caso excepcional allí contemplado.</w:t>
      </w:r>
    </w:p>
    <w:p w:rsidR="00490B75" w:rsidRPr="00490B75" w:rsidRDefault="00490B75" w:rsidP="000B7EEC">
      <w:pPr>
        <w:overflowPunct w:val="0"/>
        <w:autoSpaceDE w:val="0"/>
        <w:autoSpaceDN w:val="0"/>
        <w:adjustRightInd w:val="0"/>
        <w:spacing w:line="360" w:lineRule="auto"/>
        <w:jc w:val="both"/>
        <w:textAlignment w:val="baseline"/>
        <w:rPr>
          <w:rFonts w:ascii="Georgia" w:hAnsi="Georgia" w:cs="Arial"/>
          <w:sz w:val="22"/>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Así las cosas, quien ejerza la posesión al título que sea, luego que se encuentre constituido el gravamen (Si es anterior y un tercero, la situación es absolutamente diferente y no corresponde a este caso</w:t>
      </w:r>
      <w:r w:rsidRPr="00490B75">
        <w:rPr>
          <w:rStyle w:val="Appelnotedebasdep"/>
          <w:rFonts w:ascii="Georgia" w:hAnsi="Georgia"/>
        </w:rPr>
        <w:footnoteReference w:id="11"/>
      </w:r>
      <w:r w:rsidRPr="00490B75">
        <w:rPr>
          <w:rFonts w:ascii="Georgia" w:hAnsi="Georgia" w:cs="Arial"/>
        </w:rPr>
        <w:t xml:space="preserve">) debe atenerse a que el acreedor que ejecute, con fundamento en su garantía hipotecaria - incluidas desde luego, las cautelas como instrumentos procesales para hacer eficaz un fallo -, pueda llevar a subasta el bien gravado, para pagarse la obligación insoluta. De donde se infiere en sana lógica, que la oposición a tales medidas, se trunque </w:t>
      </w:r>
      <w:r w:rsidRPr="00490B75">
        <w:rPr>
          <w:rFonts w:ascii="Georgia" w:hAnsi="Georgia" w:cs="Arial"/>
          <w:i/>
        </w:rPr>
        <w:t xml:space="preserve">in </w:t>
      </w:r>
      <w:proofErr w:type="spellStart"/>
      <w:r w:rsidRPr="00490B75">
        <w:rPr>
          <w:rFonts w:ascii="Georgia" w:hAnsi="Georgia" w:cs="Arial"/>
          <w:i/>
        </w:rPr>
        <w:t>limine</w:t>
      </w:r>
      <w:proofErr w:type="spellEnd"/>
      <w:r w:rsidRPr="00490B75">
        <w:rPr>
          <w:rFonts w:ascii="Georgia" w:hAnsi="Georgia" w:cs="Arial"/>
          <w:i/>
        </w:rPr>
        <w:t xml:space="preserve"> </w:t>
      </w:r>
      <w:r w:rsidRPr="00490B75">
        <w:rPr>
          <w:rFonts w:ascii="Georgia" w:hAnsi="Georgia" w:cs="Arial"/>
        </w:rPr>
        <w:t xml:space="preserve">ante el derecho </w:t>
      </w:r>
      <w:r w:rsidRPr="00490B75">
        <w:rPr>
          <w:rFonts w:ascii="Georgia" w:hAnsi="Georgia" w:cs="Arial"/>
          <w:i/>
        </w:rPr>
        <w:t xml:space="preserve">erga omnes </w:t>
      </w:r>
      <w:r w:rsidRPr="00490B75">
        <w:rPr>
          <w:rFonts w:ascii="Georgia" w:hAnsi="Georgia" w:cs="Arial"/>
        </w:rPr>
        <w:t>del acreedor.</w:t>
      </w: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 w:val="22"/>
          <w:szCs w:val="22"/>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Cs w:val="22"/>
        </w:rPr>
      </w:pPr>
      <w:r w:rsidRPr="00490B75">
        <w:rPr>
          <w:rFonts w:ascii="Georgia" w:hAnsi="Georgia" w:cs="Arial"/>
          <w:szCs w:val="22"/>
        </w:rPr>
        <w:t>Si en gracia de discusión se pudiera avanzar en el examen del asunto, la disertación llegaría a la misma conclusión negativa, porque la po</w:t>
      </w:r>
      <w:r w:rsidR="00490B75" w:rsidRPr="00490B75">
        <w:rPr>
          <w:rFonts w:ascii="Georgia" w:hAnsi="Georgia" w:cs="Arial"/>
          <w:szCs w:val="22"/>
        </w:rPr>
        <w:t xml:space="preserve">sesión esgrimida tiene una data </w:t>
      </w:r>
      <w:r w:rsidRPr="00490B75">
        <w:rPr>
          <w:rFonts w:ascii="Georgia" w:hAnsi="Georgia" w:cs="Arial"/>
          <w:szCs w:val="22"/>
        </w:rPr>
        <w:t>posterior a la fecha de inscripción de la hipoteca en el folio de matrícula inmobiliaria, de tal suerte que el efecto de publicidad se había cumplido y mal podría desconocerse sin más.</w:t>
      </w: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 w:val="22"/>
          <w:szCs w:val="22"/>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sz w:val="22"/>
          <w:szCs w:val="22"/>
        </w:rPr>
      </w:pPr>
      <w:r w:rsidRPr="00490B75">
        <w:rPr>
          <w:rFonts w:ascii="Georgia" w:hAnsi="Georgia" w:cs="Arial"/>
          <w:szCs w:val="22"/>
        </w:rPr>
        <w:t>En el norte acabado de apuntar, conviene citar en forma textual las reflexiones de la doctrina, en particular lo expuesto por el profesor Chica Torres</w:t>
      </w:r>
      <w:r w:rsidRPr="00490B75">
        <w:rPr>
          <w:rStyle w:val="Appelnotedebasdep"/>
          <w:rFonts w:ascii="Georgia" w:hAnsi="Georgia" w:cs="Arial"/>
          <w:szCs w:val="22"/>
        </w:rPr>
        <w:footnoteReference w:id="12"/>
      </w:r>
      <w:r w:rsidRPr="00490B75">
        <w:rPr>
          <w:rFonts w:ascii="Georgia" w:hAnsi="Georgia" w:cs="Arial"/>
          <w:szCs w:val="22"/>
        </w:rPr>
        <w:t xml:space="preserve"> en su obra</w:t>
      </w:r>
      <w:r w:rsidRPr="00490B75">
        <w:rPr>
          <w:rFonts w:ascii="Georgia" w:hAnsi="Georgia" w:cs="Arial"/>
          <w:sz w:val="22"/>
          <w:szCs w:val="22"/>
        </w:rPr>
        <w:t>:</w:t>
      </w:r>
    </w:p>
    <w:p w:rsidR="007E2632" w:rsidRPr="00490B75" w:rsidRDefault="007E2632" w:rsidP="000B7EEC">
      <w:pPr>
        <w:overflowPunct w:val="0"/>
        <w:autoSpaceDE w:val="0"/>
        <w:autoSpaceDN w:val="0"/>
        <w:adjustRightInd w:val="0"/>
        <w:spacing w:line="360" w:lineRule="auto"/>
        <w:jc w:val="both"/>
        <w:textAlignment w:val="baseline"/>
        <w:rPr>
          <w:rFonts w:ascii="Georgia" w:hAnsi="Georgia" w:cs="Arial"/>
          <w:sz w:val="22"/>
          <w:szCs w:val="22"/>
        </w:rPr>
      </w:pPr>
    </w:p>
    <w:p w:rsidR="000B7EEC" w:rsidRPr="00490B75" w:rsidRDefault="000B7EEC" w:rsidP="000B7EEC">
      <w:pPr>
        <w:overflowPunct w:val="0"/>
        <w:autoSpaceDE w:val="0"/>
        <w:autoSpaceDN w:val="0"/>
        <w:adjustRightInd w:val="0"/>
        <w:ind w:left="567" w:right="567"/>
        <w:jc w:val="both"/>
        <w:textAlignment w:val="baseline"/>
        <w:rPr>
          <w:rFonts w:ascii="Georgia" w:hAnsi="Georgia" w:cs="Arial"/>
          <w:szCs w:val="22"/>
        </w:rPr>
      </w:pPr>
      <w:r w:rsidRPr="00490B75">
        <w:rPr>
          <w:rFonts w:ascii="Georgia" w:hAnsi="Georgia" w:cs="Arial"/>
          <w:szCs w:val="22"/>
        </w:rPr>
        <w:lastRenderedPageBreak/>
        <w:t xml:space="preserve">… el tercero corre con la carga de la prueba, así entonces debe probar la posesión material al tiempo de efectuarse el secuestro, </w:t>
      </w:r>
      <w:r w:rsidRPr="00490B75">
        <w:rPr>
          <w:rFonts w:ascii="Georgia" w:hAnsi="Georgia" w:cs="Arial"/>
          <w:szCs w:val="22"/>
          <w:u w:val="single"/>
        </w:rPr>
        <w:t>pero tratándose de procesos ejecutivos hipotecarios y prendarios,</w:t>
      </w:r>
      <w:r w:rsidR="005C5342">
        <w:rPr>
          <w:rFonts w:ascii="Georgia" w:hAnsi="Georgia" w:cs="Arial"/>
          <w:szCs w:val="22"/>
          <w:u w:val="single"/>
        </w:rPr>
        <w:t xml:space="preserve"> también debe demostrar que esta</w:t>
      </w:r>
      <w:r w:rsidRPr="00490B75">
        <w:rPr>
          <w:rFonts w:ascii="Georgia" w:hAnsi="Georgia" w:cs="Arial"/>
          <w:szCs w:val="22"/>
          <w:u w:val="single"/>
        </w:rPr>
        <w:t>-la posesión material la detentaba antes de la inscripción de la hipoteca o de la prenda por ser estos gravámenes derechos reales</w:t>
      </w:r>
      <w:r w:rsidRPr="00490B75">
        <w:rPr>
          <w:rFonts w:ascii="Georgia" w:hAnsi="Georgia" w:cs="Arial"/>
          <w:szCs w:val="22"/>
        </w:rPr>
        <w:t xml:space="preserve"> accesorios que se tienen sobre una cosa sin respecto a determinada persona (</w:t>
      </w:r>
      <w:proofErr w:type="spellStart"/>
      <w:r w:rsidRPr="00490B75">
        <w:rPr>
          <w:rFonts w:ascii="Georgia" w:hAnsi="Georgia" w:cs="Arial"/>
          <w:szCs w:val="22"/>
        </w:rPr>
        <w:t>Arts.664</w:t>
      </w:r>
      <w:proofErr w:type="spellEnd"/>
      <w:r w:rsidRPr="00490B75">
        <w:rPr>
          <w:rFonts w:ascii="Georgia" w:hAnsi="Georgia" w:cs="Arial"/>
          <w:szCs w:val="22"/>
        </w:rPr>
        <w:t xml:space="preserve"> y 756 C.C.). Además, son bienes que ya estaban jurídicamente comprometidos al pago del crédito…</w:t>
      </w:r>
    </w:p>
    <w:p w:rsidR="000B7EEC" w:rsidRPr="00490B75" w:rsidRDefault="000B7EEC" w:rsidP="000B7EEC">
      <w:pPr>
        <w:overflowPunct w:val="0"/>
        <w:autoSpaceDE w:val="0"/>
        <w:autoSpaceDN w:val="0"/>
        <w:adjustRightInd w:val="0"/>
        <w:ind w:left="567" w:right="567"/>
        <w:jc w:val="both"/>
        <w:textAlignment w:val="baseline"/>
        <w:rPr>
          <w:rFonts w:ascii="Georgia" w:hAnsi="Georgia" w:cs="Arial"/>
          <w:szCs w:val="22"/>
        </w:rPr>
      </w:pPr>
    </w:p>
    <w:p w:rsidR="000B7EEC" w:rsidRPr="00490B75" w:rsidRDefault="000B7EEC" w:rsidP="000B7EEC">
      <w:pPr>
        <w:overflowPunct w:val="0"/>
        <w:autoSpaceDE w:val="0"/>
        <w:autoSpaceDN w:val="0"/>
        <w:adjustRightInd w:val="0"/>
        <w:ind w:left="567" w:right="567"/>
        <w:jc w:val="both"/>
        <w:textAlignment w:val="baseline"/>
        <w:rPr>
          <w:rFonts w:ascii="Georgia" w:hAnsi="Georgia" w:cs="Arial"/>
          <w:b/>
          <w:sz w:val="28"/>
        </w:rPr>
      </w:pPr>
      <w:r w:rsidRPr="00490B75">
        <w:rPr>
          <w:rFonts w:ascii="Georgia" w:hAnsi="Georgia" w:cs="Arial"/>
          <w:szCs w:val="22"/>
        </w:rPr>
        <w:t xml:space="preserve">Ante </w:t>
      </w:r>
      <w:r w:rsidR="005C5342">
        <w:rPr>
          <w:rFonts w:ascii="Georgia" w:hAnsi="Georgia" w:cs="Arial"/>
          <w:szCs w:val="22"/>
        </w:rPr>
        <w:t>t</w:t>
      </w:r>
      <w:r w:rsidRPr="00490B75">
        <w:rPr>
          <w:rFonts w:ascii="Georgia" w:hAnsi="Georgia" w:cs="Arial"/>
          <w:szCs w:val="22"/>
        </w:rPr>
        <w:t>odo, aquí tiene plena vigencia y aplicabilidad el aforismo latino “</w:t>
      </w:r>
      <w:proofErr w:type="spellStart"/>
      <w:r w:rsidRPr="00490B75">
        <w:rPr>
          <w:rFonts w:ascii="Georgia" w:hAnsi="Georgia" w:cs="Arial"/>
          <w:szCs w:val="22"/>
        </w:rPr>
        <w:t>prius</w:t>
      </w:r>
      <w:proofErr w:type="spellEnd"/>
      <w:r w:rsidRPr="00490B75">
        <w:rPr>
          <w:rFonts w:ascii="Georgia" w:hAnsi="Georgia" w:cs="Arial"/>
          <w:szCs w:val="22"/>
        </w:rPr>
        <w:t xml:space="preserve"> in tempore, </w:t>
      </w:r>
      <w:proofErr w:type="spellStart"/>
      <w:r w:rsidRPr="00490B75">
        <w:rPr>
          <w:rFonts w:ascii="Georgia" w:hAnsi="Georgia" w:cs="Arial"/>
          <w:szCs w:val="22"/>
        </w:rPr>
        <w:t>protoir</w:t>
      </w:r>
      <w:proofErr w:type="spellEnd"/>
      <w:r w:rsidRPr="00490B75">
        <w:rPr>
          <w:rFonts w:ascii="Georgia" w:hAnsi="Georgia" w:cs="Arial"/>
          <w:szCs w:val="22"/>
        </w:rPr>
        <w:t xml:space="preserve"> in iure” (el primero en el tiempo es primero en el derecho) y es precisamente con base en esta máxima al cual primero que todo debe concurrir el poseedor material para esgrimir su defensa ante tan categórico derecho otorgado al acreedor por la ley, de perseguir el bien gravado con hipoteca o prenda en cabeza de quien lo tenga, cualquiera sea el título a que lo haya adquirido. En otro orden de ideas, el </w:t>
      </w:r>
      <w:proofErr w:type="spellStart"/>
      <w:r w:rsidRPr="00490B75">
        <w:rPr>
          <w:rFonts w:ascii="Georgia" w:hAnsi="Georgia" w:cs="Arial"/>
          <w:szCs w:val="22"/>
        </w:rPr>
        <w:t>incidentista</w:t>
      </w:r>
      <w:proofErr w:type="spellEnd"/>
      <w:r w:rsidRPr="00490B75">
        <w:rPr>
          <w:rFonts w:ascii="Georgia" w:hAnsi="Georgia" w:cs="Arial"/>
          <w:szCs w:val="22"/>
        </w:rPr>
        <w:t xml:space="preserve"> tendrá que demostrar que su posesión en el tiempo viene ejerciéndola y existía previamente a la constitución y registro del indicado gravamen, con esto desquiciará el derecho de persecución consagrado en el artículo 2452 del Código Civil, que si bien el acreedor no lo ve debilitado, lo hace efectivo pero corriendo con la contingencia de que en la venta en pública subasta se lleve adelante sin perjuicio del tercero poseedor, a quien el rematante tendrá luego que perseguir en acción reivindicatoria.</w:t>
      </w:r>
      <w:r w:rsidRPr="00490B75">
        <w:rPr>
          <w:rStyle w:val="Appelnotedebasdep"/>
          <w:rFonts w:ascii="Georgia" w:hAnsi="Georgia"/>
          <w:szCs w:val="22"/>
        </w:rPr>
        <w:footnoteReference w:id="13"/>
      </w:r>
    </w:p>
    <w:p w:rsidR="000B7EEC" w:rsidRPr="00490B75" w:rsidRDefault="000B7EEC" w:rsidP="000B7EEC">
      <w:pPr>
        <w:overflowPunct w:val="0"/>
        <w:autoSpaceDE w:val="0"/>
        <w:autoSpaceDN w:val="0"/>
        <w:adjustRightInd w:val="0"/>
        <w:spacing w:line="360" w:lineRule="auto"/>
        <w:ind w:left="567"/>
        <w:jc w:val="both"/>
        <w:textAlignment w:val="baseline"/>
        <w:rPr>
          <w:rFonts w:ascii="Georgia" w:hAnsi="Georgia" w:cs="Arial"/>
        </w:rPr>
      </w:pPr>
    </w:p>
    <w:p w:rsidR="000B7EEC" w:rsidRPr="00490B75" w:rsidRDefault="000B7EEC" w:rsidP="000B7EEC">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En la misma línea de pensamiento expuesta, y para relievar más el carácter de derecho real, dígase con palabras del profesor Velásquez Jaramillo</w:t>
      </w:r>
      <w:r w:rsidRPr="00490B75">
        <w:rPr>
          <w:rStyle w:val="Appelnotedebasdep"/>
          <w:rFonts w:ascii="Georgia" w:hAnsi="Georgia"/>
        </w:rPr>
        <w:footnoteReference w:id="14"/>
      </w:r>
      <w:r w:rsidRPr="00490B75">
        <w:rPr>
          <w:rFonts w:ascii="Georgia" w:hAnsi="Georgia" w:cs="Arial"/>
        </w:rPr>
        <w:t>: “</w:t>
      </w:r>
      <w:r w:rsidRPr="00490B75">
        <w:rPr>
          <w:rFonts w:ascii="Georgia" w:hAnsi="Georgia" w:cs="Arial"/>
          <w:i/>
          <w:sz w:val="22"/>
        </w:rPr>
        <w:t>La acción es simplemente una acción ejecutiva de mayor poder que la ordinaria o simple, puesto que puede perseguir el pago en el patrimonio de quien la tenga en su poder aunque sea diferente al deudor que asumió el compromiso obligacional.</w:t>
      </w:r>
      <w:r w:rsidRPr="00490B75">
        <w:rPr>
          <w:rFonts w:ascii="Georgia" w:hAnsi="Georgia" w:cs="Arial"/>
        </w:rPr>
        <w:t>”.</w:t>
      </w:r>
    </w:p>
    <w:p w:rsidR="000B7EEC" w:rsidRDefault="000B7EEC" w:rsidP="000B7EEC">
      <w:pPr>
        <w:overflowPunct w:val="0"/>
        <w:autoSpaceDE w:val="0"/>
        <w:autoSpaceDN w:val="0"/>
        <w:adjustRightInd w:val="0"/>
        <w:spacing w:line="360" w:lineRule="auto"/>
        <w:jc w:val="both"/>
        <w:textAlignment w:val="baseline"/>
        <w:rPr>
          <w:rFonts w:ascii="Georgia" w:hAnsi="Georgia" w:cs="Arial"/>
        </w:rPr>
      </w:pPr>
    </w:p>
    <w:p w:rsidR="008667E7" w:rsidRDefault="005C5342"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Ahora, en lo concerniente al reconocimiento de las mejoras realizadas al inmueble en calidad de tenedor, esta Sala </w:t>
      </w:r>
      <w:r w:rsidR="00113B21">
        <w:rPr>
          <w:rFonts w:ascii="Georgia" w:hAnsi="Georgia" w:cs="Arial"/>
        </w:rPr>
        <w:t xml:space="preserve">las </w:t>
      </w:r>
      <w:r>
        <w:rPr>
          <w:rFonts w:ascii="Georgia" w:hAnsi="Georgia" w:cs="Arial"/>
        </w:rPr>
        <w:t>negará</w:t>
      </w:r>
      <w:r w:rsidR="006208D3">
        <w:rPr>
          <w:rFonts w:ascii="Georgia" w:hAnsi="Georgia" w:cs="Arial"/>
        </w:rPr>
        <w:t xml:space="preserve">, en razón a que se trata </w:t>
      </w:r>
      <w:r w:rsidR="00113B21">
        <w:rPr>
          <w:rFonts w:ascii="Georgia" w:hAnsi="Georgia" w:cs="Arial"/>
        </w:rPr>
        <w:t>de una solicitud que debe ser ventilada en un proceso de conocimiento</w:t>
      </w:r>
      <w:r w:rsidR="006208D3">
        <w:rPr>
          <w:rFonts w:ascii="Georgia" w:hAnsi="Georgia" w:cs="Arial"/>
        </w:rPr>
        <w:t>, distinto al presente trámite</w:t>
      </w:r>
      <w:r w:rsidR="008667E7">
        <w:rPr>
          <w:rFonts w:ascii="Georgia" w:hAnsi="Georgia" w:cs="Arial"/>
        </w:rPr>
        <w:t>.</w:t>
      </w:r>
    </w:p>
    <w:p w:rsidR="008667E7" w:rsidRDefault="008667E7" w:rsidP="000B7EEC">
      <w:pPr>
        <w:overflowPunct w:val="0"/>
        <w:autoSpaceDE w:val="0"/>
        <w:autoSpaceDN w:val="0"/>
        <w:adjustRightInd w:val="0"/>
        <w:spacing w:line="360" w:lineRule="auto"/>
        <w:jc w:val="both"/>
        <w:textAlignment w:val="baseline"/>
        <w:rPr>
          <w:rFonts w:ascii="Georgia" w:hAnsi="Georgia" w:cs="Arial"/>
        </w:rPr>
      </w:pPr>
    </w:p>
    <w:p w:rsidR="007E2632" w:rsidRPr="00490B75" w:rsidRDefault="008667E7"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Finalmente, n</w:t>
      </w:r>
      <w:r w:rsidR="007E2632" w:rsidRPr="00490B75">
        <w:rPr>
          <w:rFonts w:ascii="Georgia" w:hAnsi="Georgia" w:cs="Arial"/>
        </w:rPr>
        <w:t>o se condenará en costas al recurrente</w:t>
      </w:r>
      <w:r w:rsidR="00490B75" w:rsidRPr="00490B75">
        <w:rPr>
          <w:rFonts w:ascii="Georgia" w:hAnsi="Georgia" w:cs="Arial"/>
        </w:rPr>
        <w:t xml:space="preserve"> toda vez que se encuentra amparado por pobre (Artículo 154, </w:t>
      </w:r>
      <w:proofErr w:type="spellStart"/>
      <w:r w:rsidR="00490B75" w:rsidRPr="00490B75">
        <w:rPr>
          <w:rFonts w:ascii="Georgia" w:hAnsi="Georgia" w:cs="Arial"/>
        </w:rPr>
        <w:t>CGP</w:t>
      </w:r>
      <w:proofErr w:type="spellEnd"/>
      <w:r w:rsidR="00490B75" w:rsidRPr="00490B75">
        <w:rPr>
          <w:rFonts w:ascii="Georgia" w:hAnsi="Georgia" w:cs="Arial"/>
        </w:rPr>
        <w:t xml:space="preserve">). </w:t>
      </w:r>
    </w:p>
    <w:p w:rsidR="00490B75" w:rsidRPr="00490B75" w:rsidRDefault="00490B75" w:rsidP="000B7EEC">
      <w:pPr>
        <w:overflowPunct w:val="0"/>
        <w:autoSpaceDE w:val="0"/>
        <w:autoSpaceDN w:val="0"/>
        <w:adjustRightInd w:val="0"/>
        <w:spacing w:line="360" w:lineRule="auto"/>
        <w:jc w:val="both"/>
        <w:textAlignment w:val="baseline"/>
        <w:rPr>
          <w:rFonts w:ascii="Georgia" w:hAnsi="Georgia" w:cs="Arial"/>
        </w:rPr>
      </w:pPr>
    </w:p>
    <w:p w:rsidR="00117A8D" w:rsidRPr="00490B75" w:rsidRDefault="00117A8D" w:rsidP="00117A8D">
      <w:pPr>
        <w:pStyle w:val="Paragraphedeliste"/>
        <w:numPr>
          <w:ilvl w:val="0"/>
          <w:numId w:val="4"/>
        </w:numPr>
        <w:spacing w:line="360" w:lineRule="auto"/>
        <w:jc w:val="both"/>
        <w:rPr>
          <w:rFonts w:ascii="Georgia" w:hAnsi="Georgia" w:cs="Arial"/>
          <w:lang w:val="es-ES_tradnl"/>
        </w:rPr>
      </w:pPr>
      <w:r w:rsidRPr="00490B75">
        <w:rPr>
          <w:rFonts w:ascii="Georgia" w:hAnsi="Georgia" w:cs="Arial"/>
          <w:sz w:val="32"/>
          <w:szCs w:val="22"/>
        </w:rPr>
        <w:t>L</w:t>
      </w:r>
      <w:r w:rsidRPr="00490B75">
        <w:rPr>
          <w:rFonts w:ascii="Georgia" w:hAnsi="Georgia" w:cs="Arial"/>
          <w:szCs w:val="22"/>
        </w:rPr>
        <w:t>AS DECISIONES FINALES</w:t>
      </w:r>
    </w:p>
    <w:p w:rsidR="005509C4" w:rsidRPr="00490B75" w:rsidRDefault="005509C4" w:rsidP="00117A8D">
      <w:pPr>
        <w:spacing w:line="360" w:lineRule="auto"/>
        <w:jc w:val="both"/>
        <w:rPr>
          <w:rFonts w:ascii="Georgia" w:hAnsi="Georgia" w:cs="Arial"/>
          <w:sz w:val="20"/>
        </w:rPr>
      </w:pPr>
    </w:p>
    <w:p w:rsidR="00754792" w:rsidRPr="00490B75" w:rsidRDefault="00AE0545" w:rsidP="007E2632">
      <w:pPr>
        <w:overflowPunct w:val="0"/>
        <w:autoSpaceDE w:val="0"/>
        <w:autoSpaceDN w:val="0"/>
        <w:adjustRightInd w:val="0"/>
        <w:spacing w:line="360" w:lineRule="auto"/>
        <w:jc w:val="both"/>
        <w:textAlignment w:val="baseline"/>
        <w:rPr>
          <w:rFonts w:ascii="Georgia" w:hAnsi="Georgia" w:cs="Arial"/>
        </w:rPr>
      </w:pPr>
      <w:r w:rsidRPr="00490B75">
        <w:rPr>
          <w:rFonts w:ascii="Georgia" w:hAnsi="Georgia" w:cs="Arial"/>
        </w:rPr>
        <w:t xml:space="preserve">En atención a lo </w:t>
      </w:r>
      <w:r w:rsidR="00774870" w:rsidRPr="00490B75">
        <w:rPr>
          <w:rFonts w:ascii="Georgia" w:hAnsi="Georgia" w:cs="Arial"/>
        </w:rPr>
        <w:t xml:space="preserve">explicado </w:t>
      </w:r>
      <w:r w:rsidRPr="00490B75">
        <w:rPr>
          <w:rFonts w:ascii="Georgia" w:hAnsi="Georgia" w:cs="Arial"/>
        </w:rPr>
        <w:t>antes</w:t>
      </w:r>
      <w:r w:rsidR="00A229D1" w:rsidRPr="00490B75">
        <w:rPr>
          <w:rFonts w:ascii="Georgia" w:hAnsi="Georgia" w:cs="Arial"/>
        </w:rPr>
        <w:t xml:space="preserve"> </w:t>
      </w:r>
      <w:r w:rsidR="00BD7BA3" w:rsidRPr="00490B75">
        <w:rPr>
          <w:rFonts w:ascii="Georgia" w:hAnsi="Georgia" w:cs="Arial"/>
        </w:rPr>
        <w:t>(i) S</w:t>
      </w:r>
      <w:r w:rsidR="00A229D1" w:rsidRPr="00490B75">
        <w:rPr>
          <w:rFonts w:ascii="Georgia" w:hAnsi="Georgia" w:cs="Arial"/>
        </w:rPr>
        <w:t xml:space="preserve">e </w:t>
      </w:r>
      <w:r w:rsidR="00937F23" w:rsidRPr="00490B75">
        <w:rPr>
          <w:rFonts w:ascii="Georgia" w:hAnsi="Georgia" w:cs="Arial"/>
        </w:rPr>
        <w:t xml:space="preserve">confirmará </w:t>
      </w:r>
      <w:r w:rsidR="00994B74" w:rsidRPr="00490B75">
        <w:rPr>
          <w:rFonts w:ascii="Georgia" w:hAnsi="Georgia" w:cs="Arial"/>
        </w:rPr>
        <w:t>la decisión apelada</w:t>
      </w:r>
      <w:r w:rsidR="00BD7BA3" w:rsidRPr="00490B75">
        <w:rPr>
          <w:rFonts w:ascii="Georgia" w:hAnsi="Georgia" w:cs="Arial"/>
        </w:rPr>
        <w:t xml:space="preserve"> </w:t>
      </w:r>
      <w:r w:rsidR="00417A92" w:rsidRPr="00490B75">
        <w:rPr>
          <w:rFonts w:ascii="Georgia" w:hAnsi="Georgia" w:cs="Arial"/>
        </w:rPr>
        <w:t xml:space="preserve">en el sentido de que </w:t>
      </w:r>
      <w:r w:rsidR="007E2632" w:rsidRPr="00490B75">
        <w:rPr>
          <w:rFonts w:ascii="Georgia" w:hAnsi="Georgia" w:cs="Arial"/>
        </w:rPr>
        <w:t xml:space="preserve">el </w:t>
      </w:r>
      <w:proofErr w:type="spellStart"/>
      <w:r w:rsidR="007E2632" w:rsidRPr="00490B75">
        <w:rPr>
          <w:rFonts w:ascii="Georgia" w:hAnsi="Georgia" w:cs="Arial"/>
        </w:rPr>
        <w:t>incidentante</w:t>
      </w:r>
      <w:proofErr w:type="spellEnd"/>
      <w:r w:rsidR="007E2632" w:rsidRPr="00490B75">
        <w:rPr>
          <w:rFonts w:ascii="Georgia" w:hAnsi="Georgia" w:cs="Arial"/>
        </w:rPr>
        <w:t xml:space="preserve"> no es un tercero ajeno a las partes trabadas en la </w:t>
      </w:r>
      <w:proofErr w:type="spellStart"/>
      <w:r w:rsidR="007E2632" w:rsidRPr="00490B75">
        <w:rPr>
          <w:rFonts w:ascii="Georgia" w:hAnsi="Georgia" w:cs="Arial"/>
        </w:rPr>
        <w:t>litis</w:t>
      </w:r>
      <w:proofErr w:type="spellEnd"/>
      <w:r w:rsidR="007E2632" w:rsidRPr="00490B75">
        <w:rPr>
          <w:rFonts w:ascii="Georgia" w:hAnsi="Georgia" w:cs="Arial"/>
        </w:rPr>
        <w:t xml:space="preserve"> y obtuvo la posesión del inmueble con posterioridad a la constitución del gravamen hipotecario</w:t>
      </w:r>
      <w:r w:rsidR="007E2632" w:rsidRPr="00490B75">
        <w:rPr>
          <w:rFonts w:ascii="Georgia" w:hAnsi="Georgia" w:cs="Arial"/>
          <w:lang w:val="es-CO"/>
        </w:rPr>
        <w:t>;</w:t>
      </w:r>
      <w:r w:rsidR="008667E7">
        <w:rPr>
          <w:rFonts w:ascii="Georgia" w:hAnsi="Georgia" w:cs="Arial"/>
          <w:lang w:val="es-CO"/>
        </w:rPr>
        <w:t xml:space="preserve"> (ii) se adicionará un numeral para negar el reconocimiento de mejoras pedidas;</w:t>
      </w:r>
      <w:r w:rsidR="007E2632" w:rsidRPr="00490B75">
        <w:rPr>
          <w:rFonts w:ascii="Georgia" w:hAnsi="Georgia" w:cs="Arial"/>
          <w:lang w:val="es-CO"/>
        </w:rPr>
        <w:t xml:space="preserve"> y, </w:t>
      </w:r>
      <w:r w:rsidR="00BD7BA3" w:rsidRPr="00490B75">
        <w:rPr>
          <w:rFonts w:ascii="Georgia" w:hAnsi="Georgia" w:cs="Arial"/>
        </w:rPr>
        <w:t>(</w:t>
      </w:r>
      <w:r w:rsidR="008667E7">
        <w:rPr>
          <w:rFonts w:ascii="Georgia" w:hAnsi="Georgia" w:cs="Arial"/>
        </w:rPr>
        <w:t>i</w:t>
      </w:r>
      <w:r w:rsidR="00BD7BA3" w:rsidRPr="00490B75">
        <w:rPr>
          <w:rFonts w:ascii="Georgia" w:hAnsi="Georgia" w:cs="Arial"/>
        </w:rPr>
        <w:t xml:space="preserve">ii) </w:t>
      </w:r>
      <w:r w:rsidR="007E2632" w:rsidRPr="00490B75">
        <w:rPr>
          <w:rFonts w:ascii="Georgia" w:hAnsi="Georgia" w:cs="Arial"/>
        </w:rPr>
        <w:t>Sin condena en costas en esta instancia</w:t>
      </w:r>
      <w:r w:rsidR="00754792" w:rsidRPr="00490B75">
        <w:rPr>
          <w:rFonts w:ascii="Georgia" w:hAnsi="Georgia" w:cs="Arial"/>
        </w:rPr>
        <w:t xml:space="preserve">. </w:t>
      </w:r>
    </w:p>
    <w:p w:rsidR="00754792" w:rsidRPr="00490B75" w:rsidRDefault="00754792" w:rsidP="00754792">
      <w:pPr>
        <w:spacing w:line="360" w:lineRule="auto"/>
        <w:jc w:val="both"/>
        <w:rPr>
          <w:rFonts w:ascii="Georgia" w:hAnsi="Georgia" w:cs="Arial"/>
          <w:sz w:val="20"/>
        </w:rPr>
      </w:pPr>
    </w:p>
    <w:p w:rsidR="00117A8D" w:rsidRPr="00490B75" w:rsidRDefault="00117A8D" w:rsidP="00117A8D">
      <w:pPr>
        <w:tabs>
          <w:tab w:val="left" w:pos="-720"/>
        </w:tabs>
        <w:suppressAutoHyphens/>
        <w:spacing w:line="360" w:lineRule="auto"/>
        <w:jc w:val="both"/>
        <w:rPr>
          <w:rFonts w:ascii="Georgia" w:hAnsi="Georgia" w:cs="Arial"/>
        </w:rPr>
      </w:pPr>
      <w:r w:rsidRPr="00490B75">
        <w:rPr>
          <w:rFonts w:ascii="Georgia" w:hAnsi="Georgia" w:cs="Arial"/>
        </w:rPr>
        <w:lastRenderedPageBreak/>
        <w:t xml:space="preserve">En mérito de lo discurrido en los acápites precedentes, el </w:t>
      </w:r>
      <w:r w:rsidRPr="00490B75">
        <w:rPr>
          <w:rFonts w:ascii="Georgia" w:hAnsi="Georgia" w:cs="Arial"/>
          <w:smallCaps/>
        </w:rPr>
        <w:t>Tribunal Superior del Distrito Judicial de Pereira, Sala Unitaria de Decisión</w:t>
      </w:r>
      <w:r w:rsidRPr="00490B75">
        <w:rPr>
          <w:rFonts w:ascii="Georgia" w:hAnsi="Georgia" w:cs="Arial"/>
        </w:rPr>
        <w:t>,</w:t>
      </w:r>
    </w:p>
    <w:p w:rsidR="000E0F77" w:rsidRPr="00490B75" w:rsidRDefault="000E0F77" w:rsidP="00117A8D">
      <w:pPr>
        <w:tabs>
          <w:tab w:val="left" w:pos="-720"/>
        </w:tabs>
        <w:suppressAutoHyphens/>
        <w:spacing w:line="360" w:lineRule="auto"/>
        <w:jc w:val="both"/>
        <w:rPr>
          <w:rFonts w:ascii="Georgia" w:hAnsi="Georgia" w:cs="Arial"/>
          <w:spacing w:val="-3"/>
          <w:sz w:val="16"/>
        </w:rPr>
      </w:pPr>
    </w:p>
    <w:p w:rsidR="00117A8D" w:rsidRPr="00490B75" w:rsidRDefault="00117A8D" w:rsidP="00117A8D">
      <w:pPr>
        <w:pStyle w:val="Sansinterligne"/>
        <w:spacing w:line="360" w:lineRule="auto"/>
        <w:jc w:val="center"/>
        <w:rPr>
          <w:rFonts w:ascii="Georgia" w:hAnsi="Georgia" w:cs="Arial"/>
        </w:rPr>
      </w:pPr>
      <w:r w:rsidRPr="00490B75">
        <w:rPr>
          <w:rFonts w:ascii="Georgia" w:hAnsi="Georgia" w:cs="Arial"/>
          <w:sz w:val="28"/>
        </w:rPr>
        <w:t xml:space="preserve">R </w:t>
      </w:r>
      <w:r w:rsidRPr="00490B75">
        <w:rPr>
          <w:rFonts w:ascii="Georgia" w:hAnsi="Georgia" w:cs="Arial"/>
        </w:rPr>
        <w:t>E S U E L V E,</w:t>
      </w:r>
    </w:p>
    <w:p w:rsidR="000E0F77" w:rsidRPr="00490B75" w:rsidRDefault="000E0F77" w:rsidP="00117A8D">
      <w:pPr>
        <w:pStyle w:val="Sansinterligne"/>
        <w:spacing w:line="360" w:lineRule="auto"/>
        <w:jc w:val="center"/>
        <w:rPr>
          <w:rFonts w:ascii="Georgia" w:hAnsi="Georgia" w:cs="Arial"/>
          <w:sz w:val="16"/>
        </w:rPr>
      </w:pPr>
    </w:p>
    <w:p w:rsidR="00754792" w:rsidRDefault="009317B9" w:rsidP="00754792">
      <w:pPr>
        <w:pStyle w:val="Textopredeterminado"/>
        <w:numPr>
          <w:ilvl w:val="0"/>
          <w:numId w:val="1"/>
        </w:numPr>
        <w:spacing w:line="360" w:lineRule="auto"/>
        <w:jc w:val="both"/>
        <w:rPr>
          <w:rFonts w:ascii="Georgia" w:hAnsi="Georgia" w:cs="Arial"/>
          <w:szCs w:val="24"/>
        </w:rPr>
      </w:pPr>
      <w:r w:rsidRPr="00490B75">
        <w:rPr>
          <w:rFonts w:ascii="Georgia" w:hAnsi="Georgia" w:cs="Arial"/>
          <w:szCs w:val="24"/>
        </w:rPr>
        <w:t>CONFIRMAR el auto apelado, por lo razonado en la parte motiva de esta providencia.</w:t>
      </w:r>
    </w:p>
    <w:p w:rsidR="008667E7" w:rsidRDefault="008667E7" w:rsidP="008667E7">
      <w:pPr>
        <w:pStyle w:val="Textopredeterminado"/>
        <w:spacing w:line="360" w:lineRule="auto"/>
        <w:ind w:left="360"/>
        <w:jc w:val="both"/>
        <w:rPr>
          <w:rFonts w:ascii="Georgia" w:hAnsi="Georgia" w:cs="Arial"/>
          <w:szCs w:val="24"/>
        </w:rPr>
      </w:pPr>
    </w:p>
    <w:p w:rsidR="008667E7" w:rsidRPr="00490B75" w:rsidRDefault="008667E7" w:rsidP="00754792">
      <w:pPr>
        <w:pStyle w:val="Textopredeterminado"/>
        <w:numPr>
          <w:ilvl w:val="0"/>
          <w:numId w:val="1"/>
        </w:numPr>
        <w:spacing w:line="360" w:lineRule="auto"/>
        <w:jc w:val="both"/>
        <w:rPr>
          <w:rFonts w:ascii="Georgia" w:hAnsi="Georgia" w:cs="Arial"/>
          <w:szCs w:val="24"/>
        </w:rPr>
      </w:pPr>
      <w:r>
        <w:rPr>
          <w:rFonts w:ascii="Georgia" w:hAnsi="Georgia" w:cs="Arial"/>
          <w:szCs w:val="24"/>
        </w:rPr>
        <w:t>ADICIONAR un numeral, para NEGAR el reconocimiento y pago de las mejoras pedid</w:t>
      </w:r>
      <w:r w:rsidR="00113B21">
        <w:rPr>
          <w:rFonts w:ascii="Georgia" w:hAnsi="Georgia" w:cs="Arial"/>
          <w:szCs w:val="24"/>
        </w:rPr>
        <w:t>as</w:t>
      </w:r>
      <w:r>
        <w:rPr>
          <w:rFonts w:ascii="Georgia" w:hAnsi="Georgia" w:cs="Arial"/>
          <w:szCs w:val="24"/>
        </w:rPr>
        <w:t xml:space="preserve"> por el </w:t>
      </w:r>
      <w:proofErr w:type="spellStart"/>
      <w:r>
        <w:rPr>
          <w:rFonts w:ascii="Georgia" w:hAnsi="Georgia" w:cs="Arial"/>
          <w:szCs w:val="24"/>
        </w:rPr>
        <w:t>incidentante</w:t>
      </w:r>
      <w:proofErr w:type="spellEnd"/>
      <w:r>
        <w:rPr>
          <w:rFonts w:ascii="Georgia" w:hAnsi="Georgia" w:cs="Arial"/>
          <w:szCs w:val="24"/>
        </w:rPr>
        <w:t>.</w:t>
      </w:r>
    </w:p>
    <w:p w:rsidR="000E0F77" w:rsidRPr="00490B75" w:rsidRDefault="000E0F77" w:rsidP="000E0F77">
      <w:pPr>
        <w:pStyle w:val="Textopredeterminado"/>
        <w:spacing w:line="360" w:lineRule="auto"/>
        <w:ind w:left="360"/>
        <w:jc w:val="both"/>
        <w:rPr>
          <w:rFonts w:ascii="Georgia" w:hAnsi="Georgia" w:cs="Arial"/>
          <w:sz w:val="20"/>
          <w:szCs w:val="24"/>
        </w:rPr>
      </w:pPr>
    </w:p>
    <w:p w:rsidR="00490B75" w:rsidRPr="00490B75" w:rsidRDefault="00490B75" w:rsidP="00490B75">
      <w:pPr>
        <w:pStyle w:val="Textopredeterminado"/>
        <w:numPr>
          <w:ilvl w:val="0"/>
          <w:numId w:val="1"/>
        </w:numPr>
        <w:spacing w:line="360" w:lineRule="auto"/>
        <w:jc w:val="both"/>
        <w:rPr>
          <w:rFonts w:ascii="Georgia" w:hAnsi="Georgia" w:cs="Arial"/>
          <w:lang w:val="es-ES_tradnl"/>
        </w:rPr>
      </w:pPr>
      <w:r w:rsidRPr="00490B75">
        <w:rPr>
          <w:rFonts w:ascii="Georgia" w:hAnsi="Georgia" w:cs="Arial"/>
        </w:rPr>
        <w:t>NO CONDENAR EN COSTAS al recurrente.</w:t>
      </w:r>
    </w:p>
    <w:p w:rsidR="00113B21" w:rsidRDefault="00113B21" w:rsidP="00113B21">
      <w:pPr>
        <w:pStyle w:val="Textopredeterminado"/>
        <w:tabs>
          <w:tab w:val="left" w:pos="544"/>
        </w:tabs>
        <w:spacing w:line="360" w:lineRule="auto"/>
        <w:ind w:left="360"/>
        <w:jc w:val="both"/>
        <w:rPr>
          <w:rFonts w:ascii="Georgia" w:hAnsi="Georgia" w:cs="Arial"/>
          <w:color w:val="auto"/>
          <w:szCs w:val="24"/>
        </w:rPr>
      </w:pPr>
    </w:p>
    <w:p w:rsidR="00671EAF" w:rsidRDefault="00117A8D" w:rsidP="009317B9">
      <w:pPr>
        <w:pStyle w:val="Textopredeterminado"/>
        <w:numPr>
          <w:ilvl w:val="0"/>
          <w:numId w:val="1"/>
        </w:numPr>
        <w:tabs>
          <w:tab w:val="left" w:pos="544"/>
        </w:tabs>
        <w:spacing w:line="360" w:lineRule="auto"/>
        <w:jc w:val="both"/>
        <w:rPr>
          <w:rFonts w:ascii="Georgia" w:hAnsi="Georgia" w:cs="Arial"/>
          <w:color w:val="auto"/>
          <w:szCs w:val="24"/>
        </w:rPr>
      </w:pPr>
      <w:r w:rsidRPr="00490B75">
        <w:rPr>
          <w:rFonts w:ascii="Georgia" w:hAnsi="Georgia" w:cs="Arial"/>
          <w:color w:val="auto"/>
          <w:szCs w:val="24"/>
        </w:rPr>
        <w:t>ADVERTIR que esta decisión es irrecurrible.</w:t>
      </w:r>
    </w:p>
    <w:p w:rsidR="00113B21" w:rsidRPr="00490B75" w:rsidRDefault="00113B21" w:rsidP="00113B21">
      <w:pPr>
        <w:pStyle w:val="Textopredeterminado"/>
        <w:tabs>
          <w:tab w:val="left" w:pos="544"/>
        </w:tabs>
        <w:spacing w:line="360" w:lineRule="auto"/>
        <w:ind w:left="360"/>
        <w:jc w:val="both"/>
        <w:rPr>
          <w:rFonts w:ascii="Georgia" w:hAnsi="Georgia" w:cs="Arial"/>
          <w:color w:val="auto"/>
          <w:szCs w:val="24"/>
        </w:rPr>
      </w:pPr>
    </w:p>
    <w:p w:rsidR="00117A8D" w:rsidRPr="00490B75" w:rsidRDefault="00117A8D" w:rsidP="009317B9">
      <w:pPr>
        <w:pStyle w:val="Textopredeterminado"/>
        <w:numPr>
          <w:ilvl w:val="0"/>
          <w:numId w:val="1"/>
        </w:numPr>
        <w:tabs>
          <w:tab w:val="left" w:pos="544"/>
        </w:tabs>
        <w:spacing w:line="360" w:lineRule="auto"/>
        <w:jc w:val="both"/>
        <w:rPr>
          <w:rFonts w:ascii="Georgia" w:hAnsi="Georgia" w:cs="Arial"/>
          <w:color w:val="auto"/>
          <w:sz w:val="22"/>
          <w:szCs w:val="22"/>
        </w:rPr>
      </w:pPr>
      <w:r w:rsidRPr="00490B75">
        <w:rPr>
          <w:rFonts w:ascii="Georgia" w:hAnsi="Georgia" w:cs="Arial"/>
          <w:color w:val="auto"/>
          <w:szCs w:val="24"/>
        </w:rPr>
        <w:t xml:space="preserve">DEVOLVER el expediente al </w:t>
      </w:r>
      <w:r w:rsidR="00657E40" w:rsidRPr="00490B75">
        <w:rPr>
          <w:rFonts w:ascii="Georgia" w:hAnsi="Georgia" w:cs="Arial"/>
          <w:color w:val="auto"/>
          <w:szCs w:val="24"/>
        </w:rPr>
        <w:t>Despacho de origen</w:t>
      </w:r>
      <w:r w:rsidR="00C46C9B" w:rsidRPr="00490B75">
        <w:rPr>
          <w:rFonts w:ascii="Georgia" w:hAnsi="Georgia" w:cs="Arial"/>
          <w:color w:val="auto"/>
          <w:szCs w:val="24"/>
        </w:rPr>
        <w:t>, por conducto de la Secretaría de esta Corporación.</w:t>
      </w:r>
    </w:p>
    <w:p w:rsidR="00D9779A" w:rsidRPr="00490B75" w:rsidRDefault="00D9779A" w:rsidP="004A7356">
      <w:pPr>
        <w:pStyle w:val="Sansinterligne"/>
        <w:tabs>
          <w:tab w:val="center" w:pos="4845"/>
          <w:tab w:val="left" w:pos="6463"/>
        </w:tabs>
        <w:spacing w:line="360" w:lineRule="auto"/>
        <w:jc w:val="center"/>
        <w:rPr>
          <w:rFonts w:ascii="Georgia" w:hAnsi="Georgia" w:cs="Arial"/>
          <w:smallCaps/>
          <w:sz w:val="4"/>
          <w:lang w:val="es-CO"/>
        </w:rPr>
      </w:pPr>
    </w:p>
    <w:p w:rsidR="005F57E8" w:rsidRPr="00DB0209" w:rsidRDefault="00356104" w:rsidP="004A7356">
      <w:pPr>
        <w:pStyle w:val="Sansinterligne"/>
        <w:tabs>
          <w:tab w:val="center" w:pos="4845"/>
          <w:tab w:val="left" w:pos="6463"/>
        </w:tabs>
        <w:spacing w:line="360" w:lineRule="auto"/>
        <w:jc w:val="center"/>
        <w:rPr>
          <w:rFonts w:ascii="Georgia" w:hAnsi="Georgia" w:cs="Arial"/>
          <w:smallCaps/>
          <w:spacing w:val="20"/>
          <w:w w:val="150"/>
          <w:lang w:val="en-GB"/>
        </w:rPr>
      </w:pPr>
      <w:proofErr w:type="spellStart"/>
      <w:r w:rsidRPr="00DB0209">
        <w:rPr>
          <w:rFonts w:ascii="Georgia" w:hAnsi="Georgia" w:cs="Arial"/>
          <w:smallCaps/>
          <w:sz w:val="28"/>
          <w:lang w:val="en-GB"/>
        </w:rPr>
        <w:t>Notifíquese</w:t>
      </w:r>
      <w:proofErr w:type="spellEnd"/>
      <w:r w:rsidRPr="00DB0209">
        <w:rPr>
          <w:rFonts w:ascii="Georgia" w:hAnsi="Georgia" w:cs="Arial"/>
          <w:smallCaps/>
          <w:sz w:val="28"/>
          <w:lang w:val="en-GB"/>
        </w:rPr>
        <w:t>,</w:t>
      </w:r>
    </w:p>
    <w:p w:rsidR="00D71946" w:rsidRPr="00490B75" w:rsidRDefault="00D71946" w:rsidP="000C0B10">
      <w:pPr>
        <w:pStyle w:val="Corpsdetexte"/>
        <w:spacing w:line="360" w:lineRule="auto"/>
        <w:jc w:val="center"/>
        <w:rPr>
          <w:rFonts w:ascii="Georgia" w:hAnsi="Georgia" w:cs="Arial"/>
          <w:w w:val="150"/>
          <w:sz w:val="2"/>
          <w:szCs w:val="24"/>
          <w:lang w:val="en-US"/>
        </w:rPr>
      </w:pPr>
    </w:p>
    <w:p w:rsidR="004E13F3" w:rsidRPr="00490B75" w:rsidRDefault="004E13F3" w:rsidP="000C0B10">
      <w:pPr>
        <w:pStyle w:val="Corpsdetexte"/>
        <w:spacing w:line="360" w:lineRule="auto"/>
        <w:jc w:val="center"/>
        <w:rPr>
          <w:rFonts w:ascii="Georgia" w:hAnsi="Georgia" w:cs="Arial"/>
          <w:w w:val="150"/>
          <w:sz w:val="24"/>
          <w:szCs w:val="24"/>
          <w:lang w:val="en-US"/>
        </w:rPr>
      </w:pPr>
    </w:p>
    <w:p w:rsidR="000E0F77" w:rsidRPr="00490B75" w:rsidRDefault="000E0F77" w:rsidP="004B785A">
      <w:pPr>
        <w:pStyle w:val="Corpsdetexte"/>
        <w:spacing w:line="360" w:lineRule="auto"/>
        <w:jc w:val="center"/>
        <w:rPr>
          <w:rFonts w:ascii="Georgia" w:hAnsi="Georgia" w:cs="Arial"/>
          <w:w w:val="150"/>
          <w:sz w:val="24"/>
          <w:szCs w:val="24"/>
          <w:lang w:val="en-US"/>
        </w:rPr>
      </w:pPr>
    </w:p>
    <w:p w:rsidR="00490B75" w:rsidRPr="00490B75" w:rsidRDefault="00490B75" w:rsidP="004B785A">
      <w:pPr>
        <w:pStyle w:val="Corpsdetexte"/>
        <w:spacing w:line="360" w:lineRule="auto"/>
        <w:jc w:val="center"/>
        <w:rPr>
          <w:rFonts w:ascii="Georgia" w:hAnsi="Georgia" w:cs="Arial"/>
          <w:w w:val="150"/>
          <w:sz w:val="24"/>
          <w:szCs w:val="24"/>
          <w:lang w:val="en-US"/>
        </w:rPr>
      </w:pPr>
    </w:p>
    <w:p w:rsidR="004B785A" w:rsidRPr="00DB0209"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GB"/>
        </w:rPr>
      </w:pPr>
      <w:proofErr w:type="spellStart"/>
      <w:r w:rsidRPr="00DB0209">
        <w:rPr>
          <w:rFonts w:ascii="Georgia" w:hAnsi="Georgia" w:cs="Arial"/>
          <w:spacing w:val="-3"/>
          <w:w w:val="150"/>
          <w:sz w:val="28"/>
          <w:szCs w:val="18"/>
          <w:lang w:val="en-GB"/>
        </w:rPr>
        <w:t>D</w:t>
      </w:r>
      <w:r w:rsidRPr="00DB0209">
        <w:rPr>
          <w:rFonts w:ascii="Georgia" w:hAnsi="Georgia" w:cs="Arial"/>
          <w:spacing w:val="-3"/>
          <w:w w:val="150"/>
          <w:sz w:val="18"/>
          <w:szCs w:val="18"/>
          <w:lang w:val="en-GB"/>
        </w:rPr>
        <w:t>UBERNEY</w:t>
      </w:r>
      <w:proofErr w:type="spellEnd"/>
      <w:r w:rsidRPr="00DB0209">
        <w:rPr>
          <w:rFonts w:ascii="Georgia" w:hAnsi="Georgia" w:cs="Arial"/>
          <w:spacing w:val="-3"/>
          <w:w w:val="150"/>
          <w:sz w:val="18"/>
          <w:szCs w:val="18"/>
          <w:lang w:val="en-GB"/>
        </w:rPr>
        <w:t xml:space="preserve"> </w:t>
      </w:r>
      <w:proofErr w:type="spellStart"/>
      <w:r w:rsidRPr="00DB0209">
        <w:rPr>
          <w:rFonts w:ascii="Georgia" w:hAnsi="Georgia" w:cs="Arial"/>
          <w:spacing w:val="-3"/>
          <w:w w:val="150"/>
          <w:sz w:val="32"/>
          <w:szCs w:val="18"/>
          <w:lang w:val="en-GB"/>
        </w:rPr>
        <w:t>G</w:t>
      </w:r>
      <w:r w:rsidRPr="00DB0209">
        <w:rPr>
          <w:rFonts w:ascii="Georgia" w:hAnsi="Georgia" w:cs="Arial"/>
          <w:spacing w:val="-3"/>
          <w:w w:val="150"/>
          <w:sz w:val="18"/>
          <w:szCs w:val="18"/>
          <w:lang w:val="en-GB"/>
        </w:rPr>
        <w:t>RISALES</w:t>
      </w:r>
      <w:proofErr w:type="spellEnd"/>
      <w:r w:rsidRPr="00DB0209">
        <w:rPr>
          <w:rFonts w:ascii="Georgia" w:hAnsi="Georgia" w:cs="Arial"/>
          <w:spacing w:val="-3"/>
          <w:w w:val="150"/>
          <w:sz w:val="18"/>
          <w:szCs w:val="18"/>
          <w:lang w:val="en-GB"/>
        </w:rPr>
        <w:t xml:space="preserve"> </w:t>
      </w:r>
      <w:r w:rsidRPr="00DB0209">
        <w:rPr>
          <w:rFonts w:ascii="Georgia" w:hAnsi="Georgia" w:cs="Arial"/>
          <w:spacing w:val="-3"/>
          <w:w w:val="150"/>
          <w:sz w:val="32"/>
          <w:szCs w:val="18"/>
          <w:lang w:val="en-GB"/>
        </w:rPr>
        <w:t>H</w:t>
      </w:r>
      <w:r w:rsidRPr="00DB0209">
        <w:rPr>
          <w:rFonts w:ascii="Georgia" w:hAnsi="Georgia" w:cs="Arial"/>
          <w:spacing w:val="-3"/>
          <w:w w:val="150"/>
          <w:sz w:val="18"/>
          <w:szCs w:val="18"/>
          <w:lang w:val="en-GB"/>
        </w:rPr>
        <w:t>ERRERA</w:t>
      </w:r>
    </w:p>
    <w:p w:rsidR="004B785A" w:rsidRPr="00DB0209"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2"/>
          <w:lang w:val="en-GB"/>
        </w:rPr>
      </w:pPr>
      <w:r w:rsidRPr="00DB0209">
        <w:rPr>
          <w:rFonts w:ascii="Georgia" w:hAnsi="Georgia" w:cs="Arial"/>
          <w:spacing w:val="-3"/>
          <w:w w:val="150"/>
          <w:lang w:val="en-GB"/>
        </w:rPr>
        <w:t>M</w:t>
      </w:r>
      <w:r w:rsidRPr="00DB0209">
        <w:rPr>
          <w:rFonts w:ascii="Georgia" w:hAnsi="Georgia" w:cs="Arial"/>
          <w:spacing w:val="-3"/>
          <w:w w:val="150"/>
          <w:sz w:val="16"/>
          <w:lang w:val="en-GB"/>
        </w:rPr>
        <w:t xml:space="preserve"> </w:t>
      </w:r>
      <w:r w:rsidRPr="00DB0209">
        <w:rPr>
          <w:rFonts w:ascii="Georgia" w:hAnsi="Georgia" w:cs="Arial"/>
          <w:spacing w:val="-3"/>
          <w:w w:val="150"/>
          <w:sz w:val="18"/>
          <w:lang w:val="en-GB"/>
        </w:rPr>
        <w:t>A G I S T R A D O</w:t>
      </w:r>
    </w:p>
    <w:p w:rsidR="00671EAF" w:rsidRPr="00490B75" w:rsidRDefault="00671EAF" w:rsidP="004B785A">
      <w:pPr>
        <w:pStyle w:val="Corpsdetexte"/>
        <w:spacing w:line="360" w:lineRule="auto"/>
        <w:jc w:val="center"/>
        <w:rPr>
          <w:rFonts w:ascii="Georgia" w:hAnsi="Georgia" w:cs="Arial"/>
          <w:w w:val="150"/>
          <w:sz w:val="18"/>
          <w:lang w:val="en-US"/>
        </w:rPr>
      </w:pPr>
    </w:p>
    <w:p w:rsidR="00843309" w:rsidRPr="00490B75" w:rsidRDefault="00490B75" w:rsidP="000E0F77">
      <w:pPr>
        <w:pStyle w:val="Corpsdetexte"/>
        <w:spacing w:line="360" w:lineRule="auto"/>
        <w:rPr>
          <w:rFonts w:ascii="Georgia" w:hAnsi="Georgia" w:cs="Arial"/>
          <w:w w:val="150"/>
          <w:sz w:val="18"/>
          <w:lang w:val="en-US"/>
        </w:rPr>
      </w:pPr>
      <w:r w:rsidRPr="00490B75">
        <w:rPr>
          <w:rFonts w:ascii="Georgia" w:hAnsi="Georgia" w:cs="Arial"/>
          <w:noProof/>
          <w:lang w:val="fr-FR" w:eastAsia="fr-FR"/>
        </w:rPr>
        <mc:AlternateContent>
          <mc:Choice Requires="wps">
            <w:drawing>
              <wp:anchor distT="0" distB="0" distL="114300" distR="114300" simplePos="0" relativeHeight="251661312" behindDoc="0" locked="0" layoutInCell="1" allowOverlap="1" wp14:anchorId="3949F2D0" wp14:editId="64F4E0F0">
                <wp:simplePos x="0" y="0"/>
                <wp:positionH relativeFrom="margin">
                  <wp:align>center</wp:align>
                </wp:positionH>
                <wp:positionV relativeFrom="paragraph">
                  <wp:posOffset>21590</wp:posOffset>
                </wp:positionV>
                <wp:extent cx="2162057" cy="956930"/>
                <wp:effectExtent l="19050" t="19050" r="1016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057" cy="956930"/>
                        </a:xfrm>
                        <a:prstGeom prst="rect">
                          <a:avLst/>
                        </a:prstGeom>
                        <a:solidFill>
                          <a:srgbClr val="FFFFFF"/>
                        </a:solidFill>
                        <a:ln w="28575" cmpd="thickThin">
                          <a:solidFill>
                            <a:srgbClr val="000000"/>
                          </a:solidFill>
                          <a:miter lim="800000"/>
                          <a:headEnd/>
                          <a:tailEnd/>
                        </a:ln>
                      </wps:spPr>
                      <wps:txbx>
                        <w:txbxContent>
                          <w:p w:rsidR="0030233B" w:rsidRPr="000E0F77" w:rsidRDefault="0030233B" w:rsidP="008B518B">
                            <w:pPr>
                              <w:pStyle w:val="Sansinterligne"/>
                              <w:jc w:val="center"/>
                              <w:rPr>
                                <w:rFonts w:ascii="Kalinga" w:hAnsi="Kalinga" w:cs="Kalinga"/>
                                <w:sz w:val="16"/>
                                <w:szCs w:val="16"/>
                              </w:rPr>
                            </w:pPr>
                            <w:r w:rsidRPr="000E0F77">
                              <w:rPr>
                                <w:rFonts w:ascii="Kalinga" w:hAnsi="Kalinga" w:cs="Kalinga"/>
                                <w:sz w:val="16"/>
                                <w:szCs w:val="16"/>
                              </w:rPr>
                              <w:t xml:space="preserve">LA PROVIDENCIA ANTERIOR </w:t>
                            </w:r>
                          </w:p>
                          <w:p w:rsidR="0030233B" w:rsidRPr="000E0F77" w:rsidRDefault="0030233B" w:rsidP="008B518B">
                            <w:pPr>
                              <w:pStyle w:val="Sansinterligne"/>
                              <w:jc w:val="center"/>
                              <w:rPr>
                                <w:rFonts w:ascii="Kalinga" w:hAnsi="Kalinga" w:cs="Kalinga"/>
                                <w:sz w:val="8"/>
                                <w:szCs w:val="16"/>
                              </w:rPr>
                            </w:pPr>
                            <w:r w:rsidRPr="000E0F77">
                              <w:rPr>
                                <w:rFonts w:ascii="Kalinga" w:hAnsi="Kalinga" w:cs="Kalinga"/>
                                <w:sz w:val="16"/>
                                <w:szCs w:val="16"/>
                              </w:rPr>
                              <w:t xml:space="preserve">SE NOTIFICÓ POR ESTADO DEL DÍA </w:t>
                            </w:r>
                          </w:p>
                          <w:p w:rsidR="0030233B" w:rsidRPr="000E0F77" w:rsidRDefault="0030233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30233B" w:rsidRPr="000E0F77" w:rsidRDefault="0030233B"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30233B" w:rsidRPr="000E0F77" w:rsidRDefault="0030233B" w:rsidP="00AC087B">
                            <w:pPr>
                              <w:jc w:val="center"/>
                              <w:rPr>
                                <w:rFonts w:ascii="Kalinga" w:hAnsi="Kalinga" w:cs="Kalinga"/>
                                <w:color w:val="000000"/>
                                <w:sz w:val="16"/>
                                <w:szCs w:val="22"/>
                              </w:rPr>
                            </w:pPr>
                            <w:proofErr w:type="spellStart"/>
                            <w:r w:rsidRPr="000E0F77">
                              <w:rPr>
                                <w:rFonts w:ascii="Kalinga" w:hAnsi="Kalinga" w:cs="Kalinga"/>
                                <w:color w:val="000000"/>
                                <w:sz w:val="16"/>
                                <w:szCs w:val="22"/>
                              </w:rPr>
                              <w:t>JAÍR</w:t>
                            </w:r>
                            <w:proofErr w:type="spellEnd"/>
                            <w:r w:rsidRPr="000E0F77">
                              <w:rPr>
                                <w:rFonts w:ascii="Kalinga" w:hAnsi="Kalinga" w:cs="Kalinga"/>
                                <w:color w:val="000000"/>
                                <w:sz w:val="16"/>
                                <w:szCs w:val="22"/>
                              </w:rPr>
                              <w:t xml:space="preserve"> DE JESÚS HENAO MOLINA</w:t>
                            </w:r>
                          </w:p>
                          <w:p w:rsidR="0030233B" w:rsidRPr="000E0F77" w:rsidRDefault="0030233B" w:rsidP="00AC087B">
                            <w:pPr>
                              <w:pStyle w:val="Sansinterligne"/>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30233B" w:rsidRPr="00AC087B" w:rsidRDefault="0030233B"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9F2D0" id="Rectangle 7" o:spid="_x0000_s1026" style="position:absolute;left:0;text-align:left;margin-left:0;margin-top:1.7pt;width:170.25pt;height:75.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" strokeweight="2.25pt">
                <v:stroke linestyle="thickThin"/>
                <v:textbox>
                  <w:txbxContent>
                    <w:p w:rsidR="0030233B" w:rsidRPr="000E0F77" w:rsidRDefault="0030233B"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30233B" w:rsidRPr="000E0F77" w:rsidRDefault="0030233B"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30233B" w:rsidRPr="000E0F77" w:rsidRDefault="0030233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30233B" w:rsidRPr="000E0F77" w:rsidRDefault="0030233B"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30233B" w:rsidRPr="000E0F77" w:rsidRDefault="0030233B" w:rsidP="00AC087B">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30233B" w:rsidRPr="000E0F77" w:rsidRDefault="0030233B"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30233B" w:rsidRPr="00AC087B" w:rsidRDefault="0030233B" w:rsidP="00AC087B">
                      <w:pPr>
                        <w:jc w:val="center"/>
                        <w:rPr>
                          <w:rFonts w:ascii="Kalinga" w:hAnsi="Kalinga" w:cs="Kalinga"/>
                          <w:sz w:val="22"/>
                          <w:szCs w:val="22"/>
                        </w:rPr>
                      </w:pPr>
                    </w:p>
                  </w:txbxContent>
                </v:textbox>
                <w10:wrap anchorx="margin"/>
              </v:rect>
            </w:pict>
          </mc:Fallback>
        </mc:AlternateContent>
      </w:r>
    </w:p>
    <w:p w:rsidR="00843309" w:rsidRPr="00490B75" w:rsidRDefault="00843309" w:rsidP="00A96538">
      <w:pPr>
        <w:pStyle w:val="Corpsdetexte"/>
        <w:spacing w:line="360" w:lineRule="auto"/>
        <w:jc w:val="center"/>
        <w:rPr>
          <w:rFonts w:ascii="Georgia" w:hAnsi="Georgia" w:cs="Arial"/>
          <w:w w:val="150"/>
          <w:sz w:val="18"/>
          <w:lang w:val="en-US"/>
        </w:rPr>
      </w:pPr>
    </w:p>
    <w:p w:rsidR="00FC4EB2" w:rsidRPr="00DB0209" w:rsidRDefault="00FC4EB2">
      <w:pPr>
        <w:rPr>
          <w:rFonts w:ascii="Georgia" w:hAnsi="Georgia" w:cs="Arial"/>
          <w:i/>
          <w:iCs/>
          <w:color w:val="000000"/>
          <w:bdr w:val="none" w:sz="0" w:space="0" w:color="auto" w:frame="1"/>
          <w:lang w:val="en-GB"/>
        </w:rPr>
      </w:pPr>
    </w:p>
    <w:sectPr w:rsidR="00FC4EB2" w:rsidRPr="00DB0209" w:rsidSect="00EA7041">
      <w:headerReference w:type="even" r:id="rId10"/>
      <w:headerReference w:type="default" r:id="rId11"/>
      <w:footerReference w:type="default" r:id="rId12"/>
      <w:pgSz w:w="12242" w:h="18722" w:code="14"/>
      <w:pgMar w:top="1276"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C6" w:rsidRDefault="001334C6" w:rsidP="004D2025">
      <w:r>
        <w:separator/>
      </w:r>
    </w:p>
  </w:endnote>
  <w:endnote w:type="continuationSeparator" w:id="0">
    <w:p w:rsidR="001334C6" w:rsidRDefault="001334C6"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3B" w:rsidRPr="001F19B4" w:rsidRDefault="0030233B" w:rsidP="00F013A2">
    <w:pPr>
      <w:pStyle w:val="Pieddepage"/>
      <w:pBdr>
        <w:bottom w:val="double" w:sz="6" w:space="1" w:color="auto"/>
      </w:pBdr>
      <w:spacing w:line="360" w:lineRule="auto"/>
      <w:jc w:val="right"/>
      <w:rPr>
        <w:rFonts w:ascii="Arial" w:hAnsi="Arial" w:cs="Arial"/>
        <w:spacing w:val="20"/>
        <w:w w:val="200"/>
        <w:sz w:val="2"/>
        <w:szCs w:val="10"/>
      </w:rPr>
    </w:pPr>
  </w:p>
  <w:p w:rsidR="0030233B" w:rsidRDefault="0030233B" w:rsidP="00F013A2">
    <w:pPr>
      <w:pStyle w:val="Pieddepage"/>
      <w:spacing w:line="360" w:lineRule="auto"/>
      <w:jc w:val="right"/>
      <w:rPr>
        <w:rFonts w:ascii="Arial" w:hAnsi="Arial" w:cs="Arial"/>
        <w:i/>
        <w:spacing w:val="20"/>
        <w:w w:val="200"/>
        <w:sz w:val="14"/>
        <w:szCs w:val="10"/>
      </w:rPr>
    </w:pPr>
  </w:p>
  <w:p w:rsidR="0030233B" w:rsidRPr="00EA7041" w:rsidRDefault="0030233B" w:rsidP="00F013A2">
    <w:pPr>
      <w:pStyle w:val="Pieddepage"/>
      <w:spacing w:line="360" w:lineRule="auto"/>
      <w:jc w:val="right"/>
      <w:rPr>
        <w:rFonts w:ascii="Georgia" w:hAnsi="Georgia" w:cs="Arial"/>
        <w:spacing w:val="20"/>
        <w:w w:val="200"/>
        <w:sz w:val="10"/>
        <w:szCs w:val="10"/>
      </w:rPr>
    </w:pPr>
    <w:r w:rsidRPr="00EA7041">
      <w:rPr>
        <w:rFonts w:ascii="Georgia" w:hAnsi="Georgia" w:cs="Arial"/>
        <w:spacing w:val="20"/>
        <w:w w:val="200"/>
        <w:sz w:val="14"/>
        <w:szCs w:val="10"/>
      </w:rPr>
      <w:t>T</w:t>
    </w:r>
    <w:r w:rsidRPr="00EA7041">
      <w:rPr>
        <w:rFonts w:ascii="Georgia" w:hAnsi="Georgia" w:cs="Arial"/>
        <w:spacing w:val="20"/>
        <w:w w:val="200"/>
        <w:sz w:val="10"/>
        <w:szCs w:val="10"/>
      </w:rPr>
      <w:t xml:space="preserve">RIBUNAL </w:t>
    </w:r>
    <w:r w:rsidRPr="00EA7041">
      <w:rPr>
        <w:rFonts w:ascii="Georgia" w:hAnsi="Georgia" w:cs="Arial"/>
        <w:spacing w:val="20"/>
        <w:w w:val="200"/>
        <w:sz w:val="14"/>
        <w:szCs w:val="10"/>
      </w:rPr>
      <w:t>S</w:t>
    </w:r>
    <w:r w:rsidRPr="00EA7041">
      <w:rPr>
        <w:rFonts w:ascii="Georgia" w:hAnsi="Georgia" w:cs="Arial"/>
        <w:spacing w:val="20"/>
        <w:w w:val="200"/>
        <w:sz w:val="10"/>
        <w:szCs w:val="10"/>
      </w:rPr>
      <w:t xml:space="preserve">UPERIOR DE </w:t>
    </w:r>
    <w:r w:rsidRPr="00EA7041">
      <w:rPr>
        <w:rFonts w:ascii="Georgia" w:hAnsi="Georgia" w:cs="Arial"/>
        <w:spacing w:val="20"/>
        <w:w w:val="200"/>
        <w:sz w:val="14"/>
        <w:szCs w:val="10"/>
      </w:rPr>
      <w:t>P</w:t>
    </w:r>
    <w:r w:rsidRPr="00EA7041">
      <w:rPr>
        <w:rFonts w:ascii="Georgia" w:hAnsi="Georgia" w:cs="Arial"/>
        <w:spacing w:val="20"/>
        <w:w w:val="200"/>
        <w:sz w:val="10"/>
        <w:szCs w:val="10"/>
      </w:rPr>
      <w:t>EREIRA</w:t>
    </w:r>
  </w:p>
  <w:p w:rsidR="0030233B" w:rsidRPr="00EA7041" w:rsidRDefault="0030233B" w:rsidP="00F013A2">
    <w:pPr>
      <w:pStyle w:val="Pieddepage"/>
      <w:jc w:val="right"/>
      <w:rPr>
        <w:rFonts w:ascii="Georgia" w:hAnsi="Georgia"/>
      </w:rPr>
    </w:pPr>
    <w:r w:rsidRPr="00EA7041">
      <w:rPr>
        <w:rFonts w:ascii="Georgia" w:hAnsi="Georgia" w:cs="Arial"/>
        <w:spacing w:val="20"/>
        <w:w w:val="200"/>
        <w:sz w:val="10"/>
        <w:szCs w:val="10"/>
      </w:rPr>
      <w:t xml:space="preserve">MS </w:t>
    </w:r>
    <w:proofErr w:type="spellStart"/>
    <w:r w:rsidRPr="00EA7041">
      <w:rPr>
        <w:rFonts w:ascii="Georgia" w:hAnsi="Georgia" w:cs="Arial"/>
        <w:spacing w:val="20"/>
        <w:w w:val="200"/>
        <w:sz w:val="10"/>
        <w:szCs w:val="10"/>
      </w:rPr>
      <w:t>D</w:t>
    </w:r>
    <w:r w:rsidRPr="00EA7041">
      <w:rPr>
        <w:rFonts w:ascii="Georgia" w:hAnsi="Georgia" w:cs="Arial"/>
        <w:spacing w:val="20"/>
        <w:w w:val="200"/>
        <w:sz w:val="8"/>
        <w:szCs w:val="10"/>
      </w:rPr>
      <w:t>UBERNEY</w:t>
    </w:r>
    <w:proofErr w:type="spellEnd"/>
    <w:r w:rsidRPr="00EA7041">
      <w:rPr>
        <w:rFonts w:ascii="Georgia" w:hAnsi="Georgia" w:cs="Arial"/>
        <w:spacing w:val="20"/>
        <w:w w:val="200"/>
        <w:sz w:val="10"/>
        <w:szCs w:val="10"/>
      </w:rPr>
      <w:t xml:space="preserve"> G</w:t>
    </w:r>
    <w:r w:rsidRPr="00EA7041">
      <w:rPr>
        <w:rFonts w:ascii="Georgia" w:hAnsi="Georgia" w:cs="Arial"/>
        <w:spacing w:val="20"/>
        <w:w w:val="200"/>
        <w:sz w:val="8"/>
        <w:szCs w:val="10"/>
      </w:rPr>
      <w:t>RISALES</w:t>
    </w:r>
    <w:r w:rsidRPr="00EA7041">
      <w:rPr>
        <w:rFonts w:ascii="Georgia" w:hAnsi="Georgia" w:cs="Arial"/>
        <w:spacing w:val="20"/>
        <w:w w:val="200"/>
        <w:sz w:val="10"/>
        <w:szCs w:val="10"/>
      </w:rPr>
      <w:t xml:space="preserve"> H</w:t>
    </w:r>
    <w:r w:rsidRPr="00EA7041">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C6" w:rsidRDefault="001334C6" w:rsidP="004D2025">
      <w:r>
        <w:separator/>
      </w:r>
    </w:p>
  </w:footnote>
  <w:footnote w:type="continuationSeparator" w:id="0">
    <w:p w:rsidR="001334C6" w:rsidRDefault="001334C6" w:rsidP="004D2025">
      <w:r>
        <w:continuationSeparator/>
      </w:r>
    </w:p>
  </w:footnote>
  <w:footnote w:id="1">
    <w:p w:rsidR="00840AAA" w:rsidRPr="00490B75" w:rsidRDefault="00840AAA" w:rsidP="00840AAA">
      <w:pPr>
        <w:pStyle w:val="Notedebasdepage"/>
        <w:jc w:val="both"/>
      </w:pPr>
      <w:r w:rsidRPr="00EA7041">
        <w:rPr>
          <w:vertAlign w:val="superscript"/>
        </w:rPr>
        <w:footnoteRef/>
      </w:r>
      <w:r w:rsidRPr="00490B75">
        <w:t xml:space="preserve"> LÓPEZ B., Hernán F. Procedimiento civil colombiano, parte general, 2012, 9ª edición, </w:t>
      </w:r>
      <w:proofErr w:type="spellStart"/>
      <w:r w:rsidRPr="00490B75">
        <w:t>Dupré</w:t>
      </w:r>
      <w:proofErr w:type="spellEnd"/>
      <w:r w:rsidRPr="00490B75">
        <w:t xml:space="preserve"> Editores, </w:t>
      </w:r>
      <w:proofErr w:type="spellStart"/>
      <w:r w:rsidRPr="00490B75">
        <w:t>p.742</w:t>
      </w:r>
      <w:proofErr w:type="spellEnd"/>
      <w:r w:rsidRPr="00490B75">
        <w:t>.</w:t>
      </w:r>
    </w:p>
  </w:footnote>
  <w:footnote w:id="2">
    <w:p w:rsidR="00840AAA" w:rsidRPr="00490B75" w:rsidRDefault="00840AAA" w:rsidP="00840AAA">
      <w:pPr>
        <w:pStyle w:val="Notedebasdepage"/>
        <w:jc w:val="both"/>
      </w:pPr>
      <w:r w:rsidRPr="00490B75">
        <w:rPr>
          <w:vertAlign w:val="superscript"/>
        </w:rPr>
        <w:footnoteRef/>
      </w:r>
      <w:r w:rsidRPr="00490B75">
        <w:t xml:space="preserve"> PARRA Q., Jairo. Derecho procesal civil, tomo I, Santafé de Bogotá D.C., Temis, 1992, </w:t>
      </w:r>
      <w:proofErr w:type="spellStart"/>
      <w:r w:rsidRPr="00490B75">
        <w:t>p.276</w:t>
      </w:r>
      <w:proofErr w:type="spellEnd"/>
      <w:r w:rsidRPr="00490B75">
        <w:t>.</w:t>
      </w:r>
    </w:p>
  </w:footnote>
  <w:footnote w:id="3">
    <w:p w:rsidR="00840AAA" w:rsidRPr="00490B75" w:rsidRDefault="00840AAA" w:rsidP="00840AAA">
      <w:pPr>
        <w:pStyle w:val="Sansinterligne"/>
        <w:jc w:val="both"/>
        <w:rPr>
          <w:rFonts w:ascii="Times New Roman" w:hAnsi="Times New Roman"/>
        </w:rPr>
      </w:pPr>
      <w:r w:rsidRPr="00490B75">
        <w:rPr>
          <w:rFonts w:ascii="Times New Roman" w:hAnsi="Times New Roman"/>
          <w:sz w:val="20"/>
          <w:szCs w:val="20"/>
          <w:vertAlign w:val="superscript"/>
        </w:rPr>
        <w:footnoteRef/>
      </w:r>
      <w:r w:rsidRPr="00490B75">
        <w:rPr>
          <w:rFonts w:ascii="Times New Roman" w:hAnsi="Times New Roman"/>
          <w:sz w:val="20"/>
          <w:szCs w:val="20"/>
        </w:rPr>
        <w:t xml:space="preserve"> LÓPEZ B., Hernán F. Ob. cit., </w:t>
      </w:r>
      <w:proofErr w:type="spellStart"/>
      <w:r w:rsidRPr="00490B75">
        <w:rPr>
          <w:rFonts w:ascii="Times New Roman" w:hAnsi="Times New Roman"/>
          <w:sz w:val="20"/>
          <w:szCs w:val="20"/>
        </w:rPr>
        <w:t>p.746</w:t>
      </w:r>
      <w:proofErr w:type="spellEnd"/>
      <w:r w:rsidRPr="00490B75">
        <w:rPr>
          <w:rFonts w:ascii="Times New Roman" w:hAnsi="Times New Roman"/>
          <w:sz w:val="20"/>
          <w:szCs w:val="20"/>
        </w:rPr>
        <w:t>.</w:t>
      </w:r>
    </w:p>
  </w:footnote>
  <w:footnote w:id="4">
    <w:p w:rsidR="00840AAA" w:rsidRPr="00490B75" w:rsidRDefault="00840AAA" w:rsidP="00840AAA">
      <w:pPr>
        <w:pStyle w:val="Notedebasdepage"/>
        <w:jc w:val="both"/>
        <w:rPr>
          <w:lang w:val="es-CO"/>
        </w:rPr>
      </w:pPr>
      <w:r w:rsidRPr="00490B75">
        <w:rPr>
          <w:rStyle w:val="Appelnotedebasdep"/>
        </w:rPr>
        <w:footnoteRef/>
      </w:r>
      <w:r w:rsidRPr="00490B75">
        <w:t xml:space="preserve"> LÓPEZ B., Hernán F. Código general del proceso, parte general, 2016, </w:t>
      </w:r>
      <w:proofErr w:type="spellStart"/>
      <w:r w:rsidRPr="00490B75">
        <w:t>Dupré</w:t>
      </w:r>
      <w:proofErr w:type="spellEnd"/>
      <w:r w:rsidRPr="00490B75">
        <w:t xml:space="preserve"> Editores, </w:t>
      </w:r>
      <w:proofErr w:type="spellStart"/>
      <w:r w:rsidRPr="00490B75">
        <w:t>p.769</w:t>
      </w:r>
      <w:proofErr w:type="spellEnd"/>
      <w:r w:rsidRPr="00490B75">
        <w:t>.</w:t>
      </w:r>
    </w:p>
  </w:footnote>
  <w:footnote w:id="5">
    <w:p w:rsidR="00840AAA" w:rsidRPr="00490B75" w:rsidRDefault="00840AAA" w:rsidP="00840AAA">
      <w:pPr>
        <w:pStyle w:val="Notedebasdepage"/>
        <w:jc w:val="both"/>
        <w:rPr>
          <w:lang w:val="es-CO"/>
        </w:rPr>
      </w:pPr>
      <w:r w:rsidRPr="00490B75">
        <w:rPr>
          <w:rStyle w:val="Appelnotedebasdep"/>
        </w:rPr>
        <w:footnoteRef/>
      </w:r>
      <w:r w:rsidRPr="00490B75">
        <w:t xml:space="preserve"> </w:t>
      </w:r>
      <w:r w:rsidRPr="00490B75">
        <w:rPr>
          <w:lang w:val="es-CO"/>
        </w:rPr>
        <w:t xml:space="preserve">ROJAS G., Miguel E. Lecciones de derecho procesal, procedimiento civil, tomo II, </w:t>
      </w:r>
      <w:proofErr w:type="spellStart"/>
      <w:r w:rsidRPr="00490B75">
        <w:rPr>
          <w:lang w:val="es-CO"/>
        </w:rPr>
        <w:t>ESAJU</w:t>
      </w:r>
      <w:proofErr w:type="spellEnd"/>
      <w:r w:rsidRPr="00490B75">
        <w:rPr>
          <w:lang w:val="es-CO"/>
        </w:rPr>
        <w:t xml:space="preserve">, 2013, 5ª edición, Bogotá DC, </w:t>
      </w:r>
      <w:proofErr w:type="spellStart"/>
      <w:r w:rsidRPr="00490B75">
        <w:rPr>
          <w:lang w:val="es-CO"/>
        </w:rPr>
        <w:t>p.332</w:t>
      </w:r>
      <w:proofErr w:type="spellEnd"/>
      <w:r w:rsidRPr="00490B75">
        <w:rPr>
          <w:lang w:val="es-CO"/>
        </w:rPr>
        <w:t>.</w:t>
      </w:r>
    </w:p>
  </w:footnote>
  <w:footnote w:id="6">
    <w:p w:rsidR="00C03370" w:rsidRPr="00490B75" w:rsidRDefault="00C03370" w:rsidP="00C03370">
      <w:pPr>
        <w:pStyle w:val="Notedebasdepage"/>
        <w:jc w:val="both"/>
        <w:rPr>
          <w:lang w:val="es-MX"/>
        </w:rPr>
      </w:pPr>
      <w:r w:rsidRPr="00490B75">
        <w:rPr>
          <w:rStyle w:val="Appelnotedebasdep"/>
        </w:rPr>
        <w:footnoteRef/>
      </w:r>
      <w:r w:rsidRPr="00490B75">
        <w:t xml:space="preserve"> AZULA C</w:t>
      </w:r>
      <w:r w:rsidR="00490B75">
        <w:t>.</w:t>
      </w:r>
      <w:r w:rsidRPr="00490B75">
        <w:t xml:space="preserve">, Jaime. Manual de derecho procesal civil, editorial Temis, 2ª edición, Santa Fe de Bogotá DC, 1994, </w:t>
      </w:r>
      <w:proofErr w:type="spellStart"/>
      <w:r w:rsidRPr="00490B75">
        <w:t>p.159</w:t>
      </w:r>
      <w:proofErr w:type="spellEnd"/>
      <w:r w:rsidRPr="00490B75">
        <w:t>.</w:t>
      </w:r>
    </w:p>
  </w:footnote>
  <w:footnote w:id="7">
    <w:p w:rsidR="000B7EEC" w:rsidRPr="00CD2B5E" w:rsidRDefault="000B7EEC" w:rsidP="000B7EEC">
      <w:pPr>
        <w:pStyle w:val="Notedebasdepage"/>
        <w:jc w:val="both"/>
        <w:rPr>
          <w:color w:val="000000" w:themeColor="text1"/>
          <w:lang w:val="es-CO"/>
        </w:rPr>
      </w:pPr>
      <w:r w:rsidRPr="00CD2B5E">
        <w:rPr>
          <w:rStyle w:val="Appelnotedebasdep"/>
          <w:color w:val="000000" w:themeColor="text1"/>
        </w:rPr>
        <w:footnoteRef/>
      </w:r>
      <w:r w:rsidRPr="00CD2B5E">
        <w:rPr>
          <w:color w:val="000000" w:themeColor="text1"/>
        </w:rPr>
        <w:t xml:space="preserve"> </w:t>
      </w:r>
      <w:r w:rsidRPr="00CD2B5E">
        <w:rPr>
          <w:color w:val="000000" w:themeColor="text1"/>
          <w:lang w:val="es-CO"/>
        </w:rPr>
        <w:t>ROJAS G</w:t>
      </w:r>
      <w:r w:rsidR="00490B75" w:rsidRPr="00CD2B5E">
        <w:rPr>
          <w:color w:val="000000" w:themeColor="text1"/>
          <w:lang w:val="es-CO"/>
        </w:rPr>
        <w:t>.</w:t>
      </w:r>
      <w:r w:rsidRPr="00CD2B5E">
        <w:rPr>
          <w:color w:val="000000" w:themeColor="text1"/>
          <w:lang w:val="es-CO"/>
        </w:rPr>
        <w:t>, Miguel E</w:t>
      </w:r>
      <w:r w:rsidR="00490B75" w:rsidRPr="00CD2B5E">
        <w:rPr>
          <w:color w:val="000000" w:themeColor="text1"/>
          <w:lang w:val="es-CO"/>
        </w:rPr>
        <w:t>.</w:t>
      </w:r>
      <w:r w:rsidRPr="00CD2B5E">
        <w:rPr>
          <w:color w:val="000000" w:themeColor="text1"/>
          <w:lang w:val="es-CO"/>
        </w:rPr>
        <w:t xml:space="preserve"> El proceso civil colombiano, parte general, Universidad Externado de Colombia, 1999, Bogotá D.C., </w:t>
      </w:r>
      <w:proofErr w:type="spellStart"/>
      <w:r w:rsidRPr="00CD2B5E">
        <w:rPr>
          <w:color w:val="000000" w:themeColor="text1"/>
          <w:lang w:val="es-CO"/>
        </w:rPr>
        <w:t>p.83</w:t>
      </w:r>
      <w:proofErr w:type="spellEnd"/>
      <w:r w:rsidRPr="00CD2B5E">
        <w:rPr>
          <w:color w:val="000000" w:themeColor="text1"/>
          <w:lang w:val="es-CO"/>
        </w:rPr>
        <w:t>.</w:t>
      </w:r>
    </w:p>
  </w:footnote>
  <w:footnote w:id="8">
    <w:p w:rsidR="00CD2B5E" w:rsidRPr="00CD2B5E" w:rsidRDefault="00CD2B5E" w:rsidP="00CD2B5E">
      <w:pPr>
        <w:pStyle w:val="Notedebasdepage"/>
        <w:jc w:val="both"/>
      </w:pPr>
      <w:r w:rsidRPr="00CD2B5E">
        <w:rPr>
          <w:rStyle w:val="Appelnotedebasdep"/>
          <w:color w:val="000000" w:themeColor="text1"/>
        </w:rPr>
        <w:footnoteRef/>
      </w:r>
      <w:r w:rsidRPr="00CD2B5E">
        <w:rPr>
          <w:color w:val="000000" w:themeColor="text1"/>
        </w:rPr>
        <w:t xml:space="preserve"> CSJ. Civil. Providencia </w:t>
      </w:r>
      <w:proofErr w:type="spellStart"/>
      <w:r w:rsidRPr="00CD2B5E">
        <w:rPr>
          <w:color w:val="000000" w:themeColor="text1"/>
        </w:rPr>
        <w:t>SC17221</w:t>
      </w:r>
      <w:proofErr w:type="spellEnd"/>
      <w:r w:rsidRPr="00CD2B5E">
        <w:rPr>
          <w:color w:val="000000" w:themeColor="text1"/>
        </w:rPr>
        <w:t xml:space="preserve">-2014; </w:t>
      </w:r>
      <w:proofErr w:type="spellStart"/>
      <w:r w:rsidRPr="00CD2B5E">
        <w:rPr>
          <w:color w:val="000000" w:themeColor="text1"/>
        </w:rPr>
        <w:t>MP</w:t>
      </w:r>
      <w:proofErr w:type="spellEnd"/>
      <w:r w:rsidRPr="00CD2B5E">
        <w:rPr>
          <w:color w:val="000000" w:themeColor="text1"/>
        </w:rPr>
        <w:t xml:space="preserve">: Luis A. Tolosa V.: </w:t>
      </w:r>
      <w:r w:rsidRPr="006208D3">
        <w:rPr>
          <w:i/>
          <w:color w:val="000000" w:themeColor="text1"/>
          <w:sz w:val="18"/>
        </w:rPr>
        <w:t xml:space="preserve">“(…) Eventualmente, pueden desbordar hacia una auténtica posesión, </w:t>
      </w:r>
      <w:proofErr w:type="spellStart"/>
      <w:r w:rsidRPr="006208D3">
        <w:rPr>
          <w:i/>
          <w:color w:val="000000" w:themeColor="text1"/>
          <w:sz w:val="18"/>
        </w:rPr>
        <w:t>interversando</w:t>
      </w:r>
      <w:proofErr w:type="spellEnd"/>
      <w:r w:rsidRPr="006208D3">
        <w:rPr>
          <w:i/>
          <w:color w:val="000000" w:themeColor="text1"/>
          <w:sz w:val="18"/>
        </w:rPr>
        <w:t xml:space="preserve"> el estado jurídico, pero deben reflejarse en abierto rechazo al derecho del verdadero propietario, abrogándose el tenedor, un señorío de hecho que no es suyo, pasando a la abierta rebeldía contra el </w:t>
      </w:r>
      <w:proofErr w:type="spellStart"/>
      <w:r w:rsidRPr="006208D3">
        <w:rPr>
          <w:i/>
          <w:color w:val="000000" w:themeColor="text1"/>
          <w:sz w:val="18"/>
        </w:rPr>
        <w:t>verus</w:t>
      </w:r>
      <w:proofErr w:type="spellEnd"/>
      <w:r w:rsidRPr="006208D3">
        <w:rPr>
          <w:i/>
          <w:color w:val="000000" w:themeColor="text1"/>
          <w:sz w:val="18"/>
        </w:rPr>
        <w:t xml:space="preserve"> </w:t>
      </w:r>
      <w:proofErr w:type="spellStart"/>
      <w:r w:rsidRPr="006208D3">
        <w:rPr>
          <w:i/>
          <w:color w:val="000000" w:themeColor="text1"/>
          <w:sz w:val="18"/>
        </w:rPr>
        <w:t>domini</w:t>
      </w:r>
      <w:proofErr w:type="spellEnd"/>
      <w:r w:rsidRPr="006208D3">
        <w:rPr>
          <w:i/>
          <w:color w:val="000000" w:themeColor="text1"/>
          <w:sz w:val="18"/>
        </w:rPr>
        <w:t>, reputándose de ahí en adelante como auténtico dueño, desconociéndole el derecho dominical y disputándoselo a quien en principio autorizó la tenencia. (…)”</w:t>
      </w:r>
      <w:r w:rsidR="00113B21">
        <w:rPr>
          <w:i/>
          <w:color w:val="000000" w:themeColor="text1"/>
        </w:rPr>
        <w:t xml:space="preserve">. </w:t>
      </w:r>
      <w:r w:rsidR="00113B21" w:rsidRPr="006208D3">
        <w:rPr>
          <w:color w:val="000000" w:themeColor="text1"/>
        </w:rPr>
        <w:t xml:space="preserve">Criterio reiterado recientemente en las </w:t>
      </w:r>
      <w:proofErr w:type="spellStart"/>
      <w:r w:rsidR="006208D3" w:rsidRPr="006208D3">
        <w:rPr>
          <w:color w:val="000000" w:themeColor="text1"/>
        </w:rPr>
        <w:t>SC13099</w:t>
      </w:r>
      <w:proofErr w:type="spellEnd"/>
      <w:r w:rsidR="006208D3" w:rsidRPr="006208D3">
        <w:rPr>
          <w:color w:val="000000" w:themeColor="text1"/>
        </w:rPr>
        <w:t xml:space="preserve">-2017 y </w:t>
      </w:r>
      <w:proofErr w:type="spellStart"/>
      <w:r w:rsidR="006208D3" w:rsidRPr="006208D3">
        <w:rPr>
          <w:color w:val="000000" w:themeColor="text1"/>
        </w:rPr>
        <w:t>SC2805</w:t>
      </w:r>
      <w:proofErr w:type="spellEnd"/>
      <w:r w:rsidR="006208D3" w:rsidRPr="006208D3">
        <w:rPr>
          <w:color w:val="000000" w:themeColor="text1"/>
        </w:rPr>
        <w:t>-2016.</w:t>
      </w:r>
    </w:p>
  </w:footnote>
  <w:footnote w:id="9">
    <w:p w:rsidR="000B7EEC" w:rsidRPr="00490B75" w:rsidRDefault="000B7EEC" w:rsidP="000B7EEC">
      <w:pPr>
        <w:pStyle w:val="Notedebasdepage"/>
        <w:jc w:val="both"/>
        <w:rPr>
          <w:lang w:val="es-CO"/>
        </w:rPr>
      </w:pPr>
      <w:r w:rsidRPr="00490B75">
        <w:rPr>
          <w:rStyle w:val="Appelnotedebasdep"/>
        </w:rPr>
        <w:footnoteRef/>
      </w:r>
      <w:r w:rsidRPr="00490B75">
        <w:t xml:space="preserve"> LÓPEZ B</w:t>
      </w:r>
      <w:r w:rsidR="00490B75">
        <w:t>.</w:t>
      </w:r>
      <w:r w:rsidRPr="00490B75">
        <w:t xml:space="preserve">, Hernán F. Procedimiento civil colombiano, parte especial, 2004, 8ª edición, </w:t>
      </w:r>
      <w:proofErr w:type="spellStart"/>
      <w:r w:rsidRPr="00490B75">
        <w:t>Dupré</w:t>
      </w:r>
      <w:proofErr w:type="spellEnd"/>
      <w:r w:rsidRPr="00490B75">
        <w:t xml:space="preserve"> Editores, </w:t>
      </w:r>
      <w:proofErr w:type="spellStart"/>
      <w:r w:rsidRPr="00490B75">
        <w:t>p.875</w:t>
      </w:r>
      <w:proofErr w:type="spellEnd"/>
      <w:r w:rsidRPr="00490B75">
        <w:t>.</w:t>
      </w:r>
    </w:p>
  </w:footnote>
  <w:footnote w:id="10">
    <w:p w:rsidR="000B7EEC" w:rsidRPr="00490B75" w:rsidRDefault="000B7EEC" w:rsidP="000B7EEC">
      <w:pPr>
        <w:pStyle w:val="Notedebasdepage"/>
        <w:rPr>
          <w:lang w:val="es-CO"/>
        </w:rPr>
      </w:pPr>
      <w:r w:rsidRPr="00490B75">
        <w:rPr>
          <w:rStyle w:val="Appelnotedebasdep"/>
        </w:rPr>
        <w:footnoteRef/>
      </w:r>
      <w:r w:rsidRPr="00490B75">
        <w:t xml:space="preserve"> </w:t>
      </w:r>
      <w:r w:rsidRPr="00490B75">
        <w:rPr>
          <w:lang w:val="es-CO"/>
        </w:rPr>
        <w:t>PINEDA R</w:t>
      </w:r>
      <w:r w:rsidR="00490B75">
        <w:rPr>
          <w:lang w:val="es-CO"/>
        </w:rPr>
        <w:t>.</w:t>
      </w:r>
      <w:r w:rsidRPr="00490B75">
        <w:rPr>
          <w:lang w:val="es-CO"/>
        </w:rPr>
        <w:t xml:space="preserve">, Alfonso y otro. El título ejecutivo y los procesos ejecutivos, 2006, 6ª edición, Editorial </w:t>
      </w:r>
      <w:proofErr w:type="spellStart"/>
      <w:r w:rsidRPr="00490B75">
        <w:rPr>
          <w:lang w:val="es-CO"/>
        </w:rPr>
        <w:t>Leyer</w:t>
      </w:r>
      <w:proofErr w:type="spellEnd"/>
      <w:r w:rsidRPr="00490B75">
        <w:rPr>
          <w:lang w:val="es-CO"/>
        </w:rPr>
        <w:t xml:space="preserve">, </w:t>
      </w:r>
      <w:proofErr w:type="spellStart"/>
      <w:r w:rsidRPr="00490B75">
        <w:rPr>
          <w:lang w:val="es-CO"/>
        </w:rPr>
        <w:t>p.253</w:t>
      </w:r>
      <w:proofErr w:type="spellEnd"/>
      <w:r w:rsidRPr="00490B75">
        <w:rPr>
          <w:lang w:val="es-CO"/>
        </w:rPr>
        <w:t>.</w:t>
      </w:r>
    </w:p>
  </w:footnote>
  <w:footnote w:id="11">
    <w:p w:rsidR="000B7EEC" w:rsidRPr="00490B75" w:rsidRDefault="000B7EEC" w:rsidP="000B7EEC">
      <w:pPr>
        <w:pStyle w:val="Notedebasdepage"/>
        <w:jc w:val="both"/>
        <w:rPr>
          <w:lang w:val="es-CO"/>
        </w:rPr>
      </w:pPr>
      <w:r w:rsidRPr="00490B75">
        <w:rPr>
          <w:rStyle w:val="Appelnotedebasdep"/>
        </w:rPr>
        <w:footnoteRef/>
      </w:r>
      <w:r w:rsidRPr="00490B75">
        <w:t xml:space="preserve"> </w:t>
      </w:r>
      <w:r w:rsidRPr="00490B75">
        <w:rPr>
          <w:lang w:val="es-CO"/>
        </w:rPr>
        <w:t>VILLAMIL P</w:t>
      </w:r>
      <w:r w:rsidR="00490B75">
        <w:rPr>
          <w:lang w:val="es-CO"/>
        </w:rPr>
        <w:t>.</w:t>
      </w:r>
      <w:r w:rsidRPr="00490B75">
        <w:rPr>
          <w:lang w:val="es-CO"/>
        </w:rPr>
        <w:t xml:space="preserve">, Edgardo. Algunas garantías civiles, </w:t>
      </w:r>
      <w:r w:rsidRPr="00490B75">
        <w:t xml:space="preserve">2013, Pontificia Universidad Javeriana y Grupo Editorial Ibáñez, </w:t>
      </w:r>
      <w:proofErr w:type="spellStart"/>
      <w:r w:rsidRPr="00490B75">
        <w:t>p.247</w:t>
      </w:r>
      <w:proofErr w:type="spellEnd"/>
      <w:r w:rsidRPr="00490B75">
        <w:t>-284.</w:t>
      </w:r>
    </w:p>
  </w:footnote>
  <w:footnote w:id="12">
    <w:p w:rsidR="000B7EEC" w:rsidRPr="00490B75" w:rsidRDefault="000B7EEC" w:rsidP="000B7EEC">
      <w:pPr>
        <w:pStyle w:val="Notedebasdepage"/>
        <w:jc w:val="both"/>
      </w:pPr>
      <w:r w:rsidRPr="00490B75">
        <w:rPr>
          <w:rStyle w:val="Appelnotedebasdep"/>
        </w:rPr>
        <w:footnoteRef/>
      </w:r>
      <w:r w:rsidRPr="00490B75">
        <w:rPr>
          <w:lang w:val="es-MX"/>
        </w:rPr>
        <w:t xml:space="preserve"> </w:t>
      </w:r>
      <w:r w:rsidRPr="00490B75">
        <w:t>CHICA T</w:t>
      </w:r>
      <w:r w:rsidR="00490B75">
        <w:t>.</w:t>
      </w:r>
      <w:r w:rsidRPr="00490B75">
        <w:t xml:space="preserve">, Héctor. Incidente de levantamiento de embargo y secuestro instructivo, 2011, Bogotá DC, Ediciones Nueva Jurídica, </w:t>
      </w:r>
      <w:proofErr w:type="spellStart"/>
      <w:r w:rsidRPr="00490B75">
        <w:t>p.44</w:t>
      </w:r>
      <w:proofErr w:type="spellEnd"/>
      <w:r w:rsidRPr="00490B75">
        <w:t>.</w:t>
      </w:r>
    </w:p>
  </w:footnote>
  <w:footnote w:id="13">
    <w:p w:rsidR="000B7EEC" w:rsidRPr="00490B75" w:rsidRDefault="000B7EEC" w:rsidP="000B7EEC">
      <w:pPr>
        <w:pStyle w:val="Notedebasdepage"/>
        <w:jc w:val="both"/>
        <w:rPr>
          <w:lang w:val="es-CO"/>
        </w:rPr>
      </w:pPr>
      <w:r w:rsidRPr="00490B75">
        <w:rPr>
          <w:rStyle w:val="Appelnotedebasdep"/>
        </w:rPr>
        <w:footnoteRef/>
      </w:r>
      <w:r w:rsidRPr="00490B75">
        <w:t xml:space="preserve"> </w:t>
      </w:r>
      <w:r w:rsidR="00490B75">
        <w:rPr>
          <w:lang w:val="es-CO"/>
        </w:rPr>
        <w:t>CSJ, Civil</w:t>
      </w:r>
      <w:r w:rsidRPr="00490B75">
        <w:rPr>
          <w:lang w:val="es-CO"/>
        </w:rPr>
        <w:t>. Auto del 13-09-1968.</w:t>
      </w:r>
    </w:p>
  </w:footnote>
  <w:footnote w:id="14">
    <w:p w:rsidR="000B7EEC" w:rsidRPr="00490B75" w:rsidRDefault="000B7EEC" w:rsidP="000B7EEC">
      <w:pPr>
        <w:pStyle w:val="Notedebasdepage"/>
        <w:jc w:val="both"/>
        <w:rPr>
          <w:lang w:val="es-CO"/>
        </w:rPr>
      </w:pPr>
      <w:r w:rsidRPr="00490B75">
        <w:rPr>
          <w:rStyle w:val="Appelnotedebasdep"/>
        </w:rPr>
        <w:footnoteRef/>
      </w:r>
      <w:r w:rsidRPr="00490B75">
        <w:t xml:space="preserve"> </w:t>
      </w:r>
      <w:r w:rsidRPr="00490B75">
        <w:rPr>
          <w:lang w:val="es-CO"/>
        </w:rPr>
        <w:t xml:space="preserve">VELÁSQUEZ JARAMILLO, Luis Guillermo. Bienes, 1ª edición, Librería Jurídica </w:t>
      </w:r>
      <w:proofErr w:type="spellStart"/>
      <w:r w:rsidRPr="00490B75">
        <w:rPr>
          <w:lang w:val="es-CO"/>
        </w:rPr>
        <w:t>Comlibros</w:t>
      </w:r>
      <w:proofErr w:type="spellEnd"/>
      <w:r w:rsidRPr="00490B75">
        <w:rPr>
          <w:lang w:val="es-CO"/>
        </w:rPr>
        <w:t xml:space="preserve">, Medellín A., 2008, </w:t>
      </w:r>
      <w:proofErr w:type="spellStart"/>
      <w:r w:rsidRPr="00490B75">
        <w:rPr>
          <w:lang w:val="es-CO"/>
        </w:rPr>
        <w:t>p.136</w:t>
      </w:r>
      <w:proofErr w:type="spellEnd"/>
      <w:r w:rsidRPr="00490B75">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3B" w:rsidRDefault="0030233B"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19B4">
      <w:rPr>
        <w:rStyle w:val="Numrodepage"/>
        <w:noProof/>
      </w:rPr>
      <w:t>1</w:t>
    </w:r>
    <w:r>
      <w:rPr>
        <w:rStyle w:val="Numrodepage"/>
      </w:rPr>
      <w:fldChar w:fldCharType="end"/>
    </w:r>
  </w:p>
  <w:p w:rsidR="0030233B" w:rsidRDefault="0030233B"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Kalinga"/>
        <w:i/>
        <w:color w:val="7F7F7F" w:themeColor="background1" w:themeShade="7F"/>
        <w:spacing w:val="60"/>
        <w:sz w:val="20"/>
        <w:szCs w:val="20"/>
      </w:rPr>
      <w:id w:val="1633977034"/>
      <w:docPartObj>
        <w:docPartGallery w:val="Page Numbers (Top of Page)"/>
        <w:docPartUnique/>
      </w:docPartObj>
    </w:sdtPr>
    <w:sdtEndPr>
      <w:rPr>
        <w:rFonts w:ascii="Georgia" w:hAnsi="Georgia"/>
        <w:bCs/>
        <w:color w:val="auto"/>
        <w:spacing w:val="0"/>
      </w:rPr>
    </w:sdtEndPr>
    <w:sdtContent>
      <w:p w:rsidR="0030233B" w:rsidRPr="00EA7041" w:rsidRDefault="0030233B">
        <w:pPr>
          <w:pStyle w:val="En-tte"/>
          <w:pBdr>
            <w:bottom w:val="single" w:sz="4" w:space="1" w:color="D9D9D9" w:themeColor="background1" w:themeShade="D9"/>
          </w:pBdr>
          <w:jc w:val="right"/>
          <w:rPr>
            <w:rFonts w:ascii="Georgia" w:hAnsi="Georgia" w:cs="Kalinga"/>
            <w:bCs/>
            <w:i/>
            <w:sz w:val="20"/>
            <w:szCs w:val="20"/>
          </w:rPr>
        </w:pPr>
        <w:r w:rsidRPr="00EA7041">
          <w:rPr>
            <w:rFonts w:ascii="Georgia" w:hAnsi="Georgia" w:cs="Kalinga"/>
            <w:i/>
            <w:color w:val="7F7F7F" w:themeColor="background1" w:themeShade="7F"/>
            <w:spacing w:val="60"/>
            <w:sz w:val="20"/>
            <w:szCs w:val="20"/>
          </w:rPr>
          <w:t>Página</w:t>
        </w:r>
        <w:r w:rsidRPr="00EA7041">
          <w:rPr>
            <w:rFonts w:ascii="Georgia" w:hAnsi="Georgia" w:cs="Kalinga"/>
            <w:i/>
            <w:sz w:val="20"/>
            <w:szCs w:val="20"/>
          </w:rPr>
          <w:t xml:space="preserve"> | </w:t>
        </w:r>
        <w:r w:rsidRPr="00EA7041">
          <w:rPr>
            <w:rFonts w:ascii="Georgia" w:hAnsi="Georgia" w:cs="Kalinga"/>
            <w:i/>
            <w:sz w:val="20"/>
            <w:szCs w:val="20"/>
          </w:rPr>
          <w:fldChar w:fldCharType="begin"/>
        </w:r>
        <w:r w:rsidRPr="00EA7041">
          <w:rPr>
            <w:rFonts w:ascii="Georgia" w:hAnsi="Georgia" w:cs="Kalinga"/>
            <w:i/>
            <w:sz w:val="20"/>
            <w:szCs w:val="20"/>
          </w:rPr>
          <w:instrText>PAGE   \* MERGEFORMAT</w:instrText>
        </w:r>
        <w:r w:rsidRPr="00EA7041">
          <w:rPr>
            <w:rFonts w:ascii="Georgia" w:hAnsi="Georgia" w:cs="Kalinga"/>
            <w:i/>
            <w:sz w:val="20"/>
            <w:szCs w:val="20"/>
          </w:rPr>
          <w:fldChar w:fldCharType="separate"/>
        </w:r>
        <w:r w:rsidR="00DB0209" w:rsidRPr="00DB0209">
          <w:rPr>
            <w:rFonts w:ascii="Georgia" w:hAnsi="Georgia" w:cs="Kalinga"/>
            <w:bCs/>
            <w:i/>
            <w:noProof/>
            <w:sz w:val="20"/>
            <w:szCs w:val="20"/>
          </w:rPr>
          <w:t>1</w:t>
        </w:r>
        <w:r w:rsidRPr="00EA7041">
          <w:rPr>
            <w:rFonts w:ascii="Georgia" w:hAnsi="Georgia" w:cs="Kalinga"/>
            <w:bCs/>
            <w:i/>
            <w:sz w:val="20"/>
            <w:szCs w:val="20"/>
          </w:rPr>
          <w:fldChar w:fldCharType="end"/>
        </w:r>
      </w:p>
    </w:sdtContent>
  </w:sdt>
  <w:p w:rsidR="0030233B" w:rsidRPr="00EA7041" w:rsidRDefault="0030233B" w:rsidP="001A0D88">
    <w:pPr>
      <w:pStyle w:val="En-tte"/>
      <w:widowControl w:val="0"/>
      <w:autoSpaceDE w:val="0"/>
      <w:autoSpaceDN w:val="0"/>
      <w:adjustRightInd w:val="0"/>
      <w:ind w:right="360"/>
      <w:jc w:val="both"/>
      <w:rPr>
        <w:rFonts w:ascii="Georgia" w:eastAsia="Dotum" w:hAnsi="Georgia" w:cs="Kalinga"/>
        <w:i/>
        <w:sz w:val="20"/>
      </w:rPr>
    </w:pPr>
    <w:r w:rsidRPr="00EA7041">
      <w:rPr>
        <w:rFonts w:ascii="Georgia" w:hAnsi="Georgia" w:cs="Kalinga"/>
        <w:i/>
        <w:sz w:val="20"/>
        <w:szCs w:val="20"/>
        <w:lang w:val="es-CO"/>
      </w:rPr>
      <w:t xml:space="preserve">EXPEDIENTE </w:t>
    </w:r>
    <w:proofErr w:type="spellStart"/>
    <w:r w:rsidRPr="00EA7041">
      <w:rPr>
        <w:rFonts w:ascii="Georgia" w:hAnsi="Georgia" w:cs="Kalinga"/>
        <w:i/>
        <w:sz w:val="20"/>
        <w:szCs w:val="20"/>
        <w:lang w:val="es-CO"/>
      </w:rPr>
      <w:t>No.</w:t>
    </w:r>
    <w:r w:rsidR="004D67F0" w:rsidRPr="00EA7041">
      <w:rPr>
        <w:rFonts w:ascii="Georgia" w:hAnsi="Georgia" w:cs="Kalinga"/>
        <w:i/>
        <w:sz w:val="20"/>
        <w:szCs w:val="20"/>
        <w:lang w:val="es-CO"/>
      </w:rPr>
      <w:t>2011</w:t>
    </w:r>
    <w:proofErr w:type="spellEnd"/>
    <w:r w:rsidR="004D67F0" w:rsidRPr="00EA7041">
      <w:rPr>
        <w:rFonts w:ascii="Georgia" w:hAnsi="Georgia" w:cs="Kalinga"/>
        <w:i/>
        <w:sz w:val="20"/>
        <w:szCs w:val="20"/>
        <w:lang w:val="es-CO"/>
      </w:rPr>
      <w:t>-00381-01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2"/>
  </w:num>
  <w:num w:numId="3">
    <w:abstractNumId w:val="8"/>
  </w:num>
  <w:num w:numId="4">
    <w:abstractNumId w:val="14"/>
  </w:num>
  <w:num w:numId="5">
    <w:abstractNumId w:val="9"/>
  </w:num>
  <w:num w:numId="6">
    <w:abstractNumId w:val="3"/>
  </w:num>
  <w:num w:numId="7">
    <w:abstractNumId w:val="11"/>
  </w:num>
  <w:num w:numId="8">
    <w:abstractNumId w:val="6"/>
  </w:num>
  <w:num w:numId="9">
    <w:abstractNumId w:val="7"/>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3"/>
  </w:num>
  <w:num w:numId="15">
    <w:abstractNumId w:val="15"/>
  </w:num>
  <w:num w:numId="16">
    <w:abstractNumId w:val="19"/>
  </w:num>
  <w:num w:numId="17">
    <w:abstractNumId w:val="1"/>
  </w:num>
  <w:num w:numId="18">
    <w:abstractNumId w:val="10"/>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526"/>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0C7"/>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295"/>
    <w:rsid w:val="0009744A"/>
    <w:rsid w:val="00097CAC"/>
    <w:rsid w:val="000A0895"/>
    <w:rsid w:val="000A0955"/>
    <w:rsid w:val="000A0CE9"/>
    <w:rsid w:val="000A1384"/>
    <w:rsid w:val="000A1C86"/>
    <w:rsid w:val="000A1E7A"/>
    <w:rsid w:val="000A27CE"/>
    <w:rsid w:val="000A2AF1"/>
    <w:rsid w:val="000A371D"/>
    <w:rsid w:val="000A3884"/>
    <w:rsid w:val="000A41AD"/>
    <w:rsid w:val="000A448D"/>
    <w:rsid w:val="000A5EE4"/>
    <w:rsid w:val="000A5F71"/>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DD0"/>
    <w:rsid w:val="000B4F1F"/>
    <w:rsid w:val="000B58C0"/>
    <w:rsid w:val="000B59A8"/>
    <w:rsid w:val="000B59CD"/>
    <w:rsid w:val="000B6119"/>
    <w:rsid w:val="000B6476"/>
    <w:rsid w:val="000B6542"/>
    <w:rsid w:val="000B6860"/>
    <w:rsid w:val="000B687F"/>
    <w:rsid w:val="000B6922"/>
    <w:rsid w:val="000B6B97"/>
    <w:rsid w:val="000B6BDA"/>
    <w:rsid w:val="000B7A2B"/>
    <w:rsid w:val="000B7EEC"/>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0F77"/>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5E5E"/>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21"/>
    <w:rsid w:val="00113BFA"/>
    <w:rsid w:val="00113F3A"/>
    <w:rsid w:val="00115C96"/>
    <w:rsid w:val="00115FCA"/>
    <w:rsid w:val="00116328"/>
    <w:rsid w:val="0011637F"/>
    <w:rsid w:val="001163F0"/>
    <w:rsid w:val="00116829"/>
    <w:rsid w:val="00116E9C"/>
    <w:rsid w:val="0011712E"/>
    <w:rsid w:val="001172B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34C6"/>
    <w:rsid w:val="00134CCE"/>
    <w:rsid w:val="00134CDD"/>
    <w:rsid w:val="00135C43"/>
    <w:rsid w:val="001360C3"/>
    <w:rsid w:val="00136585"/>
    <w:rsid w:val="0013688E"/>
    <w:rsid w:val="001370F4"/>
    <w:rsid w:val="0013791C"/>
    <w:rsid w:val="00140ADA"/>
    <w:rsid w:val="0014154C"/>
    <w:rsid w:val="00141831"/>
    <w:rsid w:val="001422E2"/>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30B"/>
    <w:rsid w:val="001623A3"/>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15CA"/>
    <w:rsid w:val="001724A4"/>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0E9"/>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4043"/>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9B4"/>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4D9"/>
    <w:rsid w:val="002147E8"/>
    <w:rsid w:val="0021543A"/>
    <w:rsid w:val="00215693"/>
    <w:rsid w:val="0021578A"/>
    <w:rsid w:val="00216337"/>
    <w:rsid w:val="00220192"/>
    <w:rsid w:val="00220374"/>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155"/>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921"/>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1B8"/>
    <w:rsid w:val="00261BCC"/>
    <w:rsid w:val="00261C7E"/>
    <w:rsid w:val="00261E14"/>
    <w:rsid w:val="002620C8"/>
    <w:rsid w:val="002623AF"/>
    <w:rsid w:val="002624BA"/>
    <w:rsid w:val="00262E53"/>
    <w:rsid w:val="00263537"/>
    <w:rsid w:val="00263BD3"/>
    <w:rsid w:val="00263C5C"/>
    <w:rsid w:val="00263E1F"/>
    <w:rsid w:val="00264357"/>
    <w:rsid w:val="00264F0B"/>
    <w:rsid w:val="0026562D"/>
    <w:rsid w:val="00265782"/>
    <w:rsid w:val="002666DB"/>
    <w:rsid w:val="00267072"/>
    <w:rsid w:val="00267344"/>
    <w:rsid w:val="0026746C"/>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D7B"/>
    <w:rsid w:val="0027439D"/>
    <w:rsid w:val="00274C8B"/>
    <w:rsid w:val="00274CB6"/>
    <w:rsid w:val="002755FA"/>
    <w:rsid w:val="00275A9D"/>
    <w:rsid w:val="0027641C"/>
    <w:rsid w:val="002767AA"/>
    <w:rsid w:val="00276A65"/>
    <w:rsid w:val="00276C3E"/>
    <w:rsid w:val="00276E66"/>
    <w:rsid w:val="002770F2"/>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3B4B"/>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834"/>
    <w:rsid w:val="002B3D56"/>
    <w:rsid w:val="002B3F1F"/>
    <w:rsid w:val="002B41A3"/>
    <w:rsid w:val="002B4590"/>
    <w:rsid w:val="002B4734"/>
    <w:rsid w:val="002B4D01"/>
    <w:rsid w:val="002B4DF7"/>
    <w:rsid w:val="002B500F"/>
    <w:rsid w:val="002B514B"/>
    <w:rsid w:val="002B5C9B"/>
    <w:rsid w:val="002B6328"/>
    <w:rsid w:val="002B65B1"/>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987"/>
    <w:rsid w:val="002C6A54"/>
    <w:rsid w:val="002C7125"/>
    <w:rsid w:val="002C7785"/>
    <w:rsid w:val="002D00FC"/>
    <w:rsid w:val="002D01DB"/>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2D5"/>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17DE3"/>
    <w:rsid w:val="003200C5"/>
    <w:rsid w:val="003201EE"/>
    <w:rsid w:val="003202E9"/>
    <w:rsid w:val="003208C8"/>
    <w:rsid w:val="0032091F"/>
    <w:rsid w:val="00320C41"/>
    <w:rsid w:val="00320E35"/>
    <w:rsid w:val="00320EF2"/>
    <w:rsid w:val="00321434"/>
    <w:rsid w:val="00321488"/>
    <w:rsid w:val="00321A14"/>
    <w:rsid w:val="00321D58"/>
    <w:rsid w:val="00321F83"/>
    <w:rsid w:val="003224B1"/>
    <w:rsid w:val="00322ADD"/>
    <w:rsid w:val="00323555"/>
    <w:rsid w:val="003235F9"/>
    <w:rsid w:val="00323EC0"/>
    <w:rsid w:val="00324435"/>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1DE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AEC"/>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1D1"/>
    <w:rsid w:val="003535AF"/>
    <w:rsid w:val="00353B73"/>
    <w:rsid w:val="00354452"/>
    <w:rsid w:val="00354BDD"/>
    <w:rsid w:val="00354EED"/>
    <w:rsid w:val="003552B2"/>
    <w:rsid w:val="003554CE"/>
    <w:rsid w:val="00355634"/>
    <w:rsid w:val="00355665"/>
    <w:rsid w:val="00356104"/>
    <w:rsid w:val="003562DD"/>
    <w:rsid w:val="003572D1"/>
    <w:rsid w:val="00360A14"/>
    <w:rsid w:val="00360A75"/>
    <w:rsid w:val="0036104D"/>
    <w:rsid w:val="0036168E"/>
    <w:rsid w:val="00361E94"/>
    <w:rsid w:val="00361FC8"/>
    <w:rsid w:val="00362BBB"/>
    <w:rsid w:val="00362BF5"/>
    <w:rsid w:val="003630B2"/>
    <w:rsid w:val="003634F7"/>
    <w:rsid w:val="0036386C"/>
    <w:rsid w:val="00363B63"/>
    <w:rsid w:val="00364366"/>
    <w:rsid w:val="00365059"/>
    <w:rsid w:val="003666A9"/>
    <w:rsid w:val="003666BF"/>
    <w:rsid w:val="0036714A"/>
    <w:rsid w:val="003679D6"/>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436"/>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06B"/>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9F4"/>
    <w:rsid w:val="00413A06"/>
    <w:rsid w:val="00413C6D"/>
    <w:rsid w:val="004146EC"/>
    <w:rsid w:val="0041480B"/>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17A92"/>
    <w:rsid w:val="0042095B"/>
    <w:rsid w:val="00421253"/>
    <w:rsid w:val="00421578"/>
    <w:rsid w:val="00421FBF"/>
    <w:rsid w:val="004220D6"/>
    <w:rsid w:val="00422276"/>
    <w:rsid w:val="00422304"/>
    <w:rsid w:val="00423660"/>
    <w:rsid w:val="00424369"/>
    <w:rsid w:val="004248CE"/>
    <w:rsid w:val="00424E88"/>
    <w:rsid w:val="00424EF6"/>
    <w:rsid w:val="00425090"/>
    <w:rsid w:val="00425297"/>
    <w:rsid w:val="004253B9"/>
    <w:rsid w:val="004254A0"/>
    <w:rsid w:val="00425880"/>
    <w:rsid w:val="004259FD"/>
    <w:rsid w:val="00425A14"/>
    <w:rsid w:val="004261FA"/>
    <w:rsid w:val="0042661D"/>
    <w:rsid w:val="00426A18"/>
    <w:rsid w:val="00426B8C"/>
    <w:rsid w:val="00427436"/>
    <w:rsid w:val="00427C91"/>
    <w:rsid w:val="004302E8"/>
    <w:rsid w:val="00430F69"/>
    <w:rsid w:val="0043114B"/>
    <w:rsid w:val="00431334"/>
    <w:rsid w:val="004314C5"/>
    <w:rsid w:val="00431F3D"/>
    <w:rsid w:val="0043251B"/>
    <w:rsid w:val="00433002"/>
    <w:rsid w:val="0043399D"/>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565"/>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718"/>
    <w:rsid w:val="00471C68"/>
    <w:rsid w:val="00471EE2"/>
    <w:rsid w:val="004724FD"/>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9B"/>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B75"/>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6A66"/>
    <w:rsid w:val="004A6D27"/>
    <w:rsid w:val="004A6DC9"/>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38C3"/>
    <w:rsid w:val="004C40FC"/>
    <w:rsid w:val="004C5C99"/>
    <w:rsid w:val="004C6293"/>
    <w:rsid w:val="004C6617"/>
    <w:rsid w:val="004C6844"/>
    <w:rsid w:val="004C6F31"/>
    <w:rsid w:val="004C6F83"/>
    <w:rsid w:val="004C79BF"/>
    <w:rsid w:val="004D0ED2"/>
    <w:rsid w:val="004D113A"/>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7F0"/>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6EB"/>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221"/>
    <w:rsid w:val="00522516"/>
    <w:rsid w:val="005227DE"/>
    <w:rsid w:val="00522D8B"/>
    <w:rsid w:val="005230D7"/>
    <w:rsid w:val="0052353F"/>
    <w:rsid w:val="005238C3"/>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C4A"/>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01"/>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C9"/>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35E"/>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7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93A"/>
    <w:rsid w:val="005B7372"/>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014"/>
    <w:rsid w:val="005C4766"/>
    <w:rsid w:val="005C4AD2"/>
    <w:rsid w:val="005C4BFC"/>
    <w:rsid w:val="005C4D8D"/>
    <w:rsid w:val="005C52DC"/>
    <w:rsid w:val="005C5342"/>
    <w:rsid w:val="005C5B79"/>
    <w:rsid w:val="005C63F1"/>
    <w:rsid w:val="005C66AF"/>
    <w:rsid w:val="005C6808"/>
    <w:rsid w:val="005C6AFA"/>
    <w:rsid w:val="005C7294"/>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2B"/>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08D3"/>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5B1"/>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5F8E"/>
    <w:rsid w:val="0068699A"/>
    <w:rsid w:val="00686F4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95D"/>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757C"/>
    <w:rsid w:val="006E084A"/>
    <w:rsid w:val="006E1135"/>
    <w:rsid w:val="006E12B7"/>
    <w:rsid w:val="006E1A62"/>
    <w:rsid w:val="006E28D7"/>
    <w:rsid w:val="006E28FF"/>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270"/>
    <w:rsid w:val="007079B4"/>
    <w:rsid w:val="00707C5C"/>
    <w:rsid w:val="00707D57"/>
    <w:rsid w:val="00707EBC"/>
    <w:rsid w:val="007104D0"/>
    <w:rsid w:val="00710C66"/>
    <w:rsid w:val="00710E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6F8"/>
    <w:rsid w:val="00722EE8"/>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4792"/>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72B"/>
    <w:rsid w:val="007649C0"/>
    <w:rsid w:val="00764D13"/>
    <w:rsid w:val="00764F71"/>
    <w:rsid w:val="007651DE"/>
    <w:rsid w:val="007654A4"/>
    <w:rsid w:val="00765561"/>
    <w:rsid w:val="00766002"/>
    <w:rsid w:val="007662AC"/>
    <w:rsid w:val="00766813"/>
    <w:rsid w:val="0076689D"/>
    <w:rsid w:val="00766A9B"/>
    <w:rsid w:val="00766AAA"/>
    <w:rsid w:val="00766F7C"/>
    <w:rsid w:val="007671BA"/>
    <w:rsid w:val="0076729C"/>
    <w:rsid w:val="00767676"/>
    <w:rsid w:val="00767B29"/>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289"/>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632"/>
    <w:rsid w:val="007E2996"/>
    <w:rsid w:val="007E3245"/>
    <w:rsid w:val="007E344C"/>
    <w:rsid w:val="007E3873"/>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29C"/>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1353"/>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B0D"/>
    <w:rsid w:val="00834BDE"/>
    <w:rsid w:val="00834C83"/>
    <w:rsid w:val="00835B87"/>
    <w:rsid w:val="0083622F"/>
    <w:rsid w:val="00836869"/>
    <w:rsid w:val="00836CCD"/>
    <w:rsid w:val="00836E13"/>
    <w:rsid w:val="00837268"/>
    <w:rsid w:val="0083763E"/>
    <w:rsid w:val="00837C6F"/>
    <w:rsid w:val="0084026A"/>
    <w:rsid w:val="0084094C"/>
    <w:rsid w:val="00840987"/>
    <w:rsid w:val="00840AAA"/>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3D0"/>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F6"/>
    <w:rsid w:val="00865F4D"/>
    <w:rsid w:val="008667E7"/>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DA3"/>
    <w:rsid w:val="00877A15"/>
    <w:rsid w:val="00877A1E"/>
    <w:rsid w:val="00877A60"/>
    <w:rsid w:val="00877B9A"/>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6806"/>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2FA5"/>
    <w:rsid w:val="008B308B"/>
    <w:rsid w:val="008B3597"/>
    <w:rsid w:val="008B35B5"/>
    <w:rsid w:val="008B37B3"/>
    <w:rsid w:val="008B4305"/>
    <w:rsid w:val="008B43A1"/>
    <w:rsid w:val="008B472B"/>
    <w:rsid w:val="008B480F"/>
    <w:rsid w:val="008B518B"/>
    <w:rsid w:val="008B555D"/>
    <w:rsid w:val="008B5692"/>
    <w:rsid w:val="008B56F9"/>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171"/>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326A"/>
    <w:rsid w:val="0096351D"/>
    <w:rsid w:val="00963846"/>
    <w:rsid w:val="009638AC"/>
    <w:rsid w:val="009638E4"/>
    <w:rsid w:val="009639D7"/>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97CE6"/>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C0F"/>
    <w:rsid w:val="009E3D85"/>
    <w:rsid w:val="009E400C"/>
    <w:rsid w:val="009E48FA"/>
    <w:rsid w:val="009E4A3B"/>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7EF"/>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B7A"/>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7BF"/>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BEB"/>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4F2"/>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7A5"/>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980"/>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4D"/>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247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86B"/>
    <w:rsid w:val="00B21B22"/>
    <w:rsid w:val="00B22C21"/>
    <w:rsid w:val="00B22F8E"/>
    <w:rsid w:val="00B23334"/>
    <w:rsid w:val="00B233CB"/>
    <w:rsid w:val="00B23A6A"/>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4C3"/>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1AF"/>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D9F"/>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5C5"/>
    <w:rsid w:val="00B74D4B"/>
    <w:rsid w:val="00B74F58"/>
    <w:rsid w:val="00B751E0"/>
    <w:rsid w:val="00B7534E"/>
    <w:rsid w:val="00B7581F"/>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685"/>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694"/>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A00"/>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34"/>
    <w:rsid w:val="00BE10A1"/>
    <w:rsid w:val="00BE1397"/>
    <w:rsid w:val="00BE180D"/>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21ED"/>
    <w:rsid w:val="00C022C2"/>
    <w:rsid w:val="00C029EF"/>
    <w:rsid w:val="00C02C02"/>
    <w:rsid w:val="00C03370"/>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5F1"/>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27EE4"/>
    <w:rsid w:val="00C30105"/>
    <w:rsid w:val="00C302EE"/>
    <w:rsid w:val="00C306A5"/>
    <w:rsid w:val="00C308DD"/>
    <w:rsid w:val="00C3191A"/>
    <w:rsid w:val="00C31BEB"/>
    <w:rsid w:val="00C31C8F"/>
    <w:rsid w:val="00C31CF2"/>
    <w:rsid w:val="00C31CF4"/>
    <w:rsid w:val="00C31D80"/>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3FF2"/>
    <w:rsid w:val="00C64AD3"/>
    <w:rsid w:val="00C6520F"/>
    <w:rsid w:val="00C65430"/>
    <w:rsid w:val="00C6568A"/>
    <w:rsid w:val="00C657AC"/>
    <w:rsid w:val="00C66129"/>
    <w:rsid w:val="00C6629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322F"/>
    <w:rsid w:val="00C9425E"/>
    <w:rsid w:val="00C9450A"/>
    <w:rsid w:val="00C94568"/>
    <w:rsid w:val="00C94710"/>
    <w:rsid w:val="00C96291"/>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7AE0"/>
    <w:rsid w:val="00CB7E95"/>
    <w:rsid w:val="00CC0268"/>
    <w:rsid w:val="00CC02A1"/>
    <w:rsid w:val="00CC047A"/>
    <w:rsid w:val="00CC11D5"/>
    <w:rsid w:val="00CC15FD"/>
    <w:rsid w:val="00CC1786"/>
    <w:rsid w:val="00CC206D"/>
    <w:rsid w:val="00CC3FEA"/>
    <w:rsid w:val="00CC4085"/>
    <w:rsid w:val="00CC436D"/>
    <w:rsid w:val="00CC47A7"/>
    <w:rsid w:val="00CC4AE3"/>
    <w:rsid w:val="00CC5006"/>
    <w:rsid w:val="00CC5659"/>
    <w:rsid w:val="00CC58AE"/>
    <w:rsid w:val="00CC610A"/>
    <w:rsid w:val="00CC6867"/>
    <w:rsid w:val="00CC6890"/>
    <w:rsid w:val="00CC6CDA"/>
    <w:rsid w:val="00CC6E07"/>
    <w:rsid w:val="00CC73A5"/>
    <w:rsid w:val="00CC76B6"/>
    <w:rsid w:val="00CC7943"/>
    <w:rsid w:val="00CD02C8"/>
    <w:rsid w:val="00CD077D"/>
    <w:rsid w:val="00CD138A"/>
    <w:rsid w:val="00CD1450"/>
    <w:rsid w:val="00CD1702"/>
    <w:rsid w:val="00CD1AF6"/>
    <w:rsid w:val="00CD2961"/>
    <w:rsid w:val="00CD2A0E"/>
    <w:rsid w:val="00CD2B5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4354"/>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C1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781"/>
    <w:rsid w:val="00D45BB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412"/>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128"/>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87EDE"/>
    <w:rsid w:val="00D9069A"/>
    <w:rsid w:val="00D90D20"/>
    <w:rsid w:val="00D91822"/>
    <w:rsid w:val="00D9194E"/>
    <w:rsid w:val="00D91C61"/>
    <w:rsid w:val="00D92997"/>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92E"/>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09"/>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AA"/>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0D2"/>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083"/>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8C"/>
    <w:rsid w:val="00E14AEE"/>
    <w:rsid w:val="00E14E80"/>
    <w:rsid w:val="00E154FA"/>
    <w:rsid w:val="00E1588B"/>
    <w:rsid w:val="00E16314"/>
    <w:rsid w:val="00E17760"/>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6A7"/>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2FEC"/>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DA3"/>
    <w:rsid w:val="00E547EC"/>
    <w:rsid w:val="00E55F0B"/>
    <w:rsid w:val="00E56A4B"/>
    <w:rsid w:val="00E570E3"/>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21"/>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041"/>
    <w:rsid w:val="00EA7D45"/>
    <w:rsid w:val="00EB0895"/>
    <w:rsid w:val="00EB1A75"/>
    <w:rsid w:val="00EB1E75"/>
    <w:rsid w:val="00EB2D8F"/>
    <w:rsid w:val="00EB2EDF"/>
    <w:rsid w:val="00EB502A"/>
    <w:rsid w:val="00EB50E6"/>
    <w:rsid w:val="00EB55DD"/>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3D2"/>
    <w:rsid w:val="00ED54BC"/>
    <w:rsid w:val="00ED54E8"/>
    <w:rsid w:val="00ED5634"/>
    <w:rsid w:val="00ED5832"/>
    <w:rsid w:val="00ED77C2"/>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6117"/>
    <w:rsid w:val="00F161C9"/>
    <w:rsid w:val="00F1652B"/>
    <w:rsid w:val="00F167CF"/>
    <w:rsid w:val="00F16CF9"/>
    <w:rsid w:val="00F16DE2"/>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27D"/>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6E34"/>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492"/>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CD2"/>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5DAA"/>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248"/>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1">
    <w:name w:val="heading 1"/>
    <w:basedOn w:val="Normal"/>
    <w:next w:val="Normal"/>
    <w:link w:val="Titre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unhideWhenUsed/>
    <w:rsid w:val="00BF76EE"/>
    <w:pPr>
      <w:spacing w:after="120"/>
      <w:ind w:left="283"/>
    </w:pPr>
  </w:style>
  <w:style w:type="character" w:customStyle="1" w:styleId="RetraitcorpsdetexteCar">
    <w:name w:val="Retrait corps de texte Car"/>
    <w:basedOn w:val="Policepardfaut"/>
    <w:link w:val="Retraitcorpsdetexte"/>
    <w:uiPriority w:val="99"/>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C,Footnotes refss,Appel note de bas de page,Fago Fußnotenzeichen,Nota a pie,Ref. de nota al pie 2,Footnote symbol,Footnote,Char Car Car Car Ca,Ref. de nota al pie2,R"/>
    <w:basedOn w:val="Policepardfaut"/>
    <w:uiPriority w:val="99"/>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itre1Car">
    <w:name w:val="Titre 1 Car"/>
    <w:basedOn w:val="Policepardfaut"/>
    <w:link w:val="Titre1"/>
    <w:uiPriority w:val="9"/>
    <w:rsid w:val="00DC5B7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1">
    <w:name w:val="heading 1"/>
    <w:basedOn w:val="Normal"/>
    <w:next w:val="Normal"/>
    <w:link w:val="Titre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unhideWhenUsed/>
    <w:rsid w:val="00BF76EE"/>
    <w:pPr>
      <w:spacing w:after="120"/>
      <w:ind w:left="283"/>
    </w:pPr>
  </w:style>
  <w:style w:type="character" w:customStyle="1" w:styleId="RetraitcorpsdetexteCar">
    <w:name w:val="Retrait corps de texte Car"/>
    <w:basedOn w:val="Policepardfaut"/>
    <w:link w:val="Retraitcorpsdetexte"/>
    <w:uiPriority w:val="99"/>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C,Footnotes refss,Appel note de bas de page,Fago Fußnotenzeichen,Nota a pie,Ref. de nota al pie 2,Footnote symbol,Footnote,Char Car Car Car Ca,Ref. de nota al pie2,R"/>
    <w:basedOn w:val="Policepardfaut"/>
    <w:uiPriority w:val="99"/>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itre1Car">
    <w:name w:val="Titre 1 Car"/>
    <w:basedOn w:val="Policepardfaut"/>
    <w:link w:val="Titre1"/>
    <w:uiPriority w:val="9"/>
    <w:rsid w:val="00DC5B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827089900">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590232736">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B401-C8D9-459E-A7DB-C3884670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2372</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9</cp:revision>
  <cp:lastPrinted>2017-09-19T12:18:00Z</cp:lastPrinted>
  <dcterms:created xsi:type="dcterms:W3CDTF">2017-09-14T15:59:00Z</dcterms:created>
  <dcterms:modified xsi:type="dcterms:W3CDTF">2017-10-31T18:52:00Z</dcterms:modified>
</cp:coreProperties>
</file>