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C27FC" w:rsidRPr="00EC27FC" w:rsidRDefault="00EC27FC" w:rsidP="00EC27F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EC27F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C27FC" w:rsidRPr="00EC27FC" w:rsidRDefault="00EC27FC" w:rsidP="00EC27F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EC27FC">
        <w:rPr>
          <w:rFonts w:ascii="Calibri" w:eastAsia="Calibri" w:hAnsi="Calibri" w:cs="Calibri"/>
          <w:color w:val="FF0000"/>
          <w:sz w:val="16"/>
          <w:szCs w:val="16"/>
          <w:lang w:val="es-CO" w:eastAsia="fr-FR"/>
        </w:rPr>
        <w:t>El contenido total y fiel de la decisión debe ser verificado en la Secretaría de esta Sala.</w:t>
      </w:r>
    </w:p>
    <w:p w:rsidR="00EC27FC" w:rsidRPr="00EC27FC" w:rsidRDefault="00EC27FC" w:rsidP="00EC27F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EC27FC">
        <w:rPr>
          <w:rFonts w:ascii="Calibri" w:hAnsi="Calibri" w:cs="Calibri"/>
          <w:color w:val="222222"/>
          <w:sz w:val="18"/>
          <w:szCs w:val="18"/>
          <w:lang w:val="es-CO" w:eastAsia="fr-FR"/>
        </w:rPr>
        <w:t>Providencia:</w:t>
      </w:r>
      <w:r w:rsidRPr="00EC27FC">
        <w:rPr>
          <w:rFonts w:ascii="Calibri" w:hAnsi="Calibri" w:cs="Calibri"/>
          <w:color w:val="222222"/>
          <w:sz w:val="18"/>
          <w:szCs w:val="18"/>
          <w:lang w:val="es-CO" w:eastAsia="fr-FR"/>
        </w:rPr>
        <w:tab/>
        <w:t>Sentencia  – 1ª instancia – 08 de septiembre de 2017</w:t>
      </w:r>
    </w:p>
    <w:p w:rsidR="00EC27FC" w:rsidRPr="00EC27FC" w:rsidRDefault="00EC27FC" w:rsidP="00EC27FC">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EC27FC">
        <w:rPr>
          <w:rFonts w:ascii="Calibri" w:eastAsia="Calibri" w:hAnsi="Calibri" w:cs="Calibri"/>
          <w:color w:val="222222"/>
          <w:sz w:val="18"/>
          <w:szCs w:val="18"/>
          <w:lang w:val="es-CO" w:eastAsia="fr-FR"/>
        </w:rPr>
        <w:t>Proceso:    </w:t>
      </w:r>
      <w:r w:rsidRPr="00EC27FC">
        <w:rPr>
          <w:rFonts w:ascii="Calibri" w:eastAsia="Calibri" w:hAnsi="Calibri" w:cs="Calibri"/>
          <w:color w:val="222222"/>
          <w:sz w:val="18"/>
          <w:szCs w:val="18"/>
          <w:lang w:val="es-CO" w:eastAsia="fr-FR"/>
        </w:rPr>
        <w:tab/>
      </w:r>
      <w:r w:rsidRPr="00EC27FC">
        <w:rPr>
          <w:rFonts w:ascii="Calibri" w:eastAsia="Calibri" w:hAnsi="Calibri" w:cs="Calibri"/>
          <w:color w:val="222222"/>
          <w:spacing w:val="-6"/>
          <w:sz w:val="18"/>
          <w:szCs w:val="18"/>
          <w:lang w:val="es-CO" w:eastAsia="fr-FR"/>
        </w:rPr>
        <w:t>Acción de Tutela – Concede amparo</w:t>
      </w:r>
    </w:p>
    <w:p w:rsidR="00EC27FC" w:rsidRPr="00EC27FC" w:rsidRDefault="00EC27FC" w:rsidP="00EC27FC">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EC27FC">
        <w:rPr>
          <w:rFonts w:ascii="Calibri" w:eastAsia="Calibri" w:hAnsi="Calibri" w:cs="Calibri"/>
          <w:color w:val="222222"/>
          <w:sz w:val="18"/>
          <w:szCs w:val="18"/>
          <w:lang w:val="es-CO" w:eastAsia="fr-FR"/>
        </w:rPr>
        <w:t>Radicación Nro. :</w:t>
      </w:r>
      <w:r w:rsidRPr="00EC27FC">
        <w:rPr>
          <w:rFonts w:ascii="Calibri" w:eastAsia="Calibri" w:hAnsi="Calibri" w:cs="Calibri"/>
          <w:color w:val="222222"/>
          <w:sz w:val="18"/>
          <w:szCs w:val="18"/>
          <w:lang w:val="es-CO" w:eastAsia="fr-FR"/>
        </w:rPr>
        <w:tab/>
      </w:r>
      <w:r w:rsidRPr="00EC27FC">
        <w:rPr>
          <w:rFonts w:ascii="Calibri" w:eastAsia="Calibri" w:hAnsi="Calibri" w:cs="Calibri"/>
          <w:bCs/>
          <w:spacing w:val="-6"/>
          <w:sz w:val="18"/>
          <w:szCs w:val="18"/>
          <w:lang w:val="es-ES_tradnl" w:eastAsia="en-US"/>
        </w:rPr>
        <w:t>2017-01004-00</w:t>
      </w:r>
    </w:p>
    <w:p w:rsidR="00EC27FC" w:rsidRPr="00EC27FC" w:rsidRDefault="00EC27FC" w:rsidP="00EC27F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EC27FC">
        <w:rPr>
          <w:rFonts w:ascii="Calibri" w:eastAsia="Calibri" w:hAnsi="Calibri" w:cs="Calibri"/>
          <w:bCs/>
          <w:iCs/>
          <w:color w:val="222222"/>
          <w:sz w:val="18"/>
          <w:szCs w:val="18"/>
          <w:lang w:eastAsia="fr-FR"/>
        </w:rPr>
        <w:t xml:space="preserve">Accionante: </w:t>
      </w:r>
      <w:r w:rsidRPr="00EC27FC">
        <w:rPr>
          <w:rFonts w:ascii="Calibri" w:eastAsia="Calibri" w:hAnsi="Calibri" w:cs="Calibri"/>
          <w:bCs/>
          <w:iCs/>
          <w:color w:val="222222"/>
          <w:sz w:val="18"/>
          <w:szCs w:val="18"/>
          <w:lang w:eastAsia="fr-FR"/>
        </w:rPr>
        <w:tab/>
        <w:t xml:space="preserve">JACQUELINE BUENO </w:t>
      </w:r>
      <w:proofErr w:type="spellStart"/>
      <w:r w:rsidRPr="00EC27FC">
        <w:rPr>
          <w:rFonts w:ascii="Calibri" w:eastAsia="Calibri" w:hAnsi="Calibri" w:cs="Calibri"/>
          <w:bCs/>
          <w:iCs/>
          <w:color w:val="222222"/>
          <w:sz w:val="18"/>
          <w:szCs w:val="18"/>
          <w:lang w:eastAsia="fr-FR"/>
        </w:rPr>
        <w:t>MATTUS</w:t>
      </w:r>
      <w:proofErr w:type="spellEnd"/>
    </w:p>
    <w:p w:rsidR="00EC27FC" w:rsidRPr="00EC27FC" w:rsidRDefault="00EC27FC" w:rsidP="00EC27F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EC27FC">
        <w:rPr>
          <w:rFonts w:ascii="Calibri" w:eastAsia="Calibri" w:hAnsi="Calibri" w:cs="Calibri"/>
          <w:color w:val="222222"/>
          <w:sz w:val="18"/>
          <w:szCs w:val="18"/>
          <w:lang w:val="es-CO" w:eastAsia="fr-FR"/>
        </w:rPr>
        <w:t>Accionado:</w:t>
      </w:r>
      <w:r w:rsidRPr="00EC27FC">
        <w:rPr>
          <w:rFonts w:ascii="Calibri" w:eastAsia="Calibri" w:hAnsi="Calibri" w:cs="Calibri"/>
          <w:color w:val="222222"/>
          <w:sz w:val="18"/>
          <w:szCs w:val="18"/>
          <w:lang w:val="es-CO" w:eastAsia="fr-FR"/>
        </w:rPr>
        <w:tab/>
      </w:r>
      <w:r w:rsidRPr="00EC27FC">
        <w:rPr>
          <w:rFonts w:ascii="Calibri" w:eastAsia="Calibri" w:hAnsi="Calibri" w:cs="Calibri"/>
          <w:bCs/>
          <w:iCs/>
          <w:color w:val="222222"/>
          <w:sz w:val="18"/>
          <w:szCs w:val="18"/>
          <w:lang w:eastAsia="fr-FR"/>
        </w:rPr>
        <w:t>JUZGADO SEGUNDO CIVIL DEL CIRCUITO DE PEREIRA</w:t>
      </w:r>
    </w:p>
    <w:p w:rsidR="00EC27FC" w:rsidRPr="00EC27FC" w:rsidRDefault="00EC27FC" w:rsidP="00EC27FC">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EC27FC">
        <w:rPr>
          <w:rFonts w:ascii="Calibri" w:eastAsia="Calibri" w:hAnsi="Calibri" w:cs="Calibri"/>
          <w:color w:val="222222"/>
          <w:sz w:val="18"/>
          <w:szCs w:val="18"/>
          <w:lang w:val="es-CO" w:eastAsia="fr-FR"/>
        </w:rPr>
        <w:t>Magistrado Ponente: </w:t>
      </w:r>
      <w:r w:rsidRPr="00EC27FC">
        <w:rPr>
          <w:rFonts w:ascii="Calibri" w:eastAsia="Calibri" w:hAnsi="Calibri" w:cs="Calibri"/>
          <w:color w:val="222222"/>
          <w:sz w:val="18"/>
          <w:szCs w:val="18"/>
          <w:lang w:val="es-CO" w:eastAsia="fr-FR"/>
        </w:rPr>
        <w:tab/>
      </w:r>
      <w:proofErr w:type="spellStart"/>
      <w:r w:rsidRPr="00EC27FC">
        <w:rPr>
          <w:rFonts w:ascii="Calibri" w:eastAsia="Calibri" w:hAnsi="Calibri" w:cs="Calibri"/>
          <w:bCs/>
          <w:iCs/>
          <w:color w:val="222222"/>
          <w:sz w:val="18"/>
          <w:szCs w:val="18"/>
          <w:lang w:eastAsia="fr-FR"/>
        </w:rPr>
        <w:t>DUBERNEY</w:t>
      </w:r>
      <w:proofErr w:type="spellEnd"/>
      <w:r w:rsidRPr="00EC27FC">
        <w:rPr>
          <w:rFonts w:ascii="Calibri" w:eastAsia="Calibri" w:hAnsi="Calibri" w:cs="Calibri"/>
          <w:bCs/>
          <w:iCs/>
          <w:color w:val="222222"/>
          <w:sz w:val="18"/>
          <w:szCs w:val="18"/>
          <w:lang w:eastAsia="fr-FR"/>
        </w:rPr>
        <w:t xml:space="preserve"> GRISALES HERRERA</w:t>
      </w:r>
    </w:p>
    <w:p w:rsidR="00EC27FC" w:rsidRPr="00EC27FC" w:rsidRDefault="00EC27FC" w:rsidP="00EC27FC">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EC27FC" w:rsidRPr="00EC27FC" w:rsidRDefault="00EC27FC" w:rsidP="00EC27FC">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EC27FC">
        <w:rPr>
          <w:rFonts w:ascii="Calibri" w:eastAsia="Calibri" w:hAnsi="Calibri" w:cs="Calibri"/>
          <w:b/>
          <w:bCs/>
          <w:iCs/>
          <w:color w:val="222222"/>
          <w:sz w:val="18"/>
          <w:szCs w:val="18"/>
          <w:lang w:val="es-CO" w:eastAsia="fr-FR"/>
        </w:rPr>
        <w:t xml:space="preserve">Temas: </w:t>
      </w:r>
      <w:r w:rsidRPr="00EC27FC">
        <w:rPr>
          <w:rFonts w:ascii="Calibri" w:eastAsia="Calibri" w:hAnsi="Calibri" w:cs="Calibri"/>
          <w:b/>
          <w:bCs/>
          <w:iCs/>
          <w:color w:val="222222"/>
          <w:sz w:val="18"/>
          <w:szCs w:val="18"/>
          <w:lang w:val="es-CO" w:eastAsia="fr-FR"/>
        </w:rPr>
        <w:tab/>
        <w:t>DEBIDO PROCESO / TUTELA CONTRA PROVIDENCIA JUDICIAL / DEFECTO PROCEDIMENTAL.</w:t>
      </w:r>
      <w:r w:rsidRPr="00EC27FC">
        <w:rPr>
          <w:rFonts w:ascii="Calibri" w:eastAsia="Calibri" w:hAnsi="Calibri" w:cs="Calibri"/>
          <w:bCs/>
          <w:iCs/>
          <w:color w:val="222222"/>
          <w:sz w:val="18"/>
          <w:szCs w:val="18"/>
          <w:lang w:val="es-CO" w:eastAsia="fr-FR"/>
        </w:rPr>
        <w:t xml:space="preserve"> </w:t>
      </w:r>
      <w:r w:rsidRPr="00EC27FC">
        <w:rPr>
          <w:rFonts w:ascii="Calibri" w:eastAsia="Calibri" w:hAnsi="Calibri" w:cs="Calibri"/>
          <w:bCs/>
          <w:iCs/>
          <w:color w:val="222222"/>
          <w:sz w:val="18"/>
          <w:szCs w:val="18"/>
          <w:lang w:eastAsia="fr-FR"/>
        </w:rPr>
        <w:t>[C]</w:t>
      </w:r>
      <w:proofErr w:type="spellStart"/>
      <w:r w:rsidRPr="00EC27FC">
        <w:rPr>
          <w:rFonts w:ascii="Calibri" w:eastAsia="Calibri" w:hAnsi="Calibri" w:cs="Calibri"/>
          <w:bCs/>
          <w:iCs/>
          <w:color w:val="222222"/>
          <w:sz w:val="18"/>
          <w:szCs w:val="18"/>
          <w:lang w:eastAsia="fr-FR"/>
        </w:rPr>
        <w:t>onsidera</w:t>
      </w:r>
      <w:proofErr w:type="spellEnd"/>
      <w:r w:rsidRPr="00EC27FC">
        <w:rPr>
          <w:rFonts w:ascii="Calibri" w:eastAsia="Calibri" w:hAnsi="Calibri" w:cs="Calibri"/>
          <w:bCs/>
          <w:iCs/>
          <w:color w:val="222222"/>
          <w:sz w:val="18"/>
          <w:szCs w:val="18"/>
          <w:lang w:eastAsia="fr-FR"/>
        </w:rPr>
        <w:t xml:space="preserve"> esta Magistratura que el Despacho Judicial accionado incurrió en vía de hecho por defecto procedimental por el exceso ritual manifiesto, puesto que limitó la formulación de los reparos a la indicación expresa del numeral de la parte resolutiva de la providencia recurrida, cuando en realidad al recurrente le corresponde es delimitar con concreción los motivos de desacuerdo, ya sea en contra de la parte motiva y/o resolutiva de la providencia. Es que, incluso, puede suceder que el disenso no se haya llevado a la resolutiva y aparezca en la motivación; aún más, es factible que esté ausente en toda la providencia y sea esa la discrepancia. Evidentemente, no fue claro en el estudio de la apelación, dejó de tener en cuenta que el recurrente tenía disconformidad con la afirmación de que el demandado carece de la posesión material del bien objeto de reivindicación, pese a lo narrado en los hechos de la demanda y las confesiones que hizo en el curso del proceso (Folios 30 a 33, ib.). Es inadecuado enfrascar la formulación de los reparos exclusivamente a la parte resolutiva de la sentencia, ya que la norma aplicable nada dice al respecto (Artículo 322, </w:t>
      </w:r>
      <w:proofErr w:type="spellStart"/>
      <w:r w:rsidRPr="00EC27FC">
        <w:rPr>
          <w:rFonts w:ascii="Calibri" w:eastAsia="Calibri" w:hAnsi="Calibri" w:cs="Calibri"/>
          <w:bCs/>
          <w:iCs/>
          <w:color w:val="222222"/>
          <w:sz w:val="18"/>
          <w:szCs w:val="18"/>
          <w:lang w:eastAsia="fr-FR"/>
        </w:rPr>
        <w:t>CGP</w:t>
      </w:r>
      <w:proofErr w:type="spellEnd"/>
      <w:r w:rsidRPr="00EC27FC">
        <w:rPr>
          <w:rFonts w:ascii="Calibri" w:eastAsia="Calibri" w:hAnsi="Calibri" w:cs="Calibri"/>
          <w:bCs/>
          <w:iCs/>
          <w:color w:val="222222"/>
          <w:sz w:val="18"/>
          <w:szCs w:val="18"/>
          <w:lang w:eastAsia="fr-FR"/>
        </w:rPr>
        <w:t xml:space="preserve">). Además, es desproporcionada la interpretación de la providencia, pues ignoró que los hechos que el Superior tuvo en cuenta para declarar la deserción, eran diferentes a los acontecidos en el proceso reivindicatorio. </w:t>
      </w:r>
    </w:p>
    <w:p w:rsidR="00EC27FC" w:rsidRDefault="00EC27FC" w:rsidP="002403C8">
      <w:pPr>
        <w:pStyle w:val="Sansinterligne"/>
        <w:tabs>
          <w:tab w:val="left" w:pos="3579"/>
        </w:tabs>
        <w:spacing w:line="360" w:lineRule="auto"/>
        <w:jc w:val="center"/>
        <w:rPr>
          <w:rFonts w:ascii="Georgia" w:hAnsi="Georgia" w:cs="Arial"/>
          <w:w w:val="140"/>
          <w:sz w:val="14"/>
        </w:rPr>
      </w:pPr>
    </w:p>
    <w:p w:rsidR="00486062" w:rsidRPr="001E5B6B" w:rsidRDefault="00D0509A" w:rsidP="002403C8">
      <w:pPr>
        <w:pStyle w:val="Sansinterligne"/>
        <w:tabs>
          <w:tab w:val="left" w:pos="3579"/>
        </w:tabs>
        <w:spacing w:line="360" w:lineRule="auto"/>
        <w:jc w:val="center"/>
        <w:rPr>
          <w:rFonts w:ascii="Georgia" w:hAnsi="Georgia" w:cs="Arial"/>
          <w:w w:val="140"/>
          <w:sz w:val="14"/>
        </w:rPr>
      </w:pPr>
      <w:r w:rsidRPr="001E5B6B">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ansinterligne"/>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ansinterligne"/>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ansinterligne"/>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ansinterligne"/>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ED7F33">
      <w:pPr>
        <w:spacing w:line="360" w:lineRule="auto"/>
        <w:jc w:val="center"/>
        <w:rPr>
          <w:rFonts w:ascii="Georgia" w:hAnsi="Georgia" w:cs="Arial"/>
          <w:w w:val="140"/>
          <w:szCs w:val="18"/>
        </w:rPr>
      </w:pPr>
    </w:p>
    <w:p w:rsidR="0099045D" w:rsidRPr="001E5B6B" w:rsidRDefault="00970930" w:rsidP="00F560C3">
      <w:pPr>
        <w:pStyle w:val="Corpsdetex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Corpsdetex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577FD0">
        <w:rPr>
          <w:rFonts w:ascii="Georgia" w:hAnsi="Georgia" w:cs="Arial"/>
          <w:sz w:val="22"/>
        </w:rPr>
        <w:t xml:space="preserve">Jacqueline Bueno </w:t>
      </w:r>
      <w:proofErr w:type="spellStart"/>
      <w:r w:rsidR="00577FD0">
        <w:rPr>
          <w:rFonts w:ascii="Georgia" w:hAnsi="Georgia" w:cs="Arial"/>
          <w:sz w:val="22"/>
        </w:rPr>
        <w:t>Mattus</w:t>
      </w:r>
      <w:proofErr w:type="spellEnd"/>
    </w:p>
    <w:p w:rsidR="00A00766" w:rsidRPr="001E5B6B" w:rsidRDefault="00A00766" w:rsidP="00A00766">
      <w:pPr>
        <w:pStyle w:val="Corpsdetex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Juzgado</w:t>
      </w:r>
      <w:r w:rsidR="00370887" w:rsidRPr="001E5B6B">
        <w:rPr>
          <w:rFonts w:ascii="Georgia" w:hAnsi="Georgia" w:cs="Arial"/>
          <w:sz w:val="22"/>
        </w:rPr>
        <w:t xml:space="preserve"> </w:t>
      </w:r>
      <w:r w:rsidR="00577FD0">
        <w:rPr>
          <w:rFonts w:ascii="Georgia" w:hAnsi="Georgia" w:cs="Arial"/>
          <w:sz w:val="22"/>
        </w:rPr>
        <w:t xml:space="preserve">Segundo </w:t>
      </w:r>
      <w:r w:rsidR="00370887" w:rsidRPr="001E5B6B">
        <w:rPr>
          <w:rFonts w:ascii="Georgia" w:hAnsi="Georgia" w:cs="Arial"/>
          <w:sz w:val="22"/>
        </w:rPr>
        <w:t>Ci</w:t>
      </w:r>
      <w:r w:rsidR="00152300" w:rsidRPr="001E5B6B">
        <w:rPr>
          <w:rFonts w:ascii="Georgia" w:hAnsi="Georgia" w:cs="Arial"/>
          <w:sz w:val="22"/>
        </w:rPr>
        <w:t>vil del Circuito de Pereira</w:t>
      </w:r>
      <w:r w:rsidR="005118AB" w:rsidRPr="001E5B6B">
        <w:rPr>
          <w:rFonts w:ascii="Georgia" w:hAnsi="Georgia" w:cs="Arial"/>
          <w:sz w:val="22"/>
        </w:rPr>
        <w:t xml:space="preserve"> </w:t>
      </w:r>
    </w:p>
    <w:p w:rsidR="00A00766" w:rsidRPr="001E5B6B" w:rsidRDefault="00A00766" w:rsidP="00A00766">
      <w:pPr>
        <w:pStyle w:val="Corpsdetex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577FD0">
        <w:rPr>
          <w:rFonts w:ascii="Georgia" w:hAnsi="Georgia" w:cs="Arial"/>
          <w:sz w:val="22"/>
          <w:szCs w:val="22"/>
        </w:rPr>
        <w:t xml:space="preserve">Andrés Orozco </w:t>
      </w:r>
      <w:proofErr w:type="spellStart"/>
      <w:r w:rsidR="00577FD0">
        <w:rPr>
          <w:rFonts w:ascii="Georgia" w:hAnsi="Georgia" w:cs="Arial"/>
          <w:sz w:val="22"/>
          <w:szCs w:val="22"/>
        </w:rPr>
        <w:t>Salemi</w:t>
      </w:r>
      <w:proofErr w:type="spellEnd"/>
    </w:p>
    <w:p w:rsidR="00A00766" w:rsidRPr="001E5B6B" w:rsidRDefault="00A00766" w:rsidP="00A00766">
      <w:pPr>
        <w:pStyle w:val="Corpsdetex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5118AB" w:rsidRPr="001E5B6B">
        <w:rPr>
          <w:rFonts w:ascii="Georgia" w:hAnsi="Georgia" w:cs="Arial"/>
          <w:sz w:val="22"/>
        </w:rPr>
        <w:t>201</w:t>
      </w:r>
      <w:r w:rsidR="00370887" w:rsidRPr="001E5B6B">
        <w:rPr>
          <w:rFonts w:ascii="Georgia" w:hAnsi="Georgia" w:cs="Arial"/>
          <w:sz w:val="22"/>
        </w:rPr>
        <w:t>7</w:t>
      </w:r>
      <w:r w:rsidR="005118AB" w:rsidRPr="001E5B6B">
        <w:rPr>
          <w:rFonts w:ascii="Georgia" w:hAnsi="Georgia" w:cs="Arial"/>
          <w:sz w:val="22"/>
        </w:rPr>
        <w:t>-</w:t>
      </w:r>
      <w:r w:rsidR="00577FD0">
        <w:rPr>
          <w:rFonts w:ascii="Georgia" w:hAnsi="Georgia" w:cs="Arial"/>
          <w:sz w:val="22"/>
        </w:rPr>
        <w:t>01004</w:t>
      </w:r>
      <w:r w:rsidR="000E7284" w:rsidRPr="001E5B6B">
        <w:rPr>
          <w:rFonts w:ascii="Georgia" w:hAnsi="Georgia" w:cs="Arial"/>
          <w:sz w:val="22"/>
        </w:rPr>
        <w:t>-00</w:t>
      </w:r>
      <w:r w:rsidR="007949D4" w:rsidRPr="001E5B6B">
        <w:rPr>
          <w:rFonts w:ascii="Georgia" w:hAnsi="Georgia" w:cs="Arial"/>
          <w:sz w:val="22"/>
        </w:rPr>
        <w:t xml:space="preserve"> </w:t>
      </w:r>
      <w:r w:rsidR="00CC4186" w:rsidRPr="001E5B6B">
        <w:rPr>
          <w:rFonts w:ascii="Georgia" w:hAnsi="Georgia" w:cs="Arial"/>
          <w:sz w:val="22"/>
        </w:rPr>
        <w:t>(Interna No.</w:t>
      </w:r>
      <w:r w:rsidR="00577FD0">
        <w:rPr>
          <w:rFonts w:ascii="Georgia" w:hAnsi="Georgia" w:cs="Arial"/>
          <w:sz w:val="22"/>
        </w:rPr>
        <w:t>1004</w:t>
      </w:r>
      <w:r w:rsidR="00CC4186" w:rsidRPr="001E5B6B">
        <w:rPr>
          <w:rFonts w:ascii="Georgia" w:hAnsi="Georgia" w:cs="Arial"/>
          <w:sz w:val="22"/>
        </w:rPr>
        <w:t>)</w:t>
      </w:r>
    </w:p>
    <w:p w:rsidR="008F34B8" w:rsidRPr="001E5B6B" w:rsidRDefault="00970930" w:rsidP="008E5334">
      <w:pPr>
        <w:pStyle w:val="Corpsdetexte"/>
        <w:spacing w:line="360" w:lineRule="auto"/>
        <w:rPr>
          <w:rFonts w:ascii="Georgia" w:hAnsi="Georgia" w:cs="Arial"/>
          <w:sz w:val="22"/>
          <w:szCs w:val="22"/>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5118AB" w:rsidRPr="001E5B6B">
        <w:rPr>
          <w:rFonts w:ascii="Georgia" w:hAnsi="Georgia" w:cs="Arial"/>
          <w:sz w:val="22"/>
          <w:szCs w:val="22"/>
        </w:rPr>
        <w:t xml:space="preserve">Defecto </w:t>
      </w:r>
      <w:r w:rsidR="00577FD0">
        <w:rPr>
          <w:rFonts w:ascii="Georgia" w:hAnsi="Georgia" w:cs="Arial"/>
          <w:sz w:val="22"/>
          <w:szCs w:val="22"/>
        </w:rPr>
        <w:t xml:space="preserve">Procedimental </w:t>
      </w:r>
    </w:p>
    <w:p w:rsidR="0099045D" w:rsidRPr="001E5B6B" w:rsidRDefault="008E5334" w:rsidP="008E5334">
      <w:pPr>
        <w:pStyle w:val="Corpsdetexte"/>
        <w:spacing w:line="360" w:lineRule="auto"/>
        <w:rPr>
          <w:rFonts w:ascii="Georgia" w:hAnsi="Georgia"/>
          <w:sz w:val="22"/>
          <w:szCs w:val="22"/>
        </w:rPr>
      </w:pPr>
      <w:r w:rsidRPr="001E5B6B">
        <w:rPr>
          <w:rFonts w:ascii="Georgia" w:hAnsi="Georgia"/>
          <w:sz w:val="22"/>
          <w:szCs w:val="22"/>
        </w:rPr>
        <w:tab/>
      </w:r>
      <w:r w:rsidRPr="001E5B6B">
        <w:rPr>
          <w:rFonts w:ascii="Georgia" w:hAnsi="Georgia"/>
          <w:sz w:val="22"/>
          <w:szCs w:val="22"/>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proofErr w:type="spellStart"/>
      <w:r w:rsidR="0099045D" w:rsidRPr="001E5B6B">
        <w:rPr>
          <w:rFonts w:ascii="Georgia" w:hAnsi="Georgia"/>
          <w:smallCaps/>
          <w:sz w:val="22"/>
          <w:szCs w:val="22"/>
        </w:rPr>
        <w:t>Duberney</w:t>
      </w:r>
      <w:proofErr w:type="spellEnd"/>
      <w:r w:rsidR="0099045D" w:rsidRPr="001E5B6B">
        <w:rPr>
          <w:rFonts w:ascii="Georgia" w:hAnsi="Georgia"/>
          <w:smallCaps/>
          <w:sz w:val="22"/>
          <w:szCs w:val="22"/>
        </w:rPr>
        <w:t xml:space="preserve">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150C84">
        <w:rPr>
          <w:rFonts w:ascii="Georgia" w:hAnsi="Georgia"/>
          <w:sz w:val="22"/>
          <w:szCs w:val="22"/>
        </w:rPr>
        <w:t>468 de 08-09-2017</w:t>
      </w: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150C84">
        <w:rPr>
          <w:rFonts w:ascii="Georgia" w:hAnsi="Georgia" w:cs="Arial"/>
          <w:iCs/>
          <w:smallCaps/>
          <w:sz w:val="28"/>
          <w:szCs w:val="28"/>
          <w:lang w:val="es-CO"/>
        </w:rPr>
        <w:t>ocho</w:t>
      </w:r>
      <w:r w:rsidR="00577FD0">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150C84">
        <w:rPr>
          <w:rFonts w:ascii="Georgia" w:hAnsi="Georgia" w:cs="Arial"/>
          <w:iCs/>
          <w:smallCaps/>
          <w:sz w:val="28"/>
          <w:szCs w:val="28"/>
          <w:lang w:val="es-CO"/>
        </w:rPr>
        <w:t>8</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577FD0">
        <w:rPr>
          <w:rFonts w:ascii="Georgia" w:hAnsi="Georgia" w:cs="Arial"/>
          <w:iCs/>
          <w:smallCaps/>
          <w:sz w:val="28"/>
          <w:szCs w:val="28"/>
          <w:lang w:val="es-CO"/>
        </w:rPr>
        <w:t xml:space="preserve">septiembre </w:t>
      </w:r>
      <w:r w:rsidRPr="001E5B6B">
        <w:rPr>
          <w:rFonts w:ascii="Georgia" w:hAnsi="Georgia" w:cs="Arial"/>
          <w:iCs/>
          <w:smallCaps/>
          <w:sz w:val="28"/>
          <w:szCs w:val="28"/>
          <w:lang w:val="es-CO"/>
        </w:rPr>
        <w:t xml:space="preserve">de dos mil </w:t>
      </w:r>
      <w:r w:rsidR="003178D8" w:rsidRPr="001E5B6B">
        <w:rPr>
          <w:rFonts w:ascii="Georgia" w:hAnsi="Georgia" w:cs="Arial"/>
          <w:iCs/>
          <w:smallCaps/>
          <w:sz w:val="28"/>
          <w:szCs w:val="28"/>
          <w:lang w:val="es-CO"/>
        </w:rPr>
        <w:t xml:space="preserve">diecisiete </w:t>
      </w:r>
      <w:r w:rsidRPr="001E5B6B">
        <w:rPr>
          <w:rFonts w:ascii="Georgia" w:hAnsi="Georgia" w:cs="Arial"/>
          <w:iCs/>
          <w:smallCaps/>
          <w:sz w:val="28"/>
          <w:szCs w:val="28"/>
          <w:lang w:val="es-CO"/>
        </w:rPr>
        <w:t>(</w:t>
      </w:r>
      <w:r w:rsidR="003178D8" w:rsidRPr="001E5B6B">
        <w:rPr>
          <w:rFonts w:ascii="Georgia" w:hAnsi="Georgia" w:cs="Arial"/>
          <w:iCs/>
          <w:smallCaps/>
          <w:sz w:val="28"/>
          <w:szCs w:val="28"/>
          <w:lang w:val="es-CO"/>
        </w:rPr>
        <w:t>2017</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1E5B6B" w:rsidRDefault="000147A2" w:rsidP="001E5C81">
      <w:pPr>
        <w:spacing w:line="360" w:lineRule="auto"/>
        <w:ind w:left="708" w:firstLine="708"/>
        <w:rPr>
          <w:rFonts w:ascii="Georgia" w:hAnsi="Georgia" w:cs="Arial"/>
          <w:b/>
          <w:bCs/>
          <w:sz w:val="22"/>
          <w:lang w:val="es-CO"/>
        </w:rPr>
      </w:pPr>
    </w:p>
    <w:p w:rsidR="00DB41DC" w:rsidRPr="001E5B6B" w:rsidRDefault="00C57632" w:rsidP="00DB41DC">
      <w:pPr>
        <w:pStyle w:val="Corpsdetex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1E5B6B" w:rsidRDefault="00DB41DC" w:rsidP="00DB41DC">
      <w:pPr>
        <w:pStyle w:val="Corpsdetexte"/>
        <w:spacing w:line="360" w:lineRule="auto"/>
        <w:rPr>
          <w:rFonts w:ascii="Georgia" w:hAnsi="Georgia"/>
          <w:sz w:val="20"/>
          <w:szCs w:val="24"/>
        </w:rPr>
      </w:pPr>
    </w:p>
    <w:p w:rsidR="00DB41DC" w:rsidRPr="001E5B6B" w:rsidRDefault="00EF2286" w:rsidP="00DB41DC">
      <w:pPr>
        <w:pStyle w:val="Corpsdetex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Corpsdetexte"/>
        <w:spacing w:line="360" w:lineRule="auto"/>
        <w:rPr>
          <w:rFonts w:ascii="Georgia" w:hAnsi="Georgia"/>
          <w:sz w:val="20"/>
          <w:szCs w:val="24"/>
        </w:rPr>
      </w:pPr>
    </w:p>
    <w:p w:rsidR="00DB41DC" w:rsidRPr="001E5B6B" w:rsidRDefault="00C57632" w:rsidP="00DB41DC">
      <w:pPr>
        <w:pStyle w:val="Corpsdetex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Corpsdetexte"/>
        <w:spacing w:line="360" w:lineRule="auto"/>
        <w:rPr>
          <w:rFonts w:ascii="Georgia" w:hAnsi="Georgia" w:cs="Arial"/>
          <w:sz w:val="20"/>
          <w:szCs w:val="24"/>
        </w:rPr>
      </w:pPr>
    </w:p>
    <w:p w:rsidR="00C87D34" w:rsidRDefault="00AD1C9C" w:rsidP="00DB41DC">
      <w:pPr>
        <w:spacing w:line="360" w:lineRule="auto"/>
        <w:jc w:val="both"/>
        <w:rPr>
          <w:rFonts w:ascii="Georgia" w:hAnsi="Georgia" w:cs="Arial"/>
        </w:rPr>
      </w:pPr>
      <w:r w:rsidRPr="001E5B6B">
        <w:rPr>
          <w:rFonts w:ascii="Georgia" w:hAnsi="Georgia" w:cs="Arial"/>
        </w:rPr>
        <w:t xml:space="preserve">Refirió </w:t>
      </w:r>
      <w:r w:rsidR="00577FD0">
        <w:rPr>
          <w:rFonts w:ascii="Georgia" w:hAnsi="Georgia" w:cs="Arial"/>
        </w:rPr>
        <w:t>la actora que el 28-11-2016 el Juzgado accionado dictó sentencia adversa a sus pretensiones en el proceso reivindicatorio radicado al No.2009-00285-00</w:t>
      </w:r>
      <w:r w:rsidR="007A15A0">
        <w:rPr>
          <w:rFonts w:ascii="Georgia" w:hAnsi="Georgia" w:cs="Arial"/>
        </w:rPr>
        <w:t xml:space="preserve">, </w:t>
      </w:r>
      <w:r w:rsidR="00577FD0">
        <w:rPr>
          <w:rFonts w:ascii="Georgia" w:hAnsi="Georgia" w:cs="Arial"/>
        </w:rPr>
        <w:t xml:space="preserve">recurrió en </w:t>
      </w:r>
      <w:r w:rsidR="00577FD0">
        <w:rPr>
          <w:rFonts w:ascii="Georgia" w:hAnsi="Georgia" w:cs="Arial"/>
        </w:rPr>
        <w:lastRenderedPageBreak/>
        <w:t xml:space="preserve">apelación exponiendo las quejas frente a la decisión, pero </w:t>
      </w:r>
      <w:r w:rsidR="007A15A0">
        <w:rPr>
          <w:rFonts w:ascii="Georgia" w:hAnsi="Georgia" w:cs="Arial"/>
        </w:rPr>
        <w:t>se declaró desierta</w:t>
      </w:r>
      <w:r w:rsidR="00577FD0">
        <w:rPr>
          <w:rFonts w:ascii="Georgia" w:hAnsi="Georgia" w:cs="Arial"/>
        </w:rPr>
        <w:t xml:space="preserve">, luego presentó reposición y en subsidio </w:t>
      </w:r>
      <w:r w:rsidR="007A15A0">
        <w:rPr>
          <w:rFonts w:ascii="Georgia" w:hAnsi="Georgia" w:cs="Arial"/>
        </w:rPr>
        <w:t>queja</w:t>
      </w:r>
      <w:r w:rsidR="00577FD0">
        <w:rPr>
          <w:rFonts w:ascii="Georgia" w:hAnsi="Georgia" w:cs="Arial"/>
        </w:rPr>
        <w:t xml:space="preserve">, </w:t>
      </w:r>
      <w:r w:rsidR="007A15A0">
        <w:rPr>
          <w:rFonts w:ascii="Georgia" w:hAnsi="Georgia" w:cs="Arial"/>
        </w:rPr>
        <w:t xml:space="preserve">mas no se repuso y se concedió la queja; ya ante esta Corporación la queja se declaró improcedente </w:t>
      </w:r>
    </w:p>
    <w:p w:rsidR="00C87D34" w:rsidRDefault="00C87D34" w:rsidP="00DB41DC">
      <w:pPr>
        <w:spacing w:line="360" w:lineRule="auto"/>
        <w:jc w:val="both"/>
        <w:rPr>
          <w:rFonts w:ascii="Georgia" w:hAnsi="Georgia" w:cs="Arial"/>
        </w:rPr>
      </w:pPr>
    </w:p>
    <w:p w:rsidR="00DB41DC" w:rsidRPr="001E5B6B" w:rsidRDefault="00C87D34" w:rsidP="00DB41DC">
      <w:pPr>
        <w:spacing w:line="360" w:lineRule="auto"/>
        <w:jc w:val="both"/>
        <w:rPr>
          <w:rFonts w:ascii="Georgia" w:hAnsi="Georgia" w:cs="Arial"/>
        </w:rPr>
      </w:pPr>
      <w:r>
        <w:rPr>
          <w:rFonts w:ascii="Georgia" w:hAnsi="Georgia" w:cs="Arial"/>
        </w:rPr>
        <w:t xml:space="preserve">Arguyó que en su alzada hizo los reparos concretos a la sentencia, no obstante, el Despacho Judicial le cercenó la posibilidad del derecho de defensa con argumentos que no se compadecen con la exigencia normativa </w:t>
      </w:r>
      <w:r w:rsidR="00F009CB" w:rsidRPr="001E5B6B">
        <w:rPr>
          <w:rFonts w:ascii="Georgia" w:hAnsi="Georgia" w:cs="Arial"/>
        </w:rPr>
        <w:t>(Folio</w:t>
      </w:r>
      <w:r>
        <w:rPr>
          <w:rFonts w:ascii="Georgia" w:hAnsi="Georgia" w:cs="Arial"/>
        </w:rPr>
        <w:t>s</w:t>
      </w:r>
      <w:r w:rsidR="00DB41DC" w:rsidRPr="001E5B6B">
        <w:rPr>
          <w:rFonts w:ascii="Georgia" w:hAnsi="Georgia" w:cs="Arial"/>
        </w:rPr>
        <w:t xml:space="preserve"> </w:t>
      </w:r>
      <w:r>
        <w:rPr>
          <w:rFonts w:ascii="Georgia" w:hAnsi="Georgia" w:cs="Arial"/>
        </w:rPr>
        <w:t>1 a 7</w:t>
      </w:r>
      <w:r w:rsidR="00EF2286" w:rsidRPr="001E5B6B">
        <w:rPr>
          <w:rFonts w:ascii="Georgia" w:hAnsi="Georgia" w:cs="Arial"/>
        </w:rPr>
        <w:t>,</w:t>
      </w:r>
      <w:r w:rsidR="00DB41DC" w:rsidRPr="001E5B6B">
        <w:rPr>
          <w:rFonts w:ascii="Georgia" w:hAnsi="Georgia" w:cs="Arial"/>
        </w:rPr>
        <w:t xml:space="preserve"> de este cuaderno). </w:t>
      </w:r>
    </w:p>
    <w:p w:rsidR="00CD73B4" w:rsidRPr="001E5B6B" w:rsidRDefault="00CD73B4" w:rsidP="00152300">
      <w:pPr>
        <w:spacing w:line="360" w:lineRule="auto"/>
        <w:jc w:val="both"/>
        <w:rPr>
          <w:rFonts w:ascii="Georgia" w:hAnsi="Georgia" w:cs="Arial"/>
          <w:sz w:val="20"/>
        </w:rPr>
      </w:pPr>
    </w:p>
    <w:p w:rsidR="0099045D" w:rsidRPr="001E5B6B" w:rsidRDefault="00C57632" w:rsidP="0099045D">
      <w:pPr>
        <w:pStyle w:val="Corpsdetex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al debido proceso</w:t>
      </w:r>
      <w:r w:rsidR="00C87D34">
        <w:rPr>
          <w:rFonts w:ascii="Georgia" w:hAnsi="Georgia" w:cs="Arial"/>
          <w:spacing w:val="-3"/>
          <w:lang w:val="es-ES_tradnl"/>
        </w:rPr>
        <w:t>, de defensa y al acceso a la administración de justicia</w:t>
      </w:r>
      <w:r w:rsidR="005206D2" w:rsidRPr="001E5B6B">
        <w:rPr>
          <w:rFonts w:ascii="Georgia" w:hAnsi="Georgia" w:cs="Arial"/>
          <w:spacing w:val="-3"/>
          <w:lang w:val="es-ES_tradnl"/>
        </w:rPr>
        <w:t xml:space="preserve"> </w:t>
      </w:r>
      <w:r w:rsidR="004A4E9F" w:rsidRPr="001E5B6B">
        <w:rPr>
          <w:rFonts w:ascii="Georgia" w:hAnsi="Georgia" w:cs="Arial"/>
          <w:spacing w:val="-3"/>
          <w:lang w:val="es-ES_tradnl"/>
        </w:rPr>
        <w:t xml:space="preserve">(Folio </w:t>
      </w:r>
      <w:r w:rsidR="00C87D34">
        <w:rPr>
          <w:rFonts w:ascii="Georgia" w:hAnsi="Georgia" w:cs="Arial"/>
          <w:spacing w:val="-3"/>
          <w:lang w:val="es-ES_tradnl"/>
        </w:rPr>
        <w:t>1</w:t>
      </w:r>
      <w:r w:rsidR="000E7284" w:rsidRPr="001E5B6B">
        <w:rPr>
          <w:rFonts w:ascii="Georgia" w:hAnsi="Georgia" w:cs="Arial"/>
          <w:spacing w:val="-3"/>
          <w:lang w:val="es-ES_tradnl"/>
        </w:rPr>
        <w:t xml:space="preserve">, </w:t>
      </w:r>
      <w:r w:rsidR="00CD73B4" w:rsidRPr="001E5B6B">
        <w:rPr>
          <w:rFonts w:ascii="Georgia" w:hAnsi="Georgia" w:cs="Arial"/>
          <w:spacing w:val="-3"/>
          <w:lang w:val="es-ES_tradnl"/>
        </w:rPr>
        <w:t xml:space="preserve">de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3705F3" w:rsidRPr="001E5B6B"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1E5B6B" w:rsidRDefault="00C57632" w:rsidP="0099045D">
      <w:pPr>
        <w:pStyle w:val="Corpsdetexte"/>
        <w:numPr>
          <w:ilvl w:val="0"/>
          <w:numId w:val="1"/>
        </w:numPr>
        <w:spacing w:line="360" w:lineRule="auto"/>
        <w:rPr>
          <w:rFonts w:ascii="Georgia" w:hAnsi="Georgia"/>
          <w:smallCaps/>
          <w:sz w:val="28"/>
          <w:szCs w:val="24"/>
        </w:rPr>
      </w:pPr>
      <w:r w:rsidRPr="001E5B6B">
        <w:rPr>
          <w:rFonts w:ascii="Georgia" w:hAnsi="Georgia"/>
          <w:smallCaps/>
          <w:sz w:val="28"/>
          <w:szCs w:val="24"/>
        </w:rPr>
        <w:t>La petición de protección</w:t>
      </w: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s</w:t>
      </w:r>
      <w:r w:rsidRPr="001E5B6B">
        <w:rPr>
          <w:rFonts w:ascii="Georgia" w:hAnsi="Georgia" w:cs="Arial"/>
        </w:rPr>
        <w:t xml:space="preserve">e </w:t>
      </w:r>
      <w:r w:rsidR="00C87D34">
        <w:rPr>
          <w:rFonts w:ascii="Georgia" w:hAnsi="Georgia" w:cs="Arial"/>
        </w:rPr>
        <w:t xml:space="preserve">tutelen los derechos fundamentales y, en consecuencia, se </w:t>
      </w:r>
      <w:r w:rsidRPr="001E5B6B">
        <w:rPr>
          <w:rFonts w:ascii="Georgia" w:hAnsi="Georgia" w:cs="Arial"/>
        </w:rPr>
        <w:t xml:space="preserve">ordene al </w:t>
      </w:r>
      <w:r w:rsidR="005206D2" w:rsidRPr="001E5B6B">
        <w:rPr>
          <w:rFonts w:ascii="Georgia" w:hAnsi="Georgia" w:cs="Arial"/>
        </w:rPr>
        <w:t xml:space="preserve">Juzgado </w:t>
      </w:r>
      <w:r w:rsidRPr="001E5B6B">
        <w:rPr>
          <w:rFonts w:ascii="Georgia" w:hAnsi="Georgia" w:cs="Arial"/>
        </w:rPr>
        <w:t>accionado</w:t>
      </w:r>
      <w:r w:rsidR="005206D2" w:rsidRPr="001E5B6B">
        <w:rPr>
          <w:rFonts w:ascii="Georgia" w:hAnsi="Georgia" w:cs="Arial"/>
        </w:rPr>
        <w:t xml:space="preserve"> </w:t>
      </w:r>
      <w:r w:rsidR="00C87D34">
        <w:rPr>
          <w:rFonts w:ascii="Georgia" w:hAnsi="Georgia" w:cs="Arial"/>
        </w:rPr>
        <w:t xml:space="preserve">admitir el recurso de apelación </w:t>
      </w:r>
      <w:r w:rsidRPr="001E5B6B">
        <w:rPr>
          <w:rFonts w:ascii="Georgia" w:hAnsi="Georgia" w:cs="Arial"/>
        </w:rPr>
        <w:t xml:space="preserve">(Folio </w:t>
      </w:r>
      <w:r w:rsidR="00C87D34">
        <w:rPr>
          <w:rFonts w:ascii="Georgia" w:hAnsi="Georgia" w:cs="Arial"/>
        </w:rPr>
        <w:t>7</w:t>
      </w:r>
      <w:r w:rsidRPr="001E5B6B">
        <w:rPr>
          <w:rFonts w:ascii="Georgia" w:hAnsi="Georgia" w:cs="Arial"/>
        </w:rPr>
        <w:t>, este cuaderno).</w:t>
      </w:r>
    </w:p>
    <w:p w:rsidR="006A5340" w:rsidRPr="001E5B6B" w:rsidRDefault="006A5340" w:rsidP="006A5340">
      <w:pPr>
        <w:spacing w:line="360" w:lineRule="auto"/>
        <w:jc w:val="both"/>
        <w:rPr>
          <w:rFonts w:ascii="Georgia" w:hAnsi="Georgia" w:cs="Arial"/>
        </w:rPr>
      </w:pPr>
    </w:p>
    <w:p w:rsidR="0099045D" w:rsidRDefault="001F31B4" w:rsidP="00101AE0">
      <w:pPr>
        <w:pStyle w:val="Sansinterligne"/>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1E5B6B" w:rsidRDefault="001E5B6B" w:rsidP="001E5B6B">
      <w:pPr>
        <w:pStyle w:val="Sansinterligne"/>
        <w:spacing w:line="360" w:lineRule="auto"/>
        <w:ind w:left="360"/>
        <w:jc w:val="both"/>
        <w:rPr>
          <w:rFonts w:ascii="Georgia" w:hAnsi="Georgia"/>
          <w:smallCaps/>
          <w:sz w:val="28"/>
          <w:szCs w:val="24"/>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se asignó el conocimiento a este Despacho el día </w:t>
      </w:r>
      <w:r w:rsidR="00C87D34">
        <w:rPr>
          <w:rFonts w:ascii="Georgia" w:hAnsi="Georgia"/>
        </w:rPr>
        <w:t>28</w:t>
      </w:r>
      <w:r w:rsidR="003178D8" w:rsidRPr="001E5B6B">
        <w:rPr>
          <w:rFonts w:ascii="Georgia" w:hAnsi="Georgia"/>
        </w:rPr>
        <w:t>-</w:t>
      </w:r>
      <w:r w:rsidR="00C87D34">
        <w:rPr>
          <w:rFonts w:ascii="Georgia" w:hAnsi="Georgia"/>
        </w:rPr>
        <w:t>08</w:t>
      </w:r>
      <w:r w:rsidR="003178D8" w:rsidRPr="001E5B6B">
        <w:rPr>
          <w:rFonts w:ascii="Georgia" w:hAnsi="Georgia"/>
        </w:rPr>
        <w:t>-201</w:t>
      </w:r>
      <w:r w:rsidR="00396206" w:rsidRPr="001E5B6B">
        <w:rPr>
          <w:rFonts w:ascii="Georgia" w:hAnsi="Georgia"/>
        </w:rPr>
        <w:t>7</w:t>
      </w:r>
      <w:r w:rsidRPr="001E5B6B">
        <w:rPr>
          <w:rFonts w:ascii="Georgia" w:hAnsi="Georgia"/>
        </w:rPr>
        <w:t xml:space="preserve">, </w:t>
      </w:r>
      <w:r w:rsidR="008E6CF4" w:rsidRPr="001E5B6B">
        <w:rPr>
          <w:rFonts w:ascii="Georgia" w:hAnsi="Georgia"/>
        </w:rPr>
        <w:t xml:space="preserve">con providencia del </w:t>
      </w:r>
      <w:r w:rsidR="00C87D34">
        <w:rPr>
          <w:rFonts w:ascii="Georgia" w:hAnsi="Georgia"/>
        </w:rPr>
        <w:t xml:space="preserve">día hábil siguiente </w:t>
      </w:r>
      <w:r w:rsidR="008E6CF4" w:rsidRPr="001E5B6B">
        <w:rPr>
          <w:rFonts w:ascii="Georgia" w:hAnsi="Georgia"/>
        </w:rPr>
        <w:t xml:space="preserve">se </w:t>
      </w:r>
      <w:r w:rsidR="008765D0" w:rsidRPr="001E5B6B">
        <w:rPr>
          <w:rFonts w:ascii="Georgia" w:hAnsi="Georgia"/>
        </w:rPr>
        <w:t>admitió</w:t>
      </w:r>
      <w:r w:rsidR="008E6CF4" w:rsidRPr="001E5B6B">
        <w:rPr>
          <w:rFonts w:ascii="Georgia" w:hAnsi="Georgia"/>
        </w:rPr>
        <w:t xml:space="preserve">, se vinculó a quienes se estimó conveniente y, se dispuso notificar a la partes, entre otros ordenamientos </w:t>
      </w:r>
      <w:r w:rsidR="00396206" w:rsidRPr="001E5B6B">
        <w:rPr>
          <w:rFonts w:ascii="Georgia" w:hAnsi="Georgia"/>
        </w:rPr>
        <w:t xml:space="preserve">(Folio </w:t>
      </w:r>
      <w:r w:rsidR="00C87D34">
        <w:rPr>
          <w:rFonts w:ascii="Georgia" w:hAnsi="Georgia"/>
        </w:rPr>
        <w:t>11</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5206D2" w:rsidRPr="001E5B6B">
        <w:rPr>
          <w:rFonts w:ascii="Georgia" w:hAnsi="Georgia"/>
        </w:rPr>
        <w:t xml:space="preserve">os extremos de la acción (Folios </w:t>
      </w:r>
      <w:r w:rsidR="00C87D34">
        <w:rPr>
          <w:rFonts w:ascii="Georgia" w:hAnsi="Georgia"/>
        </w:rPr>
        <w:t>12 a 14</w:t>
      </w:r>
      <w:r w:rsidR="008E6CF4" w:rsidRPr="001E5B6B">
        <w:rPr>
          <w:rFonts w:ascii="Georgia" w:hAnsi="Georgia"/>
        </w:rPr>
        <w:t xml:space="preserve">, ibídem). </w:t>
      </w:r>
      <w:r w:rsidR="00C87D34">
        <w:rPr>
          <w:rFonts w:ascii="Georgia" w:hAnsi="Georgia"/>
        </w:rPr>
        <w:t xml:space="preserve">Contestó </w:t>
      </w:r>
      <w:r w:rsidR="00C87D34">
        <w:rPr>
          <w:rFonts w:ascii="Georgia" w:hAnsi="Georgia" w:cs="Arial"/>
          <w:spacing w:val="3"/>
        </w:rPr>
        <w:t xml:space="preserve">el señor Andrés Orozco </w:t>
      </w:r>
      <w:proofErr w:type="spellStart"/>
      <w:r w:rsidR="00C87D34">
        <w:rPr>
          <w:rFonts w:ascii="Georgia" w:hAnsi="Georgia" w:cs="Arial"/>
          <w:spacing w:val="3"/>
        </w:rPr>
        <w:t>Salemi</w:t>
      </w:r>
      <w:proofErr w:type="spellEnd"/>
      <w:r w:rsidR="00C87D34">
        <w:rPr>
          <w:rFonts w:ascii="Georgia" w:hAnsi="Georgia" w:cs="Arial"/>
          <w:spacing w:val="3"/>
        </w:rPr>
        <w:t xml:space="preserve"> (Folios 17 a 19, ibídem). El 04-09-2017 se hizo la inspección judicial (Folio 20, ib.)</w:t>
      </w:r>
      <w:r w:rsidR="00C57632" w:rsidRPr="001E5B6B">
        <w:rPr>
          <w:rFonts w:ascii="Georgia" w:hAnsi="Georgia"/>
        </w:rPr>
        <w:t>.</w:t>
      </w:r>
    </w:p>
    <w:p w:rsidR="00687FAC" w:rsidRPr="001E5B6B" w:rsidRDefault="00687FAC" w:rsidP="00687FAC">
      <w:pPr>
        <w:pStyle w:val="Sansinterligne"/>
        <w:tabs>
          <w:tab w:val="left" w:pos="1200"/>
        </w:tabs>
        <w:spacing w:line="360" w:lineRule="auto"/>
        <w:jc w:val="both"/>
        <w:rPr>
          <w:rFonts w:ascii="Georgia" w:hAnsi="Georgia"/>
          <w:sz w:val="20"/>
          <w:szCs w:val="24"/>
        </w:rPr>
      </w:pPr>
    </w:p>
    <w:p w:rsidR="00CF429F" w:rsidRPr="001E5B6B" w:rsidRDefault="00C57632" w:rsidP="00CF429F">
      <w:pPr>
        <w:numPr>
          <w:ilvl w:val="0"/>
          <w:numId w:val="18"/>
        </w:numPr>
        <w:spacing w:line="360" w:lineRule="auto"/>
        <w:jc w:val="both"/>
        <w:rPr>
          <w:rFonts w:ascii="Georgia" w:hAnsi="Georgia"/>
          <w:smallCaps/>
          <w:sz w:val="28"/>
        </w:rPr>
      </w:pPr>
      <w:r w:rsidRPr="001E5B6B">
        <w:rPr>
          <w:rFonts w:ascii="Georgia" w:hAnsi="Georgia"/>
          <w:smallCaps/>
          <w:sz w:val="28"/>
        </w:rPr>
        <w:t>L</w:t>
      </w:r>
      <w:r w:rsidR="005206D2" w:rsidRPr="001E5B6B">
        <w:rPr>
          <w:rFonts w:ascii="Georgia" w:hAnsi="Georgia"/>
          <w:smallCaps/>
          <w:sz w:val="28"/>
        </w:rPr>
        <w:t>a sinopsis de la</w:t>
      </w:r>
      <w:r w:rsidRPr="001E5B6B">
        <w:rPr>
          <w:rFonts w:ascii="Georgia" w:hAnsi="Georgia"/>
          <w:smallCaps/>
          <w:sz w:val="28"/>
        </w:rPr>
        <w:t xml:space="preserve"> respuesta</w:t>
      </w:r>
    </w:p>
    <w:p w:rsidR="006F4450" w:rsidRPr="001E5B6B" w:rsidRDefault="006F4450" w:rsidP="006F4450">
      <w:pPr>
        <w:spacing w:line="360" w:lineRule="auto"/>
        <w:jc w:val="both"/>
        <w:rPr>
          <w:rFonts w:ascii="Georgia" w:hAnsi="Georgia"/>
          <w:sz w:val="20"/>
        </w:rPr>
      </w:pPr>
    </w:p>
    <w:p w:rsidR="00626B65" w:rsidRPr="001E5B6B" w:rsidRDefault="00C87D34" w:rsidP="00626B65">
      <w:pPr>
        <w:spacing w:line="360" w:lineRule="auto"/>
        <w:jc w:val="both"/>
        <w:rPr>
          <w:rFonts w:ascii="Georgia" w:hAnsi="Georgia"/>
        </w:rPr>
      </w:pPr>
      <w:r>
        <w:rPr>
          <w:rFonts w:ascii="Georgia" w:hAnsi="Georgia" w:cs="Arial"/>
          <w:spacing w:val="3"/>
        </w:rPr>
        <w:t xml:space="preserve">El señor Andrés Orozco </w:t>
      </w:r>
      <w:proofErr w:type="spellStart"/>
      <w:r>
        <w:rPr>
          <w:rFonts w:ascii="Georgia" w:hAnsi="Georgia" w:cs="Arial"/>
          <w:spacing w:val="3"/>
        </w:rPr>
        <w:t>Salemi</w:t>
      </w:r>
      <w:proofErr w:type="spellEnd"/>
      <w:r w:rsidR="0030131F">
        <w:rPr>
          <w:rFonts w:ascii="Georgia" w:hAnsi="Georgia" w:cs="Arial"/>
          <w:spacing w:val="3"/>
        </w:rPr>
        <w:t xml:space="preserve"> se opuso a las pretensiones de la tutela, porque considera que el recurso de apelación fue negado con argumentos claros. También narró el estado en que recibió el inmueble objeto del proceso reivindicatorio y que ha sido demandado en varias oportunidades por la actora</w:t>
      </w:r>
      <w:r w:rsidR="0030131F">
        <w:rPr>
          <w:rFonts w:ascii="Georgia" w:hAnsi="Georgia"/>
        </w:rPr>
        <w:t xml:space="preserve"> (Folios 17 a 19</w:t>
      </w:r>
      <w:r w:rsidR="00626B65" w:rsidRPr="001E5B6B">
        <w:rPr>
          <w:rFonts w:ascii="Georgia" w:hAnsi="Georgia"/>
        </w:rPr>
        <w:t>, ib.).</w:t>
      </w:r>
    </w:p>
    <w:p w:rsidR="0099429E" w:rsidRPr="001E5B6B" w:rsidRDefault="0099429E" w:rsidP="006F4450">
      <w:pPr>
        <w:spacing w:line="360" w:lineRule="auto"/>
        <w:jc w:val="both"/>
        <w:rPr>
          <w:rFonts w:ascii="Georgia" w:hAnsi="Georgia"/>
        </w:rPr>
      </w:pPr>
    </w:p>
    <w:p w:rsidR="00CF429F" w:rsidRPr="001E5B6B" w:rsidRDefault="00C57632" w:rsidP="00CF429F">
      <w:pPr>
        <w:pStyle w:val="Corpsdetex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1E5B6B" w:rsidRDefault="005A09B7" w:rsidP="005A09B7">
      <w:pPr>
        <w:pStyle w:val="Corpsdetexte"/>
        <w:spacing w:line="360" w:lineRule="auto"/>
        <w:ind w:left="400"/>
        <w:rPr>
          <w:rFonts w:ascii="Georgia" w:hAnsi="Georgia"/>
          <w:sz w:val="20"/>
          <w:szCs w:val="24"/>
        </w:rPr>
      </w:pPr>
    </w:p>
    <w:p w:rsidR="007B47FA" w:rsidRPr="001E5B6B" w:rsidRDefault="007B47FA" w:rsidP="007B47FA">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 xml:space="preserve">Juzgado </w:t>
      </w:r>
      <w:r w:rsidR="0030131F">
        <w:rPr>
          <w:rFonts w:ascii="Georgia" w:hAnsi="Georgia" w:cs="Arial"/>
          <w:color w:val="000000"/>
          <w:szCs w:val="24"/>
        </w:rPr>
        <w:t xml:space="preserve">Segundo </w:t>
      </w:r>
      <w:r w:rsidRPr="001E5B6B">
        <w:rPr>
          <w:rFonts w:ascii="Georgia" w:hAnsi="Georgia" w:cs="Arial"/>
          <w:color w:val="000000"/>
          <w:szCs w:val="24"/>
        </w:rPr>
        <w:t>Civil del Circuito de Pereira.</w:t>
      </w:r>
    </w:p>
    <w:p w:rsidR="007B47FA" w:rsidRPr="001E5B6B" w:rsidRDefault="007B47FA" w:rsidP="007B47FA">
      <w:pPr>
        <w:pStyle w:val="Paragraphedeliste"/>
        <w:rPr>
          <w:rFonts w:ascii="Georgia" w:hAnsi="Georgia" w:cs="Arial"/>
        </w:rPr>
      </w:pPr>
    </w:p>
    <w:p w:rsidR="007B47FA" w:rsidRPr="001E5B6B" w:rsidRDefault="007B47FA" w:rsidP="007B47FA">
      <w:pPr>
        <w:pStyle w:val="Corpsdetexte"/>
        <w:numPr>
          <w:ilvl w:val="1"/>
          <w:numId w:val="18"/>
        </w:numPr>
        <w:spacing w:line="360" w:lineRule="auto"/>
        <w:rPr>
          <w:rFonts w:ascii="Georgia" w:hAnsi="Georgia" w:cs="Arial"/>
        </w:rPr>
      </w:pPr>
      <w:r w:rsidRPr="001E5B6B">
        <w:rPr>
          <w:rFonts w:ascii="Georgia" w:hAnsi="Georgia"/>
          <w:smallCaps/>
          <w:szCs w:val="24"/>
        </w:rPr>
        <w:lastRenderedPageBreak/>
        <w:t xml:space="preserve">El problema jurídico a resolver. </w:t>
      </w:r>
      <w:r w:rsidRPr="001E5B6B">
        <w:rPr>
          <w:rFonts w:ascii="Georgia" w:hAnsi="Georgia" w:cs="Arial"/>
        </w:rPr>
        <w:t xml:space="preserve">¿El Juzgado accionado, ha vulnerado o amenazado los derechos fundamentales del accionante, según lo expuesto en el escrito de tutela?   </w:t>
      </w:r>
    </w:p>
    <w:p w:rsidR="007B47FA" w:rsidRPr="001E5B6B" w:rsidRDefault="007B47FA" w:rsidP="007B47FA">
      <w:pPr>
        <w:rPr>
          <w:rFonts w:ascii="Georgia" w:hAnsi="Georgia" w:cs="Arial"/>
        </w:rPr>
      </w:pPr>
    </w:p>
    <w:p w:rsidR="007B47FA" w:rsidRPr="001E5B6B" w:rsidRDefault="007B47FA" w:rsidP="007B47FA">
      <w:pPr>
        <w:pStyle w:val="Paragraphedeliste"/>
        <w:numPr>
          <w:ilvl w:val="1"/>
          <w:numId w:val="18"/>
        </w:numPr>
        <w:rPr>
          <w:rFonts w:ascii="Georgia" w:hAnsi="Georgia" w:cs="Arial"/>
          <w:smallCaps/>
        </w:rPr>
      </w:pPr>
      <w:r w:rsidRPr="001E5B6B">
        <w:rPr>
          <w:rFonts w:ascii="Georgia" w:hAnsi="Georgia" w:cs="Arial"/>
          <w:smallCaps/>
        </w:rPr>
        <w:t>Los presupuestos generales de procedencia</w:t>
      </w:r>
    </w:p>
    <w:p w:rsidR="007B47FA" w:rsidRPr="001E5B6B" w:rsidRDefault="007B47FA" w:rsidP="007B47FA">
      <w:pPr>
        <w:pStyle w:val="Paragraphedeliste"/>
        <w:rPr>
          <w:rFonts w:ascii="Georgia" w:hAnsi="Georgia" w:cs="Arial"/>
        </w:rPr>
      </w:pPr>
    </w:p>
    <w:p w:rsidR="007B47FA" w:rsidRPr="001E5B6B" w:rsidRDefault="007B47FA" w:rsidP="007B47FA">
      <w:pPr>
        <w:pStyle w:val="Paragraphedeliste"/>
        <w:ind w:left="720"/>
        <w:rPr>
          <w:rFonts w:ascii="Georgia" w:hAnsi="Georgia" w:cs="Arial"/>
        </w:rPr>
      </w:pPr>
    </w:p>
    <w:p w:rsidR="007B47FA" w:rsidRPr="001E5B6B" w:rsidRDefault="007B47FA" w:rsidP="004B4B4E">
      <w:pPr>
        <w:pStyle w:val="Corpsdetex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 xml:space="preserve">Se cumple por activa dado que </w:t>
      </w:r>
      <w:r w:rsidR="0030131F">
        <w:rPr>
          <w:rFonts w:ascii="Georgia" w:hAnsi="Georgia" w:cs="Arial"/>
          <w:szCs w:val="24"/>
        </w:rPr>
        <w:t xml:space="preserve">la actora es la </w:t>
      </w:r>
      <w:r w:rsidRPr="001E5B6B">
        <w:rPr>
          <w:rFonts w:ascii="Georgia" w:hAnsi="Georgia" w:cs="Arial"/>
          <w:szCs w:val="24"/>
        </w:rPr>
        <w:t>promotor</w:t>
      </w:r>
      <w:r w:rsidR="0030131F">
        <w:rPr>
          <w:rFonts w:ascii="Georgia" w:hAnsi="Georgia" w:cs="Arial"/>
          <w:szCs w:val="24"/>
        </w:rPr>
        <w:t>a</w:t>
      </w:r>
      <w:r w:rsidRPr="001E5B6B">
        <w:rPr>
          <w:rFonts w:ascii="Georgia" w:hAnsi="Georgia" w:cs="Arial"/>
          <w:szCs w:val="24"/>
        </w:rPr>
        <w:t xml:space="preserve"> </w:t>
      </w:r>
      <w:r w:rsidR="0030131F">
        <w:rPr>
          <w:rFonts w:ascii="Georgia" w:hAnsi="Georgia" w:cs="Arial"/>
          <w:szCs w:val="24"/>
        </w:rPr>
        <w:t xml:space="preserve">del proceso reivindicatorio </w:t>
      </w:r>
      <w:r w:rsidRPr="001E5B6B">
        <w:rPr>
          <w:rFonts w:ascii="Georgia" w:hAnsi="Georgia" w:cs="Arial"/>
          <w:szCs w:val="24"/>
        </w:rPr>
        <w:t xml:space="preserve">en </w:t>
      </w:r>
      <w:r w:rsidR="0030131F">
        <w:rPr>
          <w:rFonts w:ascii="Georgia" w:hAnsi="Georgia" w:cs="Arial"/>
          <w:szCs w:val="24"/>
        </w:rPr>
        <w:t xml:space="preserve">el que </w:t>
      </w:r>
      <w:r w:rsidRPr="001E5B6B">
        <w:rPr>
          <w:rFonts w:ascii="Georgia" w:hAnsi="Georgia" w:cs="Arial"/>
          <w:szCs w:val="24"/>
        </w:rPr>
        <w:t>reprocha la falta al debido proceso. Y por pasiva, porque el accionado, es la autoridad judicial que conoce el  juicio.</w:t>
      </w:r>
    </w:p>
    <w:p w:rsidR="007B47FA" w:rsidRPr="001E5B6B" w:rsidRDefault="007B47FA" w:rsidP="007B47FA">
      <w:pPr>
        <w:pStyle w:val="Paragraphedeliste"/>
        <w:rPr>
          <w:rFonts w:ascii="Georgia" w:hAnsi="Georgia" w:cs="Arial"/>
          <w:lang w:val="es-CO"/>
        </w:rPr>
      </w:pPr>
    </w:p>
    <w:p w:rsidR="00047B6A" w:rsidRPr="001E5B6B" w:rsidRDefault="00047B6A" w:rsidP="00047B6A">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1E5B6B">
        <w:rPr>
          <w:rFonts w:ascii="Georgia" w:hAnsi="Georgia" w:cs="Verdana"/>
          <w:smallCaps/>
          <w:spacing w:val="0"/>
          <w:sz w:val="22"/>
          <w:szCs w:val="24"/>
          <w:lang w:val="es-ES"/>
        </w:rPr>
        <w:t>Las sub-reglas de análisis en la procedibilidad frente a decisiones judiciales</w:t>
      </w:r>
    </w:p>
    <w:p w:rsidR="00626B65" w:rsidRPr="001E5B6B" w:rsidRDefault="00626B65" w:rsidP="00626B65">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Desde la sentencia C-543 </w:t>
      </w:r>
      <w:r w:rsidRPr="001E5B6B">
        <w:rPr>
          <w:rFonts w:ascii="Georgia" w:hAnsi="Georgia"/>
        </w:rPr>
        <w:t xml:space="preserve"> </w:t>
      </w:r>
      <w:r w:rsidRPr="001E5B6B">
        <w:rPr>
          <w:rFonts w:ascii="Georgia" w:hAnsi="Georgia" w:cs="Arial"/>
          <w:szCs w:val="24"/>
        </w:rPr>
        <w:t xml:space="preserve">de  1992,  que examinó en constitucionalidad, los artículos 11, </w:t>
      </w: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12 </w:t>
      </w:r>
      <w:proofErr w:type="gramStart"/>
      <w:r w:rsidRPr="001E5B6B">
        <w:rPr>
          <w:rFonts w:ascii="Georgia" w:hAnsi="Georgia" w:cs="Arial"/>
          <w:szCs w:val="24"/>
        </w:rPr>
        <w:t>y</w:t>
      </w:r>
      <w:proofErr w:type="gramEnd"/>
      <w:r w:rsidRPr="001E5B6B">
        <w:rPr>
          <w:rFonts w:ascii="Georgia" w:hAnsi="Georgia" w:cs="Arial"/>
          <w:szCs w:val="24"/>
        </w:rPr>
        <w:t xml:space="preserve"> 40 del Decreto 2591 de 1991, declarados ajustados a la Carta, inicia la línea jurisprudencial en torno a la tutela contra providencias judiciales, que ha evolucionado hasta una re-definición dogmática entre 2003 y 2005</w:t>
      </w:r>
      <w:r w:rsidRPr="001E5B6B">
        <w:rPr>
          <w:rStyle w:val="Appelnotedebasdep"/>
          <w:rFonts w:ascii="Georgia" w:hAnsi="Georgia" w:cs="Arial"/>
          <w:szCs w:val="24"/>
        </w:rPr>
        <w:footnoteReference w:id="1"/>
      </w:r>
      <w:r w:rsidRPr="001E5B6B">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1E5B6B">
        <w:rPr>
          <w:rFonts w:ascii="Georgia" w:hAnsi="Georgia" w:cs="Arial"/>
          <w:szCs w:val="24"/>
        </w:rPr>
        <w:t>Natale</w:t>
      </w:r>
      <w:proofErr w:type="spellEnd"/>
      <w:r w:rsidRPr="001E5B6B">
        <w:rPr>
          <w:rStyle w:val="Appelnotedebasdep"/>
          <w:rFonts w:ascii="Georgia" w:hAnsi="Georgia"/>
          <w:szCs w:val="24"/>
        </w:rPr>
        <w:footnoteReference w:id="2"/>
      </w:r>
      <w:r w:rsidRPr="001E5B6B">
        <w:rPr>
          <w:rFonts w:ascii="Georgia" w:hAnsi="Georgia" w:cs="Arial"/>
          <w:szCs w:val="24"/>
        </w:rPr>
        <w:t>.</w:t>
      </w:r>
    </w:p>
    <w:p w:rsidR="00047B6A" w:rsidRPr="001E5B6B" w:rsidRDefault="00047B6A" w:rsidP="00047B6A">
      <w:pPr>
        <w:pStyle w:val="Corpsdetexte"/>
        <w:shd w:val="clear" w:color="auto" w:fill="FFFFFF" w:themeFill="background1"/>
        <w:spacing w:line="360" w:lineRule="auto"/>
        <w:rPr>
          <w:rFonts w:ascii="Georgia" w:hAnsi="Georgia" w:cs="Arial"/>
          <w:szCs w:val="24"/>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Ahora, en frente del examen que se reclama en sede constitucional, resulta de mayúscula </w:t>
      </w: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trascendencia, precisar que </w:t>
      </w:r>
      <w:r w:rsidRPr="001E5B6B">
        <w:rPr>
          <w:rFonts w:ascii="Georgia" w:hAnsi="Georgia" w:cs="Arial"/>
          <w:szCs w:val="24"/>
          <w:u w:val="single"/>
        </w:rPr>
        <w:t>se trata de un juicio de validez y no de corrección</w:t>
      </w:r>
      <w:r w:rsidRPr="001E5B6B">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1E5B6B">
        <w:rPr>
          <w:rStyle w:val="Appelnotedebasdep"/>
          <w:rFonts w:ascii="Georgia" w:hAnsi="Georgia" w:cs="Arial"/>
          <w:szCs w:val="24"/>
        </w:rPr>
        <w:footnoteReference w:id="3"/>
      </w:r>
      <w:r w:rsidRPr="001E5B6B">
        <w:rPr>
          <w:rFonts w:ascii="Georgia" w:hAnsi="Georgia" w:cs="Arial"/>
          <w:szCs w:val="24"/>
        </w:rPr>
        <w:t>.</w:t>
      </w:r>
    </w:p>
    <w:p w:rsidR="00047B6A" w:rsidRPr="001E5B6B" w:rsidRDefault="00047B6A" w:rsidP="00047B6A">
      <w:pPr>
        <w:pStyle w:val="Corpsdetexte"/>
        <w:shd w:val="clear" w:color="auto" w:fill="FFFFFF" w:themeFill="background1"/>
        <w:spacing w:line="360" w:lineRule="auto"/>
        <w:rPr>
          <w:rFonts w:ascii="Georgia" w:hAnsi="Georgia" w:cs="Arial"/>
          <w:szCs w:val="24"/>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Los requisitos generales de procedibilidad, explicados en amplitud en la sentencia C-590 de </w:t>
      </w: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2005</w:t>
      </w:r>
      <w:r w:rsidRPr="001E5B6B">
        <w:rPr>
          <w:rStyle w:val="Appelnotedebasdep"/>
          <w:rFonts w:ascii="Georgia" w:hAnsi="Georgia" w:cs="Arial"/>
          <w:szCs w:val="24"/>
        </w:rPr>
        <w:footnoteReference w:id="4"/>
      </w:r>
      <w:r w:rsidRPr="001E5B6B">
        <w:rPr>
          <w:rFonts w:ascii="Georgia" w:hAnsi="Georgia" w:cs="Arial"/>
          <w:szCs w:val="24"/>
        </w:rPr>
        <w:t xml:space="preserve"> y reiterados en la consolidada línea jurisprudencial de la CC</w:t>
      </w:r>
      <w:r w:rsidRPr="001E5B6B">
        <w:rPr>
          <w:rStyle w:val="Appelnotedebasdep"/>
          <w:rFonts w:ascii="Georgia" w:hAnsi="Georgia" w:cs="Arial"/>
          <w:szCs w:val="24"/>
        </w:rPr>
        <w:footnoteReference w:id="5"/>
      </w:r>
      <w:r w:rsidRPr="001E5B6B">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1E5B6B">
        <w:rPr>
          <w:rStyle w:val="Appelnotedebasdep"/>
          <w:rFonts w:ascii="Georgia" w:hAnsi="Georgia"/>
          <w:szCs w:val="24"/>
        </w:rPr>
        <w:footnoteReference w:id="6"/>
      </w:r>
      <w:r w:rsidRPr="001E5B6B">
        <w:rPr>
          <w:rFonts w:ascii="Georgia" w:hAnsi="Georgia" w:cs="Arial"/>
          <w:szCs w:val="24"/>
        </w:rPr>
        <w:t>.</w:t>
      </w:r>
    </w:p>
    <w:p w:rsidR="00047B6A" w:rsidRPr="001E5B6B" w:rsidRDefault="00047B6A" w:rsidP="00047B6A">
      <w:pPr>
        <w:pStyle w:val="Corpsdetexte"/>
        <w:shd w:val="clear" w:color="auto" w:fill="FFFFFF" w:themeFill="background1"/>
        <w:spacing w:line="360" w:lineRule="auto"/>
        <w:rPr>
          <w:rFonts w:ascii="Georgia" w:hAnsi="Georgia" w:cs="Arial"/>
          <w:szCs w:val="24"/>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De otra parte, como requisitos o causales especiales de procedibilidad, se han definido los </w:t>
      </w:r>
    </w:p>
    <w:p w:rsidR="00047B6A" w:rsidRPr="00681D6E"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lastRenderedPageBreak/>
        <w:t xml:space="preserve">siguientes: (i) Defecto orgánico, (ii) Defecto procedimental absoluto, (iii) Defecto fáctico, (iv) Error inducido, (v) </w:t>
      </w:r>
      <w:r w:rsidRPr="00681D6E">
        <w:rPr>
          <w:rFonts w:ascii="Georgia" w:hAnsi="Georgia" w:cs="Arial"/>
          <w:szCs w:val="24"/>
        </w:rPr>
        <w:t>Decisión sin motivación, (vi) Defecto material o sustantivo; (vii) Desconocimiento del precedente; y, por último, (viii) violación directa de la Carta.  Un sistemático recuento puede leerse en la obra de los doctores Catalina Botero Marino</w:t>
      </w:r>
      <w:r w:rsidRPr="00681D6E">
        <w:rPr>
          <w:rFonts w:ascii="Georgia" w:hAnsi="Georgia" w:cs="Arial"/>
          <w:szCs w:val="24"/>
          <w:vertAlign w:val="superscript"/>
        </w:rPr>
        <w:footnoteReference w:id="7"/>
      </w:r>
      <w:r w:rsidRPr="00681D6E">
        <w:rPr>
          <w:rFonts w:ascii="Georgia" w:hAnsi="Georgia" w:cs="Arial"/>
          <w:szCs w:val="24"/>
        </w:rPr>
        <w:t xml:space="preserve"> y Quinche Ramírez</w:t>
      </w:r>
      <w:r w:rsidRPr="00681D6E">
        <w:rPr>
          <w:rStyle w:val="Appelnotedebasdep"/>
          <w:rFonts w:ascii="Georgia" w:hAnsi="Georgia" w:cs="Arial"/>
          <w:szCs w:val="24"/>
        </w:rPr>
        <w:footnoteReference w:id="8"/>
      </w:r>
      <w:r w:rsidRPr="00681D6E">
        <w:rPr>
          <w:rFonts w:ascii="Georgia" w:hAnsi="Georgia" w:cs="Arial"/>
          <w:szCs w:val="24"/>
        </w:rPr>
        <w:t>.</w:t>
      </w:r>
    </w:p>
    <w:p w:rsidR="00255DD9" w:rsidRPr="00681D6E" w:rsidRDefault="00255DD9" w:rsidP="00047B6A">
      <w:pPr>
        <w:pStyle w:val="Corpsdetexte"/>
        <w:shd w:val="clear" w:color="auto" w:fill="FFFFFF" w:themeFill="background1"/>
        <w:spacing w:line="360" w:lineRule="auto"/>
        <w:rPr>
          <w:rFonts w:ascii="Georgia" w:hAnsi="Georgia" w:cs="Arial"/>
          <w:szCs w:val="24"/>
        </w:rPr>
      </w:pPr>
    </w:p>
    <w:p w:rsidR="00B56498" w:rsidRPr="00681D6E" w:rsidRDefault="00B56498" w:rsidP="00B56498">
      <w:pPr>
        <w:pStyle w:val="Corpsdetexte"/>
        <w:numPr>
          <w:ilvl w:val="1"/>
          <w:numId w:val="18"/>
        </w:numPr>
        <w:spacing w:line="360" w:lineRule="auto"/>
        <w:rPr>
          <w:rFonts w:ascii="Georgia" w:hAnsi="Georgia" w:cs="Arial"/>
          <w:smallCaps/>
          <w:szCs w:val="24"/>
        </w:rPr>
      </w:pPr>
      <w:r w:rsidRPr="00681D6E">
        <w:rPr>
          <w:rFonts w:ascii="Georgia" w:hAnsi="Georgia" w:cs="Arial"/>
          <w:smallCaps/>
          <w:szCs w:val="24"/>
        </w:rPr>
        <w:t>El defecto procedimental</w:t>
      </w:r>
    </w:p>
    <w:p w:rsidR="00B56498" w:rsidRPr="00681D6E" w:rsidRDefault="00B56498" w:rsidP="00B56498">
      <w:pPr>
        <w:pStyle w:val="Corpsdetexte"/>
        <w:spacing w:line="360" w:lineRule="auto"/>
        <w:rPr>
          <w:rFonts w:ascii="Georgia" w:hAnsi="Georgia" w:cs="Arial"/>
          <w:szCs w:val="24"/>
        </w:rPr>
      </w:pPr>
    </w:p>
    <w:p w:rsidR="00B56498" w:rsidRPr="00681D6E" w:rsidRDefault="0045333E" w:rsidP="00B56498">
      <w:pPr>
        <w:pStyle w:val="Corpsdetexte"/>
        <w:spacing w:line="360" w:lineRule="auto"/>
        <w:rPr>
          <w:rFonts w:ascii="Georgia" w:hAnsi="Georgia" w:cs="Arial"/>
          <w:szCs w:val="24"/>
        </w:rPr>
      </w:pPr>
      <w:r w:rsidRPr="00681D6E">
        <w:rPr>
          <w:rFonts w:ascii="Georgia" w:hAnsi="Georgia"/>
          <w:szCs w:val="24"/>
          <w:shd w:val="clear" w:color="auto" w:fill="FFFFFF"/>
        </w:rPr>
        <w:t xml:space="preserve">Esta causal de procedibilidad especial se </w:t>
      </w:r>
      <w:proofErr w:type="spellStart"/>
      <w:r w:rsidRPr="00681D6E">
        <w:rPr>
          <w:rFonts w:ascii="Georgia" w:hAnsi="Georgia"/>
          <w:szCs w:val="24"/>
          <w:shd w:val="clear" w:color="auto" w:fill="FFFFFF"/>
        </w:rPr>
        <w:t>cimenta</w:t>
      </w:r>
      <w:proofErr w:type="spellEnd"/>
      <w:r w:rsidRPr="00681D6E">
        <w:rPr>
          <w:rFonts w:ascii="Georgia" w:hAnsi="Georgia"/>
          <w:szCs w:val="24"/>
          <w:shd w:val="clear" w:color="auto" w:fill="FFFFFF"/>
        </w:rPr>
        <w:t xml:space="preserve"> en el desarrollo de los derechos fundamentales al debido proceso y el acceso a la administración de justicia (Artículos 29 y 228, CP)</w:t>
      </w:r>
      <w:r w:rsidR="00B56498" w:rsidRPr="00681D6E">
        <w:rPr>
          <w:rFonts w:ascii="Georgia" w:hAnsi="Georgia"/>
          <w:szCs w:val="24"/>
          <w:shd w:val="clear" w:color="auto" w:fill="FFFFFF"/>
        </w:rPr>
        <w:t>, puesto que conlleva al respeto por el procedimiento y las formas propias de cada juicio</w:t>
      </w:r>
      <w:r w:rsidR="00883C8F" w:rsidRPr="00681D6E">
        <w:rPr>
          <w:rFonts w:ascii="Georgia" w:hAnsi="Georgia"/>
          <w:szCs w:val="24"/>
          <w:shd w:val="clear" w:color="auto" w:fill="FFFFFF"/>
        </w:rPr>
        <w:t xml:space="preserve">, y </w:t>
      </w:r>
      <w:r w:rsidR="00B56498" w:rsidRPr="00681D6E">
        <w:rPr>
          <w:rFonts w:ascii="Georgia" w:hAnsi="Georgia"/>
          <w:szCs w:val="24"/>
          <w:shd w:val="clear" w:color="auto" w:fill="FFFFFF"/>
        </w:rPr>
        <w:t>el reconocimiento de la prevalencia del derecho sustancial y la realización de la justicia material en la aplicación del derecho procesal</w:t>
      </w:r>
      <w:r w:rsidR="00B71F2E" w:rsidRPr="00681D6E">
        <w:rPr>
          <w:rStyle w:val="Appelnotedebasdep"/>
          <w:rFonts w:ascii="Georgia" w:hAnsi="Georgia"/>
          <w:szCs w:val="24"/>
          <w:shd w:val="clear" w:color="auto" w:fill="FFFFFF"/>
        </w:rPr>
        <w:footnoteReference w:id="9"/>
      </w:r>
      <w:r w:rsidR="00B56498" w:rsidRPr="00681D6E">
        <w:rPr>
          <w:rFonts w:ascii="Georgia" w:hAnsi="Georgia"/>
          <w:szCs w:val="24"/>
          <w:shd w:val="clear" w:color="auto" w:fill="FFFFFF"/>
        </w:rPr>
        <w:t>.</w:t>
      </w:r>
    </w:p>
    <w:p w:rsidR="00B56498" w:rsidRPr="00681D6E" w:rsidRDefault="00B56498" w:rsidP="00B56498">
      <w:pPr>
        <w:pStyle w:val="Corpsdetexte"/>
        <w:spacing w:line="360" w:lineRule="auto"/>
        <w:rPr>
          <w:rFonts w:ascii="Georgia" w:hAnsi="Georgia" w:cs="Arial"/>
          <w:szCs w:val="24"/>
        </w:rPr>
      </w:pPr>
    </w:p>
    <w:p w:rsidR="00B71F2E" w:rsidRPr="00681D6E" w:rsidRDefault="00B71F2E" w:rsidP="00B56498">
      <w:pPr>
        <w:pStyle w:val="Corpsdetexte"/>
        <w:spacing w:line="360" w:lineRule="auto"/>
        <w:rPr>
          <w:rFonts w:ascii="Georgia" w:hAnsi="Georgia" w:cs="Arial"/>
          <w:szCs w:val="24"/>
        </w:rPr>
      </w:pPr>
      <w:r w:rsidRPr="00681D6E">
        <w:rPr>
          <w:rFonts w:ascii="Georgia" w:hAnsi="Georgia"/>
          <w:szCs w:val="24"/>
          <w:shd w:val="clear" w:color="auto" w:fill="FFFFFF"/>
        </w:rPr>
        <w:t>La CC</w:t>
      </w:r>
      <w:r w:rsidRPr="00681D6E">
        <w:rPr>
          <w:rStyle w:val="Appelnotedebasdep"/>
          <w:rFonts w:ascii="Georgia" w:hAnsi="Georgia"/>
          <w:szCs w:val="24"/>
          <w:shd w:val="clear" w:color="auto" w:fill="FFFFFF"/>
        </w:rPr>
        <w:footnoteReference w:id="10"/>
      </w:r>
      <w:r w:rsidRPr="00681D6E">
        <w:rPr>
          <w:rFonts w:ascii="Georgia" w:hAnsi="Georgia"/>
          <w:szCs w:val="24"/>
          <w:shd w:val="clear" w:color="auto" w:fill="FFFFFF"/>
        </w:rPr>
        <w:t xml:space="preserve"> ha establecido que este defecto se configura </w:t>
      </w:r>
      <w:r w:rsidRPr="00681D6E">
        <w:rPr>
          <w:rFonts w:ascii="Georgia" w:hAnsi="Georgia"/>
          <w:i/>
          <w:sz w:val="22"/>
          <w:szCs w:val="24"/>
          <w:shd w:val="clear" w:color="auto" w:fill="FFFFFF"/>
        </w:rPr>
        <w:t>“(…) cuando el juzgador viola derechos fundamentales al negar el derecho sustancial, ya sea por no aplicar la norma procesal acorde con el procedimiento de que se trate, </w:t>
      </w:r>
      <w:r w:rsidRPr="00681D6E">
        <w:rPr>
          <w:rFonts w:ascii="Georgia" w:hAnsi="Georgia"/>
          <w:b/>
          <w:bCs/>
          <w:i/>
          <w:sz w:val="22"/>
          <w:szCs w:val="24"/>
          <w:bdr w:val="none" w:sz="0" w:space="0" w:color="auto" w:frame="1"/>
          <w:shd w:val="clear" w:color="auto" w:fill="FFFFFF"/>
        </w:rPr>
        <w:t xml:space="preserve">o cuando excede la aplicación de formalidades procesales que hacen nugatorio un derecho (…)” </w:t>
      </w:r>
      <w:r w:rsidRPr="00681D6E">
        <w:rPr>
          <w:rFonts w:ascii="Georgia" w:hAnsi="Georgia"/>
          <w:bCs/>
          <w:szCs w:val="24"/>
          <w:bdr w:val="none" w:sz="0" w:space="0" w:color="auto" w:frame="1"/>
          <w:shd w:val="clear" w:color="auto" w:fill="FFFFFF"/>
        </w:rPr>
        <w:t>(Negrilla del original).</w:t>
      </w:r>
    </w:p>
    <w:p w:rsidR="00B71F2E" w:rsidRPr="00681D6E" w:rsidRDefault="00B71F2E" w:rsidP="00B56498">
      <w:pPr>
        <w:pStyle w:val="Corpsdetexte"/>
        <w:spacing w:line="360" w:lineRule="auto"/>
        <w:rPr>
          <w:rFonts w:ascii="Georgia" w:hAnsi="Georgia" w:cs="Arial"/>
          <w:szCs w:val="24"/>
        </w:rPr>
      </w:pPr>
    </w:p>
    <w:p w:rsidR="00B56498" w:rsidRPr="00681D6E" w:rsidRDefault="00B71F2E" w:rsidP="00B56498">
      <w:pPr>
        <w:pStyle w:val="Corpsdetexte"/>
        <w:spacing w:line="360" w:lineRule="auto"/>
        <w:rPr>
          <w:rFonts w:ascii="Georgia" w:hAnsi="Georgia" w:cs="Arial"/>
          <w:szCs w:val="24"/>
        </w:rPr>
      </w:pPr>
      <w:r w:rsidRPr="00681D6E">
        <w:rPr>
          <w:rFonts w:ascii="Georgia" w:hAnsi="Georgia" w:cs="Arial"/>
          <w:szCs w:val="24"/>
        </w:rPr>
        <w:t xml:space="preserve">Puntualmente </w:t>
      </w:r>
      <w:r w:rsidR="00B56498" w:rsidRPr="00681D6E">
        <w:rPr>
          <w:rFonts w:ascii="Georgia" w:hAnsi="Georgia" w:cs="Arial"/>
          <w:szCs w:val="24"/>
        </w:rPr>
        <w:t>existen dos clases de defecto procedimental</w:t>
      </w:r>
      <w:r w:rsidRPr="00681D6E">
        <w:rPr>
          <w:rStyle w:val="Appelnotedebasdep"/>
          <w:rFonts w:ascii="Georgia" w:hAnsi="Georgia"/>
          <w:szCs w:val="24"/>
        </w:rPr>
        <w:footnoteReference w:id="11"/>
      </w:r>
      <w:r w:rsidR="00B56498" w:rsidRPr="00681D6E">
        <w:rPr>
          <w:rFonts w:ascii="Georgia" w:hAnsi="Georgia" w:cs="Arial"/>
          <w:szCs w:val="24"/>
        </w:rPr>
        <w:t>: (i) El defecto procedimental absoluto; y, (ii) El defecto procedimental por exceso ritual manifiesto.</w:t>
      </w:r>
    </w:p>
    <w:p w:rsidR="00883C8F" w:rsidRPr="00681D6E" w:rsidRDefault="00883C8F" w:rsidP="00B56498">
      <w:pPr>
        <w:pStyle w:val="Corpsdetexte"/>
        <w:spacing w:line="360" w:lineRule="auto"/>
        <w:rPr>
          <w:rFonts w:ascii="Georgia" w:hAnsi="Georgia" w:cs="Arial"/>
          <w:szCs w:val="24"/>
        </w:rPr>
      </w:pPr>
    </w:p>
    <w:p w:rsidR="00B56498" w:rsidRPr="00681D6E" w:rsidRDefault="00B56498" w:rsidP="00B56498">
      <w:pPr>
        <w:pStyle w:val="Corpsdetexte"/>
        <w:spacing w:line="360" w:lineRule="auto"/>
        <w:rPr>
          <w:rFonts w:ascii="Georgia" w:hAnsi="Georgia" w:cs="Arial"/>
          <w:szCs w:val="24"/>
        </w:rPr>
      </w:pPr>
      <w:r w:rsidRPr="00681D6E">
        <w:rPr>
          <w:rFonts w:ascii="Georgia" w:hAnsi="Georgia" w:cs="Arial"/>
          <w:szCs w:val="24"/>
        </w:rPr>
        <w:t>Hay un defecto procedimental absoluto cuando el juez desconoce completamente el procedimiento determinado por la ley, y termina produciendo una decisión arbitraria que vulnera los derechos fundamentales, en palabras de la CC</w:t>
      </w:r>
      <w:r w:rsidR="00883C8F" w:rsidRPr="00681D6E">
        <w:rPr>
          <w:rFonts w:ascii="Georgia" w:hAnsi="Georgia" w:cs="Arial"/>
          <w:szCs w:val="24"/>
          <w:vertAlign w:val="superscript"/>
        </w:rPr>
        <w:footnoteReference w:id="12"/>
      </w:r>
      <w:r w:rsidRPr="00681D6E">
        <w:rPr>
          <w:rFonts w:ascii="Georgia" w:hAnsi="Georgia" w:cs="Arial"/>
          <w:szCs w:val="24"/>
        </w:rPr>
        <w:t xml:space="preserve">: </w:t>
      </w:r>
      <w:r w:rsidRPr="00681D6E">
        <w:rPr>
          <w:rFonts w:ascii="Georgia" w:hAnsi="Georgia" w:cs="Arial"/>
          <w:sz w:val="22"/>
          <w:szCs w:val="24"/>
        </w:rPr>
        <w:t>“</w:t>
      </w:r>
      <w:r w:rsidRPr="00681D6E">
        <w:rPr>
          <w:rFonts w:ascii="Georgia" w:hAnsi="Georgia" w:cs="Arial"/>
          <w:i/>
          <w:sz w:val="22"/>
          <w:szCs w:val="24"/>
        </w:rPr>
        <w:t>(…) cuando el juez se desvía por completo del procedimiento fijado por la ley para dar trámite a determinadas cuestiones, está “actuando en forma arbitraria y con fundamento en su voluntad</w:t>
      </w:r>
      <w:r w:rsidRPr="00681D6E">
        <w:rPr>
          <w:rFonts w:ascii="Georgia" w:hAnsi="Georgia" w:cs="Arial"/>
          <w:sz w:val="22"/>
          <w:szCs w:val="24"/>
        </w:rPr>
        <w:t>”</w:t>
      </w:r>
      <w:r w:rsidR="00883C8F" w:rsidRPr="00681D6E">
        <w:rPr>
          <w:rFonts w:ascii="Georgia" w:hAnsi="Georgia" w:cs="Arial"/>
          <w:szCs w:val="24"/>
        </w:rPr>
        <w:t xml:space="preserve">.  </w:t>
      </w:r>
    </w:p>
    <w:p w:rsidR="00B56498" w:rsidRPr="00681D6E" w:rsidRDefault="00B56498" w:rsidP="00B56498">
      <w:pPr>
        <w:pStyle w:val="Corpsdetexte"/>
        <w:spacing w:line="360" w:lineRule="auto"/>
        <w:rPr>
          <w:rFonts w:ascii="Georgia" w:hAnsi="Georgia" w:cs="Arial"/>
          <w:szCs w:val="24"/>
        </w:rPr>
      </w:pPr>
    </w:p>
    <w:p w:rsidR="00883C8F" w:rsidRPr="00681D6E" w:rsidRDefault="00883C8F" w:rsidP="00B56498">
      <w:pPr>
        <w:pStyle w:val="Corpsdetexte"/>
        <w:spacing w:line="360" w:lineRule="auto"/>
        <w:rPr>
          <w:rFonts w:ascii="Georgia" w:hAnsi="Georgia" w:cs="Arial"/>
          <w:szCs w:val="24"/>
        </w:rPr>
      </w:pPr>
      <w:r w:rsidRPr="00681D6E">
        <w:rPr>
          <w:rFonts w:ascii="Georgia" w:hAnsi="Georgia" w:cs="Arial"/>
          <w:szCs w:val="24"/>
        </w:rPr>
        <w:t>De otro lado, el defecto procedimental por exceso ritual manifiesto se presenta cuando el funcionario judicial</w:t>
      </w:r>
      <w:r w:rsidRPr="00681D6E">
        <w:rPr>
          <w:rStyle w:val="Appelnotedebasdep"/>
          <w:rFonts w:ascii="Georgia" w:hAnsi="Georgia"/>
          <w:szCs w:val="24"/>
        </w:rPr>
        <w:footnoteReference w:id="13"/>
      </w:r>
      <w:r w:rsidRPr="00681D6E">
        <w:rPr>
          <w:rFonts w:ascii="Georgia" w:hAnsi="Georgia" w:cs="Arial"/>
          <w:szCs w:val="24"/>
        </w:rPr>
        <w:t xml:space="preserve"> </w:t>
      </w:r>
      <w:r w:rsidRPr="00681D6E">
        <w:rPr>
          <w:rFonts w:ascii="Georgia" w:hAnsi="Georgia" w:cs="Arial"/>
          <w:i/>
          <w:sz w:val="22"/>
          <w:szCs w:val="24"/>
        </w:rPr>
        <w:t>“(…)</w:t>
      </w:r>
      <w:r w:rsidR="00681D6E" w:rsidRPr="00681D6E">
        <w:rPr>
          <w:rFonts w:ascii="Georgia" w:hAnsi="Georgia" w:cs="Arial"/>
          <w:i/>
          <w:sz w:val="22"/>
          <w:szCs w:val="24"/>
          <w:lang w:val="es-ES"/>
        </w:rPr>
        <w:t> (i) no tiene presente que el derecho procesal es un medio para la realización efectiva de los derechos de los ciudadanos (ii) renuncia conscientemente a la verdad jurídica objetiva pese a los hechos probados en el caso concreto, (</w:t>
      </w:r>
      <w:r w:rsidR="00681D6E" w:rsidRPr="00681D6E">
        <w:rPr>
          <w:rFonts w:ascii="Georgia" w:hAnsi="Georgia" w:cs="Arial"/>
          <w:i/>
          <w:sz w:val="22"/>
          <w:szCs w:val="24"/>
          <w:u w:val="single"/>
          <w:lang w:val="es-ES"/>
        </w:rPr>
        <w:t xml:space="preserve">iii) por la aplicación en exceso rigurosa del derecho procesal, </w:t>
      </w:r>
      <w:r w:rsidR="00681D6E" w:rsidRPr="00681D6E">
        <w:rPr>
          <w:rFonts w:ascii="Georgia" w:hAnsi="Georgia" w:cs="Arial"/>
          <w:i/>
          <w:sz w:val="22"/>
          <w:szCs w:val="24"/>
          <w:lang w:val="es-ES"/>
        </w:rPr>
        <w:t>(iv) pese a que dicha actuación devenga en el desconocimiento de derechos fundamentales (…)</w:t>
      </w:r>
      <w:r w:rsidRPr="00681D6E">
        <w:rPr>
          <w:rFonts w:ascii="Georgia" w:hAnsi="Georgia" w:cs="Arial"/>
          <w:i/>
          <w:sz w:val="22"/>
          <w:szCs w:val="24"/>
        </w:rPr>
        <w:t>”</w:t>
      </w:r>
      <w:r w:rsidR="00B71F2E" w:rsidRPr="00681D6E">
        <w:rPr>
          <w:rFonts w:ascii="Georgia" w:hAnsi="Georgia" w:cs="Arial"/>
          <w:sz w:val="22"/>
          <w:szCs w:val="24"/>
        </w:rPr>
        <w:t xml:space="preserve"> </w:t>
      </w:r>
      <w:r w:rsidR="00B71F2E" w:rsidRPr="00681D6E">
        <w:rPr>
          <w:rFonts w:ascii="Georgia" w:hAnsi="Georgia" w:cs="Arial"/>
          <w:szCs w:val="24"/>
        </w:rPr>
        <w:t>(</w:t>
      </w:r>
      <w:proofErr w:type="spellStart"/>
      <w:r w:rsidR="00B71F2E" w:rsidRPr="00681D6E">
        <w:rPr>
          <w:rFonts w:ascii="Georgia" w:hAnsi="Georgia" w:cs="Arial"/>
          <w:szCs w:val="24"/>
        </w:rPr>
        <w:t>Sublínea</w:t>
      </w:r>
      <w:proofErr w:type="spellEnd"/>
      <w:r w:rsidR="00B71F2E" w:rsidRPr="00681D6E">
        <w:rPr>
          <w:rFonts w:ascii="Georgia" w:hAnsi="Georgia" w:cs="Arial"/>
          <w:szCs w:val="24"/>
        </w:rPr>
        <w:t xml:space="preserve"> de la Sala).</w:t>
      </w:r>
    </w:p>
    <w:p w:rsidR="00883C8F" w:rsidRDefault="00883C8F" w:rsidP="00B56498">
      <w:pPr>
        <w:pStyle w:val="Corpsdetexte"/>
        <w:spacing w:line="360" w:lineRule="auto"/>
        <w:rPr>
          <w:rFonts w:ascii="Georgia" w:hAnsi="Georgia" w:cs="Arial"/>
          <w:szCs w:val="24"/>
        </w:rPr>
      </w:pPr>
    </w:p>
    <w:p w:rsidR="000939B1" w:rsidRPr="0030131F" w:rsidRDefault="000939B1" w:rsidP="000939B1">
      <w:pPr>
        <w:pStyle w:val="Corpsdetexte"/>
        <w:spacing w:line="360" w:lineRule="auto"/>
        <w:rPr>
          <w:rFonts w:ascii="Georgia" w:hAnsi="Georgia" w:cs="Arial"/>
          <w:i/>
          <w:iCs/>
          <w:color w:val="000000"/>
          <w:spacing w:val="0"/>
          <w:sz w:val="22"/>
          <w:szCs w:val="28"/>
          <w:shd w:val="clear" w:color="auto" w:fill="FFFFFF"/>
          <w:lang w:val="es-ES"/>
        </w:rPr>
      </w:pPr>
      <w:r w:rsidRPr="000939B1">
        <w:rPr>
          <w:rFonts w:ascii="Georgia" w:hAnsi="Georgia" w:cs="Arial"/>
          <w:szCs w:val="24"/>
        </w:rPr>
        <w:t>Para efectuar el análisis la Corte ha precisado dos rasgos adicionales: (i) Debe ser un error trascendente que afecte de manera grave el derecho al debido proceso y que tenga una influencia directa en la decisión de fondo adoptada y (ii) La deficiencia no debe ser atribuible al afectado</w:t>
      </w:r>
      <w:r w:rsidRPr="007E016E">
        <w:rPr>
          <w:rFonts w:ascii="Arial" w:hAnsi="Arial" w:cs="Arial"/>
          <w:szCs w:val="24"/>
        </w:rPr>
        <w:t xml:space="preserve">.  </w:t>
      </w:r>
    </w:p>
    <w:p w:rsidR="000939B1" w:rsidRPr="00681D6E" w:rsidRDefault="000939B1" w:rsidP="00B56498">
      <w:pPr>
        <w:pStyle w:val="Corpsdetexte"/>
        <w:spacing w:line="360" w:lineRule="auto"/>
        <w:rPr>
          <w:rFonts w:ascii="Georgia" w:hAnsi="Georgia" w:cs="Arial"/>
          <w:szCs w:val="24"/>
        </w:rPr>
      </w:pPr>
    </w:p>
    <w:p w:rsidR="00681D6E" w:rsidRPr="00681D6E" w:rsidRDefault="000939B1" w:rsidP="00681D6E">
      <w:pPr>
        <w:spacing w:line="360" w:lineRule="auto"/>
        <w:jc w:val="both"/>
        <w:rPr>
          <w:rFonts w:ascii="Georgia" w:hAnsi="Georgia" w:cs="Arial"/>
        </w:rPr>
      </w:pPr>
      <w:r>
        <w:rPr>
          <w:rFonts w:ascii="Georgia" w:hAnsi="Georgia" w:cs="Arial"/>
        </w:rPr>
        <w:t xml:space="preserve">La </w:t>
      </w:r>
      <w:r w:rsidR="00681D6E" w:rsidRPr="00681D6E">
        <w:rPr>
          <w:rFonts w:ascii="Georgia" w:hAnsi="Georgia" w:cs="Arial"/>
        </w:rPr>
        <w:t xml:space="preserve">CSJ </w:t>
      </w:r>
      <w:r>
        <w:rPr>
          <w:rFonts w:ascii="Georgia" w:hAnsi="Georgia" w:cs="Arial"/>
        </w:rPr>
        <w:t xml:space="preserve">también se ha pronunciado respecto de este defecto, </w:t>
      </w:r>
      <w:r w:rsidR="00681D6E" w:rsidRPr="00681D6E">
        <w:rPr>
          <w:rFonts w:ascii="Georgia" w:hAnsi="Georgia" w:cs="Arial"/>
        </w:rPr>
        <w:t xml:space="preserve">y al efecto, en reciente </w:t>
      </w:r>
      <w:r>
        <w:rPr>
          <w:rFonts w:ascii="Georgia" w:hAnsi="Georgia" w:cs="Arial"/>
        </w:rPr>
        <w:t>decisión</w:t>
      </w:r>
      <w:r w:rsidR="00591386">
        <w:rPr>
          <w:rStyle w:val="Appelnotedebasdep"/>
          <w:rFonts w:ascii="Georgia" w:hAnsi="Georgia"/>
        </w:rPr>
        <w:footnoteReference w:id="14"/>
      </w:r>
      <w:r w:rsidR="00681D6E" w:rsidRPr="00681D6E">
        <w:rPr>
          <w:rFonts w:ascii="Georgia" w:hAnsi="Georgia" w:cs="Arial"/>
        </w:rPr>
        <w:t xml:space="preserve">, ha dicho: </w:t>
      </w:r>
    </w:p>
    <w:p w:rsidR="00681D6E" w:rsidRPr="00681D6E" w:rsidRDefault="00681D6E" w:rsidP="00681D6E">
      <w:pPr>
        <w:spacing w:line="360" w:lineRule="auto"/>
        <w:jc w:val="both"/>
        <w:rPr>
          <w:rFonts w:ascii="Georgia" w:hAnsi="Georgia" w:cs="Arial"/>
          <w:sz w:val="20"/>
        </w:rPr>
      </w:pPr>
    </w:p>
    <w:p w:rsidR="00681D6E" w:rsidRPr="00681D6E" w:rsidRDefault="00681D6E" w:rsidP="00681D6E">
      <w:pPr>
        <w:ind w:left="567" w:right="618"/>
        <w:jc w:val="both"/>
        <w:rPr>
          <w:rFonts w:ascii="Georgia" w:hAnsi="Georgia"/>
          <w:iCs/>
          <w:shd w:val="clear" w:color="auto" w:fill="FFFFFF"/>
        </w:rPr>
      </w:pPr>
      <w:r w:rsidRPr="00681D6E">
        <w:rPr>
          <w:rFonts w:ascii="Georgia" w:hAnsi="Georgia" w:cs="Arial"/>
        </w:rPr>
        <w:t xml:space="preserve">Es necesario recordar que el respeto por </w:t>
      </w:r>
      <w:r w:rsidRPr="00681D6E">
        <w:rPr>
          <w:rFonts w:ascii="Georgia" w:hAnsi="Georgia"/>
          <w:iCs/>
          <w:shd w:val="clear" w:color="auto" w:fill="FFFFFF"/>
        </w:rPr>
        <w:t>las formas propias de cada juicio no implica, en manera alguna que los ritos procesales sean un fin en sí mismos, todo lo contrario, la primacía de lo sustancial, impone que los procedimientos sirvan como medio para lograr la efectividad de la administración de justicia y de los derechos subjetivos de quienes someten sus conflictos a ella.</w:t>
      </w:r>
    </w:p>
    <w:p w:rsidR="00681D6E" w:rsidRPr="00681D6E" w:rsidRDefault="00681D6E" w:rsidP="00681D6E">
      <w:pPr>
        <w:ind w:left="567" w:right="618"/>
        <w:jc w:val="both"/>
        <w:rPr>
          <w:rFonts w:ascii="Georgia" w:hAnsi="Georgia"/>
          <w:iCs/>
          <w:shd w:val="clear" w:color="auto" w:fill="FFFFFF"/>
        </w:rPr>
      </w:pPr>
      <w:r w:rsidRPr="00681D6E">
        <w:rPr>
          <w:rFonts w:ascii="Georgia" w:hAnsi="Georgia"/>
          <w:iCs/>
          <w:shd w:val="clear" w:color="auto" w:fill="FFFFFF"/>
        </w:rPr>
        <w:t xml:space="preserve">No se trata de avalar el desconocimiento absoluto de la ritualidad procesal, que en este caso no se presenta, pero tampoco de que el funcionario judicial atienda de manera tan rigurosa a esas formalidades, pues ello apareja un </w:t>
      </w:r>
      <w:r w:rsidRPr="00681D6E">
        <w:rPr>
          <w:rFonts w:ascii="Georgia" w:hAnsi="Georgia"/>
          <w:i/>
          <w:iCs/>
          <w:u w:val="single"/>
          <w:shd w:val="clear" w:color="auto" w:fill="FFFFFF"/>
        </w:rPr>
        <w:t>«excesivo ritual manifiesto»</w:t>
      </w:r>
      <w:r w:rsidRPr="00681D6E">
        <w:rPr>
          <w:rFonts w:ascii="Georgia" w:hAnsi="Georgia"/>
          <w:iCs/>
          <w:shd w:val="clear" w:color="auto" w:fill="FFFFFF"/>
        </w:rPr>
        <w:t xml:space="preserve"> que sacrifica prerrogativas constitucionales para salvaguardar la forma. </w:t>
      </w:r>
    </w:p>
    <w:p w:rsidR="001B386E" w:rsidRPr="00103E82" w:rsidRDefault="001B386E" w:rsidP="0062273B">
      <w:pPr>
        <w:spacing w:line="360" w:lineRule="auto"/>
        <w:jc w:val="both"/>
        <w:rPr>
          <w:rFonts w:ascii="Georgia" w:hAnsi="Georgia" w:cs="Arial"/>
          <w:sz w:val="28"/>
          <w:lang w:val="es-ES_tradnl"/>
        </w:rPr>
      </w:pPr>
    </w:p>
    <w:p w:rsidR="008E1295" w:rsidRPr="001E5B6B" w:rsidRDefault="00FE5FF3" w:rsidP="00952597">
      <w:pPr>
        <w:pStyle w:val="Corpsdetexte"/>
        <w:numPr>
          <w:ilvl w:val="0"/>
          <w:numId w:val="18"/>
        </w:numPr>
        <w:spacing w:line="360" w:lineRule="auto"/>
        <w:rPr>
          <w:rFonts w:ascii="Georgia" w:hAnsi="Georgia"/>
          <w:smallCaps/>
          <w:sz w:val="28"/>
          <w:szCs w:val="24"/>
        </w:rPr>
      </w:pPr>
      <w:r w:rsidRPr="001E5B6B">
        <w:rPr>
          <w:rFonts w:ascii="Georgia" w:hAnsi="Georgia"/>
          <w:smallCaps/>
          <w:sz w:val="28"/>
          <w:szCs w:val="24"/>
        </w:rPr>
        <w:t>El caso concreto que se analiza</w:t>
      </w:r>
    </w:p>
    <w:p w:rsidR="005B065D" w:rsidRPr="001E5B6B" w:rsidRDefault="005B065D" w:rsidP="005B065D">
      <w:pPr>
        <w:pStyle w:val="Corpsdetexte"/>
        <w:spacing w:line="360" w:lineRule="auto"/>
        <w:ind w:left="400"/>
        <w:rPr>
          <w:rFonts w:ascii="Georgia" w:hAnsi="Georgia"/>
          <w:smallCaps/>
          <w:szCs w:val="24"/>
        </w:rPr>
      </w:pPr>
    </w:p>
    <w:p w:rsidR="00626B65" w:rsidRPr="005B6C72" w:rsidRDefault="00993BE7" w:rsidP="00F54A43">
      <w:pPr>
        <w:pStyle w:val="Corpsdetexte"/>
        <w:spacing w:line="360" w:lineRule="auto"/>
        <w:rPr>
          <w:rFonts w:ascii="Georgia" w:hAnsi="Georgia"/>
          <w:szCs w:val="24"/>
        </w:rPr>
      </w:pPr>
      <w:r w:rsidRPr="005B6C72">
        <w:rPr>
          <w:rFonts w:ascii="Georgia" w:hAnsi="Georgia"/>
          <w:szCs w:val="24"/>
        </w:rPr>
        <w:t>En la metodología enseñada por la doctrina constitucional, el primer examen consiste en verificar los presupuestos generales de procedibilidad, y para el caso se hallan cumplidos</w:t>
      </w:r>
      <w:r w:rsidR="00626B65" w:rsidRPr="005B6C72">
        <w:rPr>
          <w:rFonts w:ascii="Georgia" w:hAnsi="Georgia"/>
          <w:szCs w:val="24"/>
        </w:rPr>
        <w:t>.</w:t>
      </w:r>
      <w:r w:rsidR="001B386E" w:rsidRPr="005B6C72">
        <w:rPr>
          <w:rFonts w:ascii="Georgia" w:hAnsi="Georgia"/>
          <w:szCs w:val="24"/>
        </w:rPr>
        <w:t xml:space="preserve"> </w:t>
      </w:r>
    </w:p>
    <w:p w:rsidR="00626B65" w:rsidRPr="005B6C72" w:rsidRDefault="00626B65" w:rsidP="00F54A43">
      <w:pPr>
        <w:pStyle w:val="Corpsdetexte"/>
        <w:spacing w:line="360" w:lineRule="auto"/>
        <w:rPr>
          <w:rFonts w:ascii="Georgia" w:hAnsi="Georgia"/>
          <w:szCs w:val="24"/>
        </w:rPr>
      </w:pPr>
    </w:p>
    <w:p w:rsidR="00993BE7" w:rsidRPr="005B6C72" w:rsidRDefault="00993BE7" w:rsidP="00F54A43">
      <w:pPr>
        <w:pStyle w:val="Corpsdetexte"/>
        <w:spacing w:line="360" w:lineRule="auto"/>
        <w:rPr>
          <w:rFonts w:ascii="Georgia" w:hAnsi="Georgia"/>
          <w:szCs w:val="24"/>
        </w:rPr>
      </w:pPr>
      <w:r w:rsidRPr="005B6C72">
        <w:rPr>
          <w:rFonts w:ascii="Georgia" w:hAnsi="Georgia"/>
          <w:szCs w:val="24"/>
        </w:rPr>
        <w:t>El asunto es de relevancia constitucional</w:t>
      </w:r>
      <w:r w:rsidR="000954E6" w:rsidRPr="005B6C72">
        <w:rPr>
          <w:rFonts w:ascii="Georgia" w:hAnsi="Georgia"/>
          <w:szCs w:val="24"/>
        </w:rPr>
        <w:t xml:space="preserve"> por estimar comprometido</w:t>
      </w:r>
      <w:r w:rsidR="00591386" w:rsidRPr="005B6C72">
        <w:rPr>
          <w:rFonts w:ascii="Georgia" w:hAnsi="Georgia"/>
          <w:szCs w:val="24"/>
        </w:rPr>
        <w:t>s</w:t>
      </w:r>
      <w:r w:rsidR="000954E6" w:rsidRPr="005B6C72">
        <w:rPr>
          <w:rFonts w:ascii="Georgia" w:hAnsi="Georgia"/>
          <w:szCs w:val="24"/>
        </w:rPr>
        <w:t xml:space="preserve"> </w:t>
      </w:r>
      <w:r w:rsidR="00591386" w:rsidRPr="005B6C72">
        <w:rPr>
          <w:rFonts w:ascii="Georgia" w:hAnsi="Georgia"/>
          <w:szCs w:val="24"/>
        </w:rPr>
        <w:t xml:space="preserve">los </w:t>
      </w:r>
      <w:r w:rsidR="000954E6" w:rsidRPr="005B6C72">
        <w:rPr>
          <w:rFonts w:ascii="Georgia" w:hAnsi="Georgia"/>
          <w:szCs w:val="24"/>
        </w:rPr>
        <w:t>derecho</w:t>
      </w:r>
      <w:r w:rsidR="00591386" w:rsidRPr="005B6C72">
        <w:rPr>
          <w:rFonts w:ascii="Georgia" w:hAnsi="Georgia"/>
          <w:szCs w:val="24"/>
        </w:rPr>
        <w:t>s</w:t>
      </w:r>
      <w:r w:rsidR="000954E6" w:rsidRPr="005B6C72">
        <w:rPr>
          <w:rFonts w:ascii="Georgia" w:hAnsi="Georgia"/>
          <w:szCs w:val="24"/>
        </w:rPr>
        <w:t xml:space="preserve"> al debido proceso</w:t>
      </w:r>
      <w:r w:rsidR="00591386" w:rsidRPr="005B6C72">
        <w:rPr>
          <w:rFonts w:ascii="Georgia" w:hAnsi="Georgia"/>
          <w:szCs w:val="24"/>
        </w:rPr>
        <w:t xml:space="preserve"> y al acceso a la administración de justicia</w:t>
      </w:r>
      <w:r w:rsidRPr="005B6C72">
        <w:rPr>
          <w:rFonts w:ascii="Georgia" w:hAnsi="Georgia"/>
          <w:szCs w:val="24"/>
        </w:rPr>
        <w:t xml:space="preserve">; </w:t>
      </w:r>
      <w:r w:rsidR="001B386E" w:rsidRPr="005B6C72">
        <w:rPr>
          <w:rFonts w:ascii="Georgia" w:hAnsi="Georgia"/>
          <w:szCs w:val="24"/>
        </w:rPr>
        <w:t xml:space="preserve"> </w:t>
      </w:r>
      <w:r w:rsidRPr="005B6C72">
        <w:rPr>
          <w:rFonts w:ascii="Georgia" w:hAnsi="Georgia"/>
          <w:szCs w:val="24"/>
        </w:rPr>
        <w:t>se agotaron</w:t>
      </w:r>
      <w:r w:rsidRPr="005B6C72">
        <w:rPr>
          <w:rFonts w:ascii="Georgia" w:hAnsi="Georgia"/>
          <w:szCs w:val="24"/>
          <w:lang w:val="es-CO"/>
        </w:rPr>
        <w:t xml:space="preserve"> los medios ordinarios </w:t>
      </w:r>
      <w:r w:rsidR="00591386" w:rsidRPr="005B6C72">
        <w:rPr>
          <w:rFonts w:ascii="Georgia" w:hAnsi="Georgia"/>
          <w:szCs w:val="24"/>
          <w:lang w:val="es-CO"/>
        </w:rPr>
        <w:t xml:space="preserve">de defensa, pues se recurrió en reposición y en subsidio queja el proveído que declaró desierto el recurso de apelación </w:t>
      </w:r>
      <w:r w:rsidRPr="005B6C72">
        <w:rPr>
          <w:rFonts w:ascii="Georgia" w:hAnsi="Georgia"/>
          <w:szCs w:val="24"/>
        </w:rPr>
        <w:t xml:space="preserve">(Subsidiariedad); </w:t>
      </w:r>
      <w:r w:rsidR="00855788" w:rsidRPr="005B6C72">
        <w:rPr>
          <w:rFonts w:ascii="Georgia" w:hAnsi="Georgia"/>
          <w:szCs w:val="24"/>
        </w:rPr>
        <w:t>la actuación</w:t>
      </w:r>
      <w:r w:rsidRPr="005B6C72">
        <w:rPr>
          <w:rFonts w:ascii="Georgia" w:hAnsi="Georgia"/>
          <w:szCs w:val="24"/>
        </w:rPr>
        <w:t xml:space="preserve"> reprochada no </w:t>
      </w:r>
      <w:r w:rsidR="00855788" w:rsidRPr="005B6C72">
        <w:rPr>
          <w:rFonts w:ascii="Georgia" w:hAnsi="Georgia"/>
          <w:szCs w:val="24"/>
        </w:rPr>
        <w:t xml:space="preserve">es </w:t>
      </w:r>
      <w:r w:rsidRPr="005B6C72">
        <w:rPr>
          <w:rFonts w:ascii="Georgia" w:hAnsi="Georgia"/>
          <w:szCs w:val="24"/>
        </w:rPr>
        <w:t xml:space="preserve">de tutela; hay inmediatez porque la </w:t>
      </w:r>
      <w:r w:rsidR="008E06EC" w:rsidRPr="005B6C72">
        <w:rPr>
          <w:rFonts w:ascii="Georgia" w:hAnsi="Georgia"/>
          <w:szCs w:val="24"/>
        </w:rPr>
        <w:t>decisión</w:t>
      </w:r>
      <w:r w:rsidR="00855788" w:rsidRPr="005B6C72">
        <w:rPr>
          <w:rFonts w:ascii="Georgia" w:hAnsi="Georgia"/>
          <w:szCs w:val="24"/>
        </w:rPr>
        <w:t xml:space="preserve"> </w:t>
      </w:r>
      <w:r w:rsidRPr="005B6C72">
        <w:rPr>
          <w:rFonts w:ascii="Georgia" w:hAnsi="Georgia"/>
          <w:szCs w:val="24"/>
        </w:rPr>
        <w:t xml:space="preserve">que </w:t>
      </w:r>
      <w:r w:rsidR="00BB6450" w:rsidRPr="005B6C72">
        <w:rPr>
          <w:rFonts w:ascii="Georgia" w:hAnsi="Georgia"/>
          <w:szCs w:val="24"/>
        </w:rPr>
        <w:t>resolvi</w:t>
      </w:r>
      <w:r w:rsidR="008E06EC" w:rsidRPr="005B6C72">
        <w:rPr>
          <w:rFonts w:ascii="Georgia" w:hAnsi="Georgia"/>
          <w:szCs w:val="24"/>
        </w:rPr>
        <w:t xml:space="preserve">ó </w:t>
      </w:r>
      <w:r w:rsidR="00591386" w:rsidRPr="005B6C72">
        <w:rPr>
          <w:rFonts w:ascii="Georgia" w:hAnsi="Georgia"/>
          <w:szCs w:val="24"/>
        </w:rPr>
        <w:t xml:space="preserve">la queja </w:t>
      </w:r>
      <w:r w:rsidR="005A6EF5" w:rsidRPr="005B6C72">
        <w:rPr>
          <w:rFonts w:ascii="Georgia" w:hAnsi="Georgia"/>
          <w:szCs w:val="24"/>
        </w:rPr>
        <w:t>data</w:t>
      </w:r>
      <w:r w:rsidRPr="005B6C72">
        <w:rPr>
          <w:rFonts w:ascii="Georgia" w:hAnsi="Georgia"/>
          <w:szCs w:val="24"/>
        </w:rPr>
        <w:t xml:space="preserve"> </w:t>
      </w:r>
      <w:r w:rsidR="00A93FE9" w:rsidRPr="005B6C72">
        <w:rPr>
          <w:rFonts w:ascii="Georgia" w:hAnsi="Georgia"/>
          <w:szCs w:val="24"/>
        </w:rPr>
        <w:t>d</w:t>
      </w:r>
      <w:r w:rsidRPr="005B6C72">
        <w:rPr>
          <w:rFonts w:ascii="Georgia" w:hAnsi="Georgia"/>
          <w:szCs w:val="24"/>
        </w:rPr>
        <w:t xml:space="preserve">el </w:t>
      </w:r>
      <w:r w:rsidR="00591386" w:rsidRPr="005B6C72">
        <w:rPr>
          <w:rFonts w:ascii="Georgia" w:hAnsi="Georgia"/>
          <w:szCs w:val="24"/>
        </w:rPr>
        <w:t xml:space="preserve">10-07-2017 </w:t>
      </w:r>
      <w:r w:rsidRPr="005B6C72">
        <w:rPr>
          <w:rFonts w:ascii="Georgia" w:hAnsi="Georgia"/>
          <w:szCs w:val="24"/>
        </w:rPr>
        <w:t xml:space="preserve">(Folio </w:t>
      </w:r>
      <w:r w:rsidR="00591386" w:rsidRPr="005B6C72">
        <w:rPr>
          <w:rFonts w:ascii="Georgia" w:hAnsi="Georgia"/>
          <w:szCs w:val="24"/>
        </w:rPr>
        <w:t>20</w:t>
      </w:r>
      <w:r w:rsidRPr="005B6C72">
        <w:rPr>
          <w:rFonts w:ascii="Georgia" w:hAnsi="Georgia"/>
          <w:szCs w:val="24"/>
        </w:rPr>
        <w:t>, ib.)</w:t>
      </w:r>
      <w:r w:rsidR="00626B65" w:rsidRPr="005B6C72">
        <w:rPr>
          <w:rFonts w:ascii="Georgia" w:hAnsi="Georgia"/>
          <w:szCs w:val="24"/>
        </w:rPr>
        <w:t>, y</w:t>
      </w:r>
      <w:r w:rsidRPr="005B6C72">
        <w:rPr>
          <w:rFonts w:ascii="Georgia" w:hAnsi="Georgia"/>
          <w:szCs w:val="24"/>
        </w:rPr>
        <w:t xml:space="preserve"> </w:t>
      </w:r>
      <w:r w:rsidR="001741B3" w:rsidRPr="005B6C72">
        <w:rPr>
          <w:rFonts w:ascii="Georgia" w:hAnsi="Georgia"/>
          <w:szCs w:val="24"/>
        </w:rPr>
        <w:t xml:space="preserve">la </w:t>
      </w:r>
      <w:r w:rsidR="008E06EC" w:rsidRPr="005B6C72">
        <w:rPr>
          <w:rFonts w:ascii="Georgia" w:hAnsi="Georgia"/>
          <w:szCs w:val="24"/>
        </w:rPr>
        <w:t>acción</w:t>
      </w:r>
      <w:r w:rsidR="001741B3" w:rsidRPr="005B6C72">
        <w:rPr>
          <w:rFonts w:ascii="Georgia" w:hAnsi="Georgia"/>
          <w:szCs w:val="24"/>
        </w:rPr>
        <w:t xml:space="preserve"> </w:t>
      </w:r>
      <w:r w:rsidR="005A6EF5" w:rsidRPr="005B6C72">
        <w:rPr>
          <w:rFonts w:ascii="Georgia" w:hAnsi="Georgia"/>
          <w:szCs w:val="24"/>
        </w:rPr>
        <w:t xml:space="preserve">fue </w:t>
      </w:r>
      <w:r w:rsidRPr="005B6C72">
        <w:rPr>
          <w:rFonts w:ascii="Georgia" w:hAnsi="Georgia"/>
          <w:szCs w:val="24"/>
        </w:rPr>
        <w:t xml:space="preserve">instaurada el </w:t>
      </w:r>
      <w:r w:rsidR="00591386" w:rsidRPr="005B6C72">
        <w:rPr>
          <w:rFonts w:ascii="Georgia" w:hAnsi="Georgia"/>
          <w:szCs w:val="24"/>
        </w:rPr>
        <w:t xml:space="preserve">28-08-2017 </w:t>
      </w:r>
      <w:r w:rsidR="00855788" w:rsidRPr="005B6C72">
        <w:rPr>
          <w:rFonts w:ascii="Georgia" w:hAnsi="Georgia"/>
          <w:szCs w:val="24"/>
        </w:rPr>
        <w:t>(Folio</w:t>
      </w:r>
      <w:r w:rsidR="00CD3E18" w:rsidRPr="005B6C72">
        <w:rPr>
          <w:rFonts w:ascii="Georgia" w:hAnsi="Georgia"/>
          <w:szCs w:val="24"/>
        </w:rPr>
        <w:t xml:space="preserve"> </w:t>
      </w:r>
      <w:r w:rsidR="00591386" w:rsidRPr="005B6C72">
        <w:rPr>
          <w:rFonts w:ascii="Georgia" w:hAnsi="Georgia"/>
          <w:szCs w:val="24"/>
        </w:rPr>
        <w:t>9</w:t>
      </w:r>
      <w:r w:rsidRPr="005B6C72">
        <w:rPr>
          <w:rFonts w:ascii="Georgia" w:hAnsi="Georgia"/>
          <w:szCs w:val="24"/>
        </w:rPr>
        <w:t xml:space="preserve">, ib.); </w:t>
      </w:r>
      <w:r w:rsidR="000954E6" w:rsidRPr="005B6C72">
        <w:rPr>
          <w:rFonts w:ascii="Georgia" w:hAnsi="Georgia"/>
          <w:szCs w:val="24"/>
        </w:rPr>
        <w:t xml:space="preserve">además, </w:t>
      </w:r>
      <w:r w:rsidRPr="005B6C72">
        <w:rPr>
          <w:rFonts w:ascii="Georgia" w:hAnsi="Georgia"/>
          <w:szCs w:val="24"/>
        </w:rPr>
        <w:t xml:space="preserve">la irregularidad realzada por la parte, resulta ser trascendente para el desarrollo de la </w:t>
      </w:r>
      <w:proofErr w:type="spellStart"/>
      <w:r w:rsidRPr="005B6C72">
        <w:rPr>
          <w:rFonts w:ascii="Georgia" w:hAnsi="Georgia"/>
          <w:szCs w:val="24"/>
        </w:rPr>
        <w:t>litis</w:t>
      </w:r>
      <w:proofErr w:type="spellEnd"/>
      <w:r w:rsidRPr="005B6C72">
        <w:rPr>
          <w:rFonts w:ascii="Georgia" w:hAnsi="Georgia"/>
          <w:szCs w:val="24"/>
        </w:rPr>
        <w:t>.</w:t>
      </w:r>
    </w:p>
    <w:p w:rsidR="00626B65" w:rsidRPr="005B6C72" w:rsidRDefault="00626B65" w:rsidP="009A3F45">
      <w:pPr>
        <w:widowControl/>
        <w:spacing w:line="360" w:lineRule="auto"/>
        <w:jc w:val="both"/>
        <w:rPr>
          <w:rFonts w:ascii="Georgia" w:hAnsi="Georgia" w:cs="Arial"/>
        </w:rPr>
      </w:pPr>
    </w:p>
    <w:p w:rsidR="009A3F45" w:rsidRPr="00BF019B" w:rsidRDefault="009A3F45" w:rsidP="009A3F45">
      <w:pPr>
        <w:widowControl/>
        <w:spacing w:line="360" w:lineRule="auto"/>
        <w:jc w:val="both"/>
        <w:rPr>
          <w:rFonts w:ascii="Georgia" w:hAnsi="Georgia" w:cs="Arial"/>
        </w:rPr>
      </w:pPr>
      <w:r w:rsidRPr="00BF019B">
        <w:rPr>
          <w:rFonts w:ascii="Georgia" w:hAnsi="Georgia" w:cs="Arial"/>
        </w:rPr>
        <w:t xml:space="preserve">Concluido el estudio de los requisitos generales, incumbe proseguir con la revisión de las causales especiales y en el caso concreto se entiende que lo expuesto por el actor, alude al defecto </w:t>
      </w:r>
      <w:r w:rsidR="00591386" w:rsidRPr="00BF019B">
        <w:rPr>
          <w:rFonts w:ascii="Georgia" w:hAnsi="Georgia" w:cs="Arial"/>
        </w:rPr>
        <w:t>procedimental</w:t>
      </w:r>
      <w:r w:rsidRPr="00BF019B">
        <w:rPr>
          <w:rFonts w:ascii="Georgia" w:hAnsi="Georgia" w:cs="Arial"/>
        </w:rPr>
        <w:t xml:space="preserve">, </w:t>
      </w:r>
      <w:r w:rsidR="00591386" w:rsidRPr="00BF019B">
        <w:rPr>
          <w:rFonts w:ascii="Georgia" w:hAnsi="Georgia" w:cs="Arial"/>
        </w:rPr>
        <w:t>toda vez que se queja de la declaratoria de deserción de la alzada, pese a que había formulado los reparos concretos a la sentencia dictada</w:t>
      </w:r>
      <w:r w:rsidRPr="00BF019B">
        <w:rPr>
          <w:rFonts w:ascii="Georgia" w:hAnsi="Georgia" w:cs="Arial"/>
          <w:color w:val="000000"/>
        </w:rPr>
        <w:t>.</w:t>
      </w:r>
    </w:p>
    <w:p w:rsidR="009A3F45" w:rsidRPr="00BF019B" w:rsidRDefault="009A3F45" w:rsidP="009A3F45">
      <w:pPr>
        <w:widowControl/>
        <w:spacing w:line="360" w:lineRule="auto"/>
        <w:jc w:val="both"/>
        <w:rPr>
          <w:rFonts w:ascii="Georgia" w:hAnsi="Georgia" w:cs="Arial"/>
        </w:rPr>
      </w:pPr>
    </w:p>
    <w:p w:rsidR="00F02B2B" w:rsidRPr="00BF019B" w:rsidRDefault="005B6C72" w:rsidP="009A3F45">
      <w:pPr>
        <w:widowControl/>
        <w:spacing w:line="360" w:lineRule="auto"/>
        <w:jc w:val="both"/>
        <w:rPr>
          <w:rFonts w:ascii="Georgia" w:hAnsi="Georgia" w:cs="Arial"/>
        </w:rPr>
      </w:pPr>
      <w:r w:rsidRPr="00BF019B">
        <w:rPr>
          <w:rFonts w:ascii="Georgia" w:hAnsi="Georgia" w:cs="Arial"/>
        </w:rPr>
        <w:t xml:space="preserve">El apoderado judicial de la accionante oportunamente formuló apelación frente a la sentencia dictada el 28-11-2016, </w:t>
      </w:r>
      <w:r w:rsidRPr="00BF019B">
        <w:rPr>
          <w:rFonts w:ascii="Georgia" w:hAnsi="Georgia" w:cs="Arial"/>
          <w:sz w:val="22"/>
        </w:rPr>
        <w:t xml:space="preserve">arguyendo </w:t>
      </w:r>
      <w:r w:rsidRPr="00BF019B">
        <w:rPr>
          <w:rFonts w:ascii="Georgia" w:hAnsi="Georgia" w:cs="Arial"/>
          <w:i/>
          <w:sz w:val="22"/>
        </w:rPr>
        <w:t xml:space="preserve">“(…) estar en total desacuerdo con lo decidido por el señor Juez y no compartir sus argumentos, toda vez que considero que no se hizo un </w:t>
      </w:r>
      <w:r w:rsidRPr="00BF019B">
        <w:rPr>
          <w:rFonts w:ascii="Georgia" w:hAnsi="Georgia" w:cs="Arial"/>
          <w:i/>
          <w:sz w:val="22"/>
        </w:rPr>
        <w:lastRenderedPageBreak/>
        <w:t>estudio real del proceso, de las actuaciones de las partes, de las confesiones de la parte demandada, entre otros aspectos (…)”</w:t>
      </w:r>
      <w:r w:rsidRPr="00BF019B">
        <w:rPr>
          <w:rFonts w:ascii="Georgia" w:hAnsi="Georgia" w:cs="Arial"/>
          <w:sz w:val="22"/>
        </w:rPr>
        <w:t>.</w:t>
      </w:r>
      <w:r w:rsidRPr="00BF019B">
        <w:rPr>
          <w:rFonts w:ascii="Georgia" w:hAnsi="Georgia" w:cs="Arial"/>
        </w:rPr>
        <w:t xml:space="preserve"> Seguidamente en su extenso escrito se despachó sustentando el recurso orientándolo a controvertir </w:t>
      </w:r>
      <w:r w:rsidR="00F02B2B" w:rsidRPr="00BF019B">
        <w:rPr>
          <w:rFonts w:ascii="Georgia" w:hAnsi="Georgia" w:cs="Arial"/>
        </w:rPr>
        <w:t xml:space="preserve">la decisión frente a la posesión material del demandado del inmueble pretendido en reivindicación, y precisó (i) que no se hizo un estudio comprensible de los hechos de la demanda, y (ii) tampoco se tuvieron en cuenta las </w:t>
      </w:r>
      <w:r w:rsidR="00103E82">
        <w:rPr>
          <w:rFonts w:ascii="Georgia" w:hAnsi="Georgia" w:cs="Arial"/>
        </w:rPr>
        <w:t xml:space="preserve">confesiones </w:t>
      </w:r>
      <w:r w:rsidR="000D60C7">
        <w:rPr>
          <w:rFonts w:ascii="Georgia" w:hAnsi="Georgia" w:cs="Arial"/>
        </w:rPr>
        <w:t xml:space="preserve">del </w:t>
      </w:r>
      <w:r w:rsidR="00F02B2B" w:rsidRPr="00BF019B">
        <w:rPr>
          <w:rFonts w:ascii="Georgia" w:hAnsi="Georgia" w:cs="Arial"/>
        </w:rPr>
        <w:t>demandado en el proceso (Folios 30 a 33, ib.).</w:t>
      </w:r>
    </w:p>
    <w:p w:rsidR="00F02B2B" w:rsidRPr="00BF019B" w:rsidRDefault="00F02B2B" w:rsidP="009A3F45">
      <w:pPr>
        <w:widowControl/>
        <w:spacing w:line="360" w:lineRule="auto"/>
        <w:jc w:val="both"/>
        <w:rPr>
          <w:rFonts w:ascii="Georgia" w:hAnsi="Georgia" w:cs="Arial"/>
        </w:rPr>
      </w:pPr>
    </w:p>
    <w:p w:rsidR="005B6C72" w:rsidRPr="00BF019B" w:rsidRDefault="00F02B2B" w:rsidP="009A3F45">
      <w:pPr>
        <w:widowControl/>
        <w:spacing w:line="360" w:lineRule="auto"/>
        <w:jc w:val="both"/>
        <w:rPr>
          <w:rFonts w:ascii="Georgia" w:hAnsi="Georgia" w:cs="Arial"/>
        </w:rPr>
      </w:pPr>
      <w:r w:rsidRPr="00F47E6A">
        <w:rPr>
          <w:rFonts w:ascii="Georgia" w:hAnsi="Georgia" w:cs="Arial"/>
        </w:rPr>
        <w:t>Seguidamente, el Juzgado accionado con decisión del 13-01-2017 declaró la deserción</w:t>
      </w:r>
      <w:r w:rsidR="00F47E6A" w:rsidRPr="00F47E6A">
        <w:rPr>
          <w:rFonts w:ascii="Georgia" w:hAnsi="Georgia" w:cs="Arial"/>
        </w:rPr>
        <w:t xml:space="preserve"> del recurso </w:t>
      </w:r>
      <w:r w:rsidRPr="00F47E6A">
        <w:rPr>
          <w:rFonts w:ascii="Georgia" w:hAnsi="Georgia" w:cs="Arial"/>
        </w:rPr>
        <w:t xml:space="preserve">al considerar que </w:t>
      </w:r>
      <w:r w:rsidRPr="00F47E6A">
        <w:rPr>
          <w:rFonts w:ascii="Georgia" w:hAnsi="Georgia" w:cs="Arial"/>
          <w:i/>
          <w:sz w:val="22"/>
        </w:rPr>
        <w:t xml:space="preserve">“(…) los argumentos expuestos (…) se limitaron a exponer que no estaba de acuerdo con la decisión tomada por el a quo, realizando un recuento de lo acontecido </w:t>
      </w:r>
      <w:r w:rsidR="004B4B4E" w:rsidRPr="00F47E6A">
        <w:rPr>
          <w:rFonts w:ascii="Georgia" w:hAnsi="Georgia" w:cs="Arial"/>
          <w:i/>
          <w:sz w:val="22"/>
        </w:rPr>
        <w:t>en el proceso y de las consideraciones emanadas por el fallador, procediendo a controvertir las mismas. (…)”</w:t>
      </w:r>
      <w:r w:rsidR="004B4B4E" w:rsidRPr="00BF019B">
        <w:rPr>
          <w:rFonts w:ascii="Georgia" w:hAnsi="Georgia" w:cs="Arial"/>
          <w:sz w:val="22"/>
        </w:rPr>
        <w:t xml:space="preserve">, </w:t>
      </w:r>
      <w:r w:rsidR="004B4B4E" w:rsidRPr="00F47E6A">
        <w:rPr>
          <w:rFonts w:ascii="Georgia" w:hAnsi="Georgia" w:cs="Arial"/>
        </w:rPr>
        <w:t xml:space="preserve"> seguidamente, con apoyo en decisión del Magistrado Jaime Alberto Saraza Naranjo</w:t>
      </w:r>
      <w:r w:rsidR="004B4B4E" w:rsidRPr="00F47E6A">
        <w:rPr>
          <w:rStyle w:val="Appelnotedebasdep"/>
          <w:rFonts w:ascii="Georgia" w:hAnsi="Georgia"/>
        </w:rPr>
        <w:footnoteReference w:id="15"/>
      </w:r>
      <w:r w:rsidR="004B4B4E" w:rsidRPr="00F47E6A">
        <w:rPr>
          <w:rFonts w:ascii="Georgia" w:hAnsi="Georgia" w:cs="Arial"/>
        </w:rPr>
        <w:t>, señaló q</w:t>
      </w:r>
      <w:r w:rsidR="004B4B4E" w:rsidRPr="00BF019B">
        <w:rPr>
          <w:rFonts w:ascii="Georgia" w:hAnsi="Georgia" w:cs="Arial"/>
        </w:rPr>
        <w:t xml:space="preserve">ue no </w:t>
      </w:r>
      <w:r w:rsidR="00103E82">
        <w:rPr>
          <w:rFonts w:ascii="Georgia" w:hAnsi="Georgia" w:cs="Arial"/>
        </w:rPr>
        <w:t xml:space="preserve">hubo </w:t>
      </w:r>
      <w:r w:rsidR="004B4B4E" w:rsidRPr="00BF019B">
        <w:rPr>
          <w:rFonts w:ascii="Georgia" w:hAnsi="Georgia" w:cs="Arial"/>
        </w:rPr>
        <w:t xml:space="preserve">reparos concretos porque se dejó de mencionar el numeral de la decisión que se cuestionaba (Folios 33 vuelto y 34, ib.).    </w:t>
      </w:r>
    </w:p>
    <w:p w:rsidR="005B6C72" w:rsidRPr="00BF019B" w:rsidRDefault="005B6C72" w:rsidP="009A3F45">
      <w:pPr>
        <w:widowControl/>
        <w:spacing w:line="360" w:lineRule="auto"/>
        <w:jc w:val="both"/>
        <w:rPr>
          <w:rFonts w:ascii="Georgia" w:hAnsi="Georgia" w:cs="Arial"/>
        </w:rPr>
      </w:pPr>
      <w:r w:rsidRPr="00BF019B">
        <w:rPr>
          <w:rFonts w:ascii="Georgia" w:hAnsi="Georgia" w:cs="Arial"/>
        </w:rPr>
        <w:t xml:space="preserve"> </w:t>
      </w:r>
    </w:p>
    <w:p w:rsidR="004B4B4E" w:rsidRPr="000D60C7" w:rsidRDefault="004B4B4E" w:rsidP="009A3F45">
      <w:pPr>
        <w:widowControl/>
        <w:spacing w:line="360" w:lineRule="auto"/>
        <w:jc w:val="both"/>
        <w:rPr>
          <w:rFonts w:ascii="Georgia" w:hAnsi="Georgia" w:cs="Arial"/>
        </w:rPr>
      </w:pPr>
      <w:r w:rsidRPr="000D60C7">
        <w:rPr>
          <w:rFonts w:ascii="Georgia" w:hAnsi="Georgia" w:cs="Arial"/>
        </w:rPr>
        <w:t>Recurrido en reposición se mantuvo incólume con decisión del 16-03-2017</w:t>
      </w:r>
      <w:r w:rsidR="00103E82">
        <w:rPr>
          <w:rFonts w:ascii="Georgia" w:hAnsi="Georgia" w:cs="Arial"/>
        </w:rPr>
        <w:t>,</w:t>
      </w:r>
      <w:r w:rsidRPr="000D60C7">
        <w:rPr>
          <w:rFonts w:ascii="Georgia" w:hAnsi="Georgia" w:cs="Arial"/>
        </w:rPr>
        <w:t xml:space="preserve"> en la que se expuso que</w:t>
      </w:r>
      <w:r w:rsidR="00103E82">
        <w:rPr>
          <w:rFonts w:ascii="Georgia" w:hAnsi="Georgia" w:cs="Arial"/>
        </w:rPr>
        <w:t>:</w:t>
      </w:r>
      <w:r w:rsidRPr="000D60C7">
        <w:rPr>
          <w:rFonts w:ascii="Georgia" w:hAnsi="Georgia" w:cs="Arial"/>
        </w:rPr>
        <w:t xml:space="preserve"> </w:t>
      </w:r>
      <w:r w:rsidRPr="000D60C7">
        <w:rPr>
          <w:rFonts w:ascii="Georgia" w:hAnsi="Georgia" w:cs="Arial"/>
          <w:i/>
          <w:sz w:val="22"/>
        </w:rPr>
        <w:t>“(…</w:t>
      </w:r>
      <w:r w:rsidR="00BF019B" w:rsidRPr="000D60C7">
        <w:rPr>
          <w:rFonts w:ascii="Georgia" w:hAnsi="Georgia" w:cs="Arial"/>
          <w:i/>
          <w:sz w:val="22"/>
        </w:rPr>
        <w:t>) e</w:t>
      </w:r>
      <w:r w:rsidRPr="000D60C7">
        <w:rPr>
          <w:rFonts w:ascii="Georgia" w:hAnsi="Georgia" w:cs="Arial"/>
          <w:i/>
          <w:sz w:val="22"/>
        </w:rPr>
        <w:t>l apoderado se adelantó a los acontecimientos, sustentando el recurso, centrándose en la parte motiva de la providencia y omitiendo exponer los reparos concretos a la DECISIÓN</w:t>
      </w:r>
      <w:r w:rsidR="00BF019B" w:rsidRPr="000D60C7">
        <w:rPr>
          <w:rFonts w:ascii="Georgia" w:hAnsi="Georgia" w:cs="Arial"/>
          <w:i/>
          <w:sz w:val="22"/>
        </w:rPr>
        <w:t xml:space="preserve"> (…)</w:t>
      </w:r>
      <w:r w:rsidR="00BF019B" w:rsidRPr="000D60C7">
        <w:rPr>
          <w:rFonts w:ascii="Georgia" w:hAnsi="Georgia" w:cs="Arial"/>
          <w:i/>
          <w:sz w:val="22"/>
          <w:lang w:val="es-CO"/>
        </w:rPr>
        <w:t>”</w:t>
      </w:r>
      <w:r w:rsidR="00BF019B" w:rsidRPr="000D60C7">
        <w:rPr>
          <w:rFonts w:ascii="Georgia" w:hAnsi="Georgia" w:cs="Arial"/>
          <w:sz w:val="22"/>
          <w:lang w:val="es-CO"/>
        </w:rPr>
        <w:t xml:space="preserve"> </w:t>
      </w:r>
      <w:r w:rsidR="00BF019B" w:rsidRPr="000D60C7">
        <w:rPr>
          <w:rFonts w:ascii="Georgia" w:hAnsi="Georgia" w:cs="Arial"/>
          <w:lang w:val="es-CO"/>
        </w:rPr>
        <w:t>(Folios 40 vuelto a 42, ib.)</w:t>
      </w:r>
      <w:r w:rsidR="000D60C7">
        <w:rPr>
          <w:rFonts w:ascii="Georgia" w:hAnsi="Georgia" w:cs="Arial"/>
          <w:lang w:val="es-CO"/>
        </w:rPr>
        <w:t>.</w:t>
      </w:r>
    </w:p>
    <w:p w:rsidR="00BF019B" w:rsidRDefault="00BF019B" w:rsidP="00BD3036">
      <w:pPr>
        <w:spacing w:line="360" w:lineRule="auto"/>
        <w:jc w:val="both"/>
        <w:rPr>
          <w:rFonts w:ascii="Georgia" w:hAnsi="Georgia" w:cs="Arial"/>
          <w:bCs/>
          <w:lang w:val="es-ES_tradnl"/>
        </w:rPr>
      </w:pPr>
    </w:p>
    <w:p w:rsidR="00BD3036" w:rsidRPr="00103E82" w:rsidRDefault="00BD3036" w:rsidP="00103E82">
      <w:pPr>
        <w:spacing w:line="360" w:lineRule="auto"/>
        <w:jc w:val="both"/>
        <w:rPr>
          <w:rFonts w:ascii="Georgia" w:hAnsi="Georgia" w:cs="Arial"/>
          <w:b/>
          <w:bCs/>
          <w:lang w:val="es-CO"/>
        </w:rPr>
      </w:pPr>
      <w:r w:rsidRPr="005B6C72">
        <w:rPr>
          <w:rFonts w:ascii="Georgia" w:hAnsi="Georgia" w:cs="Arial"/>
          <w:bCs/>
          <w:lang w:val="es-ES_tradnl"/>
        </w:rPr>
        <w:t xml:space="preserve">El artículo 322 numeral 3º incisos 2º y </w:t>
      </w:r>
      <w:proofErr w:type="spellStart"/>
      <w:r w:rsidRPr="005B6C72">
        <w:rPr>
          <w:rFonts w:ascii="Georgia" w:hAnsi="Georgia" w:cs="Arial"/>
          <w:bCs/>
          <w:lang w:val="es-ES_tradnl"/>
        </w:rPr>
        <w:t>ss</w:t>
      </w:r>
      <w:proofErr w:type="spellEnd"/>
      <w:r w:rsidRPr="005B6C72">
        <w:rPr>
          <w:rFonts w:ascii="Georgia" w:hAnsi="Georgia" w:cs="Arial"/>
          <w:bCs/>
          <w:lang w:val="es-ES_tradnl"/>
        </w:rPr>
        <w:t xml:space="preserve">, </w:t>
      </w:r>
      <w:proofErr w:type="spellStart"/>
      <w:r w:rsidRPr="005B6C72">
        <w:rPr>
          <w:rFonts w:ascii="Georgia" w:hAnsi="Georgia" w:cs="Arial"/>
          <w:bCs/>
          <w:lang w:val="es-ES_tradnl"/>
        </w:rPr>
        <w:t>CGP</w:t>
      </w:r>
      <w:proofErr w:type="spellEnd"/>
      <w:r w:rsidRPr="005B6C72">
        <w:rPr>
          <w:rFonts w:ascii="Georgia" w:hAnsi="Georgia" w:cs="Arial"/>
          <w:bCs/>
          <w:lang w:val="es-ES_tradnl"/>
        </w:rPr>
        <w:t xml:space="preserve"> </w:t>
      </w:r>
      <w:r w:rsidR="00DF4267" w:rsidRPr="005B6C72">
        <w:rPr>
          <w:rFonts w:ascii="Georgia" w:hAnsi="Georgia" w:cs="Arial"/>
          <w:bCs/>
          <w:lang w:val="es-ES_tradnl"/>
        </w:rPr>
        <w:t>establece que</w:t>
      </w:r>
      <w:r w:rsidRPr="005B6C72">
        <w:rPr>
          <w:rFonts w:ascii="Georgia" w:hAnsi="Georgia" w:cs="Arial"/>
          <w:bCs/>
          <w:lang w:val="es-ES_tradnl"/>
        </w:rPr>
        <w:t>:</w:t>
      </w:r>
      <w:r w:rsidR="00DF4267" w:rsidRPr="005B6C72">
        <w:rPr>
          <w:rFonts w:ascii="Georgia" w:hAnsi="Georgia" w:cs="Arial"/>
          <w:bCs/>
          <w:lang w:val="es-ES_tradnl"/>
        </w:rPr>
        <w:t xml:space="preserve"> </w:t>
      </w:r>
      <w:r w:rsidR="00103E82" w:rsidRPr="00103E82">
        <w:rPr>
          <w:rFonts w:ascii="Georgia" w:hAnsi="Georgia" w:cs="Arial"/>
          <w:bCs/>
          <w:i/>
          <w:sz w:val="22"/>
          <w:lang w:val="es-ES_tradnl"/>
        </w:rPr>
        <w:t>“(</w:t>
      </w:r>
      <w:r w:rsidR="00DF4267" w:rsidRPr="00103E82">
        <w:rPr>
          <w:rFonts w:ascii="Georgia" w:hAnsi="Georgia" w:cs="Arial"/>
          <w:bCs/>
          <w:i/>
          <w:sz w:val="22"/>
          <w:lang w:val="es-ES_tradnl"/>
        </w:rPr>
        <w:t>…</w:t>
      </w:r>
      <w:r w:rsidR="00103E82" w:rsidRPr="00103E82">
        <w:rPr>
          <w:rFonts w:ascii="Georgia" w:hAnsi="Georgia" w:cs="Arial"/>
          <w:bCs/>
          <w:i/>
          <w:sz w:val="22"/>
          <w:lang w:val="es-ES_tradnl"/>
        </w:rPr>
        <w:t>)</w:t>
      </w:r>
      <w:r w:rsidR="00DF4267" w:rsidRPr="00103E82">
        <w:rPr>
          <w:rFonts w:ascii="Georgia" w:hAnsi="Georgia" w:cs="Arial"/>
          <w:bCs/>
          <w:i/>
          <w:sz w:val="22"/>
          <w:lang w:val="es-ES_tradnl"/>
        </w:rPr>
        <w:t xml:space="preserve"> </w:t>
      </w:r>
      <w:r w:rsidRPr="00103E82">
        <w:rPr>
          <w:rFonts w:ascii="Georgia" w:hAnsi="Georgia" w:cs="Arial"/>
          <w:bCs/>
          <w:i/>
          <w:sz w:val="22"/>
          <w:lang w:val="es-ES_tradnl"/>
        </w:rPr>
        <w:t xml:space="preserve">Cuando se apele una sentencia, el apelante, al momento de interponer el recurso en la audiencia, si hubiere sido proferida en ella, o dentro de los tres (3) días siguientes a su finalización o a la notificación de la que hubiere sido dictada por fuera de audiencia, </w:t>
      </w:r>
      <w:r w:rsidRPr="00103E82">
        <w:rPr>
          <w:rFonts w:ascii="Georgia" w:hAnsi="Georgia" w:cs="Arial"/>
          <w:bCs/>
          <w:i/>
          <w:sz w:val="22"/>
          <w:u w:val="single"/>
          <w:lang w:val="es-ES_tradnl"/>
        </w:rPr>
        <w:t>deberá precisar, de manera breve, los reparos concretos que le hace a la decisión, sobre los cuales versará la sustentación que hará ante el superior</w:t>
      </w:r>
      <w:r w:rsidR="00103E82" w:rsidRPr="00103E82">
        <w:rPr>
          <w:rFonts w:ascii="Georgia" w:hAnsi="Georgia" w:cs="Arial"/>
          <w:bCs/>
          <w:i/>
          <w:sz w:val="22"/>
          <w:lang w:val="es-ES_tradnl"/>
        </w:rPr>
        <w:t xml:space="preserve"> (…)</w:t>
      </w:r>
      <w:r w:rsidR="00103E82">
        <w:rPr>
          <w:rFonts w:ascii="Georgia" w:hAnsi="Georgia" w:cs="Arial"/>
          <w:bCs/>
          <w:i/>
          <w:sz w:val="22"/>
          <w:lang w:val="es-ES_tradnl"/>
        </w:rPr>
        <w:t xml:space="preserve">” </w:t>
      </w:r>
      <w:r w:rsidR="00103E82" w:rsidRPr="00103E82">
        <w:rPr>
          <w:rFonts w:ascii="Georgia" w:hAnsi="Georgia" w:cs="Arial"/>
          <w:bCs/>
          <w:i/>
          <w:lang w:val="es-ES_tradnl"/>
        </w:rPr>
        <w:t>(</w:t>
      </w:r>
      <w:proofErr w:type="spellStart"/>
      <w:r w:rsidR="00103E82" w:rsidRPr="00103E82">
        <w:rPr>
          <w:rFonts w:ascii="Georgia" w:hAnsi="Georgia" w:cs="Arial"/>
          <w:bCs/>
          <w:i/>
          <w:lang w:val="es-ES_tradnl"/>
        </w:rPr>
        <w:t>Subl</w:t>
      </w:r>
      <w:r w:rsidR="00103E82" w:rsidRPr="00103E82">
        <w:rPr>
          <w:rFonts w:ascii="Georgia" w:hAnsi="Georgia" w:cs="Arial"/>
          <w:bCs/>
          <w:i/>
          <w:lang w:val="es-CO"/>
        </w:rPr>
        <w:t>ínea</w:t>
      </w:r>
      <w:proofErr w:type="spellEnd"/>
      <w:r w:rsidR="00103E82" w:rsidRPr="00103E82">
        <w:rPr>
          <w:rFonts w:ascii="Georgia" w:hAnsi="Georgia" w:cs="Arial"/>
          <w:bCs/>
          <w:i/>
          <w:lang w:val="es-CO"/>
        </w:rPr>
        <w:t xml:space="preserve"> </w:t>
      </w:r>
      <w:proofErr w:type="spellStart"/>
      <w:r w:rsidR="00103E82" w:rsidRPr="00103E82">
        <w:rPr>
          <w:rFonts w:ascii="Georgia" w:hAnsi="Georgia" w:cs="Arial"/>
          <w:bCs/>
          <w:i/>
          <w:lang w:val="es-CO"/>
        </w:rPr>
        <w:t>extratextual</w:t>
      </w:r>
      <w:proofErr w:type="spellEnd"/>
      <w:r w:rsidR="00103E82" w:rsidRPr="00103E82">
        <w:rPr>
          <w:rFonts w:ascii="Georgia" w:hAnsi="Georgia" w:cs="Arial"/>
          <w:bCs/>
          <w:i/>
          <w:lang w:val="es-CO"/>
        </w:rPr>
        <w:t>).</w:t>
      </w:r>
    </w:p>
    <w:p w:rsidR="00BD3036" w:rsidRPr="005B6C72" w:rsidRDefault="00BD3036" w:rsidP="00DF4267">
      <w:pPr>
        <w:ind w:left="567" w:right="618"/>
        <w:jc w:val="both"/>
        <w:rPr>
          <w:rFonts w:ascii="Georgia" w:hAnsi="Georgia" w:cs="Arial"/>
          <w:b/>
          <w:bCs/>
          <w:lang w:val="es-ES_tradnl"/>
        </w:rPr>
      </w:pPr>
    </w:p>
    <w:p w:rsidR="00BF019B" w:rsidRPr="00BF019B" w:rsidRDefault="00BF019B" w:rsidP="0043239D">
      <w:pPr>
        <w:spacing w:line="360" w:lineRule="auto"/>
        <w:jc w:val="both"/>
        <w:rPr>
          <w:rFonts w:ascii="Georgia" w:hAnsi="Georgia" w:cs="Arial"/>
          <w:sz w:val="14"/>
        </w:rPr>
      </w:pPr>
    </w:p>
    <w:p w:rsidR="0043239D" w:rsidRPr="005B6C72" w:rsidRDefault="0043239D" w:rsidP="0043239D">
      <w:pPr>
        <w:spacing w:line="360" w:lineRule="auto"/>
        <w:jc w:val="both"/>
        <w:rPr>
          <w:rFonts w:ascii="Georgia" w:hAnsi="Georgia" w:cs="Arial"/>
        </w:rPr>
      </w:pPr>
      <w:r w:rsidRPr="005B6C72">
        <w:rPr>
          <w:rFonts w:ascii="Georgia" w:hAnsi="Georgia" w:cs="Arial"/>
        </w:rPr>
        <w:t>Acorde con lo anterior, fácil se concluye que ese estatuto procesal consagró una nueva forma de sustentar el recurso porque hay dos estadios diferenciados para ese efecto</w:t>
      </w:r>
      <w:r w:rsidRPr="005B6C72">
        <w:rPr>
          <w:rStyle w:val="Appelnotedebasdep"/>
          <w:rFonts w:ascii="Georgia" w:hAnsi="Georgia"/>
        </w:rPr>
        <w:footnoteReference w:id="16"/>
      </w:r>
      <w:r w:rsidRPr="005B6C72">
        <w:rPr>
          <w:rFonts w:ascii="Georgia" w:hAnsi="Georgia" w:cs="Arial"/>
          <w:vertAlign w:val="superscript"/>
        </w:rPr>
        <w:t>-</w:t>
      </w:r>
      <w:r w:rsidRPr="005B6C72">
        <w:rPr>
          <w:rStyle w:val="Appelnotedebasdep"/>
          <w:rFonts w:ascii="Georgia" w:hAnsi="Georgia"/>
        </w:rPr>
        <w:footnoteReference w:id="17"/>
      </w:r>
      <w:r w:rsidRPr="005B6C72">
        <w:rPr>
          <w:rFonts w:ascii="Georgia" w:hAnsi="Georgia" w:cs="Arial"/>
          <w:vertAlign w:val="superscript"/>
        </w:rPr>
        <w:t>-</w:t>
      </w:r>
      <w:r w:rsidRPr="005B6C72">
        <w:rPr>
          <w:rStyle w:val="Appelnotedebasdep"/>
          <w:rFonts w:ascii="Georgia" w:hAnsi="Georgia"/>
        </w:rPr>
        <w:footnoteReference w:id="18"/>
      </w:r>
      <w:r w:rsidRPr="005B6C72">
        <w:rPr>
          <w:rFonts w:ascii="Georgia" w:hAnsi="Georgia" w:cs="Arial"/>
        </w:rPr>
        <w:t xml:space="preserve">, el primero ante el juez de primer grado, pues allí comienza el ejercicio señalándole </w:t>
      </w:r>
      <w:r w:rsidRPr="005B6C72">
        <w:rPr>
          <w:rFonts w:ascii="Georgia" w:hAnsi="Georgia" w:cs="Arial"/>
          <w:u w:val="single"/>
        </w:rPr>
        <w:t>los reparos concretos que la parte tiene contra lo resuelto</w:t>
      </w:r>
      <w:r w:rsidRPr="005B6C72">
        <w:rPr>
          <w:rFonts w:ascii="Georgia" w:hAnsi="Georgia" w:cs="Arial"/>
        </w:rPr>
        <w:t>; y, el segundo ante el superior, dentro de la audiencia que se programe para sustentar. En este punto, resulta útil recordar, lo dicho frente al tema por el profesor Rojas Gómez</w:t>
      </w:r>
      <w:r w:rsidRPr="005B6C72">
        <w:rPr>
          <w:rStyle w:val="Appelnotedebasdep"/>
          <w:rFonts w:ascii="Georgia" w:hAnsi="Georgia" w:cs="Arial"/>
        </w:rPr>
        <w:footnoteReference w:id="19"/>
      </w:r>
      <w:r w:rsidRPr="005B6C72">
        <w:rPr>
          <w:rFonts w:ascii="Georgia" w:hAnsi="Georgia" w:cs="Arial"/>
        </w:rPr>
        <w:t xml:space="preserve">: </w:t>
      </w:r>
    </w:p>
    <w:p w:rsidR="0043239D" w:rsidRPr="005B6C72" w:rsidRDefault="0043239D" w:rsidP="0043239D">
      <w:pPr>
        <w:pStyle w:val="Sansinterligne"/>
        <w:spacing w:line="360" w:lineRule="auto"/>
        <w:jc w:val="both"/>
        <w:rPr>
          <w:rFonts w:ascii="Georgia" w:hAnsi="Georgia" w:cs="Arial"/>
        </w:rPr>
      </w:pPr>
    </w:p>
    <w:p w:rsidR="0043239D" w:rsidRPr="005B6C72" w:rsidRDefault="0043239D" w:rsidP="0043239D">
      <w:pPr>
        <w:pStyle w:val="Sansinterligne"/>
        <w:ind w:left="567" w:right="567"/>
        <w:jc w:val="both"/>
        <w:rPr>
          <w:rFonts w:ascii="Georgia" w:hAnsi="Georgia" w:cs="Arial"/>
        </w:rPr>
      </w:pPr>
      <w:r w:rsidRPr="005B6C72">
        <w:rPr>
          <w:rFonts w:ascii="Georgia" w:hAnsi="Georgia" w:cs="Arial"/>
        </w:rPr>
        <w:lastRenderedPageBreak/>
        <w:t xml:space="preserve">Cuando se trate de </w:t>
      </w:r>
      <w:r w:rsidRPr="005B6C72">
        <w:rPr>
          <w:rFonts w:ascii="Georgia" w:hAnsi="Georgia" w:cs="Arial"/>
          <w:u w:val="single"/>
        </w:rPr>
        <w:t>apelación de la sentencia la sustentación</w:t>
      </w:r>
      <w:r w:rsidRPr="005B6C72">
        <w:rPr>
          <w:rFonts w:ascii="Georgia" w:hAnsi="Georgia" w:cs="Arial"/>
        </w:rPr>
        <w:t xml:space="preserve"> se debe realizar mediante </w:t>
      </w:r>
      <w:r w:rsidRPr="005B6C72">
        <w:rPr>
          <w:rFonts w:ascii="Georgia" w:hAnsi="Georgia" w:cs="Arial"/>
          <w:u w:val="single"/>
        </w:rPr>
        <w:t>dos actos en momentos distintos</w:t>
      </w:r>
      <w:r w:rsidRPr="005B6C72">
        <w:rPr>
          <w:rFonts w:ascii="Georgia" w:hAnsi="Georgia" w:cs="Arial"/>
        </w:rPr>
        <w:t>, así:</w:t>
      </w:r>
    </w:p>
    <w:p w:rsidR="0043239D" w:rsidRPr="005B6C72" w:rsidRDefault="0043239D" w:rsidP="0043239D">
      <w:pPr>
        <w:pStyle w:val="Sansinterligne"/>
        <w:ind w:left="567" w:right="567"/>
        <w:jc w:val="both"/>
        <w:rPr>
          <w:rFonts w:ascii="Georgia" w:hAnsi="Georgia" w:cs="Arial"/>
        </w:rPr>
      </w:pPr>
    </w:p>
    <w:p w:rsidR="0043239D" w:rsidRPr="005B6C72" w:rsidRDefault="0043239D" w:rsidP="0043239D">
      <w:pPr>
        <w:pStyle w:val="Sansinterligne"/>
        <w:numPr>
          <w:ilvl w:val="0"/>
          <w:numId w:val="33"/>
        </w:numPr>
        <w:ind w:right="567"/>
        <w:jc w:val="both"/>
        <w:rPr>
          <w:rFonts w:ascii="Georgia" w:hAnsi="Georgia" w:cs="Arial"/>
        </w:rPr>
      </w:pPr>
      <w:r w:rsidRPr="005B6C72">
        <w:rPr>
          <w:rFonts w:ascii="Georgia" w:hAnsi="Georgia" w:cs="Arial"/>
        </w:rPr>
        <w:t xml:space="preserve"> La precisión breve de </w:t>
      </w:r>
      <w:r w:rsidRPr="005B6C72">
        <w:rPr>
          <w:rFonts w:ascii="Georgia" w:hAnsi="Georgia" w:cs="Arial"/>
          <w:u w:val="single"/>
        </w:rPr>
        <w:t>los reparos</w:t>
      </w:r>
      <w:r w:rsidRPr="005B6C72">
        <w:rPr>
          <w:rFonts w:ascii="Georgia" w:hAnsi="Georgia" w:cs="Arial"/>
        </w:rPr>
        <w:t xml:space="preserve"> contra el fallo. Se trata de enunciar ante el juez de primera instancia las razones por las que se cuestiona la providencia. De ser pronunciada en audiencia, los reparos pueden hacerse allí mismo en el momento de interponer el recurso, o por escrito presentado dentro de los tres día (Sic) siguientes. Pero sí la sentencia se profiere fuera de audiencia, aquellos tienen que formularse por escrito dentro del mismo plazo (CGP, art. 321-2).</w:t>
      </w:r>
    </w:p>
    <w:p w:rsidR="0043239D" w:rsidRPr="00EC27FC" w:rsidRDefault="0043239D" w:rsidP="0043239D">
      <w:pPr>
        <w:pStyle w:val="Sansinterligne"/>
        <w:ind w:left="927" w:right="567"/>
        <w:jc w:val="both"/>
        <w:rPr>
          <w:rFonts w:ascii="Georgia" w:hAnsi="Georgia" w:cs="Arial"/>
          <w:sz w:val="10"/>
          <w:szCs w:val="10"/>
        </w:rPr>
      </w:pPr>
    </w:p>
    <w:p w:rsidR="0043239D" w:rsidRPr="005B6C72" w:rsidRDefault="0043239D" w:rsidP="0043239D">
      <w:pPr>
        <w:pStyle w:val="Sansinterligne"/>
        <w:ind w:left="567" w:right="567"/>
        <w:jc w:val="both"/>
        <w:rPr>
          <w:rFonts w:ascii="Georgia" w:hAnsi="Georgia" w:cs="Arial"/>
        </w:rPr>
      </w:pPr>
      <w:r w:rsidRPr="005B6C72">
        <w:rPr>
          <w:rFonts w:ascii="Georgia" w:hAnsi="Georgia" w:cs="Arial"/>
        </w:rPr>
        <w:t>…</w:t>
      </w:r>
    </w:p>
    <w:p w:rsidR="0043239D" w:rsidRPr="00EC27FC" w:rsidRDefault="0043239D" w:rsidP="0043239D">
      <w:pPr>
        <w:pStyle w:val="Sansinterligne"/>
        <w:ind w:left="567" w:right="567"/>
        <w:jc w:val="both"/>
        <w:rPr>
          <w:rFonts w:ascii="Georgia" w:hAnsi="Georgia" w:cs="Arial"/>
          <w:sz w:val="10"/>
          <w:szCs w:val="10"/>
        </w:rPr>
      </w:pPr>
    </w:p>
    <w:p w:rsidR="0043239D" w:rsidRDefault="0043239D" w:rsidP="0043239D">
      <w:pPr>
        <w:pStyle w:val="Sansinterligne"/>
        <w:ind w:left="567" w:right="567"/>
        <w:jc w:val="both"/>
        <w:rPr>
          <w:rFonts w:ascii="Georgia" w:hAnsi="Georgia" w:cs="Arial"/>
        </w:rPr>
      </w:pPr>
      <w:r w:rsidRPr="005B6C72">
        <w:rPr>
          <w:rFonts w:ascii="Georgia" w:hAnsi="Georgia" w:cs="Arial"/>
        </w:rPr>
        <w:t xml:space="preserve">Omitir cualquiera de los dos actos que integran la sustentación de la apelación interpuesta contra la sentencia obliga al juez a declarar desierto el recurso. Si lo que se omite es el primer acto, la </w:t>
      </w:r>
      <w:r w:rsidRPr="005B6C72">
        <w:rPr>
          <w:rFonts w:ascii="Georgia" w:hAnsi="Georgia" w:cs="Arial"/>
          <w:u w:val="single"/>
        </w:rPr>
        <w:t>deserción</w:t>
      </w:r>
      <w:r w:rsidRPr="005B6C72">
        <w:rPr>
          <w:rFonts w:ascii="Georgia" w:hAnsi="Georgia" w:cs="Arial"/>
        </w:rPr>
        <w:t xml:space="preserve"> debe ser declarada por el juez de primera instancia; de omitirse el segundo, corresponde al superior declararla (CGP, art.322-4). (</w:t>
      </w:r>
      <w:proofErr w:type="spellStart"/>
      <w:r w:rsidRPr="005B6C72">
        <w:rPr>
          <w:rFonts w:ascii="Georgia" w:hAnsi="Georgia" w:cs="Arial"/>
        </w:rPr>
        <w:t>Sublínea</w:t>
      </w:r>
      <w:proofErr w:type="spellEnd"/>
      <w:r w:rsidRPr="005B6C72">
        <w:rPr>
          <w:rFonts w:ascii="Georgia" w:hAnsi="Georgia" w:cs="Arial"/>
        </w:rPr>
        <w:t xml:space="preserve"> fuera de texto).</w:t>
      </w:r>
    </w:p>
    <w:p w:rsidR="00EC27FC" w:rsidRPr="005B6C72" w:rsidRDefault="00EC27FC" w:rsidP="00EC27FC">
      <w:pPr>
        <w:pStyle w:val="Sansinterligne"/>
        <w:spacing w:line="360" w:lineRule="auto"/>
        <w:ind w:left="567" w:right="567"/>
        <w:jc w:val="both"/>
        <w:rPr>
          <w:rFonts w:ascii="Georgia" w:hAnsi="Georgia" w:cs="Arial"/>
        </w:rPr>
      </w:pPr>
    </w:p>
    <w:p w:rsidR="0043239D" w:rsidRPr="005B6C72" w:rsidRDefault="0043239D" w:rsidP="00BB45EC">
      <w:pPr>
        <w:spacing w:line="360" w:lineRule="auto"/>
        <w:jc w:val="both"/>
        <w:rPr>
          <w:rFonts w:ascii="Georgia" w:hAnsi="Georgia" w:cs="Arial"/>
          <w:bCs/>
          <w:lang w:val="es-CO"/>
        </w:rPr>
      </w:pPr>
      <w:r w:rsidRPr="005B6C72">
        <w:rPr>
          <w:rFonts w:ascii="Georgia" w:hAnsi="Georgia" w:cs="Arial"/>
          <w:bCs/>
          <w:lang w:val="es-CO"/>
        </w:rPr>
        <w:t>La CSJ</w:t>
      </w:r>
      <w:r w:rsidRPr="005B6C72">
        <w:rPr>
          <w:rStyle w:val="Appelnotedebasdep"/>
          <w:rFonts w:ascii="Georgia" w:hAnsi="Georgia"/>
          <w:bCs/>
          <w:lang w:val="es-CO"/>
        </w:rPr>
        <w:footnoteReference w:id="20"/>
      </w:r>
      <w:r w:rsidR="00103E82">
        <w:rPr>
          <w:rFonts w:ascii="Georgia" w:hAnsi="Georgia" w:cs="Arial"/>
          <w:bCs/>
          <w:lang w:val="es-CO"/>
        </w:rPr>
        <w:t>,</w:t>
      </w:r>
      <w:r w:rsidRPr="005B6C72">
        <w:rPr>
          <w:rFonts w:ascii="Georgia" w:hAnsi="Georgia" w:cs="Arial"/>
          <w:bCs/>
          <w:lang w:val="es-CO"/>
        </w:rPr>
        <w:t xml:space="preserve"> en sede de tutela</w:t>
      </w:r>
      <w:r w:rsidR="00103E82">
        <w:rPr>
          <w:rFonts w:ascii="Georgia" w:hAnsi="Georgia" w:cs="Arial"/>
          <w:bCs/>
          <w:lang w:val="es-CO"/>
        </w:rPr>
        <w:t>,</w:t>
      </w:r>
      <w:r w:rsidRPr="005B6C72">
        <w:rPr>
          <w:rFonts w:ascii="Georgia" w:hAnsi="Georgia" w:cs="Arial"/>
          <w:bCs/>
          <w:lang w:val="es-CO"/>
        </w:rPr>
        <w:t xml:space="preserve"> y en reiteradas ocasiones, con relación al ejercicio de la formulación de los reparos concretos frente a una sentencia</w:t>
      </w:r>
      <w:r w:rsidR="00BF019B">
        <w:rPr>
          <w:rFonts w:ascii="Georgia" w:hAnsi="Georgia" w:cs="Arial"/>
          <w:bCs/>
          <w:lang w:val="es-CO"/>
        </w:rPr>
        <w:t>,</w:t>
      </w:r>
      <w:r w:rsidRPr="005B6C72">
        <w:rPr>
          <w:rFonts w:ascii="Georgia" w:hAnsi="Georgia" w:cs="Arial"/>
          <w:bCs/>
          <w:lang w:val="es-CO"/>
        </w:rPr>
        <w:t xml:space="preserve"> </w:t>
      </w:r>
      <w:r w:rsidR="00150C84">
        <w:rPr>
          <w:rFonts w:ascii="Georgia" w:hAnsi="Georgia" w:cs="Arial"/>
          <w:bCs/>
          <w:lang w:val="es-CO"/>
        </w:rPr>
        <w:t>señaló</w:t>
      </w:r>
      <w:r w:rsidRPr="005B6C72">
        <w:rPr>
          <w:rFonts w:ascii="Georgia" w:hAnsi="Georgia" w:cs="Arial"/>
          <w:bCs/>
          <w:lang w:val="es-CO"/>
        </w:rPr>
        <w:t xml:space="preserve">: </w:t>
      </w:r>
    </w:p>
    <w:p w:rsidR="0043239D" w:rsidRPr="00EC27FC" w:rsidRDefault="0043239D" w:rsidP="00BB45EC">
      <w:pPr>
        <w:spacing w:line="360" w:lineRule="auto"/>
        <w:jc w:val="both"/>
        <w:rPr>
          <w:rFonts w:ascii="Georgia" w:hAnsi="Georgia" w:cs="Arial"/>
          <w:b/>
          <w:bCs/>
          <w:sz w:val="10"/>
          <w:szCs w:val="10"/>
          <w:lang w:val="es-CO"/>
        </w:rPr>
      </w:pPr>
    </w:p>
    <w:p w:rsidR="0043239D" w:rsidRPr="005B6C72" w:rsidRDefault="0043239D" w:rsidP="0043239D">
      <w:pPr>
        <w:ind w:left="567" w:right="618"/>
        <w:jc w:val="both"/>
        <w:rPr>
          <w:rFonts w:ascii="Georgia" w:hAnsi="Georgia" w:cs="Arial"/>
          <w:bCs/>
          <w:i/>
          <w:lang w:val="es-ES_tradnl"/>
        </w:rPr>
      </w:pPr>
      <w:r w:rsidRPr="005B6C72">
        <w:rPr>
          <w:rFonts w:ascii="Georgia" w:hAnsi="Georgia" w:cs="Arial"/>
          <w:bCs/>
          <w:i/>
          <w:lang w:val="es-CO"/>
        </w:rPr>
        <w:t>…frente a la exigencia de «precisar de manera breve, los reparos concretos que le hace a la decisión, sobre los cuales versará la sustentación que hará ante el superior», prevista en el artículo 322 del C. G. del P., la Corte puntualizó que:</w:t>
      </w:r>
    </w:p>
    <w:p w:rsidR="0043239D" w:rsidRPr="00EC27FC" w:rsidRDefault="0043239D" w:rsidP="0043239D">
      <w:pPr>
        <w:ind w:left="567" w:right="618"/>
        <w:jc w:val="both"/>
        <w:rPr>
          <w:rFonts w:ascii="Georgia" w:hAnsi="Georgia" w:cs="Arial"/>
          <w:bCs/>
          <w:i/>
          <w:sz w:val="16"/>
          <w:szCs w:val="16"/>
          <w:lang w:val="es-ES_tradnl"/>
        </w:rPr>
      </w:pPr>
    </w:p>
    <w:p w:rsidR="0043239D" w:rsidRDefault="0043239D" w:rsidP="0043239D">
      <w:pPr>
        <w:ind w:left="567" w:right="618"/>
        <w:jc w:val="both"/>
        <w:rPr>
          <w:rFonts w:ascii="Georgia" w:hAnsi="Georgia" w:cs="Arial"/>
          <w:bCs/>
          <w:i/>
          <w:lang w:val="es-CO"/>
        </w:rPr>
      </w:pPr>
      <w:r w:rsidRPr="005B6C72">
        <w:rPr>
          <w:rFonts w:ascii="Georgia" w:hAnsi="Georgia" w:cs="Arial"/>
          <w:bCs/>
          <w:i/>
          <w:lang w:val="es-CO"/>
        </w:rPr>
        <w:t>[…] en relación con el primero de esos adjetivos, igualmente utilizado en el numeral 3º de la regla 374 del anterior plexo adjetivo, esto es, el Código de Procedimiento Civil, ha dicho que él mismo impone que esa manifestación sea ‘perceptible por la inteligencia sin duda ni confusión’, ‘exacta’ y ‘rigurosa’ (</w:t>
      </w:r>
      <w:proofErr w:type="spellStart"/>
      <w:r w:rsidRPr="005B6C72">
        <w:rPr>
          <w:rFonts w:ascii="Georgia" w:hAnsi="Georgia" w:cs="Arial"/>
          <w:bCs/>
          <w:i/>
          <w:lang w:val="es-CO"/>
        </w:rPr>
        <w:t>csj</w:t>
      </w:r>
      <w:proofErr w:type="spellEnd"/>
      <w:r w:rsidRPr="005B6C72">
        <w:rPr>
          <w:rFonts w:ascii="Georgia" w:hAnsi="Georgia" w:cs="Arial"/>
          <w:bCs/>
          <w:i/>
          <w:lang w:val="es-CO"/>
        </w:rPr>
        <w:t xml:space="preserve"> </w:t>
      </w:r>
      <w:proofErr w:type="spellStart"/>
      <w:r w:rsidRPr="005B6C72">
        <w:rPr>
          <w:rFonts w:ascii="Georgia" w:hAnsi="Georgia" w:cs="Arial"/>
          <w:bCs/>
          <w:i/>
          <w:lang w:val="es-CO"/>
        </w:rPr>
        <w:t>sc</w:t>
      </w:r>
      <w:proofErr w:type="spellEnd"/>
      <w:r w:rsidRPr="005B6C72">
        <w:rPr>
          <w:rFonts w:ascii="Georgia" w:hAnsi="Georgia" w:cs="Arial"/>
          <w:bCs/>
          <w:i/>
          <w:lang w:val="es-CO"/>
        </w:rPr>
        <w:t xml:space="preserve"> de 15 de septiembre de 1994). </w:t>
      </w:r>
    </w:p>
    <w:p w:rsidR="005B6C72" w:rsidRPr="00EC27FC" w:rsidRDefault="005B6C72" w:rsidP="00EC27FC">
      <w:pPr>
        <w:rPr>
          <w:sz w:val="16"/>
          <w:szCs w:val="16"/>
        </w:rPr>
      </w:pPr>
    </w:p>
    <w:p w:rsidR="0043239D" w:rsidRPr="005B6C72" w:rsidRDefault="0043239D" w:rsidP="0043239D">
      <w:pPr>
        <w:ind w:left="567" w:right="618"/>
        <w:jc w:val="both"/>
        <w:rPr>
          <w:rFonts w:ascii="Georgia" w:hAnsi="Georgia" w:cs="Arial"/>
          <w:bCs/>
          <w:i/>
          <w:lang w:val="es-CO"/>
        </w:rPr>
      </w:pPr>
      <w:r w:rsidRPr="005B6C72">
        <w:rPr>
          <w:rFonts w:ascii="Georgia" w:hAnsi="Georgia" w:cs="Arial"/>
          <w:bCs/>
          <w:i/>
          <w:lang w:val="es-CO"/>
        </w:rPr>
        <w:t>Ahora, para el Diccionario de la Real Academia de la Lengua, ‘concreto’ es, entre otras acepciones, lo ‘preciso, determinado, sin vaguedad’, que se opone a ‘lo abstracto y general’.</w:t>
      </w:r>
    </w:p>
    <w:p w:rsidR="0043239D" w:rsidRPr="00EC27FC" w:rsidRDefault="0043239D" w:rsidP="0043239D">
      <w:pPr>
        <w:ind w:left="567" w:right="618"/>
        <w:jc w:val="both"/>
        <w:rPr>
          <w:rFonts w:ascii="Georgia" w:hAnsi="Georgia" w:cs="Arial"/>
          <w:bCs/>
          <w:i/>
          <w:sz w:val="16"/>
          <w:szCs w:val="16"/>
          <w:lang w:val="es-CO"/>
        </w:rPr>
      </w:pPr>
    </w:p>
    <w:p w:rsidR="0043239D" w:rsidRPr="005B6C72" w:rsidRDefault="0043239D" w:rsidP="0043239D">
      <w:pPr>
        <w:ind w:left="567" w:right="618"/>
        <w:jc w:val="both"/>
        <w:rPr>
          <w:rFonts w:ascii="Georgia" w:hAnsi="Georgia" w:cs="Arial"/>
          <w:bCs/>
          <w:i/>
          <w:lang w:val="es-CO"/>
        </w:rPr>
      </w:pPr>
      <w:r w:rsidRPr="005B6C72">
        <w:rPr>
          <w:rFonts w:ascii="Georgia" w:hAnsi="Georgia" w:cs="Arial"/>
          <w:bCs/>
          <w:i/>
          <w:lang w:val="es-CO"/>
        </w:rPr>
        <w:t xml:space="preserve">En ese orden, cuando el legislador, en la norma aquí comentada –inciso 2, numeral 3 del artículo 322 del C.G.P.- le asigna al apelante el deber de ‘precisar, de manera breve, los reparos concretos que le hace a la decisión’, </w:t>
      </w:r>
      <w:r w:rsidRPr="005B6C72">
        <w:rPr>
          <w:rFonts w:ascii="Georgia" w:hAnsi="Georgia" w:cs="Arial"/>
          <w:bCs/>
          <w:i/>
          <w:u w:val="single"/>
          <w:lang w:val="es-CO"/>
        </w:rPr>
        <w:t>le exige expresar de manera ‘exacta’ y ‘rigurosa’, esto es, ‘sin duda, ni confusión’, ni vaguedad, ni generalidad</w:t>
      </w:r>
      <w:r w:rsidRPr="005B6C72">
        <w:rPr>
          <w:rFonts w:ascii="Georgia" w:hAnsi="Georgia" w:cs="Arial"/>
          <w:bCs/>
          <w:i/>
          <w:lang w:val="es-CO"/>
        </w:rPr>
        <w:t>, las censuras realizadas a la sentencia origen de su reproche, inconformidades que luego habrá de sustentar ante el superior (</w:t>
      </w:r>
      <w:proofErr w:type="spellStart"/>
      <w:r w:rsidRPr="005B6C72">
        <w:rPr>
          <w:rFonts w:ascii="Georgia" w:hAnsi="Georgia" w:cs="Arial"/>
          <w:bCs/>
          <w:i/>
          <w:lang w:val="es-CO"/>
        </w:rPr>
        <w:t>sublineado</w:t>
      </w:r>
      <w:proofErr w:type="spellEnd"/>
      <w:r w:rsidRPr="005B6C72">
        <w:rPr>
          <w:rFonts w:ascii="Georgia" w:hAnsi="Georgia" w:cs="Arial"/>
          <w:bCs/>
          <w:i/>
          <w:lang w:val="es-CO"/>
        </w:rPr>
        <w:t xml:space="preserve"> propio; CSJ, </w:t>
      </w:r>
      <w:proofErr w:type="spellStart"/>
      <w:r w:rsidRPr="005B6C72">
        <w:rPr>
          <w:rFonts w:ascii="Georgia" w:hAnsi="Georgia" w:cs="Arial"/>
          <w:bCs/>
          <w:i/>
          <w:lang w:val="es-CO"/>
        </w:rPr>
        <w:t>STC7511</w:t>
      </w:r>
      <w:proofErr w:type="spellEnd"/>
      <w:r w:rsidRPr="005B6C72">
        <w:rPr>
          <w:rFonts w:ascii="Georgia" w:hAnsi="Georgia" w:cs="Arial"/>
          <w:bCs/>
          <w:i/>
          <w:lang w:val="es-CO"/>
        </w:rPr>
        <w:t>-2016, 9 jun. 2016 rad. 01472-00).</w:t>
      </w:r>
    </w:p>
    <w:p w:rsidR="0043239D" w:rsidRPr="00EC27FC" w:rsidRDefault="0043239D" w:rsidP="0043239D">
      <w:pPr>
        <w:ind w:left="567" w:right="618"/>
        <w:jc w:val="both"/>
        <w:rPr>
          <w:rFonts w:ascii="Georgia" w:hAnsi="Georgia" w:cs="Arial"/>
          <w:bCs/>
          <w:i/>
          <w:sz w:val="16"/>
          <w:szCs w:val="16"/>
          <w:lang w:val="es-CO"/>
        </w:rPr>
      </w:pPr>
    </w:p>
    <w:p w:rsidR="0043239D" w:rsidRPr="005B6C72" w:rsidRDefault="0043239D" w:rsidP="0043239D">
      <w:pPr>
        <w:ind w:left="567" w:right="618"/>
        <w:jc w:val="both"/>
        <w:rPr>
          <w:rFonts w:ascii="Georgia" w:hAnsi="Georgia" w:cs="Arial"/>
          <w:bCs/>
          <w:i/>
          <w:lang w:val="es-CO"/>
        </w:rPr>
      </w:pPr>
      <w:r w:rsidRPr="005B6C72">
        <w:rPr>
          <w:rFonts w:ascii="Georgia" w:hAnsi="Georgia" w:cs="Arial"/>
          <w:bCs/>
          <w:i/>
          <w:lang w:val="es-CO"/>
        </w:rPr>
        <w:t xml:space="preserve">Nótese que, conforme lo acotó la Sala en la jurisprudencia antes invocada, </w:t>
      </w:r>
      <w:proofErr w:type="gramStart"/>
      <w:r w:rsidRPr="005B6C72">
        <w:rPr>
          <w:rFonts w:ascii="Georgia" w:hAnsi="Georgia" w:cs="Arial"/>
          <w:bCs/>
          <w:i/>
          <w:lang w:val="es-CO"/>
        </w:rPr>
        <w:t>para</w:t>
      </w:r>
      <w:proofErr w:type="gramEnd"/>
      <w:r w:rsidRPr="005B6C72">
        <w:rPr>
          <w:rFonts w:ascii="Georgia" w:hAnsi="Georgia" w:cs="Arial"/>
          <w:bCs/>
          <w:i/>
          <w:lang w:val="es-CO"/>
        </w:rPr>
        <w:t xml:space="preserve"> cumplir la exigencia de ‘precisar, de manera breve, los reparos concretos que le hace a la decisión’, resulta suficiente que el interesado en oportunidad delimite con concreción los motivos de desacuerdo frente a la sentencia origen de su reproche.</w:t>
      </w:r>
    </w:p>
    <w:p w:rsidR="0011214A" w:rsidRPr="00EC27FC" w:rsidRDefault="0011214A" w:rsidP="00BB45EC">
      <w:pPr>
        <w:spacing w:line="360" w:lineRule="auto"/>
        <w:jc w:val="both"/>
        <w:rPr>
          <w:rFonts w:ascii="Georgia" w:hAnsi="Georgia" w:cs="Arial"/>
          <w:bCs/>
        </w:rPr>
      </w:pPr>
    </w:p>
    <w:p w:rsidR="0011214A" w:rsidRDefault="0011214A" w:rsidP="00BB45EC">
      <w:pPr>
        <w:spacing w:line="360" w:lineRule="auto"/>
        <w:jc w:val="both"/>
        <w:rPr>
          <w:rFonts w:ascii="Georgia" w:hAnsi="Georgia" w:cs="Arial"/>
          <w:bCs/>
        </w:rPr>
      </w:pPr>
      <w:r>
        <w:rPr>
          <w:rFonts w:ascii="Georgia" w:hAnsi="Georgia" w:cs="Arial"/>
          <w:bCs/>
        </w:rPr>
        <w:t xml:space="preserve">De acuerdo con lo expuesto, considera esta Magistratura que el Despacho Judicial accionado incurrió en vía de hecho por defecto procedimental por el exceso ritual manifiesto, puesto que limitó la formulación de los reparos a la indicación expresa del numeral de la parte resolutiva de la providencia recurrida, cuando en realidad al </w:t>
      </w:r>
      <w:r>
        <w:rPr>
          <w:rFonts w:ascii="Georgia" w:hAnsi="Georgia" w:cs="Arial"/>
          <w:bCs/>
        </w:rPr>
        <w:lastRenderedPageBreak/>
        <w:t>recurrente le corresponde es delimitar con concreción los motivos de desacuerdo</w:t>
      </w:r>
      <w:r w:rsidR="00A93752">
        <w:rPr>
          <w:rFonts w:ascii="Georgia" w:hAnsi="Georgia" w:cs="Arial"/>
          <w:bCs/>
        </w:rPr>
        <w:t>, ya sea en contra de la parte motiva y/o resolutiva de la providencia</w:t>
      </w:r>
      <w:r>
        <w:rPr>
          <w:rFonts w:ascii="Georgia" w:hAnsi="Georgia" w:cs="Arial"/>
          <w:bCs/>
        </w:rPr>
        <w:t>.</w:t>
      </w:r>
      <w:r w:rsidR="00103E82">
        <w:rPr>
          <w:rFonts w:ascii="Georgia" w:hAnsi="Georgia" w:cs="Arial"/>
          <w:bCs/>
        </w:rPr>
        <w:t xml:space="preserve"> Es que, incluso, puede suceder que el disenso no se haya llevado a la resolutiva y aparezca en la motivación; aún más, es factible que esté ausente en toda la providencia y sea esa la discrepancia. </w:t>
      </w:r>
    </w:p>
    <w:p w:rsidR="0011214A" w:rsidRDefault="0011214A" w:rsidP="00BB45EC">
      <w:pPr>
        <w:spacing w:line="360" w:lineRule="auto"/>
        <w:jc w:val="both"/>
        <w:rPr>
          <w:rFonts w:ascii="Georgia" w:hAnsi="Georgia" w:cs="Arial"/>
          <w:bCs/>
        </w:rPr>
      </w:pPr>
    </w:p>
    <w:p w:rsidR="00E17D5B" w:rsidRDefault="0011214A" w:rsidP="0011214A">
      <w:pPr>
        <w:widowControl/>
        <w:spacing w:line="360" w:lineRule="auto"/>
        <w:jc w:val="both"/>
        <w:rPr>
          <w:rFonts w:ascii="Georgia" w:hAnsi="Georgia" w:cs="Arial"/>
        </w:rPr>
      </w:pPr>
      <w:r>
        <w:rPr>
          <w:rFonts w:ascii="Georgia" w:hAnsi="Georgia" w:cs="Arial"/>
          <w:bCs/>
        </w:rPr>
        <w:t xml:space="preserve">Evidentemente, no fue claro en el estudio de la apelación, dejó de tener en cuenta que el recurrente </w:t>
      </w:r>
      <w:r w:rsidR="00A93752">
        <w:rPr>
          <w:rFonts w:ascii="Georgia" w:hAnsi="Georgia" w:cs="Arial"/>
          <w:bCs/>
        </w:rPr>
        <w:t>tenía</w:t>
      </w:r>
      <w:r>
        <w:rPr>
          <w:rFonts w:ascii="Georgia" w:hAnsi="Georgia" w:cs="Arial"/>
          <w:bCs/>
        </w:rPr>
        <w:t xml:space="preserve"> </w:t>
      </w:r>
      <w:r w:rsidR="00A93752">
        <w:rPr>
          <w:rFonts w:ascii="Georgia" w:hAnsi="Georgia" w:cs="Arial"/>
          <w:bCs/>
        </w:rPr>
        <w:t xml:space="preserve">disconformidad </w:t>
      </w:r>
      <w:r>
        <w:rPr>
          <w:rFonts w:ascii="Georgia" w:hAnsi="Georgia" w:cs="Arial"/>
          <w:bCs/>
        </w:rPr>
        <w:t xml:space="preserve">con </w:t>
      </w:r>
      <w:r w:rsidRPr="00BF019B">
        <w:rPr>
          <w:rFonts w:ascii="Georgia" w:hAnsi="Georgia" w:cs="Arial"/>
        </w:rPr>
        <w:t xml:space="preserve">la </w:t>
      </w:r>
      <w:r>
        <w:rPr>
          <w:rFonts w:ascii="Georgia" w:hAnsi="Georgia" w:cs="Arial"/>
        </w:rPr>
        <w:t xml:space="preserve">afirmación de que el demandado carece de la posesión material del bien objeto de reivindicación, pese a lo narrado en los hechos de la demanda y </w:t>
      </w:r>
      <w:r w:rsidRPr="00BF019B">
        <w:rPr>
          <w:rFonts w:ascii="Georgia" w:hAnsi="Georgia" w:cs="Arial"/>
        </w:rPr>
        <w:t xml:space="preserve">las </w:t>
      </w:r>
      <w:r w:rsidR="00103E82">
        <w:rPr>
          <w:rFonts w:ascii="Georgia" w:hAnsi="Georgia" w:cs="Arial"/>
        </w:rPr>
        <w:t>confesiones</w:t>
      </w:r>
      <w:r w:rsidRPr="00BF019B">
        <w:rPr>
          <w:rFonts w:ascii="Georgia" w:hAnsi="Georgia" w:cs="Arial"/>
        </w:rPr>
        <w:t xml:space="preserve"> </w:t>
      </w:r>
      <w:r>
        <w:rPr>
          <w:rFonts w:ascii="Georgia" w:hAnsi="Georgia" w:cs="Arial"/>
        </w:rPr>
        <w:t xml:space="preserve">que hizo en el curso del proceso </w:t>
      </w:r>
      <w:r w:rsidRPr="00BF019B">
        <w:rPr>
          <w:rFonts w:ascii="Georgia" w:hAnsi="Georgia" w:cs="Arial"/>
        </w:rPr>
        <w:t>(Folios 30 a 33, ib.).</w:t>
      </w:r>
      <w:r>
        <w:rPr>
          <w:rFonts w:ascii="Georgia" w:hAnsi="Georgia" w:cs="Arial"/>
        </w:rPr>
        <w:t xml:space="preserve"> </w:t>
      </w:r>
      <w:r w:rsidR="00A93752">
        <w:rPr>
          <w:rFonts w:ascii="Georgia" w:hAnsi="Georgia" w:cs="Arial"/>
        </w:rPr>
        <w:t xml:space="preserve">Es inadecuado </w:t>
      </w:r>
      <w:r>
        <w:rPr>
          <w:rFonts w:ascii="Georgia" w:hAnsi="Georgia" w:cs="Arial"/>
        </w:rPr>
        <w:t xml:space="preserve">enfrascar la formulación de los reparos exclusivamente a la parte resolutiva de la sentencia, </w:t>
      </w:r>
      <w:r w:rsidR="00103E82">
        <w:rPr>
          <w:rFonts w:ascii="Georgia" w:hAnsi="Georgia" w:cs="Arial"/>
        </w:rPr>
        <w:t xml:space="preserve">ya que </w:t>
      </w:r>
      <w:r w:rsidR="004A40DD">
        <w:rPr>
          <w:rFonts w:ascii="Georgia" w:hAnsi="Georgia" w:cs="Arial"/>
        </w:rPr>
        <w:t>l</w:t>
      </w:r>
      <w:r w:rsidR="00A93752">
        <w:rPr>
          <w:rFonts w:ascii="Georgia" w:hAnsi="Georgia" w:cs="Arial"/>
        </w:rPr>
        <w:t>a norma aplicable nada dice al respecto (Artículo 322, CGP)</w:t>
      </w:r>
      <w:r w:rsidR="00E17D5B">
        <w:rPr>
          <w:rFonts w:ascii="Georgia" w:hAnsi="Georgia" w:cs="Arial"/>
        </w:rPr>
        <w:t>.</w:t>
      </w:r>
      <w:r w:rsidR="00A93752">
        <w:rPr>
          <w:rFonts w:ascii="Georgia" w:hAnsi="Georgia" w:cs="Arial"/>
        </w:rPr>
        <w:t xml:space="preserve"> </w:t>
      </w:r>
    </w:p>
    <w:p w:rsidR="00EC27FC" w:rsidRDefault="00EC27FC" w:rsidP="0011214A">
      <w:pPr>
        <w:widowControl/>
        <w:spacing w:line="360" w:lineRule="auto"/>
        <w:jc w:val="both"/>
        <w:rPr>
          <w:rFonts w:ascii="Georgia" w:hAnsi="Georgia" w:cs="Arial"/>
        </w:rPr>
      </w:pPr>
    </w:p>
    <w:p w:rsidR="004A40DD" w:rsidRDefault="00E17D5B" w:rsidP="004A40DD">
      <w:pPr>
        <w:spacing w:line="360" w:lineRule="auto"/>
        <w:jc w:val="both"/>
        <w:rPr>
          <w:rFonts w:ascii="Georgia" w:hAnsi="Georgia" w:cs="Arial"/>
        </w:rPr>
      </w:pPr>
      <w:r>
        <w:rPr>
          <w:rFonts w:ascii="Georgia" w:hAnsi="Georgia" w:cs="Arial"/>
        </w:rPr>
        <w:t>A</w:t>
      </w:r>
      <w:r w:rsidR="00A93752">
        <w:rPr>
          <w:rFonts w:ascii="Georgia" w:hAnsi="Georgia" w:cs="Arial"/>
        </w:rPr>
        <w:t xml:space="preserve">demás, es desproporcionada la interpretación de </w:t>
      </w:r>
      <w:r>
        <w:rPr>
          <w:rFonts w:ascii="Georgia" w:hAnsi="Georgia" w:cs="Arial"/>
        </w:rPr>
        <w:t xml:space="preserve">la </w:t>
      </w:r>
      <w:r w:rsidR="00A93752">
        <w:rPr>
          <w:rFonts w:ascii="Georgia" w:hAnsi="Georgia" w:cs="Arial"/>
        </w:rPr>
        <w:t xml:space="preserve">providencia, </w:t>
      </w:r>
      <w:r w:rsidR="00103E82">
        <w:rPr>
          <w:rFonts w:ascii="Georgia" w:hAnsi="Georgia" w:cs="Arial"/>
        </w:rPr>
        <w:t xml:space="preserve">pues </w:t>
      </w:r>
      <w:r w:rsidR="00150C84">
        <w:rPr>
          <w:rFonts w:ascii="Georgia" w:hAnsi="Georgia" w:cs="Arial"/>
        </w:rPr>
        <w:t xml:space="preserve">ignoró que </w:t>
      </w:r>
      <w:r w:rsidR="00A93752">
        <w:rPr>
          <w:rFonts w:ascii="Georgia" w:hAnsi="Georgia" w:cs="Arial"/>
        </w:rPr>
        <w:t xml:space="preserve">los hechos </w:t>
      </w:r>
      <w:r w:rsidR="00150C84">
        <w:rPr>
          <w:rFonts w:ascii="Georgia" w:hAnsi="Georgia" w:cs="Arial"/>
        </w:rPr>
        <w:t>que el Superior tuvo en cuenta para declarar la deserción,</w:t>
      </w:r>
      <w:r w:rsidR="00A93752">
        <w:rPr>
          <w:rFonts w:ascii="Georgia" w:hAnsi="Georgia" w:cs="Arial"/>
        </w:rPr>
        <w:t xml:space="preserve"> </w:t>
      </w:r>
      <w:r w:rsidR="00150C84">
        <w:rPr>
          <w:rFonts w:ascii="Georgia" w:hAnsi="Georgia" w:cs="Arial"/>
        </w:rPr>
        <w:t xml:space="preserve">eran </w:t>
      </w:r>
      <w:r w:rsidR="00A93752">
        <w:rPr>
          <w:rFonts w:ascii="Georgia" w:hAnsi="Georgia" w:cs="Arial"/>
        </w:rPr>
        <w:t xml:space="preserve">diferentes a los acontecidos en el proceso reivindicatorio. </w:t>
      </w:r>
    </w:p>
    <w:p w:rsidR="004A40DD" w:rsidRDefault="004A40DD" w:rsidP="004A40DD">
      <w:pPr>
        <w:spacing w:line="360" w:lineRule="auto"/>
        <w:jc w:val="both"/>
        <w:rPr>
          <w:rFonts w:ascii="Georgia" w:hAnsi="Georgia" w:cs="Arial"/>
        </w:rPr>
      </w:pPr>
    </w:p>
    <w:p w:rsidR="0011214A" w:rsidRPr="00BF019B" w:rsidRDefault="00E17D5B" w:rsidP="004A40DD">
      <w:pPr>
        <w:spacing w:line="360" w:lineRule="auto"/>
        <w:jc w:val="both"/>
        <w:rPr>
          <w:rFonts w:ascii="Georgia" w:hAnsi="Georgia" w:cs="Arial"/>
        </w:rPr>
      </w:pPr>
      <w:r>
        <w:rPr>
          <w:rFonts w:ascii="Georgia" w:hAnsi="Georgia" w:cs="Arial"/>
        </w:rPr>
        <w:t xml:space="preserve">En aquella oportunidad el </w:t>
      </w:r>
      <w:r w:rsidR="00A93752">
        <w:rPr>
          <w:rFonts w:ascii="Georgia" w:hAnsi="Georgia" w:cs="Arial"/>
        </w:rPr>
        <w:t xml:space="preserve">Magistrado </w:t>
      </w:r>
      <w:r>
        <w:rPr>
          <w:rFonts w:ascii="Georgia" w:hAnsi="Georgia" w:cs="Arial"/>
        </w:rPr>
        <w:t xml:space="preserve">expuso que era necesario referir el aparte de la resolutiva que se cuestiona porque en la providencia se tomaron </w:t>
      </w:r>
      <w:r w:rsidR="00916DF0">
        <w:rPr>
          <w:rFonts w:ascii="Georgia" w:hAnsi="Georgia" w:cs="Arial"/>
        </w:rPr>
        <w:t>“</w:t>
      </w:r>
      <w:r w:rsidR="004A40DD">
        <w:rPr>
          <w:rFonts w:ascii="Georgia" w:hAnsi="Georgia" w:cs="Arial"/>
        </w:rPr>
        <w:t xml:space="preserve">distintas </w:t>
      </w:r>
      <w:r>
        <w:rPr>
          <w:rFonts w:ascii="Georgia" w:hAnsi="Georgia" w:cs="Arial"/>
        </w:rPr>
        <w:t>decisiones</w:t>
      </w:r>
      <w:r w:rsidR="00916DF0">
        <w:rPr>
          <w:rFonts w:ascii="Georgia" w:hAnsi="Georgia" w:cs="Arial"/>
        </w:rPr>
        <w:t>”</w:t>
      </w:r>
      <w:r w:rsidR="00103E82" w:rsidRPr="00103E82">
        <w:rPr>
          <w:rStyle w:val="Appelnotedebasdep"/>
          <w:rFonts w:ascii="Georgia" w:hAnsi="Georgia"/>
        </w:rPr>
        <w:t xml:space="preserve"> </w:t>
      </w:r>
      <w:r w:rsidR="00103E82" w:rsidRPr="00F47E6A">
        <w:rPr>
          <w:rStyle w:val="Appelnotedebasdep"/>
          <w:rFonts w:ascii="Georgia" w:hAnsi="Georgia"/>
        </w:rPr>
        <w:footnoteReference w:id="21"/>
      </w:r>
      <w:r w:rsidR="004A40DD">
        <w:rPr>
          <w:rFonts w:ascii="Georgia" w:hAnsi="Georgia" w:cs="Arial"/>
        </w:rPr>
        <w:t xml:space="preserve"> (Folio 34, ib.)</w:t>
      </w:r>
      <w:r>
        <w:rPr>
          <w:rFonts w:ascii="Georgia" w:hAnsi="Georgia" w:cs="Arial"/>
        </w:rPr>
        <w:t xml:space="preserve">, situación que no se acompasa con la </w:t>
      </w:r>
      <w:r w:rsidR="004A40DD">
        <w:rPr>
          <w:rFonts w:ascii="Georgia" w:hAnsi="Georgia" w:cs="Arial"/>
        </w:rPr>
        <w:t xml:space="preserve">sentencia </w:t>
      </w:r>
      <w:r>
        <w:rPr>
          <w:rFonts w:ascii="Georgia" w:hAnsi="Georgia" w:cs="Arial"/>
        </w:rPr>
        <w:t xml:space="preserve">del </w:t>
      </w:r>
      <w:r w:rsidR="00103E82">
        <w:rPr>
          <w:rFonts w:ascii="Georgia" w:hAnsi="Georgia" w:cs="Arial"/>
        </w:rPr>
        <w:t xml:space="preserve">estrado judicial </w:t>
      </w:r>
      <w:r>
        <w:rPr>
          <w:rFonts w:ascii="Georgia" w:hAnsi="Georgia" w:cs="Arial"/>
        </w:rPr>
        <w:t xml:space="preserve">accionado, </w:t>
      </w:r>
      <w:r w:rsidR="00103E82">
        <w:rPr>
          <w:rFonts w:ascii="Georgia" w:hAnsi="Georgia" w:cs="Arial"/>
        </w:rPr>
        <w:t>toda vez que</w:t>
      </w:r>
      <w:r>
        <w:rPr>
          <w:rFonts w:ascii="Georgia" w:hAnsi="Georgia" w:cs="Arial"/>
        </w:rPr>
        <w:t xml:space="preserve"> en ella denegó las pretensiones de la demanda</w:t>
      </w:r>
      <w:r w:rsidR="004A40DD">
        <w:rPr>
          <w:rFonts w:ascii="Georgia" w:hAnsi="Georgia" w:cs="Arial"/>
        </w:rPr>
        <w:t xml:space="preserve"> y</w:t>
      </w:r>
      <w:r>
        <w:rPr>
          <w:rFonts w:ascii="Georgia" w:hAnsi="Georgia" w:cs="Arial"/>
        </w:rPr>
        <w:t xml:space="preserve"> los demás numerales son solo consecuencia de esa declaración. </w:t>
      </w:r>
    </w:p>
    <w:p w:rsidR="0011214A" w:rsidRDefault="0011214A" w:rsidP="00BB45EC">
      <w:pPr>
        <w:spacing w:line="360" w:lineRule="auto"/>
        <w:jc w:val="both"/>
        <w:rPr>
          <w:rFonts w:ascii="Georgia" w:hAnsi="Georgia" w:cs="Arial"/>
          <w:bCs/>
        </w:rPr>
      </w:pPr>
    </w:p>
    <w:p w:rsidR="00916DF0" w:rsidRPr="00916DF0" w:rsidRDefault="00916DF0" w:rsidP="00916DF0">
      <w:pPr>
        <w:pStyle w:val="Corpsdetexte"/>
        <w:spacing w:line="360" w:lineRule="auto"/>
        <w:rPr>
          <w:rFonts w:ascii="Georgia" w:hAnsi="Georgia"/>
          <w:szCs w:val="24"/>
        </w:rPr>
      </w:pPr>
      <w:r w:rsidRPr="00916DF0">
        <w:rPr>
          <w:rFonts w:ascii="Georgia" w:hAnsi="Georgia"/>
          <w:szCs w:val="24"/>
        </w:rPr>
        <w:t xml:space="preserve">En este orden de ideas, la inferencia necesaria es que </w:t>
      </w:r>
      <w:r w:rsidR="00103E82">
        <w:rPr>
          <w:rFonts w:ascii="Georgia" w:hAnsi="Georgia"/>
          <w:szCs w:val="24"/>
        </w:rPr>
        <w:t xml:space="preserve">debe </w:t>
      </w:r>
      <w:r w:rsidRPr="00916DF0">
        <w:rPr>
          <w:rFonts w:ascii="Georgia" w:hAnsi="Georgia"/>
          <w:szCs w:val="24"/>
        </w:rPr>
        <w:t>brindarse el amparo suplicado por vulneración del derecho al debido proceso</w:t>
      </w:r>
      <w:r>
        <w:rPr>
          <w:rFonts w:ascii="Georgia" w:hAnsi="Georgia"/>
          <w:szCs w:val="24"/>
        </w:rPr>
        <w:t xml:space="preserve"> y al acceso a la administración de justicia</w:t>
      </w:r>
      <w:r w:rsidRPr="00916DF0">
        <w:rPr>
          <w:rFonts w:ascii="Georgia" w:hAnsi="Georgia"/>
          <w:szCs w:val="24"/>
        </w:rPr>
        <w:t>, en los términos explicados.</w:t>
      </w:r>
    </w:p>
    <w:p w:rsidR="00916DF0" w:rsidRPr="00916DF0" w:rsidRDefault="00916DF0" w:rsidP="00916DF0">
      <w:pPr>
        <w:pStyle w:val="Corpsdetexte"/>
        <w:spacing w:line="360" w:lineRule="auto"/>
        <w:rPr>
          <w:rFonts w:ascii="Georgia" w:hAnsi="Georgia"/>
          <w:smallCaps/>
          <w:szCs w:val="24"/>
        </w:rPr>
      </w:pPr>
    </w:p>
    <w:p w:rsidR="00916DF0" w:rsidRPr="00916DF0" w:rsidRDefault="00916DF0" w:rsidP="00916DF0">
      <w:pPr>
        <w:pStyle w:val="Corpsdetexte"/>
        <w:numPr>
          <w:ilvl w:val="0"/>
          <w:numId w:val="18"/>
        </w:numPr>
        <w:spacing w:line="360" w:lineRule="auto"/>
        <w:rPr>
          <w:rFonts w:ascii="Georgia" w:hAnsi="Georgia"/>
          <w:smallCaps/>
          <w:szCs w:val="24"/>
        </w:rPr>
      </w:pPr>
      <w:r w:rsidRPr="00916DF0">
        <w:rPr>
          <w:rFonts w:ascii="Georgia" w:hAnsi="Georgia"/>
          <w:smallCaps/>
          <w:szCs w:val="24"/>
        </w:rPr>
        <w:t xml:space="preserve">LAS CONCLUSIONES </w:t>
      </w:r>
    </w:p>
    <w:p w:rsidR="00916DF0" w:rsidRPr="00916DF0" w:rsidRDefault="00916DF0" w:rsidP="00916DF0">
      <w:pPr>
        <w:pStyle w:val="Corpsdetexte"/>
        <w:spacing w:line="360" w:lineRule="auto"/>
        <w:rPr>
          <w:rFonts w:ascii="Georgia" w:hAnsi="Georgia"/>
          <w:smallCaps/>
          <w:szCs w:val="24"/>
        </w:rPr>
      </w:pPr>
    </w:p>
    <w:p w:rsidR="00916DF0" w:rsidRPr="00916DF0" w:rsidRDefault="00916DF0" w:rsidP="00916DF0">
      <w:pPr>
        <w:pStyle w:val="Corpsdetexte"/>
        <w:spacing w:line="360" w:lineRule="auto"/>
        <w:rPr>
          <w:rFonts w:ascii="Georgia" w:hAnsi="Georgia"/>
          <w:szCs w:val="24"/>
        </w:rPr>
      </w:pPr>
      <w:r w:rsidRPr="00916DF0">
        <w:rPr>
          <w:rFonts w:ascii="Georgia" w:hAnsi="Georgia"/>
          <w:szCs w:val="24"/>
          <w:lang w:val="es-ES"/>
        </w:rPr>
        <w:t>A tono con lo disertado en esta providencia, se tutelará</w:t>
      </w:r>
      <w:r>
        <w:rPr>
          <w:rFonts w:ascii="Georgia" w:hAnsi="Georgia"/>
          <w:szCs w:val="24"/>
          <w:lang w:val="es-ES"/>
        </w:rPr>
        <w:t>n</w:t>
      </w:r>
      <w:r w:rsidRPr="00916DF0">
        <w:rPr>
          <w:rFonts w:ascii="Georgia" w:hAnsi="Georgia"/>
          <w:szCs w:val="24"/>
          <w:lang w:val="es-ES"/>
        </w:rPr>
        <w:t xml:space="preserve"> </w:t>
      </w:r>
      <w:r>
        <w:rPr>
          <w:rFonts w:ascii="Georgia" w:hAnsi="Georgia"/>
          <w:szCs w:val="24"/>
          <w:lang w:val="es-ES"/>
        </w:rPr>
        <w:t xml:space="preserve">los derechos invocados </w:t>
      </w:r>
      <w:r w:rsidRPr="00916DF0">
        <w:rPr>
          <w:rFonts w:ascii="Georgia" w:hAnsi="Georgia"/>
          <w:szCs w:val="24"/>
          <w:lang w:val="es-ES"/>
        </w:rPr>
        <w:t xml:space="preserve">por haberse incurrido en </w:t>
      </w:r>
      <w:r>
        <w:rPr>
          <w:rFonts w:ascii="Georgia" w:hAnsi="Georgia"/>
          <w:szCs w:val="24"/>
          <w:lang w:val="es-ES"/>
        </w:rPr>
        <w:t>los autos datados 13-01-2017 y 16-03-2017</w:t>
      </w:r>
      <w:r w:rsidRPr="00916DF0">
        <w:rPr>
          <w:rFonts w:ascii="Georgia" w:hAnsi="Georgia"/>
          <w:szCs w:val="24"/>
          <w:lang w:val="es-ES"/>
        </w:rPr>
        <w:t xml:space="preserve">, </w:t>
      </w:r>
      <w:r>
        <w:rPr>
          <w:rFonts w:ascii="Georgia" w:hAnsi="Georgia"/>
          <w:szCs w:val="24"/>
          <w:lang w:val="es-ES"/>
        </w:rPr>
        <w:t xml:space="preserve">dictados </w:t>
      </w:r>
      <w:r w:rsidRPr="00916DF0">
        <w:rPr>
          <w:rFonts w:ascii="Georgia" w:hAnsi="Georgia"/>
          <w:szCs w:val="24"/>
          <w:lang w:val="es-ES"/>
        </w:rPr>
        <w:t xml:space="preserve">por el Juzgado </w:t>
      </w:r>
      <w:r>
        <w:rPr>
          <w:rFonts w:ascii="Georgia" w:hAnsi="Georgia"/>
          <w:szCs w:val="24"/>
          <w:lang w:val="es-CO"/>
        </w:rPr>
        <w:t xml:space="preserve">Segundo </w:t>
      </w:r>
      <w:r w:rsidRPr="00916DF0">
        <w:rPr>
          <w:rFonts w:ascii="Georgia" w:hAnsi="Georgia"/>
          <w:szCs w:val="24"/>
          <w:lang w:val="es-ES"/>
        </w:rPr>
        <w:t xml:space="preserve">Civil del Circuito </w:t>
      </w:r>
      <w:r>
        <w:rPr>
          <w:rFonts w:ascii="Georgia" w:hAnsi="Georgia"/>
          <w:szCs w:val="24"/>
          <w:lang w:val="es-ES"/>
        </w:rPr>
        <w:t>de Pereira</w:t>
      </w:r>
      <w:r w:rsidRPr="00916DF0">
        <w:rPr>
          <w:rFonts w:ascii="Georgia" w:hAnsi="Georgia"/>
          <w:szCs w:val="24"/>
          <w:lang w:val="es-ES"/>
        </w:rPr>
        <w:t xml:space="preserve">, en un defecto </w:t>
      </w:r>
      <w:r>
        <w:rPr>
          <w:rFonts w:ascii="Georgia" w:hAnsi="Georgia"/>
          <w:szCs w:val="24"/>
          <w:lang w:val="es-ES"/>
        </w:rPr>
        <w:t>procedimental por exceso ritual manifiesto</w:t>
      </w:r>
      <w:r w:rsidRPr="00916DF0">
        <w:rPr>
          <w:rFonts w:ascii="Georgia" w:hAnsi="Georgia"/>
          <w:szCs w:val="24"/>
          <w:lang w:val="es-ES"/>
        </w:rPr>
        <w:t xml:space="preserve">. Se ordenará que en el perentorio plazo de </w:t>
      </w:r>
      <w:r>
        <w:rPr>
          <w:rFonts w:ascii="Georgia" w:hAnsi="Georgia"/>
          <w:szCs w:val="24"/>
          <w:lang w:val="es-ES"/>
        </w:rPr>
        <w:t>cuarenta y ocho (48) horas</w:t>
      </w:r>
      <w:r w:rsidRPr="00916DF0">
        <w:rPr>
          <w:rFonts w:ascii="Georgia" w:hAnsi="Georgia"/>
          <w:szCs w:val="24"/>
          <w:lang w:val="es-ES"/>
        </w:rPr>
        <w:t xml:space="preserve">, se emita </w:t>
      </w:r>
      <w:r>
        <w:rPr>
          <w:rFonts w:ascii="Georgia" w:hAnsi="Georgia"/>
          <w:szCs w:val="24"/>
          <w:lang w:val="es-ES"/>
        </w:rPr>
        <w:t>la determinación que corresponde</w:t>
      </w:r>
      <w:r w:rsidRPr="00916DF0">
        <w:rPr>
          <w:rFonts w:ascii="Georgia" w:hAnsi="Georgia"/>
          <w:szCs w:val="24"/>
          <w:lang w:val="es-ES"/>
        </w:rPr>
        <w:t>.</w:t>
      </w:r>
    </w:p>
    <w:p w:rsidR="00DB4A91" w:rsidRPr="001E5B6B" w:rsidRDefault="00DB4A91" w:rsidP="00916DF0">
      <w:pPr>
        <w:pStyle w:val="Corpsdetexte"/>
        <w:spacing w:line="360" w:lineRule="auto"/>
        <w:rPr>
          <w:rFonts w:ascii="Georgia" w:hAnsi="Georgia" w:cs="Arial"/>
          <w:szCs w:val="24"/>
          <w:lang w:val="es-CO"/>
        </w:rPr>
      </w:pPr>
    </w:p>
    <w:p w:rsidR="00DB4A91" w:rsidRDefault="00DB4A91" w:rsidP="00916DF0">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EC27FC" w:rsidRPr="001E5B6B" w:rsidRDefault="00EC27FC" w:rsidP="00916DF0">
      <w:pPr>
        <w:tabs>
          <w:tab w:val="left" w:pos="-720"/>
        </w:tabs>
        <w:suppressAutoHyphens/>
        <w:spacing w:line="360" w:lineRule="auto"/>
        <w:jc w:val="both"/>
        <w:rPr>
          <w:rFonts w:ascii="Georgia" w:hAnsi="Georgia" w:cs="Arial"/>
        </w:rPr>
      </w:pPr>
    </w:p>
    <w:p w:rsidR="00FF5B57" w:rsidRDefault="00FF5B57" w:rsidP="00FF5B57">
      <w:pPr>
        <w:pStyle w:val="Corpsdetexte"/>
        <w:spacing w:line="360" w:lineRule="auto"/>
        <w:jc w:val="center"/>
        <w:rPr>
          <w:rFonts w:ascii="Georgia" w:hAnsi="Georgia" w:cs="Arial"/>
          <w:bCs/>
          <w:smallCaps/>
          <w:szCs w:val="24"/>
        </w:rPr>
      </w:pPr>
      <w:r w:rsidRPr="001E5B6B">
        <w:rPr>
          <w:rFonts w:ascii="Georgia" w:hAnsi="Georgia" w:cs="Arial"/>
          <w:bCs/>
          <w:smallCaps/>
          <w:szCs w:val="24"/>
        </w:rPr>
        <w:lastRenderedPageBreak/>
        <w:t xml:space="preserve">F A L </w:t>
      </w:r>
      <w:proofErr w:type="spellStart"/>
      <w:r w:rsidRPr="001E5B6B">
        <w:rPr>
          <w:rFonts w:ascii="Georgia" w:hAnsi="Georgia" w:cs="Arial"/>
          <w:bCs/>
          <w:smallCaps/>
          <w:szCs w:val="24"/>
        </w:rPr>
        <w:t>L</w:t>
      </w:r>
      <w:proofErr w:type="spellEnd"/>
      <w:r w:rsidRPr="001E5B6B">
        <w:rPr>
          <w:rFonts w:ascii="Georgia" w:hAnsi="Georgia" w:cs="Arial"/>
          <w:bCs/>
          <w:smallCaps/>
          <w:szCs w:val="24"/>
        </w:rPr>
        <w:t xml:space="preserve"> A,</w:t>
      </w:r>
    </w:p>
    <w:p w:rsidR="001236E9" w:rsidRPr="00150C84" w:rsidRDefault="001236E9" w:rsidP="00FF5B57">
      <w:pPr>
        <w:pStyle w:val="Corpsdetexte"/>
        <w:spacing w:line="360" w:lineRule="auto"/>
        <w:jc w:val="center"/>
        <w:rPr>
          <w:rFonts w:ascii="Georgia" w:hAnsi="Georgia" w:cs="Arial"/>
          <w:bCs/>
          <w:smallCaps/>
          <w:szCs w:val="24"/>
        </w:rPr>
      </w:pPr>
    </w:p>
    <w:p w:rsidR="00916DF0" w:rsidRPr="00D37A3F" w:rsidRDefault="00916DF0" w:rsidP="00916DF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37A3F">
        <w:rPr>
          <w:rFonts w:ascii="Georgia" w:hAnsi="Georgia" w:cs="Arial"/>
        </w:rPr>
        <w:t xml:space="preserve">CONCEDER </w:t>
      </w:r>
      <w:r w:rsidR="001236E9" w:rsidRPr="00D37A3F">
        <w:rPr>
          <w:rFonts w:ascii="Georgia" w:hAnsi="Georgia" w:cs="Arial"/>
        </w:rPr>
        <w:t xml:space="preserve">la acción de tutela presentada por </w:t>
      </w:r>
      <w:r w:rsidRPr="00D37A3F">
        <w:rPr>
          <w:rFonts w:ascii="Georgia" w:hAnsi="Georgia" w:cs="Arial"/>
        </w:rPr>
        <w:t xml:space="preserve">la señora Jacqueline Bueno </w:t>
      </w:r>
      <w:proofErr w:type="spellStart"/>
      <w:r w:rsidRPr="00D37A3F">
        <w:rPr>
          <w:rFonts w:ascii="Georgia" w:hAnsi="Georgia" w:cs="Arial"/>
        </w:rPr>
        <w:t>Mattus</w:t>
      </w:r>
      <w:proofErr w:type="spellEnd"/>
      <w:r w:rsidRPr="00D37A3F">
        <w:rPr>
          <w:rFonts w:ascii="Georgia" w:hAnsi="Georgia" w:cs="Arial"/>
        </w:rPr>
        <w:t xml:space="preserve"> </w:t>
      </w:r>
      <w:r w:rsidR="001236E9" w:rsidRPr="00D37A3F">
        <w:rPr>
          <w:rFonts w:ascii="Georgia" w:hAnsi="Georgia" w:cs="Arial"/>
        </w:rPr>
        <w:t xml:space="preserve">contra el </w:t>
      </w:r>
      <w:r w:rsidR="002C127D" w:rsidRPr="00D37A3F">
        <w:rPr>
          <w:rFonts w:ascii="Georgia" w:hAnsi="Georgia" w:cs="Arial"/>
          <w:lang w:val="es-CO"/>
        </w:rPr>
        <w:t xml:space="preserve">Juzgado </w:t>
      </w:r>
      <w:r w:rsidRPr="00D37A3F">
        <w:rPr>
          <w:rFonts w:ascii="Georgia" w:hAnsi="Georgia" w:cs="Arial"/>
          <w:lang w:val="es-CO"/>
        </w:rPr>
        <w:t xml:space="preserve">Segundo </w:t>
      </w:r>
      <w:r w:rsidR="002C127D" w:rsidRPr="00D37A3F">
        <w:rPr>
          <w:rFonts w:ascii="Georgia" w:hAnsi="Georgia" w:cs="Arial"/>
          <w:lang w:val="es-CO"/>
        </w:rPr>
        <w:t>Civil del Circuito de Pereira</w:t>
      </w:r>
      <w:r w:rsidR="004E5DB7" w:rsidRPr="00D37A3F">
        <w:rPr>
          <w:rFonts w:ascii="Georgia" w:hAnsi="Georgia" w:cs="Arial"/>
          <w:lang w:val="es-CO"/>
        </w:rPr>
        <w:t>.</w:t>
      </w:r>
    </w:p>
    <w:p w:rsidR="00916DF0" w:rsidRPr="00D37A3F" w:rsidRDefault="00916DF0" w:rsidP="00916DF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916DF0" w:rsidRPr="00D37A3F" w:rsidRDefault="00916DF0" w:rsidP="00916DF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37A3F">
        <w:rPr>
          <w:rFonts w:ascii="Georgia" w:hAnsi="Georgia" w:cs="Arial"/>
        </w:rPr>
        <w:t xml:space="preserve">DECLARAR, en consecuencia, sin efectos jurídicos los autos </w:t>
      </w:r>
      <w:r w:rsidR="00D37A3F" w:rsidRPr="00D37A3F">
        <w:rPr>
          <w:rFonts w:ascii="Georgia" w:hAnsi="Georgia" w:cs="Arial"/>
        </w:rPr>
        <w:t xml:space="preserve">datados </w:t>
      </w:r>
      <w:r w:rsidRPr="00D37A3F">
        <w:rPr>
          <w:rFonts w:ascii="Georgia" w:hAnsi="Georgia" w:cs="Arial"/>
        </w:rPr>
        <w:t>días 13-01-2017 y 16-03-2017</w:t>
      </w:r>
      <w:r w:rsidR="00D37A3F" w:rsidRPr="00D37A3F">
        <w:rPr>
          <w:rFonts w:ascii="Georgia" w:hAnsi="Georgia" w:cs="Arial"/>
        </w:rPr>
        <w:t xml:space="preserve">, proferidos por el </w:t>
      </w:r>
      <w:r w:rsidRPr="00D37A3F">
        <w:rPr>
          <w:rFonts w:ascii="Georgia" w:hAnsi="Georgia" w:cs="Arial"/>
        </w:rPr>
        <w:t>Juzgado citado en el ordinal anterior</w:t>
      </w:r>
      <w:r w:rsidR="00D37A3F" w:rsidRPr="00D37A3F">
        <w:rPr>
          <w:rFonts w:ascii="Georgia" w:hAnsi="Georgia" w:cs="Arial"/>
        </w:rPr>
        <w:t xml:space="preserve"> en el proceso reivindicatorio radicado al No.2009-00285-00</w:t>
      </w:r>
      <w:r w:rsidRPr="00D37A3F">
        <w:rPr>
          <w:rFonts w:ascii="Georgia" w:hAnsi="Georgia" w:cs="Arial"/>
        </w:rPr>
        <w:t>.</w:t>
      </w:r>
    </w:p>
    <w:p w:rsidR="00916DF0" w:rsidRPr="00D37A3F" w:rsidRDefault="00916DF0" w:rsidP="00916DF0">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916DF0" w:rsidRPr="00D37A3F" w:rsidRDefault="00916DF0" w:rsidP="00916DF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37A3F">
        <w:rPr>
          <w:rFonts w:ascii="Georgia" w:hAnsi="Georgia" w:cs="Arial"/>
        </w:rPr>
        <w:t>ORDENAR al señor Juez Segundo Civil del Circuito local, que en el perentorio término de cuarenta y ocho (48) horas, expida nueva decisión, en el proceso referido, con estricta observancia de las consideraciones jurídicas aquí planteadas.</w:t>
      </w:r>
    </w:p>
    <w:p w:rsidR="00D37A3F" w:rsidRPr="00D37A3F" w:rsidRDefault="00D37A3F" w:rsidP="00D37A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FF5B57" w:rsidRPr="00D37A3F" w:rsidRDefault="00FF5B57" w:rsidP="00FF5B57">
      <w:pPr>
        <w:pStyle w:val="Corpsdetexte"/>
        <w:numPr>
          <w:ilvl w:val="0"/>
          <w:numId w:val="6"/>
        </w:numPr>
        <w:tabs>
          <w:tab w:val="clear" w:pos="720"/>
          <w:tab w:val="num" w:pos="360"/>
        </w:tabs>
        <w:spacing w:line="360" w:lineRule="auto"/>
        <w:ind w:left="360"/>
        <w:rPr>
          <w:rFonts w:ascii="Georgia" w:hAnsi="Georgia" w:cs="Arial"/>
          <w:szCs w:val="24"/>
        </w:rPr>
      </w:pPr>
      <w:r w:rsidRPr="00D37A3F">
        <w:rPr>
          <w:rFonts w:ascii="Georgia" w:hAnsi="Georgia" w:cs="Arial"/>
          <w:szCs w:val="24"/>
        </w:rPr>
        <w:t xml:space="preserve">REMITIR este expediente, a la </w:t>
      </w:r>
      <w:r w:rsidR="00797AD1" w:rsidRPr="00D37A3F">
        <w:rPr>
          <w:rFonts w:ascii="Georgia" w:hAnsi="Georgia" w:cs="Arial"/>
          <w:szCs w:val="24"/>
        </w:rPr>
        <w:t xml:space="preserve">CC </w:t>
      </w:r>
      <w:r w:rsidRPr="00D37A3F">
        <w:rPr>
          <w:rFonts w:ascii="Georgia" w:hAnsi="Georgia" w:cs="Arial"/>
          <w:szCs w:val="24"/>
        </w:rPr>
        <w:t>para su eventual revisión, de no ser impugnada.</w:t>
      </w:r>
    </w:p>
    <w:p w:rsidR="001236E9" w:rsidRPr="00D37A3F" w:rsidRDefault="001236E9" w:rsidP="001236E9">
      <w:pPr>
        <w:pStyle w:val="Paragraphedeliste"/>
        <w:widowControl/>
        <w:autoSpaceDE/>
        <w:autoSpaceDN/>
        <w:adjustRightInd/>
        <w:spacing w:line="360" w:lineRule="auto"/>
        <w:ind w:left="360" w:right="51"/>
        <w:contextualSpacing/>
        <w:jc w:val="both"/>
        <w:rPr>
          <w:rFonts w:ascii="Georgia" w:hAnsi="Georgia"/>
          <w:sz w:val="20"/>
        </w:rPr>
      </w:pPr>
    </w:p>
    <w:p w:rsidR="00FF5B57" w:rsidRPr="00D37A3F"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37A3F">
        <w:rPr>
          <w:rFonts w:ascii="Georgia" w:hAnsi="Georgia" w:cs="Arial"/>
        </w:rPr>
        <w:t>ORDENAR el archivo del expediente, surtidos los trámites anteriores.</w:t>
      </w:r>
    </w:p>
    <w:p w:rsidR="00626C89" w:rsidRPr="001E5B6B" w:rsidRDefault="00626C89" w:rsidP="00FF5B57">
      <w:pPr>
        <w:pStyle w:val="Paragraphedeliste"/>
        <w:widowControl/>
        <w:autoSpaceDE/>
        <w:autoSpaceDN/>
        <w:adjustRightInd/>
        <w:spacing w:line="360" w:lineRule="auto"/>
        <w:ind w:left="360" w:right="51"/>
        <w:contextualSpacing/>
        <w:jc w:val="both"/>
        <w:rPr>
          <w:rFonts w:ascii="Georgia" w:hAnsi="Georgia"/>
          <w:sz w:val="16"/>
        </w:rPr>
      </w:pPr>
    </w:p>
    <w:p w:rsidR="00126266" w:rsidRPr="001E5B6B" w:rsidRDefault="00126266" w:rsidP="00126266">
      <w:pPr>
        <w:pStyle w:val="Corpsdetexte"/>
        <w:spacing w:line="360" w:lineRule="auto"/>
        <w:jc w:val="center"/>
        <w:rPr>
          <w:rFonts w:ascii="Georgia" w:hAnsi="Georgia"/>
          <w:smallCaps/>
          <w:szCs w:val="24"/>
          <w:lang w:val="en-US"/>
        </w:rPr>
      </w:pPr>
      <w:proofErr w:type="spellStart"/>
      <w:r w:rsidRPr="001E5B6B">
        <w:rPr>
          <w:rFonts w:ascii="Georgia" w:hAnsi="Georgia"/>
          <w:smallCaps/>
          <w:szCs w:val="24"/>
          <w:lang w:val="en-US"/>
        </w:rPr>
        <w:t>Notifíquese</w:t>
      </w:r>
      <w:proofErr w:type="spellEnd"/>
      <w:r w:rsidRPr="001E5B6B">
        <w:rPr>
          <w:rFonts w:ascii="Georgia" w:hAnsi="Georgia"/>
          <w:smallCaps/>
          <w:szCs w:val="24"/>
          <w:lang w:val="en-US"/>
        </w:rPr>
        <w:t>,</w:t>
      </w:r>
    </w:p>
    <w:p w:rsidR="00150C84" w:rsidRDefault="00150C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150C84" w:rsidRDefault="00150C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150C84" w:rsidRDefault="00150C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150C84" w:rsidRDefault="00150C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150C84" w:rsidRDefault="00150C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150C84" w:rsidRDefault="00150C84"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C16F88" w:rsidRPr="001E5B6B"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1E5B6B" w:rsidRDefault="001E5B6B"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
    <w:p w:rsidR="00205208" w:rsidRDefault="00205208" w:rsidP="002052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p>
    <w:p w:rsidR="00916DF0" w:rsidRDefault="00916DF0" w:rsidP="0020520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p>
    <w:p w:rsidR="00916DF0" w:rsidRDefault="00916DF0" w:rsidP="00150C84">
      <w:pPr>
        <w:widowControl/>
        <w:autoSpaceDE/>
        <w:autoSpaceDN/>
        <w:adjustRightInd/>
        <w:rPr>
          <w:rFonts w:ascii="Arial" w:hAnsi="Arial" w:cs="Times New Roman"/>
          <w:spacing w:val="-3"/>
          <w:w w:val="150"/>
          <w:sz w:val="8"/>
          <w:szCs w:val="10"/>
          <w:lang w:val="en-US"/>
        </w:rPr>
      </w:pPr>
    </w:p>
    <w:sectPr w:rsidR="00916DF0" w:rsidSect="00CA7C7A">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00" w:rsidRDefault="006D2200" w:rsidP="0099045D">
      <w:r>
        <w:separator/>
      </w:r>
    </w:p>
  </w:endnote>
  <w:endnote w:type="continuationSeparator" w:id="0">
    <w:p w:rsidR="006D2200" w:rsidRDefault="006D220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4E" w:rsidRPr="001E5B6B" w:rsidRDefault="004B4B4E"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4B4B4E" w:rsidRPr="001E5B6B" w:rsidRDefault="004B4B4E" w:rsidP="0013771A">
    <w:pPr>
      <w:pStyle w:val="Pieddepage"/>
      <w:spacing w:line="360" w:lineRule="auto"/>
      <w:jc w:val="right"/>
      <w:rPr>
        <w:rFonts w:ascii="Georgia" w:hAnsi="Georgia" w:cs="Arial"/>
        <w:spacing w:val="20"/>
        <w:w w:val="200"/>
        <w:sz w:val="14"/>
        <w:szCs w:val="10"/>
        <w:lang w:val="es-CO"/>
      </w:rPr>
    </w:pPr>
  </w:p>
  <w:p w:rsidR="004B4B4E" w:rsidRPr="001E5B6B" w:rsidRDefault="004B4B4E" w:rsidP="0013771A">
    <w:pPr>
      <w:pStyle w:val="Pieddepage"/>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4B4B4E" w:rsidRPr="001E5B6B" w:rsidRDefault="004B4B4E" w:rsidP="0013771A">
    <w:pPr>
      <w:pStyle w:val="Pieddepage"/>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00" w:rsidRDefault="006D2200" w:rsidP="0099045D">
      <w:r>
        <w:separator/>
      </w:r>
    </w:p>
  </w:footnote>
  <w:footnote w:type="continuationSeparator" w:id="0">
    <w:p w:rsidR="006D2200" w:rsidRDefault="006D2200" w:rsidP="0099045D">
      <w:r>
        <w:continuationSeparator/>
      </w:r>
    </w:p>
  </w:footnote>
  <w:footnote w:id="1">
    <w:p w:rsidR="004B4B4E" w:rsidRPr="00D37A3F" w:rsidRDefault="004B4B4E" w:rsidP="00591386">
      <w:pPr>
        <w:pStyle w:val="Notedebasdepage"/>
        <w:jc w:val="both"/>
        <w:rPr>
          <w:sz w:val="18"/>
          <w:szCs w:val="18"/>
        </w:rPr>
      </w:pPr>
      <w:r w:rsidRPr="00D37A3F">
        <w:rPr>
          <w:rStyle w:val="Appelnotedebasdep"/>
          <w:sz w:val="18"/>
          <w:szCs w:val="18"/>
        </w:rPr>
        <w:footnoteRef/>
      </w:r>
      <w:r w:rsidRPr="00D37A3F">
        <w:rPr>
          <w:sz w:val="18"/>
          <w:szCs w:val="18"/>
        </w:rPr>
        <w:t xml:space="preserve"> QUINCHE R., Manuel F. Vías de hecho, acción de tutela contra providencias, Editorial Temis SA, Bogotá, 2013, p.103.</w:t>
      </w:r>
    </w:p>
  </w:footnote>
  <w:footnote w:id="2">
    <w:p w:rsidR="004B4B4E" w:rsidRPr="00D37A3F" w:rsidRDefault="004B4B4E" w:rsidP="00591386">
      <w:pPr>
        <w:pStyle w:val="Notedebasdepage"/>
        <w:jc w:val="both"/>
        <w:rPr>
          <w:sz w:val="18"/>
          <w:szCs w:val="18"/>
        </w:rPr>
      </w:pPr>
      <w:r w:rsidRPr="00D37A3F">
        <w:rPr>
          <w:rStyle w:val="Appelnotedebasdep"/>
          <w:sz w:val="18"/>
          <w:szCs w:val="18"/>
        </w:rPr>
        <w:footnoteRef/>
      </w:r>
      <w:r w:rsidRPr="00D37A3F">
        <w:rPr>
          <w:sz w:val="18"/>
          <w:szCs w:val="18"/>
        </w:rPr>
        <w:t xml:space="preserve"> QUIROGA N., Édgar A. Tutela contra decisiones judiciales, Universidad Santo Tomás y editorial Ibáñez, Bogotá DC, 2014, p.83.</w:t>
      </w:r>
    </w:p>
  </w:footnote>
  <w:footnote w:id="3">
    <w:p w:rsidR="004B4B4E" w:rsidRPr="00EC27FC" w:rsidRDefault="004B4B4E" w:rsidP="00591386">
      <w:pPr>
        <w:pStyle w:val="Notedebasdepage"/>
        <w:jc w:val="both"/>
        <w:rPr>
          <w:sz w:val="18"/>
          <w:szCs w:val="18"/>
          <w:lang w:val="fr-FR"/>
        </w:rPr>
      </w:pPr>
      <w:r w:rsidRPr="00D37A3F">
        <w:rPr>
          <w:rStyle w:val="Appelnotedebasdep"/>
          <w:sz w:val="18"/>
          <w:szCs w:val="18"/>
        </w:rPr>
        <w:footnoteRef/>
      </w:r>
      <w:r w:rsidRPr="00EC27FC">
        <w:rPr>
          <w:sz w:val="18"/>
          <w:szCs w:val="18"/>
          <w:lang w:val="fr-FR"/>
        </w:rPr>
        <w:t xml:space="preserve"> CC. T-917 de 2011.</w:t>
      </w:r>
    </w:p>
  </w:footnote>
  <w:footnote w:id="4">
    <w:p w:rsidR="004B4B4E" w:rsidRPr="00EC27FC" w:rsidRDefault="004B4B4E" w:rsidP="00591386">
      <w:pPr>
        <w:pStyle w:val="Notedebasdepage"/>
        <w:jc w:val="both"/>
        <w:rPr>
          <w:sz w:val="18"/>
          <w:szCs w:val="18"/>
          <w:lang w:val="fr-FR"/>
        </w:rPr>
      </w:pPr>
      <w:r w:rsidRPr="00D37A3F">
        <w:rPr>
          <w:rStyle w:val="Appelnotedebasdep"/>
          <w:sz w:val="18"/>
          <w:szCs w:val="18"/>
        </w:rPr>
        <w:footnoteRef/>
      </w:r>
      <w:r w:rsidRPr="00EC27FC">
        <w:rPr>
          <w:sz w:val="18"/>
          <w:szCs w:val="18"/>
          <w:lang w:val="fr-FR"/>
        </w:rPr>
        <w:t xml:space="preserve"> CC. C-590 de 2005.</w:t>
      </w:r>
    </w:p>
  </w:footnote>
  <w:footnote w:id="5">
    <w:p w:rsidR="004B4B4E" w:rsidRPr="00EC27FC" w:rsidRDefault="004B4B4E" w:rsidP="00591386">
      <w:pPr>
        <w:pStyle w:val="Notedebasdepage"/>
        <w:jc w:val="both"/>
        <w:rPr>
          <w:sz w:val="18"/>
          <w:szCs w:val="18"/>
          <w:lang w:val="fr-FR"/>
        </w:rPr>
      </w:pPr>
      <w:r w:rsidRPr="00D37A3F">
        <w:rPr>
          <w:rStyle w:val="Appelnotedebasdep"/>
          <w:sz w:val="18"/>
          <w:szCs w:val="18"/>
        </w:rPr>
        <w:footnoteRef/>
      </w:r>
      <w:r w:rsidRPr="00EC27FC">
        <w:rPr>
          <w:sz w:val="18"/>
          <w:szCs w:val="18"/>
          <w:lang w:val="fr-FR"/>
        </w:rPr>
        <w:t xml:space="preserve"> CC. </w:t>
      </w:r>
      <w:r w:rsidRPr="00EC27FC">
        <w:rPr>
          <w:bCs/>
          <w:sz w:val="18"/>
          <w:szCs w:val="18"/>
          <w:lang w:val="fr-FR"/>
        </w:rPr>
        <w:t>SU-222 de 2016 y T-137 de 2017</w:t>
      </w:r>
      <w:r w:rsidRPr="00EC27FC">
        <w:rPr>
          <w:sz w:val="18"/>
          <w:szCs w:val="18"/>
          <w:lang w:val="fr-FR"/>
        </w:rPr>
        <w:t>.</w:t>
      </w:r>
    </w:p>
  </w:footnote>
  <w:footnote w:id="6">
    <w:p w:rsidR="004B4B4E" w:rsidRPr="00EC27FC" w:rsidRDefault="004B4B4E" w:rsidP="00591386">
      <w:pPr>
        <w:pStyle w:val="Notedebasdepage"/>
        <w:jc w:val="both"/>
        <w:rPr>
          <w:sz w:val="18"/>
          <w:szCs w:val="18"/>
          <w:lang w:val="fr-FR"/>
        </w:rPr>
      </w:pPr>
      <w:r w:rsidRPr="00D37A3F">
        <w:rPr>
          <w:rStyle w:val="Appelnotedebasdep"/>
          <w:sz w:val="18"/>
          <w:szCs w:val="18"/>
        </w:rPr>
        <w:footnoteRef/>
      </w:r>
      <w:r w:rsidRPr="00EC27FC">
        <w:rPr>
          <w:sz w:val="18"/>
          <w:szCs w:val="18"/>
          <w:lang w:val="fr-FR"/>
        </w:rPr>
        <w:t xml:space="preserve"> CC. T-307 de 2015.</w:t>
      </w:r>
    </w:p>
  </w:footnote>
  <w:footnote w:id="7">
    <w:p w:rsidR="004B4B4E" w:rsidRPr="00D37A3F" w:rsidRDefault="004B4B4E" w:rsidP="00591386">
      <w:pPr>
        <w:pStyle w:val="Notedebasdepage"/>
        <w:jc w:val="both"/>
        <w:rPr>
          <w:sz w:val="18"/>
          <w:szCs w:val="18"/>
        </w:rPr>
      </w:pPr>
      <w:r w:rsidRPr="00D37A3F">
        <w:rPr>
          <w:sz w:val="18"/>
          <w:szCs w:val="18"/>
          <w:vertAlign w:val="superscript"/>
        </w:rPr>
        <w:footnoteRef/>
      </w:r>
      <w:r w:rsidRPr="00D37A3F">
        <w:rPr>
          <w:sz w:val="18"/>
          <w:szCs w:val="18"/>
        </w:rPr>
        <w:t xml:space="preserve"> ESCUELA JUDICIAL RODRIGO LARA BONILLA. </w:t>
      </w:r>
      <w:r w:rsidRPr="00D37A3F">
        <w:rPr>
          <w:sz w:val="18"/>
          <w:szCs w:val="18"/>
          <w:lang w:val="es-CO"/>
        </w:rPr>
        <w:t xml:space="preserve">La acción de tutela en el ordenamiento constitucional colombiano, Universidad Nacional de Colombia, Catalina Botero Marino, </w:t>
      </w:r>
      <w:proofErr w:type="spellStart"/>
      <w:r w:rsidRPr="00D37A3F">
        <w:rPr>
          <w:sz w:val="18"/>
          <w:szCs w:val="18"/>
          <w:lang w:val="es-CO"/>
        </w:rPr>
        <w:t>Ediprime</w:t>
      </w:r>
      <w:proofErr w:type="spellEnd"/>
      <w:r w:rsidRPr="00D37A3F">
        <w:rPr>
          <w:sz w:val="18"/>
          <w:szCs w:val="18"/>
          <w:lang w:val="es-CO"/>
        </w:rPr>
        <w:t xml:space="preserve"> Ltda., 2006, p.61-75.</w:t>
      </w:r>
    </w:p>
  </w:footnote>
  <w:footnote w:id="8">
    <w:p w:rsidR="004B4B4E" w:rsidRPr="00D37A3F" w:rsidRDefault="004B4B4E" w:rsidP="00591386">
      <w:pPr>
        <w:pStyle w:val="Notedebasdepage"/>
        <w:jc w:val="both"/>
        <w:rPr>
          <w:sz w:val="18"/>
          <w:szCs w:val="18"/>
        </w:rPr>
      </w:pPr>
      <w:r w:rsidRPr="00D37A3F">
        <w:rPr>
          <w:rStyle w:val="Appelnotedebasdep"/>
          <w:sz w:val="18"/>
          <w:szCs w:val="18"/>
        </w:rPr>
        <w:footnoteRef/>
      </w:r>
      <w:r w:rsidRPr="00D37A3F">
        <w:rPr>
          <w:sz w:val="18"/>
          <w:szCs w:val="18"/>
        </w:rPr>
        <w:t xml:space="preserve"> QUINCHE R., Manuel F. La acción de tutela, el amparo en Colombia, Bogotá DC, 2011, p.233-285.</w:t>
      </w:r>
    </w:p>
  </w:footnote>
  <w:footnote w:id="9">
    <w:p w:rsidR="004B4B4E" w:rsidRPr="00EC27FC" w:rsidRDefault="004B4B4E" w:rsidP="00591386">
      <w:pPr>
        <w:pStyle w:val="Notedebasdepage"/>
        <w:jc w:val="both"/>
        <w:rPr>
          <w:sz w:val="18"/>
          <w:szCs w:val="18"/>
          <w:lang w:val="fr-FR"/>
        </w:rPr>
      </w:pPr>
      <w:r w:rsidRPr="00D37A3F">
        <w:rPr>
          <w:rStyle w:val="Appelnotedebasdep"/>
          <w:sz w:val="18"/>
          <w:szCs w:val="18"/>
        </w:rPr>
        <w:footnoteRef/>
      </w:r>
      <w:r w:rsidRPr="00EC27FC">
        <w:rPr>
          <w:sz w:val="18"/>
          <w:szCs w:val="18"/>
          <w:lang w:val="fr-FR"/>
        </w:rPr>
        <w:t xml:space="preserve"> CC. T-024 de 2017.</w:t>
      </w:r>
    </w:p>
  </w:footnote>
  <w:footnote w:id="10">
    <w:p w:rsidR="004B4B4E" w:rsidRPr="00EC27FC" w:rsidRDefault="004B4B4E" w:rsidP="00591386">
      <w:pPr>
        <w:pStyle w:val="Notedebasdepage"/>
        <w:jc w:val="both"/>
        <w:rPr>
          <w:sz w:val="18"/>
          <w:szCs w:val="18"/>
          <w:lang w:val="fr-FR"/>
        </w:rPr>
      </w:pPr>
      <w:r w:rsidRPr="00D37A3F">
        <w:rPr>
          <w:rStyle w:val="Appelnotedebasdep"/>
          <w:sz w:val="18"/>
          <w:szCs w:val="18"/>
        </w:rPr>
        <w:footnoteRef/>
      </w:r>
      <w:r w:rsidRPr="00EC27FC">
        <w:rPr>
          <w:sz w:val="18"/>
          <w:szCs w:val="18"/>
          <w:lang w:val="fr-FR"/>
        </w:rPr>
        <w:t xml:space="preserve"> CC. T-034 de 2017.</w:t>
      </w:r>
    </w:p>
  </w:footnote>
  <w:footnote w:id="11">
    <w:p w:rsidR="004B4B4E" w:rsidRPr="00103E82" w:rsidRDefault="004B4B4E" w:rsidP="00591386">
      <w:pPr>
        <w:pStyle w:val="Notedebasdepage"/>
        <w:jc w:val="both"/>
        <w:rPr>
          <w:sz w:val="18"/>
          <w:szCs w:val="18"/>
          <w:lang w:val="es-CO"/>
        </w:rPr>
      </w:pPr>
      <w:r w:rsidRPr="00D37A3F">
        <w:rPr>
          <w:rStyle w:val="Appelnotedebasdep"/>
          <w:sz w:val="18"/>
          <w:szCs w:val="18"/>
        </w:rPr>
        <w:footnoteRef/>
      </w:r>
      <w:r w:rsidRPr="00D37A3F">
        <w:rPr>
          <w:sz w:val="18"/>
          <w:szCs w:val="18"/>
        </w:rPr>
        <w:t xml:space="preserve"> </w:t>
      </w:r>
      <w:r w:rsidRPr="00D37A3F">
        <w:rPr>
          <w:sz w:val="18"/>
          <w:szCs w:val="18"/>
          <w:lang w:val="es-CO"/>
        </w:rPr>
        <w:t xml:space="preserve">QUINCHE R., Manuel F. Vías de hecho. Acción de tutela contra providencias judiciales. Octava edición, Editorial Temis, Bogotá, 2013, p.128.   </w:t>
      </w:r>
    </w:p>
  </w:footnote>
  <w:footnote w:id="12">
    <w:p w:rsidR="004B4B4E" w:rsidRPr="00103E82" w:rsidRDefault="004B4B4E" w:rsidP="00591386">
      <w:pPr>
        <w:pStyle w:val="Notedebasdepage"/>
        <w:jc w:val="both"/>
        <w:rPr>
          <w:sz w:val="18"/>
          <w:szCs w:val="18"/>
        </w:rPr>
      </w:pPr>
      <w:r w:rsidRPr="00103E82">
        <w:rPr>
          <w:rStyle w:val="Appelnotedebasdep"/>
          <w:sz w:val="18"/>
          <w:szCs w:val="18"/>
        </w:rPr>
        <w:footnoteRef/>
      </w:r>
      <w:r w:rsidRPr="00103E82">
        <w:rPr>
          <w:sz w:val="18"/>
          <w:szCs w:val="18"/>
        </w:rPr>
        <w:t xml:space="preserve"> </w:t>
      </w:r>
      <w:r w:rsidRPr="00103E82">
        <w:rPr>
          <w:sz w:val="18"/>
          <w:szCs w:val="18"/>
          <w:lang w:val="es-MX"/>
        </w:rPr>
        <w:t xml:space="preserve">CC.  T-1180 de 2001, también las </w:t>
      </w:r>
      <w:r w:rsidRPr="00103E82">
        <w:rPr>
          <w:sz w:val="18"/>
          <w:szCs w:val="18"/>
        </w:rPr>
        <w:t>SU-159 de 2002, T-327 de 2011 y T-352 de 2012</w:t>
      </w:r>
      <w:r w:rsidRPr="00103E82">
        <w:rPr>
          <w:sz w:val="18"/>
          <w:szCs w:val="18"/>
          <w:lang w:val="es-MX"/>
        </w:rPr>
        <w:t>.</w:t>
      </w:r>
    </w:p>
  </w:footnote>
  <w:footnote w:id="13">
    <w:p w:rsidR="004B4B4E" w:rsidRPr="00EC27FC" w:rsidRDefault="004B4B4E" w:rsidP="00591386">
      <w:pPr>
        <w:pStyle w:val="Notedebasdepage"/>
        <w:jc w:val="both"/>
        <w:rPr>
          <w:sz w:val="18"/>
          <w:szCs w:val="18"/>
          <w:lang w:val="fr-FR"/>
        </w:rPr>
      </w:pPr>
      <w:r w:rsidRPr="00103E82">
        <w:rPr>
          <w:rStyle w:val="Appelnotedebasdep"/>
          <w:sz w:val="18"/>
          <w:szCs w:val="18"/>
        </w:rPr>
        <w:footnoteRef/>
      </w:r>
      <w:r w:rsidRPr="00EC27FC">
        <w:rPr>
          <w:sz w:val="18"/>
          <w:szCs w:val="18"/>
          <w:lang w:val="fr-FR"/>
        </w:rPr>
        <w:t xml:space="preserve"> CC. T-086 de 2017, T-352 de 2012 </w:t>
      </w:r>
      <w:r w:rsidR="00103E82" w:rsidRPr="00EC27FC">
        <w:rPr>
          <w:sz w:val="18"/>
          <w:szCs w:val="18"/>
          <w:lang w:val="fr-FR"/>
        </w:rPr>
        <w:t xml:space="preserve"> y T-429 de 2011</w:t>
      </w:r>
      <w:r w:rsidRPr="00EC27FC">
        <w:rPr>
          <w:sz w:val="18"/>
          <w:szCs w:val="18"/>
          <w:lang w:val="fr-FR"/>
        </w:rPr>
        <w:t>.</w:t>
      </w:r>
    </w:p>
  </w:footnote>
  <w:footnote w:id="14">
    <w:p w:rsidR="004B4B4E" w:rsidRPr="00D37A3F" w:rsidRDefault="004B4B4E" w:rsidP="00591386">
      <w:pPr>
        <w:pStyle w:val="Notedebasdepage"/>
        <w:jc w:val="both"/>
        <w:rPr>
          <w:sz w:val="18"/>
          <w:szCs w:val="18"/>
          <w:lang w:val="es-CO"/>
        </w:rPr>
      </w:pPr>
      <w:r w:rsidRPr="00103E82">
        <w:rPr>
          <w:rStyle w:val="Appelnotedebasdep"/>
          <w:sz w:val="18"/>
          <w:szCs w:val="18"/>
        </w:rPr>
        <w:footnoteRef/>
      </w:r>
      <w:r w:rsidRPr="00103E82">
        <w:rPr>
          <w:sz w:val="18"/>
          <w:szCs w:val="18"/>
        </w:rPr>
        <w:t xml:space="preserve"> </w:t>
      </w:r>
      <w:r w:rsidRPr="00103E82">
        <w:rPr>
          <w:sz w:val="18"/>
          <w:szCs w:val="18"/>
          <w:lang w:val="es-CO"/>
        </w:rPr>
        <w:t>CSJ, Civil. STC7321-2017.</w:t>
      </w:r>
    </w:p>
  </w:footnote>
  <w:footnote w:id="15">
    <w:p w:rsidR="004B4B4E" w:rsidRPr="00D37A3F" w:rsidRDefault="004B4B4E">
      <w:pPr>
        <w:pStyle w:val="Notedebasdepage"/>
        <w:rPr>
          <w:sz w:val="18"/>
          <w:szCs w:val="18"/>
          <w:lang w:val="es-CO"/>
        </w:rPr>
      </w:pPr>
      <w:r w:rsidRPr="00D37A3F">
        <w:rPr>
          <w:rStyle w:val="Appelnotedebasdep"/>
          <w:sz w:val="18"/>
          <w:szCs w:val="18"/>
        </w:rPr>
        <w:footnoteRef/>
      </w:r>
      <w:r w:rsidRPr="00D37A3F">
        <w:rPr>
          <w:sz w:val="18"/>
          <w:szCs w:val="18"/>
        </w:rPr>
        <w:t xml:space="preserve"> </w:t>
      </w:r>
      <w:r w:rsidRPr="00D37A3F">
        <w:rPr>
          <w:sz w:val="18"/>
          <w:szCs w:val="18"/>
          <w:lang w:val="es-CO"/>
        </w:rPr>
        <w:t xml:space="preserve">TSP, Sala Unitaria Civil-Familia. </w:t>
      </w:r>
      <w:r w:rsidR="00103E82">
        <w:rPr>
          <w:sz w:val="18"/>
          <w:szCs w:val="18"/>
          <w:lang w:val="es-CO"/>
        </w:rPr>
        <w:t xml:space="preserve">Auto del 13-04-2016. </w:t>
      </w:r>
      <w:r w:rsidRPr="00D37A3F">
        <w:rPr>
          <w:sz w:val="18"/>
          <w:szCs w:val="18"/>
          <w:lang w:val="es-CO"/>
        </w:rPr>
        <w:t>MP: Jaime A. Saraza N., No.66001-31-10-003-2015-00783-01.</w:t>
      </w:r>
    </w:p>
  </w:footnote>
  <w:footnote w:id="16">
    <w:p w:rsidR="004B4B4E" w:rsidRPr="00D37A3F" w:rsidRDefault="004B4B4E" w:rsidP="0043239D">
      <w:pPr>
        <w:pStyle w:val="Notedebasdepage"/>
        <w:jc w:val="both"/>
        <w:rPr>
          <w:sz w:val="18"/>
          <w:szCs w:val="18"/>
          <w:lang w:val="es-CO"/>
        </w:rPr>
      </w:pPr>
      <w:r w:rsidRPr="00D37A3F">
        <w:rPr>
          <w:rStyle w:val="Appelnotedebasdep"/>
          <w:sz w:val="18"/>
          <w:szCs w:val="18"/>
        </w:rPr>
        <w:footnoteRef/>
      </w:r>
      <w:r w:rsidRPr="00D37A3F">
        <w:rPr>
          <w:sz w:val="18"/>
          <w:szCs w:val="18"/>
        </w:rPr>
        <w:t xml:space="preserve"> ESCOBAR VÉLEZ, Édgar Guillermo. Los recursos en el código general del proceso, Librería Jurídica Sánchez R. </w:t>
      </w:r>
      <w:proofErr w:type="spellStart"/>
      <w:r w:rsidRPr="00D37A3F">
        <w:rPr>
          <w:sz w:val="18"/>
          <w:szCs w:val="18"/>
        </w:rPr>
        <w:t>Ltda</w:t>
      </w:r>
      <w:proofErr w:type="spellEnd"/>
      <w:r w:rsidRPr="00D37A3F">
        <w:rPr>
          <w:sz w:val="18"/>
          <w:szCs w:val="18"/>
        </w:rPr>
        <w:t>, 1ª edición, 2015, Medellín, p.75.</w:t>
      </w:r>
    </w:p>
  </w:footnote>
  <w:footnote w:id="17">
    <w:p w:rsidR="004B4B4E" w:rsidRPr="00D37A3F" w:rsidRDefault="004B4B4E" w:rsidP="0043239D">
      <w:pPr>
        <w:pStyle w:val="Notedebasdepage"/>
        <w:jc w:val="both"/>
        <w:rPr>
          <w:sz w:val="18"/>
          <w:szCs w:val="18"/>
          <w:lang w:val="es-CO"/>
        </w:rPr>
      </w:pPr>
      <w:r w:rsidRPr="00D37A3F">
        <w:rPr>
          <w:rStyle w:val="Appelnotedebasdep"/>
          <w:sz w:val="18"/>
          <w:szCs w:val="18"/>
        </w:rPr>
        <w:footnoteRef/>
      </w:r>
      <w:r w:rsidRPr="00D37A3F">
        <w:rPr>
          <w:sz w:val="18"/>
          <w:szCs w:val="18"/>
        </w:rPr>
        <w:t xml:space="preserve"> ROJAS GÓMEZ, Miguel Enrique. Lecciones de derecho procesal, Procedimiento Civil, tomo II, Escuela de Actualización Jurídica, 5ª edición, 2013, Bogotá DC, p.353.</w:t>
      </w:r>
    </w:p>
  </w:footnote>
  <w:footnote w:id="18">
    <w:p w:rsidR="004B4B4E" w:rsidRPr="00D37A3F" w:rsidRDefault="004B4B4E" w:rsidP="0043239D">
      <w:pPr>
        <w:pStyle w:val="Notedebasdepage"/>
        <w:jc w:val="both"/>
        <w:rPr>
          <w:sz w:val="18"/>
          <w:szCs w:val="18"/>
          <w:lang w:val="es-CO"/>
        </w:rPr>
      </w:pPr>
      <w:r w:rsidRPr="00D37A3F">
        <w:rPr>
          <w:rStyle w:val="Appelnotedebasdep"/>
          <w:sz w:val="18"/>
          <w:szCs w:val="18"/>
        </w:rPr>
        <w:footnoteRef/>
      </w:r>
      <w:r w:rsidRPr="00D37A3F">
        <w:rPr>
          <w:sz w:val="18"/>
          <w:szCs w:val="18"/>
        </w:rPr>
        <w:t xml:space="preserve"> PELÁEZ HERNÁNDEZ, Ramón Antonio. La oralidad en el proceso civil, Ediciones Nueva Jurídica, 2ª edición, 2015, Bogotá DC, P.71.</w:t>
      </w:r>
    </w:p>
  </w:footnote>
  <w:footnote w:id="19">
    <w:p w:rsidR="004B4B4E" w:rsidRPr="00D37A3F" w:rsidRDefault="004B4B4E" w:rsidP="0043239D">
      <w:pPr>
        <w:pStyle w:val="Notedebasdepage"/>
        <w:jc w:val="both"/>
        <w:rPr>
          <w:sz w:val="18"/>
          <w:szCs w:val="18"/>
        </w:rPr>
      </w:pPr>
      <w:r w:rsidRPr="00D37A3F">
        <w:rPr>
          <w:rStyle w:val="Appelnotedebasdep"/>
          <w:sz w:val="18"/>
          <w:szCs w:val="18"/>
        </w:rPr>
        <w:footnoteRef/>
      </w:r>
      <w:r w:rsidRPr="00D37A3F">
        <w:rPr>
          <w:sz w:val="18"/>
          <w:szCs w:val="18"/>
        </w:rPr>
        <w:t xml:space="preserve"> ROJAS GÓMEZ, Miguel Enrique. Lecciones de derecho procesal, Procedimiento Civil, tomo II, Escuela de Actualización Jurídica, 5ª edición, 2013, Bogotá DC, p.353.</w:t>
      </w:r>
    </w:p>
  </w:footnote>
  <w:footnote w:id="20">
    <w:p w:rsidR="004B4B4E" w:rsidRPr="0043239D" w:rsidRDefault="004B4B4E">
      <w:pPr>
        <w:pStyle w:val="Notedebasdepage"/>
        <w:rPr>
          <w:lang w:val="es-CO"/>
        </w:rPr>
      </w:pPr>
      <w:r w:rsidRPr="00D37A3F">
        <w:rPr>
          <w:rStyle w:val="Appelnotedebasdep"/>
          <w:sz w:val="18"/>
          <w:szCs w:val="18"/>
        </w:rPr>
        <w:footnoteRef/>
      </w:r>
      <w:r w:rsidRPr="00D37A3F">
        <w:rPr>
          <w:sz w:val="18"/>
          <w:szCs w:val="18"/>
        </w:rPr>
        <w:t xml:space="preserve"> </w:t>
      </w:r>
      <w:r w:rsidRPr="00D37A3F">
        <w:rPr>
          <w:sz w:val="18"/>
          <w:szCs w:val="18"/>
          <w:lang w:val="es-CO"/>
        </w:rPr>
        <w:t xml:space="preserve">CSJ, Civil. STC588-2017 y STC2400-2017, también las STC15304-2016 y STC18085-2016, entre otras. </w:t>
      </w:r>
    </w:p>
  </w:footnote>
  <w:footnote w:id="21">
    <w:p w:rsidR="00103E82" w:rsidRPr="00D37A3F" w:rsidRDefault="00103E82" w:rsidP="00103E82">
      <w:pPr>
        <w:pStyle w:val="Notedebasdepage"/>
        <w:rPr>
          <w:sz w:val="18"/>
          <w:szCs w:val="18"/>
          <w:lang w:val="es-CO"/>
        </w:rPr>
      </w:pPr>
      <w:r w:rsidRPr="00D37A3F">
        <w:rPr>
          <w:rStyle w:val="Appelnotedebasdep"/>
          <w:sz w:val="18"/>
          <w:szCs w:val="18"/>
        </w:rPr>
        <w:footnoteRef/>
      </w:r>
      <w:r w:rsidRPr="00D37A3F">
        <w:rPr>
          <w:sz w:val="18"/>
          <w:szCs w:val="18"/>
        </w:rPr>
        <w:t xml:space="preserve"> </w:t>
      </w:r>
      <w:r w:rsidRPr="00D37A3F">
        <w:rPr>
          <w:sz w:val="18"/>
          <w:szCs w:val="18"/>
          <w:lang w:val="es-CO"/>
        </w:rPr>
        <w:t xml:space="preserve">TSP, Sala Unitaria Civil-Familia. </w:t>
      </w:r>
      <w:r>
        <w:rPr>
          <w:sz w:val="18"/>
          <w:szCs w:val="18"/>
          <w:lang w:val="es-CO"/>
        </w:rPr>
        <w:t xml:space="preserve">Auto del 13-04-2016. </w:t>
      </w:r>
      <w:r w:rsidRPr="00D37A3F">
        <w:rPr>
          <w:sz w:val="18"/>
          <w:szCs w:val="18"/>
          <w:lang w:val="es-CO"/>
        </w:rPr>
        <w:t>MP: Jaime A. Saraza N., No.66001-31-10-003-2015-00783-01.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4E" w:rsidRPr="001E5B6B" w:rsidRDefault="004B4B4E">
    <w:pPr>
      <w:pStyle w:val="En-tte"/>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EC27FC">
      <w:rPr>
        <w:rFonts w:ascii="Georgia" w:hAnsi="Georgia" w:cs="Calibri"/>
        <w:i/>
        <w:noProof/>
        <w:sz w:val="20"/>
      </w:rPr>
      <w:t>1</w:t>
    </w:r>
    <w:r w:rsidRPr="001E5B6B">
      <w:rPr>
        <w:rFonts w:ascii="Georgia" w:hAnsi="Georgia" w:cs="Calibri"/>
        <w:i/>
        <w:sz w:val="20"/>
      </w:rPr>
      <w:fldChar w:fldCharType="end"/>
    </w:r>
  </w:p>
  <w:p w:rsidR="004B4B4E" w:rsidRPr="001E5B6B" w:rsidRDefault="004B4B4E" w:rsidP="009C568C">
    <w:pPr>
      <w:pStyle w:val="En-tte"/>
      <w:ind w:right="360"/>
      <w:jc w:val="both"/>
      <w:rPr>
        <w:rFonts w:ascii="Georgia" w:hAnsi="Georgia" w:cs="Calibri"/>
        <w:i/>
        <w:sz w:val="20"/>
        <w:szCs w:val="22"/>
      </w:rPr>
    </w:pPr>
    <w:r w:rsidRPr="001E5B6B">
      <w:rPr>
        <w:rFonts w:ascii="Georgia" w:hAnsi="Georgia" w:cs="Calibri"/>
        <w:i/>
        <w:sz w:val="20"/>
        <w:szCs w:val="22"/>
      </w:rPr>
      <w:t>EXPEDIENTE No. 2017-</w:t>
    </w:r>
    <w:r>
      <w:rPr>
        <w:rFonts w:ascii="Georgia" w:hAnsi="Georgia" w:cs="Calibri"/>
        <w:i/>
        <w:sz w:val="20"/>
        <w:szCs w:val="22"/>
      </w:rPr>
      <w:t>01004</w:t>
    </w:r>
    <w:r w:rsidRPr="001E5B6B">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907D87"/>
    <w:multiLevelType w:val="hybridMultilevel"/>
    <w:tmpl w:val="A4F25EC2"/>
    <w:lvl w:ilvl="0" w:tplc="E74CF6CC">
      <w:start w:val="1"/>
      <w:numFmt w:val="decimal"/>
      <w:suff w:val="nothing"/>
      <w:lvlText w:val="%1."/>
      <w:lvlJc w:val="left"/>
      <w:pPr>
        <w:ind w:left="567" w:firstLine="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5F5F2C"/>
    <w:multiLevelType w:val="multilevel"/>
    <w:tmpl w:val="AC54ACB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5"/>
  </w:num>
  <w:num w:numId="4">
    <w:abstractNumId w:val="2"/>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6"/>
  </w:num>
  <w:num w:numId="13">
    <w:abstractNumId w:val="9"/>
  </w:num>
  <w:num w:numId="14">
    <w:abstractNumId w:val="12"/>
  </w:num>
  <w:num w:numId="15">
    <w:abstractNumId w:val="17"/>
  </w:num>
  <w:num w:numId="16">
    <w:abstractNumId w:val="3"/>
  </w:num>
  <w:num w:numId="17">
    <w:abstractNumId w:val="19"/>
  </w:num>
  <w:num w:numId="18">
    <w:abstractNumId w:val="7"/>
  </w:num>
  <w:num w:numId="19">
    <w:abstractNumId w:val="5"/>
  </w:num>
  <w:num w:numId="20">
    <w:abstractNumId w:val="13"/>
  </w:num>
  <w:num w:numId="21">
    <w:abstractNumId w:val="21"/>
  </w:num>
  <w:num w:numId="22">
    <w:abstractNumId w:val="24"/>
  </w:num>
  <w:num w:numId="23">
    <w:abstractNumId w:val="6"/>
  </w:num>
  <w:num w:numId="24">
    <w:abstractNumId w:val="11"/>
  </w:num>
  <w:num w:numId="25">
    <w:abstractNumId w:val="7"/>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8"/>
  </w:num>
  <w:num w:numId="31">
    <w:abstractNumId w:val="10"/>
  </w:num>
  <w:num w:numId="32">
    <w:abstractNumId w:val="18"/>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9B1"/>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0C7"/>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82"/>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14A"/>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84"/>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0D8"/>
    <w:rsid w:val="00265F36"/>
    <w:rsid w:val="00266971"/>
    <w:rsid w:val="00266F3B"/>
    <w:rsid w:val="002672EC"/>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AA0"/>
    <w:rsid w:val="002B306A"/>
    <w:rsid w:val="002B48D5"/>
    <w:rsid w:val="002B49BF"/>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1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39D"/>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33E"/>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0DD"/>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B4E"/>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5E7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77FD0"/>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386"/>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6C72"/>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1D6E"/>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200"/>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75"/>
    <w:rsid w:val="007A0C32"/>
    <w:rsid w:val="007A0E06"/>
    <w:rsid w:val="007A0F51"/>
    <w:rsid w:val="007A0FCB"/>
    <w:rsid w:val="007A15A0"/>
    <w:rsid w:val="007A1D65"/>
    <w:rsid w:val="007A2019"/>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3C8F"/>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DF0"/>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66B"/>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752"/>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498"/>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1F2E"/>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36"/>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19B"/>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221"/>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34"/>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3F"/>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3E2"/>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267"/>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17D5B"/>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7FC"/>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2B"/>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47E6A"/>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81700696">
      <w:bodyDiv w:val="1"/>
      <w:marLeft w:val="0"/>
      <w:marRight w:val="0"/>
      <w:marTop w:val="0"/>
      <w:marBottom w:val="0"/>
      <w:divBdr>
        <w:top w:val="none" w:sz="0" w:space="0" w:color="auto"/>
        <w:left w:val="none" w:sz="0" w:space="0" w:color="auto"/>
        <w:bottom w:val="none" w:sz="0" w:space="0" w:color="auto"/>
        <w:right w:val="none" w:sz="0" w:space="0" w:color="auto"/>
      </w:divBdr>
    </w:div>
    <w:div w:id="547453030">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62184165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02007040">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8B06-27A1-4EA6-8CA9-059CD325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3209</Words>
  <Characters>17650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11</cp:revision>
  <cp:lastPrinted>2017-09-08T18:57:00Z</cp:lastPrinted>
  <dcterms:created xsi:type="dcterms:W3CDTF">2017-09-07T12:06:00Z</dcterms:created>
  <dcterms:modified xsi:type="dcterms:W3CDTF">2017-11-01T09:27:00Z</dcterms:modified>
</cp:coreProperties>
</file>