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7D" w:rsidRDefault="00A41C7D" w:rsidP="00A41C7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41C7D" w:rsidRDefault="00A41C7D" w:rsidP="00A41C7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A41C7D" w:rsidRDefault="00A41C7D" w:rsidP="00A41C7D">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Auto  – 2ª instancia – 19 de octubre de 2017</w:t>
      </w:r>
    </w:p>
    <w:p w:rsidR="00A41C7D" w:rsidRDefault="00A41C7D" w:rsidP="00A41C7D">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sidRPr="00A41C7D">
        <w:rPr>
          <w:rFonts w:ascii="Calibri" w:hAnsi="Calibri" w:cs="Calibri"/>
          <w:color w:val="222222"/>
          <w:spacing w:val="-6"/>
          <w:sz w:val="18"/>
          <w:szCs w:val="18"/>
          <w:lang w:val="es-CO" w:eastAsia="fr-FR"/>
        </w:rPr>
        <w:t>Ejecutivo con pretensión personal</w:t>
      </w:r>
    </w:p>
    <w:p w:rsidR="00A41C7D" w:rsidRDefault="00A41C7D" w:rsidP="00A41C7D">
      <w:pPr>
        <w:shd w:val="clear" w:color="auto" w:fill="FFFFFF"/>
        <w:tabs>
          <w:tab w:val="left" w:pos="1843"/>
          <w:tab w:val="left" w:pos="4755"/>
        </w:tabs>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A41C7D">
        <w:rPr>
          <w:rFonts w:ascii="Calibri" w:hAnsi="Calibri" w:cs="Calibri"/>
          <w:bCs/>
          <w:spacing w:val="-6"/>
          <w:sz w:val="18"/>
          <w:szCs w:val="18"/>
          <w:lang w:val="es-ES_tradnl" w:eastAsia="en-US"/>
        </w:rPr>
        <w:t>2017-00141-01</w:t>
      </w:r>
    </w:p>
    <w:p w:rsidR="00A41C7D" w:rsidRDefault="00A41C7D" w:rsidP="00A41C7D">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 xml:space="preserve">Demandante: </w:t>
      </w:r>
      <w:r>
        <w:rPr>
          <w:rFonts w:ascii="Calibri" w:hAnsi="Calibri" w:cs="Calibri"/>
          <w:bCs/>
          <w:iCs/>
          <w:color w:val="222222"/>
          <w:sz w:val="18"/>
          <w:szCs w:val="18"/>
          <w:lang w:eastAsia="fr-FR"/>
        </w:rPr>
        <w:tab/>
      </w:r>
      <w:r w:rsidRPr="00A41C7D">
        <w:rPr>
          <w:rFonts w:ascii="Calibri" w:hAnsi="Calibri" w:cs="Calibri"/>
          <w:bCs/>
          <w:iCs/>
          <w:color w:val="222222"/>
          <w:sz w:val="18"/>
          <w:szCs w:val="18"/>
          <w:lang w:eastAsia="fr-FR"/>
        </w:rPr>
        <w:t xml:space="preserve">Caja de Compensación Familia de Risaralda – </w:t>
      </w:r>
      <w:proofErr w:type="spellStart"/>
      <w:r w:rsidRPr="00A41C7D">
        <w:rPr>
          <w:rFonts w:ascii="Calibri" w:hAnsi="Calibri" w:cs="Calibri"/>
          <w:bCs/>
          <w:iCs/>
          <w:color w:val="222222"/>
          <w:sz w:val="18"/>
          <w:szCs w:val="18"/>
          <w:lang w:eastAsia="fr-FR"/>
        </w:rPr>
        <w:t>Comfamiliar</w:t>
      </w:r>
      <w:proofErr w:type="spellEnd"/>
      <w:r w:rsidRPr="00A41C7D">
        <w:rPr>
          <w:rFonts w:ascii="Calibri" w:hAnsi="Calibri" w:cs="Calibri"/>
          <w:bCs/>
          <w:iCs/>
          <w:color w:val="222222"/>
          <w:sz w:val="18"/>
          <w:szCs w:val="18"/>
          <w:lang w:eastAsia="fr-FR"/>
        </w:rPr>
        <w:t xml:space="preserve"> Risaralda</w:t>
      </w:r>
    </w:p>
    <w:p w:rsidR="00A41C7D" w:rsidRDefault="00A41C7D" w:rsidP="00A41C7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Demandado:</w:t>
      </w:r>
      <w:r>
        <w:rPr>
          <w:rFonts w:ascii="Calibri" w:hAnsi="Calibri" w:cs="Calibri"/>
          <w:color w:val="222222"/>
          <w:sz w:val="18"/>
          <w:szCs w:val="18"/>
          <w:lang w:val="es-CO" w:eastAsia="fr-FR"/>
        </w:rPr>
        <w:tab/>
      </w:r>
      <w:proofErr w:type="spellStart"/>
      <w:r w:rsidRPr="00A41C7D">
        <w:rPr>
          <w:rFonts w:ascii="Calibri" w:hAnsi="Calibri" w:cs="Calibri"/>
          <w:bCs/>
          <w:iCs/>
          <w:color w:val="222222"/>
          <w:sz w:val="18"/>
          <w:szCs w:val="18"/>
          <w:lang w:eastAsia="fr-FR"/>
        </w:rPr>
        <w:t>Cafesalud</w:t>
      </w:r>
      <w:proofErr w:type="spellEnd"/>
      <w:r w:rsidRPr="00A41C7D">
        <w:rPr>
          <w:rFonts w:ascii="Calibri" w:hAnsi="Calibri" w:cs="Calibri"/>
          <w:bCs/>
          <w:iCs/>
          <w:color w:val="222222"/>
          <w:sz w:val="18"/>
          <w:szCs w:val="18"/>
          <w:lang w:eastAsia="fr-FR"/>
        </w:rPr>
        <w:t xml:space="preserve"> </w:t>
      </w:r>
      <w:proofErr w:type="spellStart"/>
      <w:r w:rsidRPr="00A41C7D">
        <w:rPr>
          <w:rFonts w:ascii="Calibri" w:hAnsi="Calibri" w:cs="Calibri"/>
          <w:bCs/>
          <w:iCs/>
          <w:color w:val="222222"/>
          <w:sz w:val="18"/>
          <w:szCs w:val="18"/>
          <w:lang w:eastAsia="fr-FR"/>
        </w:rPr>
        <w:t>EPS</w:t>
      </w:r>
      <w:proofErr w:type="spellEnd"/>
      <w:r w:rsidRPr="00A41C7D">
        <w:rPr>
          <w:rFonts w:ascii="Calibri" w:hAnsi="Calibri" w:cs="Calibri"/>
          <w:bCs/>
          <w:iCs/>
          <w:color w:val="222222"/>
          <w:sz w:val="18"/>
          <w:szCs w:val="18"/>
          <w:lang w:eastAsia="fr-FR"/>
        </w:rPr>
        <w:t xml:space="preserve"> </w:t>
      </w: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A41C7D" w:rsidRDefault="00A41C7D" w:rsidP="00A41C7D">
      <w:pPr>
        <w:shd w:val="clear" w:color="auto" w:fill="FFFFFF"/>
        <w:tabs>
          <w:tab w:val="left" w:pos="1843"/>
          <w:tab w:val="left" w:pos="4755"/>
        </w:tabs>
        <w:ind w:left="1843" w:hanging="1843"/>
        <w:jc w:val="both"/>
        <w:rPr>
          <w:sz w:val="16"/>
          <w:szCs w:val="16"/>
          <w:lang w:val="es-CO" w:eastAsia="fr-FR"/>
        </w:rPr>
      </w:pPr>
    </w:p>
    <w:p w:rsidR="00A41C7D" w:rsidRDefault="00A41C7D" w:rsidP="00A41C7D">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sidR="00F56089">
        <w:rPr>
          <w:rFonts w:ascii="Calibri" w:hAnsi="Calibri" w:cs="Calibri"/>
          <w:b/>
          <w:bCs/>
          <w:iCs/>
          <w:color w:val="222222"/>
          <w:sz w:val="18"/>
          <w:szCs w:val="18"/>
          <w:lang w:val="es-CO" w:eastAsia="fr-FR"/>
        </w:rPr>
        <w:t>NOTIFICACIONES / SIGLO XXI MEDIO DE</w:t>
      </w:r>
      <w:r>
        <w:rPr>
          <w:rFonts w:ascii="Calibri" w:hAnsi="Calibri" w:cs="Calibri"/>
          <w:b/>
          <w:bCs/>
          <w:iCs/>
          <w:color w:val="222222"/>
          <w:sz w:val="18"/>
          <w:szCs w:val="18"/>
          <w:lang w:val="es-CO" w:eastAsia="fr-FR"/>
        </w:rPr>
        <w:t xml:space="preserve"> PUBLICIDAD / </w:t>
      </w:r>
      <w:r>
        <w:rPr>
          <w:rFonts w:ascii="Calibri" w:hAnsi="Calibri" w:cs="Calibri"/>
          <w:b/>
          <w:bCs/>
          <w:iCs/>
          <w:color w:val="222222"/>
          <w:sz w:val="18"/>
          <w:szCs w:val="18"/>
          <w:lang w:val="es-CO" w:eastAsia="fr-FR"/>
        </w:rPr>
        <w:t xml:space="preserve">RECHAZO DE LA DEMANDA / </w:t>
      </w:r>
      <w:r>
        <w:rPr>
          <w:rFonts w:ascii="Calibri" w:hAnsi="Calibri" w:cs="Calibri"/>
          <w:b/>
          <w:bCs/>
          <w:iCs/>
          <w:color w:val="222222"/>
          <w:sz w:val="18"/>
          <w:szCs w:val="18"/>
          <w:lang w:val="es-CO" w:eastAsia="fr-FR"/>
        </w:rPr>
        <w:t xml:space="preserve">CONFIRMA </w:t>
      </w:r>
      <w:r>
        <w:rPr>
          <w:rFonts w:ascii="Calibri" w:hAnsi="Calibri" w:cs="Calibri"/>
          <w:b/>
          <w:bCs/>
          <w:iCs/>
          <w:color w:val="222222"/>
          <w:sz w:val="18"/>
          <w:szCs w:val="18"/>
          <w:lang w:val="es-CO" w:eastAsia="fr-FR"/>
        </w:rPr>
        <w:t xml:space="preserve">- </w:t>
      </w:r>
      <w:r w:rsidR="00F56089" w:rsidRPr="00F56089">
        <w:rPr>
          <w:rFonts w:ascii="Calibri" w:hAnsi="Calibri" w:cs="Calibri"/>
          <w:bCs/>
          <w:iCs/>
          <w:color w:val="222222"/>
          <w:sz w:val="18"/>
          <w:szCs w:val="18"/>
          <w:lang w:val="es-ES_tradnl" w:eastAsia="fr-FR"/>
        </w:rPr>
        <w:t>El mandatario judicial indicó que le fue imposible subsanar la demanda porque el proveído que inadmitió la demanda no le fue notificado, ya que se omitió registrarlo en el sistema “Justicia Siglo XXI” y con ello se le impidió conocer ese proveído y cumplir la carga que se le imponía (Folios 19 a 21, cuaderno No.1 principal).</w:t>
      </w:r>
      <w:r w:rsidRPr="00AE7FF0">
        <w:rPr>
          <w:rFonts w:ascii="Calibri" w:hAnsi="Calibri" w:cs="Calibri"/>
          <w:bCs/>
          <w:iCs/>
          <w:color w:val="222222"/>
          <w:sz w:val="18"/>
          <w:szCs w:val="18"/>
          <w:lang w:val="es-ES_tradnl" w:eastAsia="fr-FR"/>
        </w:rPr>
        <w:t xml:space="preserve"> </w:t>
      </w:r>
    </w:p>
    <w:p w:rsidR="00A41C7D" w:rsidRDefault="00A41C7D" w:rsidP="00A41C7D">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F56089" w:rsidRPr="00F56089" w:rsidRDefault="00F56089" w:rsidP="00F56089">
      <w:pPr>
        <w:tabs>
          <w:tab w:val="left" w:pos="1843"/>
          <w:tab w:val="left" w:pos="2432"/>
        </w:tabs>
        <w:spacing w:after="200"/>
        <w:jc w:val="both"/>
        <w:rPr>
          <w:rFonts w:ascii="Calibri" w:hAnsi="Calibri" w:cs="Calibri"/>
          <w:bCs/>
          <w:iCs/>
          <w:color w:val="222222"/>
          <w:sz w:val="18"/>
          <w:szCs w:val="18"/>
          <w:lang w:val="es-ES_tradnl" w:eastAsia="fr-FR"/>
        </w:rPr>
      </w:pPr>
      <w:r w:rsidRPr="00F56089">
        <w:rPr>
          <w:rFonts w:ascii="Calibri" w:hAnsi="Calibri" w:cs="Calibri"/>
          <w:bCs/>
          <w:iCs/>
          <w:color w:val="222222"/>
          <w:sz w:val="18"/>
          <w:szCs w:val="18"/>
          <w:lang w:val="es-ES_tradnl" w:eastAsia="fr-FR"/>
        </w:rPr>
        <w:t xml:space="preserve">Las providencias judiciales, a menos que deban notificarse de otra forma como las excepciones contempladas en los artículos 290 y 294, </w:t>
      </w:r>
      <w:proofErr w:type="spellStart"/>
      <w:r w:rsidRPr="00F56089">
        <w:rPr>
          <w:rFonts w:ascii="Calibri" w:hAnsi="Calibri" w:cs="Calibri"/>
          <w:bCs/>
          <w:iCs/>
          <w:color w:val="222222"/>
          <w:sz w:val="18"/>
          <w:szCs w:val="18"/>
          <w:lang w:val="es-ES_tradnl" w:eastAsia="fr-FR"/>
        </w:rPr>
        <w:t>CGP</w:t>
      </w:r>
      <w:proofErr w:type="spellEnd"/>
      <w:r w:rsidRPr="00F56089">
        <w:rPr>
          <w:rFonts w:ascii="Calibri" w:hAnsi="Calibri" w:cs="Calibri"/>
          <w:bCs/>
          <w:iCs/>
          <w:color w:val="222222"/>
          <w:sz w:val="18"/>
          <w:szCs w:val="18"/>
          <w:lang w:val="es-ES_tradnl" w:eastAsia="fr-FR"/>
        </w:rPr>
        <w:t xml:space="preserve">, se cumplen con anotación en estados que elabora el secretario, en la que, por regla general, están incluidos los proveídos emitidos el día anterior y en él se verificarán las reglas establecidas en el artículo 295, </w:t>
      </w:r>
      <w:proofErr w:type="spellStart"/>
      <w:r w:rsidRPr="00F56089">
        <w:rPr>
          <w:rFonts w:ascii="Calibri" w:hAnsi="Calibri" w:cs="Calibri"/>
          <w:bCs/>
          <w:iCs/>
          <w:color w:val="222222"/>
          <w:sz w:val="18"/>
          <w:szCs w:val="18"/>
          <w:lang w:val="es-ES_tradnl" w:eastAsia="fr-FR"/>
        </w:rPr>
        <w:t>CGP</w:t>
      </w:r>
      <w:proofErr w:type="spellEnd"/>
      <w:r w:rsidRPr="00F56089">
        <w:rPr>
          <w:rFonts w:ascii="Calibri" w:hAnsi="Calibri" w:cs="Calibri"/>
          <w:bCs/>
          <w:iCs/>
          <w:color w:val="222222"/>
          <w:sz w:val="18"/>
          <w:szCs w:val="18"/>
          <w:lang w:val="es-ES_tradnl" w:eastAsia="fr-FR"/>
        </w:rPr>
        <w:t xml:space="preserve">. </w:t>
      </w:r>
    </w:p>
    <w:p w:rsidR="00F56089" w:rsidRPr="00F56089" w:rsidRDefault="00F56089" w:rsidP="00F56089">
      <w:pPr>
        <w:tabs>
          <w:tab w:val="left" w:pos="1843"/>
          <w:tab w:val="left" w:pos="2432"/>
        </w:tabs>
        <w:spacing w:after="200"/>
        <w:jc w:val="both"/>
        <w:rPr>
          <w:rFonts w:ascii="Calibri" w:hAnsi="Calibri" w:cs="Calibri"/>
          <w:bCs/>
          <w:iCs/>
          <w:color w:val="222222"/>
          <w:sz w:val="18"/>
          <w:szCs w:val="18"/>
          <w:lang w:val="es-ES_tradnl" w:eastAsia="fr-FR"/>
        </w:rPr>
      </w:pPr>
      <w:r w:rsidRPr="00F56089">
        <w:rPr>
          <w:rFonts w:ascii="Calibri" w:hAnsi="Calibri" w:cs="Calibri"/>
          <w:bCs/>
          <w:iCs/>
          <w:color w:val="222222"/>
          <w:sz w:val="18"/>
          <w:szCs w:val="18"/>
          <w:lang w:val="es-ES_tradnl" w:eastAsia="fr-FR"/>
        </w:rPr>
        <w:t>El parágrafo de la última norma establece que cuando los juzgados cuenten con los recursos técnicos publicarán los estados por mensaje de datos, sin que pueda interpretarse que el sistema “Siglo XXI” constituya ese medio de notificación consagrado en el nuevo ordenamiento, así lo enfatizo en reciente (17-08-2017)  decisión la CSJ: “(…) menester es recordar que el Código General del Proceso regula la forma en que deben darse a conocer las providencias judiciales a las partes e intervinientes, previsión a la que están sujetas y en la que no se ha incluido el sistema de gestión judicial como un medio de enteramiento. De suerte que si las autoridades judiciales resuelven alimentar dicho sistema con las actuaciones de cada asunto puesto en su conocimiento, tal registro debe entenderse como una herramienta de seguimiento, pero no, en manera alguna, como una forma de comunicación a los sujetos procesales (…)”.</w:t>
      </w:r>
    </w:p>
    <w:p w:rsidR="00F56089" w:rsidRPr="00F56089" w:rsidRDefault="00F56089" w:rsidP="00F56089">
      <w:pPr>
        <w:tabs>
          <w:tab w:val="left" w:pos="1843"/>
          <w:tab w:val="left" w:pos="2432"/>
        </w:tabs>
        <w:spacing w:after="200"/>
        <w:jc w:val="both"/>
        <w:rPr>
          <w:rFonts w:ascii="Calibri" w:hAnsi="Calibri" w:cs="Calibri"/>
          <w:bCs/>
          <w:iCs/>
          <w:color w:val="222222"/>
          <w:sz w:val="18"/>
          <w:szCs w:val="18"/>
          <w:lang w:val="es-ES_tradnl" w:eastAsia="fr-FR"/>
        </w:rPr>
      </w:pPr>
      <w:r w:rsidRPr="00F56089">
        <w:rPr>
          <w:rFonts w:ascii="Calibri" w:hAnsi="Calibri" w:cs="Calibri"/>
          <w:bCs/>
          <w:iCs/>
          <w:color w:val="222222"/>
          <w:sz w:val="18"/>
          <w:szCs w:val="18"/>
          <w:lang w:val="es-ES_tradnl" w:eastAsia="fr-FR"/>
        </w:rPr>
        <w:t>En ese sentido, ha sido pacifica la jurisprudencia de la CSJ  en tesis acogida por esta Corporación , al referir que ese sistema de gestión judicial, es un medio de publicidad, no de notificación, en sus palabras (21-06-2017)  así lo recordó: “(…) Debe precisarse que si bien el gestor aduce como justificación de su omisión el hecho de no haberse publicado en la página web de la Rama Judicial la providencia antes descrita, esa circunstancia no es de recibo, pues de antaño esta Corporación ha sostenido que los sistemas de información son herramientas de comunicación; empero, no constituyen medios de notificación, por lo cual le corresponde a los interesados acudir a los despachos y revisar directamente los procesos (…)” (</w:t>
      </w:r>
      <w:proofErr w:type="spellStart"/>
      <w:r w:rsidRPr="00F56089">
        <w:rPr>
          <w:rFonts w:ascii="Calibri" w:hAnsi="Calibri" w:cs="Calibri"/>
          <w:bCs/>
          <w:iCs/>
          <w:color w:val="222222"/>
          <w:sz w:val="18"/>
          <w:szCs w:val="18"/>
          <w:lang w:val="es-ES_tradnl" w:eastAsia="fr-FR"/>
        </w:rPr>
        <w:t>Sublínea</w:t>
      </w:r>
      <w:proofErr w:type="spellEnd"/>
      <w:r w:rsidRPr="00F56089">
        <w:rPr>
          <w:rFonts w:ascii="Calibri" w:hAnsi="Calibri" w:cs="Calibri"/>
          <w:bCs/>
          <w:iCs/>
          <w:color w:val="222222"/>
          <w:sz w:val="18"/>
          <w:szCs w:val="18"/>
          <w:lang w:val="es-ES_tradnl" w:eastAsia="fr-FR"/>
        </w:rPr>
        <w:t xml:space="preserve"> fuera de texto).</w:t>
      </w:r>
    </w:p>
    <w:p w:rsidR="00F56089" w:rsidRPr="00F56089" w:rsidRDefault="00F56089" w:rsidP="00F56089">
      <w:pPr>
        <w:tabs>
          <w:tab w:val="left" w:pos="1843"/>
          <w:tab w:val="left" w:pos="2432"/>
        </w:tabs>
        <w:spacing w:after="200"/>
        <w:jc w:val="both"/>
        <w:rPr>
          <w:rFonts w:ascii="Calibri" w:hAnsi="Calibri" w:cs="Calibri"/>
          <w:bCs/>
          <w:iCs/>
          <w:color w:val="222222"/>
          <w:sz w:val="18"/>
          <w:szCs w:val="18"/>
          <w:lang w:val="es-ES_tradnl" w:eastAsia="fr-FR"/>
        </w:rPr>
      </w:pPr>
      <w:r w:rsidRPr="00F56089">
        <w:rPr>
          <w:rFonts w:ascii="Calibri" w:hAnsi="Calibri" w:cs="Calibri"/>
          <w:bCs/>
          <w:iCs/>
          <w:color w:val="222222"/>
          <w:sz w:val="18"/>
          <w:szCs w:val="18"/>
          <w:lang w:val="es-ES_tradnl" w:eastAsia="fr-FR"/>
        </w:rPr>
        <w:t xml:space="preserve">Se itera, esa herramienta es solo de información, que en modo alguno suple la forma de enteramiento </w:t>
      </w:r>
      <w:bookmarkStart w:id="0" w:name="_GoBack"/>
      <w:bookmarkEnd w:id="0"/>
      <w:r w:rsidRPr="00F56089">
        <w:rPr>
          <w:rFonts w:ascii="Calibri" w:hAnsi="Calibri" w:cs="Calibri"/>
          <w:bCs/>
          <w:iCs/>
          <w:color w:val="222222"/>
          <w:sz w:val="18"/>
          <w:szCs w:val="18"/>
          <w:lang w:val="es-ES_tradnl" w:eastAsia="fr-FR"/>
        </w:rPr>
        <w:t>legal,</w:t>
      </w:r>
      <w:r w:rsidRPr="00F56089">
        <w:rPr>
          <w:rFonts w:ascii="Calibri" w:hAnsi="Calibri" w:cs="Calibri"/>
          <w:bCs/>
          <w:iCs/>
          <w:color w:val="222222"/>
          <w:sz w:val="18"/>
          <w:szCs w:val="18"/>
          <w:lang w:val="es-ES_tradnl" w:eastAsia="fr-FR"/>
        </w:rPr>
        <w:t xml:space="preserve"> que en este caso se dio con la notificación hecha el 30-05-2017 (Folio 17,  cuaderno No.1 principal).</w:t>
      </w:r>
    </w:p>
    <w:p w:rsidR="00F56089" w:rsidRDefault="00F56089" w:rsidP="00F56089">
      <w:pPr>
        <w:tabs>
          <w:tab w:val="left" w:pos="1843"/>
          <w:tab w:val="left" w:pos="2432"/>
        </w:tabs>
        <w:spacing w:after="200"/>
        <w:jc w:val="both"/>
        <w:rPr>
          <w:rFonts w:ascii="Calibri" w:hAnsi="Calibri" w:cs="Calibri"/>
          <w:bCs/>
          <w:iCs/>
          <w:color w:val="222222"/>
          <w:sz w:val="18"/>
          <w:szCs w:val="18"/>
          <w:lang w:val="es-ES_tradnl" w:eastAsia="fr-FR"/>
        </w:rPr>
      </w:pPr>
      <w:r w:rsidRPr="00F56089">
        <w:rPr>
          <w:rFonts w:ascii="Calibri" w:hAnsi="Calibri" w:cs="Calibri"/>
          <w:bCs/>
          <w:iCs/>
          <w:color w:val="222222"/>
          <w:sz w:val="18"/>
          <w:szCs w:val="18"/>
          <w:lang w:val="es-ES_tradnl" w:eastAsia="fr-FR"/>
        </w:rPr>
        <w:t>Por manera que carece la parte actora de justificación por no haber subsanado, tampoco puede hablarse de una vulneración al debido proceso, por ende, se impone la confirmación del proveído recurrido.</w:t>
      </w:r>
    </w:p>
    <w:p w:rsidR="00A41C7D" w:rsidRDefault="00A41C7D" w:rsidP="008B7145">
      <w:pPr>
        <w:pStyle w:val="Sinespaciado"/>
        <w:spacing w:line="360" w:lineRule="auto"/>
        <w:jc w:val="center"/>
        <w:rPr>
          <w:rFonts w:ascii="Georgia" w:hAnsi="Georgia" w:cs="Arial"/>
          <w:w w:val="140"/>
          <w:sz w:val="14"/>
          <w:szCs w:val="14"/>
        </w:rPr>
      </w:pPr>
    </w:p>
    <w:p w:rsidR="008B7145" w:rsidRPr="006B6DCD" w:rsidRDefault="00CD2257" w:rsidP="008B7145">
      <w:pPr>
        <w:pStyle w:val="Sinespaciado"/>
        <w:spacing w:line="360" w:lineRule="auto"/>
        <w:jc w:val="center"/>
        <w:rPr>
          <w:rFonts w:ascii="Georgia" w:hAnsi="Georgia" w:cs="Arial"/>
          <w:w w:val="140"/>
          <w:sz w:val="14"/>
          <w:szCs w:val="14"/>
        </w:rPr>
      </w:pPr>
      <w:r w:rsidRPr="006B6DCD">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6B6DCD" w:rsidRDefault="008B7145" w:rsidP="008B7145">
      <w:pPr>
        <w:pStyle w:val="Sinespaciado"/>
        <w:spacing w:line="360" w:lineRule="auto"/>
        <w:jc w:val="center"/>
        <w:rPr>
          <w:rFonts w:ascii="Georgia" w:hAnsi="Georgia" w:cs="Arial"/>
          <w:w w:val="140"/>
          <w:sz w:val="14"/>
          <w:szCs w:val="14"/>
        </w:rPr>
      </w:pPr>
    </w:p>
    <w:p w:rsidR="008B7145" w:rsidRPr="006B6DCD" w:rsidRDefault="008B7145" w:rsidP="008B7145">
      <w:pPr>
        <w:pStyle w:val="Sinespaciado"/>
        <w:spacing w:line="360" w:lineRule="auto"/>
        <w:jc w:val="center"/>
        <w:rPr>
          <w:rFonts w:ascii="Georgia" w:hAnsi="Georgia" w:cs="Arial"/>
          <w:w w:val="140"/>
          <w:sz w:val="14"/>
          <w:szCs w:val="14"/>
        </w:rPr>
      </w:pPr>
      <w:r w:rsidRPr="006B6DCD">
        <w:rPr>
          <w:rFonts w:ascii="Georgia" w:hAnsi="Georgia" w:cs="Arial"/>
          <w:w w:val="140"/>
          <w:sz w:val="14"/>
          <w:szCs w:val="14"/>
        </w:rPr>
        <w:t>REPUBLICA DE COLOMBIA</w:t>
      </w:r>
    </w:p>
    <w:p w:rsidR="008B7145" w:rsidRPr="006B6DCD" w:rsidRDefault="008B7145" w:rsidP="008B7145">
      <w:pPr>
        <w:pStyle w:val="Sinespaciado"/>
        <w:tabs>
          <w:tab w:val="center" w:pos="4987"/>
          <w:tab w:val="left" w:pos="8449"/>
        </w:tabs>
        <w:spacing w:line="360" w:lineRule="auto"/>
        <w:jc w:val="center"/>
        <w:rPr>
          <w:rFonts w:ascii="Georgia" w:hAnsi="Georgia" w:cs="Arial"/>
          <w:w w:val="140"/>
        </w:rPr>
      </w:pPr>
      <w:r w:rsidRPr="006B6DCD">
        <w:rPr>
          <w:rFonts w:ascii="Georgia" w:hAnsi="Georgia" w:cs="Arial"/>
          <w:w w:val="140"/>
          <w:sz w:val="14"/>
          <w:szCs w:val="14"/>
        </w:rPr>
        <w:t>RAMA JUDICIAL DEL PODER PÚBLICO</w:t>
      </w:r>
    </w:p>
    <w:p w:rsidR="008B7145" w:rsidRPr="006B6DCD" w:rsidRDefault="008B7145" w:rsidP="008B7145">
      <w:pPr>
        <w:pStyle w:val="Sinespaciado"/>
        <w:spacing w:line="360" w:lineRule="auto"/>
        <w:jc w:val="center"/>
        <w:rPr>
          <w:rFonts w:ascii="Georgia" w:hAnsi="Georgia" w:cs="Arial"/>
          <w:w w:val="140"/>
          <w:sz w:val="16"/>
          <w:szCs w:val="16"/>
        </w:rPr>
      </w:pPr>
      <w:r w:rsidRPr="006B6DCD">
        <w:rPr>
          <w:rFonts w:ascii="Georgia" w:hAnsi="Georgia" w:cs="Arial"/>
          <w:w w:val="140"/>
          <w:sz w:val="18"/>
          <w:szCs w:val="18"/>
        </w:rPr>
        <w:t>T</w:t>
      </w:r>
      <w:r w:rsidRPr="006B6DCD">
        <w:rPr>
          <w:rFonts w:ascii="Georgia" w:hAnsi="Georgia" w:cs="Arial"/>
          <w:w w:val="140"/>
          <w:sz w:val="16"/>
          <w:szCs w:val="16"/>
        </w:rPr>
        <w:t>RIBUNAL</w:t>
      </w:r>
      <w:r w:rsidRPr="006B6DCD">
        <w:rPr>
          <w:rFonts w:ascii="Georgia" w:hAnsi="Georgia" w:cs="Arial"/>
          <w:w w:val="140"/>
          <w:sz w:val="18"/>
          <w:szCs w:val="18"/>
        </w:rPr>
        <w:t xml:space="preserve"> S</w:t>
      </w:r>
      <w:r w:rsidRPr="006B6DCD">
        <w:rPr>
          <w:rFonts w:ascii="Georgia" w:hAnsi="Georgia" w:cs="Arial"/>
          <w:w w:val="140"/>
          <w:sz w:val="16"/>
          <w:szCs w:val="16"/>
        </w:rPr>
        <w:t xml:space="preserve">UPERIOR DEL </w:t>
      </w:r>
      <w:r w:rsidRPr="006B6DCD">
        <w:rPr>
          <w:rFonts w:ascii="Georgia" w:hAnsi="Georgia" w:cs="Arial"/>
          <w:w w:val="140"/>
          <w:sz w:val="18"/>
          <w:szCs w:val="18"/>
        </w:rPr>
        <w:t>D</w:t>
      </w:r>
      <w:r w:rsidRPr="006B6DCD">
        <w:rPr>
          <w:rFonts w:ascii="Georgia" w:hAnsi="Georgia" w:cs="Arial"/>
          <w:w w:val="140"/>
          <w:sz w:val="16"/>
          <w:szCs w:val="16"/>
        </w:rPr>
        <w:t>ISTRITO</w:t>
      </w:r>
      <w:r w:rsidRPr="006B6DCD">
        <w:rPr>
          <w:rFonts w:ascii="Georgia" w:hAnsi="Georgia" w:cs="Arial"/>
          <w:w w:val="140"/>
          <w:sz w:val="18"/>
          <w:szCs w:val="18"/>
        </w:rPr>
        <w:t xml:space="preserve"> J</w:t>
      </w:r>
      <w:r w:rsidRPr="006B6DCD">
        <w:rPr>
          <w:rFonts w:ascii="Georgia" w:hAnsi="Georgia" w:cs="Arial"/>
          <w:w w:val="140"/>
          <w:sz w:val="16"/>
          <w:szCs w:val="16"/>
        </w:rPr>
        <w:t xml:space="preserve">UDICIAL </w:t>
      </w:r>
    </w:p>
    <w:p w:rsidR="001E18FB" w:rsidRPr="006B6DCD" w:rsidRDefault="001E18FB" w:rsidP="001E18FB">
      <w:pPr>
        <w:pStyle w:val="Sinespaciado"/>
        <w:spacing w:line="360" w:lineRule="auto"/>
        <w:jc w:val="center"/>
        <w:rPr>
          <w:rFonts w:ascii="Georgia" w:hAnsi="Georgia" w:cs="Arial"/>
          <w:w w:val="140"/>
          <w:sz w:val="16"/>
          <w:szCs w:val="16"/>
        </w:rPr>
      </w:pPr>
      <w:r w:rsidRPr="006B6DCD">
        <w:rPr>
          <w:rFonts w:ascii="Georgia" w:hAnsi="Georgia" w:cs="Arial"/>
          <w:w w:val="140"/>
          <w:sz w:val="18"/>
          <w:szCs w:val="16"/>
        </w:rPr>
        <w:t>S</w:t>
      </w:r>
      <w:r w:rsidRPr="006B6DCD">
        <w:rPr>
          <w:rFonts w:ascii="Georgia" w:hAnsi="Georgia" w:cs="Arial"/>
          <w:w w:val="140"/>
          <w:sz w:val="16"/>
          <w:szCs w:val="14"/>
        </w:rPr>
        <w:t xml:space="preserve">ALA </w:t>
      </w:r>
      <w:r w:rsidRPr="006B6DCD">
        <w:rPr>
          <w:rFonts w:ascii="Georgia" w:hAnsi="Georgia" w:cs="Arial"/>
          <w:w w:val="140"/>
          <w:sz w:val="18"/>
          <w:szCs w:val="16"/>
        </w:rPr>
        <w:t>U</w:t>
      </w:r>
      <w:r w:rsidRPr="006B6DCD">
        <w:rPr>
          <w:rFonts w:ascii="Georgia" w:hAnsi="Georgia" w:cs="Arial"/>
          <w:w w:val="140"/>
          <w:sz w:val="16"/>
          <w:szCs w:val="16"/>
        </w:rPr>
        <w:t xml:space="preserve">NITARIA </w:t>
      </w:r>
      <w:r w:rsidRPr="006B6DCD">
        <w:rPr>
          <w:rFonts w:ascii="Georgia" w:hAnsi="Georgia" w:cs="Arial"/>
          <w:w w:val="140"/>
          <w:sz w:val="18"/>
          <w:szCs w:val="16"/>
        </w:rPr>
        <w:t>C</w:t>
      </w:r>
      <w:r w:rsidRPr="006B6DCD">
        <w:rPr>
          <w:rFonts w:ascii="Georgia" w:hAnsi="Georgia" w:cs="Arial"/>
          <w:w w:val="140"/>
          <w:sz w:val="16"/>
          <w:szCs w:val="16"/>
        </w:rPr>
        <w:t>IVIL</w:t>
      </w:r>
      <w:r w:rsidR="009B54C5" w:rsidRPr="006B6DCD">
        <w:rPr>
          <w:rFonts w:ascii="Georgia" w:hAnsi="Georgia" w:cs="Arial"/>
          <w:w w:val="140"/>
          <w:sz w:val="16"/>
          <w:szCs w:val="16"/>
        </w:rPr>
        <w:t xml:space="preserve"> </w:t>
      </w:r>
      <w:r w:rsidRPr="006B6DCD">
        <w:rPr>
          <w:rFonts w:ascii="Georgia" w:hAnsi="Georgia" w:cs="Arial"/>
          <w:w w:val="140"/>
          <w:sz w:val="14"/>
          <w:szCs w:val="14"/>
        </w:rPr>
        <w:t xml:space="preserve">– </w:t>
      </w:r>
      <w:r w:rsidRPr="006B6DCD">
        <w:rPr>
          <w:rFonts w:ascii="Georgia" w:hAnsi="Georgia" w:cs="Arial"/>
          <w:w w:val="140"/>
          <w:sz w:val="18"/>
          <w:szCs w:val="16"/>
        </w:rPr>
        <w:t>F</w:t>
      </w:r>
      <w:r w:rsidRPr="006B6DCD">
        <w:rPr>
          <w:rFonts w:ascii="Georgia" w:hAnsi="Georgia" w:cs="Arial"/>
          <w:w w:val="140"/>
          <w:sz w:val="16"/>
          <w:szCs w:val="16"/>
        </w:rPr>
        <w:t>AMILIA –</w:t>
      </w:r>
      <w:r w:rsidR="009B54C5" w:rsidRPr="006B6DCD">
        <w:rPr>
          <w:rFonts w:ascii="Georgia" w:hAnsi="Georgia" w:cs="Arial"/>
          <w:w w:val="140"/>
          <w:sz w:val="16"/>
          <w:szCs w:val="16"/>
        </w:rPr>
        <w:t xml:space="preserve"> </w:t>
      </w:r>
      <w:r w:rsidRPr="006B6DCD">
        <w:rPr>
          <w:rFonts w:ascii="Georgia" w:hAnsi="Georgia" w:cs="Arial"/>
          <w:w w:val="140"/>
          <w:sz w:val="18"/>
          <w:szCs w:val="16"/>
        </w:rPr>
        <w:t>D</w:t>
      </w:r>
      <w:r w:rsidRPr="006B6DCD">
        <w:rPr>
          <w:rFonts w:ascii="Georgia" w:hAnsi="Georgia" w:cs="Arial"/>
          <w:w w:val="140"/>
          <w:sz w:val="16"/>
          <w:szCs w:val="16"/>
        </w:rPr>
        <w:t xml:space="preserve">ISTRITO DE </w:t>
      </w:r>
      <w:r w:rsidRPr="006B6DCD">
        <w:rPr>
          <w:rFonts w:ascii="Georgia" w:hAnsi="Georgia" w:cs="Arial"/>
          <w:w w:val="140"/>
          <w:sz w:val="18"/>
          <w:szCs w:val="16"/>
        </w:rPr>
        <w:t>P</w:t>
      </w:r>
      <w:r w:rsidRPr="006B6DCD">
        <w:rPr>
          <w:rFonts w:ascii="Georgia" w:hAnsi="Georgia" w:cs="Arial"/>
          <w:w w:val="140"/>
          <w:sz w:val="16"/>
          <w:szCs w:val="16"/>
        </w:rPr>
        <w:t>EREIRA</w:t>
      </w:r>
    </w:p>
    <w:p w:rsidR="008B7145" w:rsidRPr="006B6DCD" w:rsidRDefault="008B7145" w:rsidP="008B7145">
      <w:pPr>
        <w:pStyle w:val="Sinespaciado"/>
        <w:spacing w:line="360" w:lineRule="auto"/>
        <w:jc w:val="center"/>
        <w:rPr>
          <w:rFonts w:ascii="Georgia" w:hAnsi="Georgia" w:cs="Arial"/>
          <w:w w:val="140"/>
          <w:sz w:val="16"/>
          <w:szCs w:val="16"/>
        </w:rPr>
      </w:pPr>
      <w:r w:rsidRPr="006B6DCD">
        <w:rPr>
          <w:rFonts w:ascii="Georgia" w:hAnsi="Georgia" w:cs="Arial"/>
          <w:w w:val="140"/>
          <w:sz w:val="18"/>
          <w:szCs w:val="18"/>
        </w:rPr>
        <w:t>D</w:t>
      </w:r>
      <w:r w:rsidRPr="006B6DCD">
        <w:rPr>
          <w:rFonts w:ascii="Georgia" w:hAnsi="Georgia" w:cs="Arial"/>
          <w:w w:val="140"/>
          <w:sz w:val="16"/>
          <w:szCs w:val="16"/>
        </w:rPr>
        <w:t xml:space="preserve">EPARTAMENTO </w:t>
      </w:r>
      <w:r w:rsidRPr="006B6DCD">
        <w:rPr>
          <w:rFonts w:ascii="Georgia" w:hAnsi="Georgia" w:cs="Arial"/>
          <w:w w:val="140"/>
          <w:sz w:val="18"/>
          <w:szCs w:val="18"/>
        </w:rPr>
        <w:t>D</w:t>
      </w:r>
      <w:r w:rsidRPr="006B6DCD">
        <w:rPr>
          <w:rFonts w:ascii="Georgia" w:hAnsi="Georgia" w:cs="Arial"/>
          <w:w w:val="140"/>
          <w:sz w:val="16"/>
          <w:szCs w:val="16"/>
        </w:rPr>
        <w:t xml:space="preserve">EL </w:t>
      </w:r>
      <w:r w:rsidRPr="006B6DCD">
        <w:rPr>
          <w:rFonts w:ascii="Georgia" w:hAnsi="Georgia" w:cs="Arial"/>
          <w:w w:val="140"/>
          <w:sz w:val="18"/>
          <w:szCs w:val="18"/>
        </w:rPr>
        <w:t>R</w:t>
      </w:r>
      <w:r w:rsidRPr="006B6DCD">
        <w:rPr>
          <w:rFonts w:ascii="Georgia" w:hAnsi="Georgia" w:cs="Arial"/>
          <w:w w:val="140"/>
          <w:sz w:val="16"/>
          <w:szCs w:val="16"/>
        </w:rPr>
        <w:t>ISARALDA</w:t>
      </w:r>
    </w:p>
    <w:p w:rsidR="00045CE3" w:rsidRPr="006B6DCD" w:rsidRDefault="00045CE3" w:rsidP="00045CE3">
      <w:pPr>
        <w:spacing w:line="360" w:lineRule="auto"/>
        <w:jc w:val="center"/>
        <w:rPr>
          <w:rFonts w:ascii="Georgia" w:hAnsi="Georgia" w:cs="Arial"/>
          <w:b/>
          <w:bCs/>
          <w:sz w:val="22"/>
          <w:szCs w:val="22"/>
        </w:rPr>
      </w:pPr>
    </w:p>
    <w:p w:rsidR="00094BEA" w:rsidRPr="006B6DCD" w:rsidRDefault="00094BEA" w:rsidP="00094BEA">
      <w:pPr>
        <w:pStyle w:val="Textoindependiente"/>
        <w:spacing w:line="360" w:lineRule="auto"/>
        <w:rPr>
          <w:rFonts w:ascii="Georgia" w:hAnsi="Georgia" w:cs="Arial"/>
          <w:sz w:val="22"/>
          <w:szCs w:val="22"/>
        </w:rPr>
      </w:pPr>
      <w:r w:rsidRPr="006B6DCD">
        <w:rPr>
          <w:rFonts w:ascii="Georgia" w:hAnsi="Georgia" w:cs="Arial"/>
          <w:sz w:val="22"/>
          <w:szCs w:val="22"/>
        </w:rPr>
        <w:tab/>
      </w:r>
      <w:r w:rsidR="00E768A5">
        <w:rPr>
          <w:rFonts w:ascii="Georgia" w:hAnsi="Georgia" w:cs="Arial"/>
          <w:sz w:val="22"/>
          <w:szCs w:val="22"/>
        </w:rPr>
        <w:t>Asunto</w:t>
      </w:r>
      <w:r w:rsidR="00E768A5">
        <w:rPr>
          <w:rFonts w:ascii="Georgia" w:hAnsi="Georgia" w:cs="Arial"/>
          <w:sz w:val="22"/>
          <w:szCs w:val="22"/>
        </w:rPr>
        <w:tab/>
      </w:r>
      <w:r w:rsidR="00E768A5">
        <w:rPr>
          <w:rFonts w:ascii="Georgia" w:hAnsi="Georgia" w:cs="Arial"/>
          <w:sz w:val="22"/>
          <w:szCs w:val="22"/>
        </w:rPr>
        <w:tab/>
      </w:r>
      <w:r w:rsidR="00E768A5">
        <w:rPr>
          <w:rFonts w:ascii="Georgia" w:hAnsi="Georgia" w:cs="Arial"/>
          <w:sz w:val="22"/>
          <w:szCs w:val="22"/>
        </w:rPr>
        <w:tab/>
      </w:r>
      <w:r w:rsidR="00E768A5">
        <w:rPr>
          <w:rFonts w:ascii="Georgia" w:hAnsi="Georgia" w:cs="Arial"/>
          <w:sz w:val="22"/>
          <w:szCs w:val="22"/>
        </w:rPr>
        <w:tab/>
      </w:r>
      <w:r w:rsidRPr="006B6DCD">
        <w:rPr>
          <w:rFonts w:ascii="Georgia" w:hAnsi="Georgia" w:cs="Arial"/>
          <w:sz w:val="22"/>
          <w:szCs w:val="22"/>
        </w:rPr>
        <w:t xml:space="preserve">: Apelación </w:t>
      </w:r>
      <w:r w:rsidR="006B6DCD">
        <w:rPr>
          <w:rFonts w:ascii="Georgia" w:hAnsi="Georgia" w:cs="Arial"/>
          <w:sz w:val="22"/>
          <w:szCs w:val="22"/>
        </w:rPr>
        <w:t xml:space="preserve">de auto </w:t>
      </w:r>
      <w:r w:rsidR="003D796F" w:rsidRPr="003D796F">
        <w:rPr>
          <w:rFonts w:ascii="Georgia" w:hAnsi="Georgia" w:cs="Arial"/>
          <w:sz w:val="22"/>
          <w:szCs w:val="22"/>
        </w:rPr>
        <w:t>interlocutorio</w:t>
      </w:r>
    </w:p>
    <w:p w:rsidR="00920096" w:rsidRPr="006B6DCD" w:rsidRDefault="006B6DCD" w:rsidP="00920096">
      <w:pPr>
        <w:spacing w:line="360" w:lineRule="auto"/>
        <w:ind w:left="708"/>
        <w:jc w:val="both"/>
        <w:rPr>
          <w:rFonts w:ascii="Georgia" w:hAnsi="Georgia"/>
          <w:sz w:val="22"/>
          <w:szCs w:val="22"/>
          <w:lang w:val="es-CO"/>
        </w:rPr>
      </w:pPr>
      <w:r>
        <w:rPr>
          <w:rFonts w:ascii="Georgia" w:hAnsi="Georgia" w:cs="Arial"/>
          <w:sz w:val="22"/>
          <w:szCs w:val="22"/>
        </w:rPr>
        <w:t>Tipo de proceso</w:t>
      </w:r>
      <w:r>
        <w:rPr>
          <w:rFonts w:ascii="Georgia" w:hAnsi="Georgia" w:cs="Arial"/>
          <w:sz w:val="22"/>
          <w:szCs w:val="22"/>
        </w:rPr>
        <w:tab/>
      </w:r>
      <w:r>
        <w:rPr>
          <w:rFonts w:ascii="Georgia" w:hAnsi="Georgia" w:cs="Arial"/>
          <w:sz w:val="22"/>
          <w:szCs w:val="22"/>
        </w:rPr>
        <w:tab/>
        <w:t>: Ejecutivo con pretensión personal</w:t>
      </w:r>
    </w:p>
    <w:p w:rsidR="00920096" w:rsidRPr="006B6DCD" w:rsidRDefault="006B6DCD" w:rsidP="003D796F">
      <w:pPr>
        <w:spacing w:line="360" w:lineRule="auto"/>
        <w:ind w:left="3540" w:hanging="2832"/>
        <w:jc w:val="both"/>
        <w:rPr>
          <w:rFonts w:ascii="Georgia" w:hAnsi="Georgia"/>
          <w:sz w:val="22"/>
          <w:szCs w:val="22"/>
          <w:lang w:val="es-CO"/>
        </w:rPr>
      </w:pPr>
      <w:r>
        <w:rPr>
          <w:rFonts w:ascii="Georgia" w:hAnsi="Georgia" w:cs="Arial"/>
          <w:sz w:val="22"/>
          <w:szCs w:val="22"/>
          <w:lang w:val="es-CO"/>
        </w:rPr>
        <w:t>Ejecut</w:t>
      </w:r>
      <w:r w:rsidR="00920096" w:rsidRPr="006B6DCD">
        <w:rPr>
          <w:rFonts w:ascii="Georgia" w:hAnsi="Georgia" w:cs="Arial"/>
          <w:sz w:val="22"/>
          <w:szCs w:val="22"/>
          <w:lang w:val="es-CO"/>
        </w:rPr>
        <w:t xml:space="preserve">ante </w:t>
      </w:r>
      <w:r w:rsidR="00920096" w:rsidRPr="006B6DCD">
        <w:rPr>
          <w:rFonts w:ascii="Georgia" w:hAnsi="Georgia" w:cs="Arial"/>
          <w:sz w:val="22"/>
          <w:szCs w:val="22"/>
          <w:lang w:val="es-CO"/>
        </w:rPr>
        <w:tab/>
        <w:t xml:space="preserve">: </w:t>
      </w:r>
      <w:r>
        <w:rPr>
          <w:rFonts w:ascii="Georgia" w:hAnsi="Georgia" w:cs="Arial"/>
          <w:sz w:val="22"/>
          <w:szCs w:val="22"/>
          <w:lang w:val="es-CO"/>
        </w:rPr>
        <w:t xml:space="preserve">Caja de Compensación Familia de Risaralda – </w:t>
      </w:r>
      <w:proofErr w:type="spellStart"/>
      <w:r>
        <w:rPr>
          <w:rFonts w:ascii="Georgia" w:hAnsi="Georgia" w:cs="Arial"/>
          <w:sz w:val="22"/>
          <w:szCs w:val="22"/>
          <w:lang w:val="es-CO"/>
        </w:rPr>
        <w:t>Comfamiliar</w:t>
      </w:r>
      <w:proofErr w:type="spellEnd"/>
      <w:r>
        <w:rPr>
          <w:rFonts w:ascii="Georgia" w:hAnsi="Georgia" w:cs="Arial"/>
          <w:sz w:val="22"/>
          <w:szCs w:val="22"/>
          <w:lang w:val="es-CO"/>
        </w:rPr>
        <w:t xml:space="preserve"> Risaralda</w:t>
      </w:r>
    </w:p>
    <w:p w:rsidR="00920096" w:rsidRPr="006B6DCD" w:rsidRDefault="006B6DCD" w:rsidP="00920096">
      <w:pPr>
        <w:pStyle w:val="Textoindependiente"/>
        <w:spacing w:line="360" w:lineRule="auto"/>
        <w:ind w:left="708"/>
        <w:rPr>
          <w:rFonts w:ascii="Georgia" w:hAnsi="Georgia" w:cs="Arial"/>
          <w:sz w:val="22"/>
          <w:szCs w:val="22"/>
        </w:rPr>
      </w:pPr>
      <w:r>
        <w:rPr>
          <w:rFonts w:ascii="Georgia" w:hAnsi="Georgia" w:cs="Arial"/>
          <w:sz w:val="22"/>
          <w:szCs w:val="22"/>
          <w:lang w:val="es-CO"/>
        </w:rPr>
        <w:t xml:space="preserve">Ejecutada </w:t>
      </w:r>
      <w:r w:rsidR="00D31830" w:rsidRPr="006B6DCD">
        <w:rPr>
          <w:rFonts w:ascii="Georgia" w:hAnsi="Georgia" w:cs="Arial"/>
          <w:sz w:val="22"/>
          <w:szCs w:val="22"/>
          <w:lang w:val="es-CO"/>
        </w:rPr>
        <w:tab/>
      </w:r>
      <w:r w:rsidR="00920096" w:rsidRPr="006B6DCD">
        <w:rPr>
          <w:rFonts w:ascii="Georgia" w:hAnsi="Georgia" w:cs="Arial"/>
          <w:sz w:val="22"/>
          <w:szCs w:val="22"/>
          <w:lang w:val="es-CO"/>
        </w:rPr>
        <w:tab/>
      </w:r>
      <w:r w:rsidR="00920096" w:rsidRPr="006B6DCD">
        <w:rPr>
          <w:rFonts w:ascii="Georgia" w:hAnsi="Georgia" w:cs="Arial"/>
          <w:sz w:val="22"/>
          <w:szCs w:val="22"/>
          <w:lang w:val="es-CO"/>
        </w:rPr>
        <w:tab/>
        <w:t xml:space="preserve">: </w:t>
      </w:r>
      <w:proofErr w:type="spellStart"/>
      <w:r>
        <w:rPr>
          <w:rFonts w:ascii="Georgia" w:hAnsi="Georgia" w:cs="Arial"/>
          <w:sz w:val="22"/>
          <w:szCs w:val="22"/>
          <w:lang w:val="es-CO"/>
        </w:rPr>
        <w:t>Cafesalud</w:t>
      </w:r>
      <w:proofErr w:type="spellEnd"/>
      <w:r>
        <w:rPr>
          <w:rFonts w:ascii="Georgia" w:hAnsi="Georgia" w:cs="Arial"/>
          <w:sz w:val="22"/>
          <w:szCs w:val="22"/>
          <w:lang w:val="es-CO"/>
        </w:rPr>
        <w:t xml:space="preserve"> </w:t>
      </w:r>
      <w:proofErr w:type="spellStart"/>
      <w:r>
        <w:rPr>
          <w:rFonts w:ascii="Georgia" w:hAnsi="Georgia" w:cs="Arial"/>
          <w:sz w:val="22"/>
          <w:szCs w:val="22"/>
          <w:lang w:val="es-CO"/>
        </w:rPr>
        <w:t>EPS</w:t>
      </w:r>
      <w:proofErr w:type="spellEnd"/>
    </w:p>
    <w:p w:rsidR="00920096" w:rsidRPr="006B6DCD" w:rsidRDefault="00920096" w:rsidP="00920096">
      <w:pPr>
        <w:pStyle w:val="Textoindependiente"/>
        <w:spacing w:line="360" w:lineRule="auto"/>
        <w:ind w:left="708"/>
        <w:rPr>
          <w:rFonts w:ascii="Georgia" w:hAnsi="Georgia" w:cs="Arial"/>
          <w:sz w:val="22"/>
          <w:szCs w:val="22"/>
          <w:lang w:val="es-CO"/>
        </w:rPr>
      </w:pPr>
      <w:r w:rsidRPr="006B6DCD">
        <w:rPr>
          <w:rFonts w:ascii="Georgia" w:hAnsi="Georgia" w:cs="Arial"/>
          <w:sz w:val="22"/>
          <w:szCs w:val="22"/>
          <w:lang w:val="es-CO"/>
        </w:rPr>
        <w:t>Procedencia</w:t>
      </w:r>
      <w:r w:rsidRPr="006B6DCD">
        <w:rPr>
          <w:rFonts w:ascii="Georgia" w:hAnsi="Georgia" w:cs="Arial"/>
          <w:sz w:val="22"/>
          <w:szCs w:val="22"/>
          <w:lang w:val="es-CO"/>
        </w:rPr>
        <w:tab/>
      </w:r>
      <w:r w:rsidRPr="006B6DCD">
        <w:rPr>
          <w:rFonts w:ascii="Georgia" w:hAnsi="Georgia" w:cs="Arial"/>
          <w:sz w:val="22"/>
          <w:szCs w:val="22"/>
          <w:lang w:val="es-CO"/>
        </w:rPr>
        <w:tab/>
      </w:r>
      <w:r w:rsidRPr="006B6DCD">
        <w:rPr>
          <w:rFonts w:ascii="Georgia" w:hAnsi="Georgia" w:cs="Arial"/>
          <w:sz w:val="22"/>
          <w:szCs w:val="22"/>
          <w:lang w:val="es-CO"/>
        </w:rPr>
        <w:tab/>
        <w:t xml:space="preserve">: Juzgado </w:t>
      </w:r>
      <w:r w:rsidR="006B6DCD">
        <w:rPr>
          <w:rFonts w:ascii="Georgia" w:hAnsi="Georgia" w:cs="Arial"/>
          <w:sz w:val="22"/>
          <w:szCs w:val="22"/>
          <w:lang w:val="es-CO"/>
        </w:rPr>
        <w:t xml:space="preserve">Tercero Civil </w:t>
      </w:r>
      <w:r w:rsidR="00D31830" w:rsidRPr="006B6DCD">
        <w:rPr>
          <w:rFonts w:ascii="Georgia" w:hAnsi="Georgia" w:cs="Arial"/>
          <w:sz w:val="22"/>
          <w:szCs w:val="22"/>
          <w:lang w:val="es-CO"/>
        </w:rPr>
        <w:t xml:space="preserve">del Circuito de </w:t>
      </w:r>
      <w:r w:rsidR="006B6DCD">
        <w:rPr>
          <w:rFonts w:ascii="Georgia" w:hAnsi="Georgia" w:cs="Arial"/>
          <w:sz w:val="22"/>
          <w:szCs w:val="22"/>
          <w:lang w:val="es-CO"/>
        </w:rPr>
        <w:t>Pereira</w:t>
      </w:r>
    </w:p>
    <w:p w:rsidR="0068721F" w:rsidRPr="006B6DCD" w:rsidRDefault="0068721F" w:rsidP="0068721F">
      <w:pPr>
        <w:pStyle w:val="Textoindependiente"/>
        <w:spacing w:line="360" w:lineRule="auto"/>
        <w:rPr>
          <w:rFonts w:ascii="Georgia" w:hAnsi="Georgia"/>
          <w:sz w:val="22"/>
          <w:szCs w:val="22"/>
        </w:rPr>
      </w:pPr>
      <w:r w:rsidRPr="006B6DCD">
        <w:rPr>
          <w:rFonts w:ascii="Georgia" w:hAnsi="Georgia" w:cs="Arial"/>
          <w:sz w:val="22"/>
          <w:szCs w:val="22"/>
        </w:rPr>
        <w:tab/>
        <w:t>Tema</w:t>
      </w:r>
      <w:r w:rsidRPr="006B6DCD">
        <w:rPr>
          <w:rFonts w:ascii="Georgia" w:hAnsi="Georgia" w:cs="Arial"/>
          <w:sz w:val="22"/>
          <w:szCs w:val="22"/>
        </w:rPr>
        <w:tab/>
      </w:r>
      <w:r w:rsidRPr="006B6DCD">
        <w:rPr>
          <w:rFonts w:ascii="Georgia" w:hAnsi="Georgia" w:cs="Arial"/>
          <w:sz w:val="22"/>
          <w:szCs w:val="22"/>
        </w:rPr>
        <w:tab/>
      </w:r>
      <w:r w:rsidRPr="006B6DCD">
        <w:rPr>
          <w:rFonts w:ascii="Georgia" w:hAnsi="Georgia" w:cs="Arial"/>
          <w:sz w:val="22"/>
          <w:szCs w:val="22"/>
        </w:rPr>
        <w:tab/>
      </w:r>
      <w:r w:rsidRPr="006B6DCD">
        <w:rPr>
          <w:rFonts w:ascii="Georgia" w:hAnsi="Georgia" w:cs="Arial"/>
          <w:sz w:val="22"/>
          <w:szCs w:val="22"/>
        </w:rPr>
        <w:tab/>
        <w:t>:</w:t>
      </w:r>
      <w:r w:rsidRPr="006B6DCD">
        <w:rPr>
          <w:rFonts w:ascii="Georgia" w:hAnsi="Georgia" w:cs="Arial"/>
          <w:sz w:val="20"/>
          <w:szCs w:val="22"/>
        </w:rPr>
        <w:t xml:space="preserve"> </w:t>
      </w:r>
      <w:r w:rsidR="003D796F">
        <w:rPr>
          <w:rFonts w:ascii="Georgia" w:hAnsi="Georgia" w:cs="Arial"/>
          <w:sz w:val="20"/>
          <w:szCs w:val="22"/>
        </w:rPr>
        <w:t>Notificaciones</w:t>
      </w:r>
      <w:r w:rsidR="008748E6">
        <w:rPr>
          <w:rFonts w:ascii="Georgia" w:hAnsi="Georgia" w:cs="Arial"/>
          <w:sz w:val="20"/>
          <w:szCs w:val="22"/>
        </w:rPr>
        <w:t xml:space="preserve"> – Siglo XXI - Publicidad</w:t>
      </w:r>
    </w:p>
    <w:p w:rsidR="00920096" w:rsidRPr="006B6DCD" w:rsidRDefault="00920096" w:rsidP="00920096">
      <w:pPr>
        <w:pStyle w:val="Textoindependiente"/>
        <w:spacing w:line="360" w:lineRule="auto"/>
        <w:ind w:left="708"/>
        <w:rPr>
          <w:rFonts w:ascii="Georgia" w:hAnsi="Georgia" w:cs="Arial"/>
          <w:sz w:val="22"/>
          <w:szCs w:val="22"/>
          <w:lang w:val="es-CO"/>
        </w:rPr>
      </w:pPr>
      <w:r w:rsidRPr="006B6DCD">
        <w:rPr>
          <w:rFonts w:ascii="Georgia" w:hAnsi="Georgia" w:cs="Arial"/>
          <w:sz w:val="22"/>
          <w:szCs w:val="22"/>
          <w:lang w:val="es-CO"/>
        </w:rPr>
        <w:t>Radicación</w:t>
      </w:r>
      <w:r w:rsidRPr="006B6DCD">
        <w:rPr>
          <w:rFonts w:ascii="Georgia" w:hAnsi="Georgia" w:cs="Arial"/>
          <w:sz w:val="22"/>
          <w:szCs w:val="22"/>
          <w:lang w:val="es-CO"/>
        </w:rPr>
        <w:tab/>
      </w:r>
      <w:r w:rsidRPr="006B6DCD">
        <w:rPr>
          <w:rFonts w:ascii="Georgia" w:hAnsi="Georgia" w:cs="Arial"/>
          <w:sz w:val="22"/>
          <w:szCs w:val="22"/>
          <w:lang w:val="es-CO"/>
        </w:rPr>
        <w:tab/>
      </w:r>
      <w:r w:rsidRPr="006B6DCD">
        <w:rPr>
          <w:rFonts w:ascii="Georgia" w:hAnsi="Georgia" w:cs="Arial"/>
          <w:sz w:val="22"/>
          <w:szCs w:val="22"/>
          <w:lang w:val="es-CO"/>
        </w:rPr>
        <w:tab/>
        <w:t>: 201</w:t>
      </w:r>
      <w:r w:rsidR="006B6DCD">
        <w:rPr>
          <w:rFonts w:ascii="Georgia" w:hAnsi="Georgia" w:cs="Arial"/>
          <w:sz w:val="22"/>
          <w:szCs w:val="22"/>
          <w:lang w:val="es-CO"/>
        </w:rPr>
        <w:t>7</w:t>
      </w:r>
      <w:r w:rsidR="00D31830" w:rsidRPr="006B6DCD">
        <w:rPr>
          <w:rFonts w:ascii="Georgia" w:hAnsi="Georgia" w:cs="Arial"/>
          <w:sz w:val="22"/>
          <w:szCs w:val="22"/>
          <w:lang w:val="es-CO"/>
        </w:rPr>
        <w:t>-</w:t>
      </w:r>
      <w:r w:rsidRPr="006B6DCD">
        <w:rPr>
          <w:rFonts w:ascii="Georgia" w:hAnsi="Georgia" w:cs="Arial"/>
          <w:sz w:val="22"/>
          <w:szCs w:val="22"/>
          <w:lang w:val="es-CO"/>
        </w:rPr>
        <w:t>00</w:t>
      </w:r>
      <w:r w:rsidR="006B6DCD">
        <w:rPr>
          <w:rFonts w:ascii="Georgia" w:hAnsi="Georgia" w:cs="Arial"/>
          <w:sz w:val="22"/>
          <w:szCs w:val="22"/>
          <w:lang w:val="es-CO"/>
        </w:rPr>
        <w:t>141</w:t>
      </w:r>
      <w:r w:rsidRPr="006B6DCD">
        <w:rPr>
          <w:rFonts w:ascii="Georgia" w:hAnsi="Georgia" w:cs="Arial"/>
          <w:sz w:val="22"/>
          <w:szCs w:val="22"/>
          <w:lang w:val="es-CO"/>
        </w:rPr>
        <w:t xml:space="preserve">-01 </w:t>
      </w:r>
    </w:p>
    <w:p w:rsidR="00AD10DB" w:rsidRPr="006B6DCD" w:rsidRDefault="00AD10DB" w:rsidP="00920096">
      <w:pPr>
        <w:pStyle w:val="Textoindependiente"/>
        <w:spacing w:line="360" w:lineRule="auto"/>
        <w:ind w:left="708"/>
        <w:rPr>
          <w:rFonts w:ascii="Georgia" w:hAnsi="Georgia" w:cs="Arial"/>
          <w:sz w:val="22"/>
          <w:szCs w:val="22"/>
          <w:lang w:val="es-CO"/>
        </w:rPr>
      </w:pPr>
      <w:r w:rsidRPr="006B6DCD">
        <w:rPr>
          <w:rFonts w:ascii="Georgia" w:hAnsi="Georgia" w:cs="Arial"/>
          <w:sz w:val="22"/>
          <w:szCs w:val="22"/>
          <w:lang w:val="es-CO"/>
        </w:rPr>
        <w:t>Mag</w:t>
      </w:r>
      <w:r w:rsidR="003D796F">
        <w:rPr>
          <w:rFonts w:ascii="Georgia" w:hAnsi="Georgia" w:cs="Arial"/>
          <w:sz w:val="22"/>
          <w:szCs w:val="22"/>
          <w:lang w:val="es-CO"/>
        </w:rPr>
        <w:t>istrado s</w:t>
      </w:r>
      <w:r w:rsidRPr="006B6DCD">
        <w:rPr>
          <w:rFonts w:ascii="Georgia" w:hAnsi="Georgia" w:cs="Arial"/>
          <w:sz w:val="22"/>
          <w:szCs w:val="22"/>
          <w:lang w:val="es-CO"/>
        </w:rPr>
        <w:t>ustanciador</w:t>
      </w:r>
      <w:r w:rsidRPr="006B6DCD">
        <w:rPr>
          <w:rFonts w:ascii="Georgia" w:hAnsi="Georgia" w:cs="Arial"/>
          <w:sz w:val="22"/>
          <w:szCs w:val="22"/>
          <w:lang w:val="es-CO"/>
        </w:rPr>
        <w:tab/>
        <w:t xml:space="preserve">: </w:t>
      </w:r>
      <w:proofErr w:type="spellStart"/>
      <w:r w:rsidRPr="006B6DCD">
        <w:rPr>
          <w:rFonts w:ascii="Georgia" w:hAnsi="Georgia" w:cs="Arial"/>
          <w:smallCaps/>
          <w:sz w:val="22"/>
          <w:szCs w:val="22"/>
          <w:lang w:val="es-CO"/>
        </w:rPr>
        <w:t>Duberney</w:t>
      </w:r>
      <w:proofErr w:type="spellEnd"/>
      <w:r w:rsidRPr="006B6DCD">
        <w:rPr>
          <w:rFonts w:ascii="Georgia" w:hAnsi="Georgia" w:cs="Arial"/>
          <w:smallCaps/>
          <w:sz w:val="22"/>
          <w:szCs w:val="22"/>
          <w:lang w:val="es-CO"/>
        </w:rPr>
        <w:t xml:space="preserve"> Grisales Herrera</w:t>
      </w:r>
    </w:p>
    <w:p w:rsidR="00AD10DB" w:rsidRPr="00337626" w:rsidRDefault="00AD10DB" w:rsidP="00AD10DB">
      <w:pPr>
        <w:pBdr>
          <w:bottom w:val="double" w:sz="6" w:space="1" w:color="auto"/>
        </w:pBdr>
        <w:spacing w:line="360" w:lineRule="auto"/>
        <w:ind w:firstLine="708"/>
        <w:jc w:val="center"/>
        <w:rPr>
          <w:rFonts w:ascii="Georgia" w:hAnsi="Georgia" w:cs="Arial"/>
          <w:sz w:val="22"/>
          <w:szCs w:val="22"/>
        </w:rPr>
      </w:pPr>
    </w:p>
    <w:p w:rsidR="00AD10DB" w:rsidRPr="00337626" w:rsidRDefault="00AD10DB" w:rsidP="00AD10DB">
      <w:pPr>
        <w:spacing w:line="360" w:lineRule="auto"/>
        <w:jc w:val="center"/>
        <w:rPr>
          <w:rFonts w:ascii="Georgia" w:hAnsi="Georgia" w:cs="Arial"/>
          <w:sz w:val="24"/>
          <w:szCs w:val="24"/>
        </w:rPr>
      </w:pPr>
    </w:p>
    <w:p w:rsidR="00AD10DB" w:rsidRPr="006B6DCD" w:rsidRDefault="003D796F" w:rsidP="00AD10DB">
      <w:pPr>
        <w:spacing w:line="360" w:lineRule="auto"/>
        <w:jc w:val="center"/>
        <w:rPr>
          <w:rFonts w:ascii="Georgia" w:hAnsi="Georgia" w:cs="Arial"/>
          <w:smallCaps/>
          <w:sz w:val="28"/>
          <w:szCs w:val="24"/>
        </w:rPr>
      </w:pPr>
      <w:r>
        <w:rPr>
          <w:rFonts w:ascii="Georgia" w:hAnsi="Georgia" w:cs="Arial"/>
          <w:smallCaps/>
          <w:sz w:val="28"/>
          <w:szCs w:val="24"/>
        </w:rPr>
        <w:t xml:space="preserve">Veinticuatro </w:t>
      </w:r>
      <w:r w:rsidR="00AD10DB" w:rsidRPr="006B6DCD">
        <w:rPr>
          <w:rFonts w:ascii="Georgia" w:hAnsi="Georgia" w:cs="Arial"/>
          <w:smallCaps/>
          <w:sz w:val="28"/>
          <w:szCs w:val="24"/>
        </w:rPr>
        <w:t>(</w:t>
      </w:r>
      <w:r>
        <w:rPr>
          <w:rFonts w:ascii="Georgia" w:hAnsi="Georgia" w:cs="Arial"/>
          <w:smallCaps/>
          <w:sz w:val="28"/>
          <w:szCs w:val="24"/>
        </w:rPr>
        <w:t>24</w:t>
      </w:r>
      <w:r w:rsidR="00AD10DB" w:rsidRPr="006B6DCD">
        <w:rPr>
          <w:rFonts w:ascii="Georgia" w:hAnsi="Georgia" w:cs="Arial"/>
          <w:smallCaps/>
          <w:sz w:val="28"/>
          <w:szCs w:val="24"/>
        </w:rPr>
        <w:t xml:space="preserve">) de </w:t>
      </w:r>
      <w:r w:rsidR="0057492E">
        <w:rPr>
          <w:rFonts w:ascii="Georgia" w:hAnsi="Georgia" w:cs="Arial"/>
          <w:smallCaps/>
          <w:sz w:val="28"/>
          <w:szCs w:val="24"/>
        </w:rPr>
        <w:t>octubre</w:t>
      </w:r>
      <w:r w:rsidR="006B6DCD" w:rsidRPr="006B6DCD">
        <w:rPr>
          <w:rFonts w:ascii="Georgia" w:hAnsi="Georgia" w:cs="Arial"/>
          <w:smallCaps/>
          <w:sz w:val="28"/>
          <w:szCs w:val="24"/>
        </w:rPr>
        <w:t xml:space="preserve"> </w:t>
      </w:r>
      <w:r w:rsidR="00AD10DB" w:rsidRPr="006B6DCD">
        <w:rPr>
          <w:rFonts w:ascii="Georgia" w:hAnsi="Georgia" w:cs="Arial"/>
          <w:smallCaps/>
          <w:sz w:val="28"/>
          <w:szCs w:val="24"/>
        </w:rPr>
        <w:t xml:space="preserve">de dos mil </w:t>
      </w:r>
      <w:r w:rsidR="00607759" w:rsidRPr="006B6DCD">
        <w:rPr>
          <w:rFonts w:ascii="Georgia" w:hAnsi="Georgia" w:cs="Arial"/>
          <w:smallCaps/>
          <w:sz w:val="28"/>
          <w:szCs w:val="24"/>
        </w:rPr>
        <w:t>diecis</w:t>
      </w:r>
      <w:r w:rsidR="006B6DCD" w:rsidRPr="006B6DCD">
        <w:rPr>
          <w:rFonts w:ascii="Georgia" w:hAnsi="Georgia" w:cs="Arial"/>
          <w:smallCaps/>
          <w:sz w:val="28"/>
          <w:szCs w:val="24"/>
        </w:rPr>
        <w:t xml:space="preserve">iete </w:t>
      </w:r>
      <w:r w:rsidR="00AD10DB" w:rsidRPr="006B6DCD">
        <w:rPr>
          <w:rFonts w:ascii="Georgia" w:hAnsi="Georgia" w:cs="Arial"/>
          <w:smallCaps/>
          <w:sz w:val="28"/>
          <w:szCs w:val="24"/>
        </w:rPr>
        <w:t>(201</w:t>
      </w:r>
      <w:r w:rsidR="006B6DCD" w:rsidRPr="006B6DCD">
        <w:rPr>
          <w:rFonts w:ascii="Georgia" w:hAnsi="Georgia" w:cs="Arial"/>
          <w:smallCaps/>
          <w:sz w:val="28"/>
          <w:szCs w:val="24"/>
        </w:rPr>
        <w:t>7</w:t>
      </w:r>
      <w:r w:rsidR="00AD10DB" w:rsidRPr="006B6DCD">
        <w:rPr>
          <w:rFonts w:ascii="Georgia" w:hAnsi="Georgia" w:cs="Arial"/>
          <w:smallCaps/>
          <w:sz w:val="28"/>
          <w:szCs w:val="24"/>
        </w:rPr>
        <w:t>).</w:t>
      </w:r>
    </w:p>
    <w:p w:rsidR="00920096" w:rsidRPr="006B6DCD" w:rsidRDefault="00920096" w:rsidP="00AD10DB">
      <w:pPr>
        <w:spacing w:line="360" w:lineRule="auto"/>
        <w:jc w:val="both"/>
        <w:rPr>
          <w:rFonts w:ascii="Georgia" w:hAnsi="Georgia" w:cs="Arial"/>
          <w:sz w:val="24"/>
          <w:szCs w:val="24"/>
        </w:rPr>
      </w:pPr>
    </w:p>
    <w:p w:rsidR="007F0E1D" w:rsidRPr="00B14272" w:rsidRDefault="00FC30E0" w:rsidP="007F0E1D">
      <w:pPr>
        <w:pStyle w:val="Sinespaciado"/>
        <w:widowControl/>
        <w:numPr>
          <w:ilvl w:val="0"/>
          <w:numId w:val="8"/>
        </w:numPr>
        <w:autoSpaceDE/>
        <w:autoSpaceDN/>
        <w:adjustRightInd/>
        <w:spacing w:line="360" w:lineRule="auto"/>
        <w:jc w:val="both"/>
        <w:rPr>
          <w:rFonts w:ascii="Georgia" w:hAnsi="Georgia" w:cs="Arial"/>
          <w:smallCaps/>
          <w:sz w:val="26"/>
          <w:szCs w:val="26"/>
        </w:rPr>
      </w:pPr>
      <w:r w:rsidRPr="00B14272">
        <w:rPr>
          <w:rFonts w:ascii="Georgia" w:hAnsi="Georgia" w:cs="Arial"/>
          <w:smallCaps/>
          <w:sz w:val="26"/>
          <w:szCs w:val="26"/>
        </w:rPr>
        <w:lastRenderedPageBreak/>
        <w:t xml:space="preserve">El </w:t>
      </w:r>
      <w:r w:rsidR="00B14272" w:rsidRPr="00B14272">
        <w:rPr>
          <w:rFonts w:ascii="Georgia" w:hAnsi="Georgia" w:cs="Arial"/>
          <w:smallCaps/>
          <w:sz w:val="26"/>
          <w:szCs w:val="26"/>
        </w:rPr>
        <w:t>asunto por decidir</w:t>
      </w:r>
    </w:p>
    <w:p w:rsidR="007F0E1D" w:rsidRDefault="0057492E" w:rsidP="0057492E">
      <w:pPr>
        <w:pStyle w:val="Puesto"/>
        <w:tabs>
          <w:tab w:val="left" w:pos="1309"/>
        </w:tabs>
        <w:spacing w:line="360" w:lineRule="auto"/>
        <w:jc w:val="left"/>
        <w:rPr>
          <w:rFonts w:ascii="Georgia" w:hAnsi="Georgia"/>
          <w:b w:val="0"/>
          <w:bCs/>
          <w:i w:val="0"/>
          <w:iCs/>
          <w:spacing w:val="-3"/>
          <w:szCs w:val="22"/>
          <w:lang w:val="es-ES_tradnl"/>
        </w:rPr>
      </w:pPr>
      <w:r>
        <w:rPr>
          <w:rFonts w:ascii="Georgia" w:hAnsi="Georgia"/>
          <w:b w:val="0"/>
          <w:bCs/>
          <w:i w:val="0"/>
          <w:iCs/>
          <w:spacing w:val="-3"/>
          <w:szCs w:val="22"/>
          <w:lang w:val="es-ES_tradnl"/>
        </w:rPr>
        <w:tab/>
      </w:r>
    </w:p>
    <w:p w:rsidR="0057492E" w:rsidRPr="00490B75" w:rsidRDefault="0057492E" w:rsidP="0057492E">
      <w:pPr>
        <w:pStyle w:val="Sinespaciado"/>
        <w:spacing w:line="360" w:lineRule="auto"/>
        <w:jc w:val="both"/>
        <w:rPr>
          <w:rFonts w:ascii="Georgia" w:hAnsi="Georgia" w:cs="Arial"/>
        </w:rPr>
      </w:pPr>
      <w:r w:rsidRPr="00490B75">
        <w:rPr>
          <w:rFonts w:ascii="Georgia" w:hAnsi="Georgia" w:cs="Arial"/>
        </w:rPr>
        <w:t xml:space="preserve">El recurso ordinario de apelación propuesto por el apoderado de la parte </w:t>
      </w:r>
      <w:r>
        <w:rPr>
          <w:rFonts w:ascii="Georgia" w:hAnsi="Georgia" w:cs="Arial"/>
        </w:rPr>
        <w:t>actora</w:t>
      </w:r>
      <w:r w:rsidRPr="00490B75">
        <w:rPr>
          <w:rFonts w:ascii="Georgia" w:hAnsi="Georgia" w:cs="Arial"/>
        </w:rPr>
        <w:t xml:space="preserve">, contra la </w:t>
      </w:r>
      <w:proofErr w:type="gramStart"/>
      <w:r w:rsidRPr="00490B75">
        <w:rPr>
          <w:rFonts w:ascii="Georgia" w:hAnsi="Georgia" w:cs="Arial"/>
        </w:rPr>
        <w:t>providencia</w:t>
      </w:r>
      <w:proofErr w:type="gramEnd"/>
      <w:r w:rsidRPr="00490B75">
        <w:rPr>
          <w:rFonts w:ascii="Georgia" w:hAnsi="Georgia" w:cs="Arial"/>
        </w:rPr>
        <w:t xml:space="preserve"> datada el </w:t>
      </w:r>
      <w:r>
        <w:rPr>
          <w:rFonts w:ascii="Georgia" w:hAnsi="Georgia" w:cs="Arial"/>
        </w:rPr>
        <w:t xml:space="preserve">16-06-2017 </w:t>
      </w:r>
      <w:r w:rsidRPr="00490B75">
        <w:rPr>
          <w:rFonts w:ascii="Georgia" w:hAnsi="Georgia" w:cs="Arial"/>
        </w:rPr>
        <w:t xml:space="preserve">que </w:t>
      </w:r>
      <w:r>
        <w:rPr>
          <w:rFonts w:ascii="Georgia" w:hAnsi="Georgia" w:cs="Arial"/>
        </w:rPr>
        <w:t>rechazó la demanda</w:t>
      </w:r>
      <w:r w:rsidRPr="00490B75">
        <w:rPr>
          <w:rFonts w:ascii="Georgia" w:hAnsi="Georgia" w:cs="Arial"/>
        </w:rPr>
        <w:t>, previas las apreciaciones jurídicas que enseguida se plantean.</w:t>
      </w:r>
    </w:p>
    <w:p w:rsidR="0057492E" w:rsidRDefault="0057492E" w:rsidP="0057492E">
      <w:pPr>
        <w:pStyle w:val="Puesto"/>
        <w:tabs>
          <w:tab w:val="left" w:pos="1309"/>
        </w:tabs>
        <w:spacing w:line="360" w:lineRule="auto"/>
        <w:jc w:val="left"/>
        <w:rPr>
          <w:rFonts w:ascii="Georgia" w:hAnsi="Georgia"/>
          <w:b w:val="0"/>
          <w:bCs/>
          <w:i w:val="0"/>
          <w:iCs/>
          <w:spacing w:val="-3"/>
          <w:szCs w:val="22"/>
        </w:rPr>
      </w:pPr>
    </w:p>
    <w:p w:rsidR="0057492E" w:rsidRPr="00E93B9B" w:rsidRDefault="00FC30E0" w:rsidP="0057492E">
      <w:pPr>
        <w:pStyle w:val="Sinespaciado"/>
        <w:widowControl/>
        <w:numPr>
          <w:ilvl w:val="0"/>
          <w:numId w:val="8"/>
        </w:numPr>
        <w:autoSpaceDE/>
        <w:autoSpaceDN/>
        <w:adjustRightInd/>
        <w:spacing w:line="360" w:lineRule="auto"/>
        <w:jc w:val="both"/>
        <w:rPr>
          <w:rFonts w:ascii="Georgia" w:hAnsi="Georgia" w:cs="Arial"/>
          <w:smallCaps/>
          <w:sz w:val="26"/>
          <w:szCs w:val="26"/>
        </w:rPr>
      </w:pPr>
      <w:r w:rsidRPr="00E93B9B">
        <w:rPr>
          <w:rFonts w:ascii="Georgia" w:hAnsi="Georgia" w:cs="Arial"/>
          <w:smallCaps/>
          <w:sz w:val="26"/>
          <w:szCs w:val="26"/>
        </w:rPr>
        <w:t xml:space="preserve">La </w:t>
      </w:r>
      <w:r w:rsidR="0057492E" w:rsidRPr="00E93B9B">
        <w:rPr>
          <w:rFonts w:ascii="Georgia" w:hAnsi="Georgia" w:cs="Arial"/>
          <w:smallCaps/>
          <w:sz w:val="26"/>
          <w:szCs w:val="26"/>
        </w:rPr>
        <w:t>reseña de la providencia recurrida</w:t>
      </w:r>
    </w:p>
    <w:p w:rsidR="0057492E" w:rsidRPr="00E93B9B" w:rsidRDefault="0057492E" w:rsidP="0057492E">
      <w:pPr>
        <w:pStyle w:val="Sinespaciado"/>
        <w:spacing w:line="360" w:lineRule="auto"/>
        <w:jc w:val="both"/>
        <w:rPr>
          <w:rFonts w:ascii="Georgia" w:hAnsi="Georgia" w:cs="Arial"/>
          <w:sz w:val="18"/>
        </w:rPr>
      </w:pPr>
    </w:p>
    <w:p w:rsidR="0057492E" w:rsidRPr="00E93B9B" w:rsidRDefault="0057492E" w:rsidP="0057492E">
      <w:pPr>
        <w:spacing w:line="360" w:lineRule="auto"/>
        <w:jc w:val="both"/>
        <w:rPr>
          <w:rFonts w:ascii="Georgia" w:hAnsi="Georgia" w:cs="Arial"/>
          <w:sz w:val="24"/>
          <w:szCs w:val="22"/>
        </w:rPr>
      </w:pPr>
      <w:r w:rsidRPr="00E93B9B">
        <w:rPr>
          <w:rFonts w:ascii="Georgia" w:hAnsi="Georgia" w:cs="Arial"/>
          <w:sz w:val="24"/>
          <w:szCs w:val="22"/>
        </w:rPr>
        <w:t xml:space="preserve">Rechazó la demanda porque </w:t>
      </w:r>
      <w:r w:rsidR="00E93B9B" w:rsidRPr="00E93B9B">
        <w:rPr>
          <w:rFonts w:ascii="Georgia" w:hAnsi="Georgia" w:cs="Arial"/>
          <w:sz w:val="24"/>
          <w:szCs w:val="22"/>
        </w:rPr>
        <w:t>trascurrido el plazo para subsanar el escrito introductor, la parte actora guardó silencio</w:t>
      </w:r>
      <w:r w:rsidRPr="00E93B9B">
        <w:rPr>
          <w:rFonts w:ascii="Georgia" w:hAnsi="Georgia" w:cs="Arial"/>
          <w:sz w:val="24"/>
          <w:szCs w:val="22"/>
        </w:rPr>
        <w:t xml:space="preserve"> (Folio </w:t>
      </w:r>
      <w:r w:rsidR="00E93B9B" w:rsidRPr="00E93B9B">
        <w:rPr>
          <w:rFonts w:ascii="Georgia" w:hAnsi="Georgia" w:cs="Arial"/>
          <w:sz w:val="24"/>
          <w:szCs w:val="22"/>
        </w:rPr>
        <w:t>18</w:t>
      </w:r>
      <w:r w:rsidRPr="00E93B9B">
        <w:rPr>
          <w:rFonts w:ascii="Georgia" w:hAnsi="Georgia" w:cs="Arial"/>
          <w:sz w:val="24"/>
          <w:szCs w:val="22"/>
        </w:rPr>
        <w:t>, cuaderno No.1</w:t>
      </w:r>
      <w:r w:rsidR="00E93B9B" w:rsidRPr="00E93B9B">
        <w:rPr>
          <w:rFonts w:ascii="Georgia" w:hAnsi="Georgia" w:cs="Arial"/>
          <w:sz w:val="24"/>
          <w:szCs w:val="22"/>
        </w:rPr>
        <w:t xml:space="preserve"> principal</w:t>
      </w:r>
      <w:r w:rsidRPr="00E93B9B">
        <w:rPr>
          <w:rFonts w:ascii="Georgia" w:hAnsi="Georgia" w:cs="Arial"/>
          <w:sz w:val="24"/>
          <w:szCs w:val="22"/>
        </w:rPr>
        <w:t>).</w:t>
      </w:r>
    </w:p>
    <w:p w:rsidR="0057492E" w:rsidRPr="00E93B9B" w:rsidRDefault="0057492E" w:rsidP="0057492E">
      <w:pPr>
        <w:spacing w:line="360" w:lineRule="auto"/>
        <w:jc w:val="both"/>
        <w:rPr>
          <w:rFonts w:ascii="Georgia" w:hAnsi="Georgia" w:cs="Arial"/>
          <w:sz w:val="18"/>
          <w:szCs w:val="22"/>
          <w:lang w:val="es-CO"/>
        </w:rPr>
      </w:pPr>
    </w:p>
    <w:p w:rsidR="0057492E" w:rsidRPr="00E93B9B" w:rsidRDefault="00FC30E0" w:rsidP="0057492E">
      <w:pPr>
        <w:pStyle w:val="Sinespaciado"/>
        <w:widowControl/>
        <w:numPr>
          <w:ilvl w:val="0"/>
          <w:numId w:val="8"/>
        </w:numPr>
        <w:autoSpaceDE/>
        <w:autoSpaceDN/>
        <w:adjustRightInd/>
        <w:spacing w:line="360" w:lineRule="auto"/>
        <w:jc w:val="both"/>
        <w:rPr>
          <w:rFonts w:ascii="Georgia" w:hAnsi="Georgia" w:cs="Arial"/>
          <w:smallCaps/>
          <w:sz w:val="26"/>
          <w:szCs w:val="26"/>
        </w:rPr>
      </w:pPr>
      <w:r w:rsidRPr="00E93B9B">
        <w:rPr>
          <w:rFonts w:ascii="Georgia" w:hAnsi="Georgia" w:cs="Arial"/>
          <w:smallCaps/>
          <w:sz w:val="26"/>
          <w:szCs w:val="26"/>
        </w:rPr>
        <w:t xml:space="preserve">La </w:t>
      </w:r>
      <w:r w:rsidR="0057492E" w:rsidRPr="00E93B9B">
        <w:rPr>
          <w:rFonts w:ascii="Georgia" w:hAnsi="Georgia" w:cs="Arial"/>
          <w:smallCaps/>
          <w:sz w:val="26"/>
          <w:szCs w:val="26"/>
        </w:rPr>
        <w:t>síntesis de la apelación</w:t>
      </w:r>
    </w:p>
    <w:p w:rsidR="0057492E" w:rsidRPr="00E93B9B" w:rsidRDefault="0057492E" w:rsidP="0057492E">
      <w:pPr>
        <w:pStyle w:val="Sinespaciado"/>
        <w:spacing w:line="360" w:lineRule="auto"/>
        <w:ind w:left="360"/>
        <w:jc w:val="both"/>
        <w:rPr>
          <w:rFonts w:ascii="Georgia" w:hAnsi="Georgia" w:cs="Arial"/>
        </w:rPr>
      </w:pPr>
    </w:p>
    <w:p w:rsidR="00C92135" w:rsidRDefault="0057492E" w:rsidP="00E93B9B">
      <w:pPr>
        <w:pStyle w:val="Sinespaciado"/>
        <w:spacing w:line="360" w:lineRule="auto"/>
        <w:jc w:val="both"/>
        <w:rPr>
          <w:rFonts w:ascii="Georgia" w:hAnsi="Georgia" w:cs="Arial"/>
        </w:rPr>
      </w:pPr>
      <w:r w:rsidRPr="00E93B9B">
        <w:rPr>
          <w:rFonts w:ascii="Georgia" w:hAnsi="Georgia" w:cs="Arial"/>
        </w:rPr>
        <w:t xml:space="preserve">El mandatario judicial indicó que </w:t>
      </w:r>
      <w:r w:rsidR="00E93B9B">
        <w:rPr>
          <w:rFonts w:ascii="Georgia" w:hAnsi="Georgia" w:cs="Arial"/>
        </w:rPr>
        <w:t xml:space="preserve">le fue imposible </w:t>
      </w:r>
      <w:r w:rsidR="00C92135">
        <w:rPr>
          <w:rFonts w:ascii="Georgia" w:hAnsi="Georgia" w:cs="Arial"/>
        </w:rPr>
        <w:t>subsanar la demanda porque el proveído que inadmitió la demanda no le fue notificado, ya que se omitió registrarlo en el sistema “Justicia Siglo XXI”</w:t>
      </w:r>
      <w:r w:rsidR="00D97006">
        <w:rPr>
          <w:rFonts w:ascii="Georgia" w:hAnsi="Georgia" w:cs="Arial"/>
        </w:rPr>
        <w:t xml:space="preserve"> y con ello se le impidió conocer ese proveído y cumplir la carga que se le imponía</w:t>
      </w:r>
      <w:r w:rsidRPr="00E93B9B">
        <w:rPr>
          <w:rFonts w:ascii="Georgia" w:hAnsi="Georgia" w:cs="Arial"/>
        </w:rPr>
        <w:t xml:space="preserve"> </w:t>
      </w:r>
      <w:r w:rsidR="00E93B9B">
        <w:rPr>
          <w:rFonts w:ascii="Georgia" w:hAnsi="Georgia" w:cs="Arial"/>
        </w:rPr>
        <w:t>(Folios 19 a 21, cuaderno No.1 principal)</w:t>
      </w:r>
      <w:r w:rsidR="00E93B9B" w:rsidRPr="006B6DCD">
        <w:rPr>
          <w:rFonts w:ascii="Georgia" w:hAnsi="Georgia" w:cs="Arial"/>
        </w:rPr>
        <w:t>.</w:t>
      </w:r>
    </w:p>
    <w:p w:rsidR="00E93B9B" w:rsidRPr="0057492E" w:rsidRDefault="00E93B9B" w:rsidP="0057492E">
      <w:pPr>
        <w:pStyle w:val="Puesto"/>
        <w:tabs>
          <w:tab w:val="left" w:pos="1309"/>
        </w:tabs>
        <w:spacing w:line="360" w:lineRule="auto"/>
        <w:jc w:val="left"/>
        <w:rPr>
          <w:rFonts w:ascii="Georgia" w:hAnsi="Georgia"/>
          <w:b w:val="0"/>
          <w:bCs/>
          <w:i w:val="0"/>
          <w:iCs/>
          <w:spacing w:val="-3"/>
          <w:szCs w:val="22"/>
        </w:rPr>
      </w:pPr>
    </w:p>
    <w:p w:rsidR="007F0E1D" w:rsidRDefault="00FC30E0" w:rsidP="007F0E1D">
      <w:pPr>
        <w:pStyle w:val="Sinespaciado"/>
        <w:numPr>
          <w:ilvl w:val="0"/>
          <w:numId w:val="8"/>
        </w:numPr>
        <w:spacing w:line="360" w:lineRule="auto"/>
        <w:jc w:val="both"/>
        <w:rPr>
          <w:rFonts w:ascii="Georgia" w:hAnsi="Georgia" w:cs="Arial"/>
          <w:smallCaps/>
          <w:sz w:val="26"/>
          <w:szCs w:val="26"/>
        </w:rPr>
      </w:pPr>
      <w:r w:rsidRPr="00B14272">
        <w:rPr>
          <w:rFonts w:ascii="Georgia" w:hAnsi="Georgia" w:cs="Arial"/>
          <w:smallCaps/>
          <w:sz w:val="26"/>
          <w:szCs w:val="26"/>
        </w:rPr>
        <w:t xml:space="preserve">Las </w:t>
      </w:r>
      <w:r w:rsidR="00B14272" w:rsidRPr="00B14272">
        <w:rPr>
          <w:rFonts w:ascii="Georgia" w:hAnsi="Georgia" w:cs="Arial"/>
          <w:smallCaps/>
          <w:sz w:val="26"/>
          <w:szCs w:val="26"/>
        </w:rPr>
        <w:t>estimaciones jurídicas para decidir</w:t>
      </w:r>
    </w:p>
    <w:p w:rsidR="0057492E" w:rsidRPr="00490B75" w:rsidRDefault="0057492E" w:rsidP="0057492E">
      <w:pPr>
        <w:pStyle w:val="Textopredeterminado"/>
        <w:numPr>
          <w:ilvl w:val="1"/>
          <w:numId w:val="12"/>
        </w:numPr>
        <w:spacing w:line="360" w:lineRule="auto"/>
        <w:jc w:val="both"/>
        <w:textAlignment w:val="baseline"/>
        <w:rPr>
          <w:rFonts w:ascii="Georgia" w:hAnsi="Georgia" w:cs="Arial"/>
          <w:szCs w:val="22"/>
          <w:lang w:val="es-MX"/>
        </w:rPr>
      </w:pPr>
      <w:r w:rsidRPr="00490B75">
        <w:rPr>
          <w:rFonts w:ascii="Georgia" w:hAnsi="Georgia" w:cs="Arial"/>
          <w:smallCaps/>
          <w:color w:val="auto"/>
        </w:rPr>
        <w:t>La competencia funcional</w:t>
      </w:r>
      <w:r w:rsidRPr="00490B75">
        <w:rPr>
          <w:rFonts w:ascii="Georgia" w:hAnsi="Georgia" w:cs="Arial"/>
          <w:color w:val="auto"/>
        </w:rPr>
        <w:t xml:space="preserve">. </w:t>
      </w:r>
      <w:r w:rsidRPr="00490B75">
        <w:rPr>
          <w:rFonts w:ascii="Georgia" w:hAnsi="Georgia" w:cs="Arial"/>
          <w:szCs w:val="22"/>
        </w:rPr>
        <w:t xml:space="preserve">La facultad jurídica para resolver esta controversia radica en esta Colegiatura por el factor funcional (Artículo 32-1º, </w:t>
      </w:r>
      <w:proofErr w:type="spellStart"/>
      <w:r w:rsidRPr="00490B75">
        <w:rPr>
          <w:rFonts w:ascii="Georgia" w:hAnsi="Georgia" w:cs="Arial"/>
          <w:szCs w:val="22"/>
        </w:rPr>
        <w:t>CGP</w:t>
      </w:r>
      <w:proofErr w:type="spellEnd"/>
      <w:r w:rsidRPr="00490B75">
        <w:rPr>
          <w:rFonts w:ascii="Georgia" w:hAnsi="Georgia" w:cs="Arial"/>
          <w:szCs w:val="22"/>
        </w:rPr>
        <w:t xml:space="preserve">), dada su condición de </w:t>
      </w:r>
      <w:r w:rsidRPr="00490B75">
        <w:rPr>
          <w:rFonts w:ascii="Georgia" w:hAnsi="Georgia" w:cs="Arial"/>
          <w:szCs w:val="22"/>
          <w:lang w:val="es-MX"/>
        </w:rPr>
        <w:t>superiora jerárquica del Juzgado</w:t>
      </w:r>
      <w:r w:rsidRPr="00490B75">
        <w:rPr>
          <w:rFonts w:ascii="Georgia" w:hAnsi="Georgia" w:cs="Arial"/>
        </w:rPr>
        <w:t xml:space="preserve"> </w:t>
      </w:r>
      <w:r w:rsidRPr="00490B75">
        <w:rPr>
          <w:rFonts w:ascii="Georgia" w:hAnsi="Georgia" w:cs="Arial"/>
          <w:szCs w:val="22"/>
          <w:lang w:val="es-MX"/>
        </w:rPr>
        <w:t>emisor de la decisión apelada.</w:t>
      </w:r>
    </w:p>
    <w:p w:rsidR="0057492E" w:rsidRPr="0057492E" w:rsidRDefault="0057492E" w:rsidP="007F0E1D">
      <w:pPr>
        <w:spacing w:line="360" w:lineRule="auto"/>
        <w:jc w:val="both"/>
        <w:rPr>
          <w:rFonts w:ascii="Georgia" w:hAnsi="Georgia" w:cs="Arial"/>
          <w:smallCaps/>
          <w:sz w:val="24"/>
          <w:szCs w:val="24"/>
          <w:lang w:val="es-MX"/>
        </w:rPr>
      </w:pPr>
    </w:p>
    <w:p w:rsidR="0057492E" w:rsidRPr="00490B75" w:rsidRDefault="007F0E1D" w:rsidP="0057492E">
      <w:pPr>
        <w:pStyle w:val="Textopredeterminado"/>
        <w:numPr>
          <w:ilvl w:val="1"/>
          <w:numId w:val="12"/>
        </w:numPr>
        <w:spacing w:line="360" w:lineRule="auto"/>
        <w:jc w:val="both"/>
        <w:textAlignment w:val="baseline"/>
        <w:rPr>
          <w:rFonts w:ascii="Georgia" w:hAnsi="Georgia" w:cs="Arial"/>
          <w:lang w:val="es-MX"/>
        </w:rPr>
      </w:pPr>
      <w:r w:rsidRPr="00B14272">
        <w:rPr>
          <w:rFonts w:ascii="Georgia" w:hAnsi="Georgia" w:cs="Arial"/>
          <w:smallCaps/>
          <w:szCs w:val="24"/>
        </w:rPr>
        <w:t>Los requisitos de viabilidad de un recurso</w:t>
      </w:r>
      <w:r w:rsidR="0057492E">
        <w:rPr>
          <w:rFonts w:ascii="Georgia" w:hAnsi="Georgia" w:cs="Arial"/>
          <w:smallCaps/>
          <w:szCs w:val="24"/>
        </w:rPr>
        <w:t xml:space="preserve">. </w:t>
      </w:r>
      <w:r w:rsidR="0057492E" w:rsidRPr="0057492E">
        <w:rPr>
          <w:rFonts w:ascii="Georgia" w:hAnsi="Georgia" w:cs="Arial"/>
          <w:szCs w:val="24"/>
          <w:lang w:val="es-CO"/>
        </w:rPr>
        <w:t xml:space="preserve">Siempre es indispensable la revisión de los supuestos de viabilidad del recurso </w:t>
      </w:r>
      <w:r w:rsidR="0057492E" w:rsidRPr="0057492E">
        <w:rPr>
          <w:rFonts w:ascii="Georgia" w:hAnsi="Georgia" w:cs="Arial"/>
          <w:szCs w:val="24"/>
        </w:rPr>
        <w:t xml:space="preserve">o </w:t>
      </w:r>
      <w:r w:rsidR="0057492E" w:rsidRPr="0057492E">
        <w:rPr>
          <w:rFonts w:ascii="Georgia" w:hAnsi="Georgia" w:cs="Arial"/>
          <w:i/>
          <w:sz w:val="22"/>
          <w:szCs w:val="24"/>
        </w:rPr>
        <w:t>condiciones para tener la posibilidad de recurrir</w:t>
      </w:r>
      <w:r w:rsidR="0057492E" w:rsidRPr="0057492E">
        <w:rPr>
          <w:rStyle w:val="Refdenotaalpie"/>
          <w:rFonts w:ascii="Georgia" w:hAnsi="Georgia"/>
          <w:i/>
          <w:szCs w:val="24"/>
        </w:rPr>
        <w:footnoteReference w:id="1"/>
      </w:r>
      <w:r w:rsidR="0057492E" w:rsidRPr="0057492E">
        <w:rPr>
          <w:rFonts w:ascii="Georgia" w:hAnsi="Georgia" w:cs="Arial"/>
          <w:szCs w:val="24"/>
          <w:lang w:val="es-CO"/>
        </w:rPr>
        <w:t xml:space="preserve">, </w:t>
      </w:r>
      <w:r w:rsidR="0057492E" w:rsidRPr="0057492E">
        <w:rPr>
          <w:rFonts w:ascii="Georgia" w:hAnsi="Georgia" w:cs="Arial"/>
          <w:szCs w:val="24"/>
        </w:rPr>
        <w:t>al decir de la doctrina procesal nacional</w:t>
      </w:r>
      <w:r w:rsidR="0057492E" w:rsidRPr="0057492E">
        <w:rPr>
          <w:rFonts w:ascii="Georgia" w:hAnsi="Georgia"/>
          <w:szCs w:val="24"/>
          <w:vertAlign w:val="superscript"/>
          <w:lang w:val="es-CO"/>
        </w:rPr>
        <w:t xml:space="preserve"> </w:t>
      </w:r>
      <w:r w:rsidR="0057492E" w:rsidRPr="0057492E">
        <w:rPr>
          <w:rFonts w:ascii="Georgia" w:hAnsi="Georgia"/>
          <w:szCs w:val="24"/>
          <w:vertAlign w:val="superscript"/>
          <w:lang w:val="es-CO"/>
        </w:rPr>
        <w:footnoteReference w:id="2"/>
      </w:r>
      <w:r w:rsidR="0057492E" w:rsidRPr="0057492E">
        <w:rPr>
          <w:rFonts w:ascii="Georgia" w:hAnsi="Georgia" w:cs="Arial"/>
          <w:szCs w:val="24"/>
          <w:vertAlign w:val="superscript"/>
          <w:lang w:val="es-CO"/>
        </w:rPr>
        <w:t>-</w:t>
      </w:r>
      <w:r w:rsidR="0057492E" w:rsidRPr="0057492E">
        <w:rPr>
          <w:rFonts w:ascii="Georgia" w:hAnsi="Georgia"/>
          <w:szCs w:val="24"/>
          <w:vertAlign w:val="superscript"/>
          <w:lang w:val="es-CO"/>
        </w:rPr>
        <w:footnoteReference w:id="3"/>
      </w:r>
      <w:r w:rsidR="0057492E" w:rsidRPr="0057492E">
        <w:rPr>
          <w:rFonts w:ascii="Georgia" w:hAnsi="Georgia" w:cs="Arial"/>
          <w:szCs w:val="24"/>
          <w:lang w:val="es-CO"/>
        </w:rPr>
        <w:t xml:space="preserve">, a efectos de examinar el tema discutido por vía de apelación. </w:t>
      </w:r>
    </w:p>
    <w:p w:rsidR="007F0E1D" w:rsidRPr="006B6DCD" w:rsidRDefault="007F0E1D" w:rsidP="007F0E1D">
      <w:pPr>
        <w:pStyle w:val="Sinespaciado"/>
        <w:spacing w:line="360" w:lineRule="auto"/>
        <w:jc w:val="both"/>
        <w:rPr>
          <w:rFonts w:ascii="Georgia" w:hAnsi="Georgia" w:cs="Arial"/>
        </w:rPr>
      </w:pPr>
    </w:p>
    <w:p w:rsidR="0057492E" w:rsidRPr="0057492E" w:rsidRDefault="0057492E" w:rsidP="0057492E">
      <w:pPr>
        <w:spacing w:line="360" w:lineRule="auto"/>
        <w:ind w:left="720"/>
        <w:jc w:val="both"/>
        <w:rPr>
          <w:rFonts w:ascii="Georgia" w:hAnsi="Georgia" w:cs="Arial"/>
          <w:sz w:val="24"/>
          <w:szCs w:val="24"/>
          <w:lang w:val="es-MX"/>
        </w:rPr>
      </w:pPr>
      <w:r w:rsidRPr="0057492E">
        <w:rPr>
          <w:rFonts w:ascii="Georgia" w:hAnsi="Georgia" w:cs="Arial"/>
          <w:sz w:val="24"/>
          <w:szCs w:val="24"/>
          <w:lang w:val="es-CO"/>
        </w:rPr>
        <w:t>Se dice que son ellos una serie de exigencias normativas formales que permiten su trámite y aseguran su decisión.  Y como anota el profesor López B.</w:t>
      </w:r>
      <w:r w:rsidRPr="0057492E">
        <w:rPr>
          <w:rFonts w:ascii="Georgia" w:hAnsi="Georgia" w:cs="Arial"/>
          <w:sz w:val="24"/>
          <w:szCs w:val="24"/>
          <w:vertAlign w:val="superscript"/>
          <w:lang w:val="es-CO"/>
        </w:rPr>
        <w:footnoteReference w:id="4"/>
      </w:r>
      <w:r w:rsidRPr="0057492E">
        <w:rPr>
          <w:rFonts w:ascii="Georgia" w:hAnsi="Georgia" w:cs="Arial"/>
          <w:sz w:val="24"/>
          <w:szCs w:val="24"/>
          <w:lang w:val="es-CO"/>
        </w:rPr>
        <w:t xml:space="preserve">: </w:t>
      </w:r>
      <w:r w:rsidRPr="0057492E">
        <w:rPr>
          <w:rFonts w:ascii="Georgia" w:hAnsi="Georgia" w:cs="Arial"/>
          <w:sz w:val="22"/>
          <w:szCs w:val="24"/>
          <w:lang w:val="es-CO"/>
        </w:rPr>
        <w:t>“</w:t>
      </w:r>
      <w:r w:rsidRPr="0057492E">
        <w:rPr>
          <w:rFonts w:ascii="Georgia" w:hAnsi="Georgia" w:cs="Arial"/>
          <w:i/>
          <w:sz w:val="22"/>
          <w:szCs w:val="24"/>
          <w:lang w:val="es-CO"/>
        </w:rPr>
        <w:t>En todo caso sin estar reunidos los requisitos de viabilidad del recurso jamás se podrá tener éxito en el mismo por constituir un precedente necesario para decidirlo.</w:t>
      </w:r>
      <w:r w:rsidRPr="0057492E">
        <w:rPr>
          <w:rFonts w:ascii="Georgia" w:hAnsi="Georgia" w:cs="Arial"/>
          <w:sz w:val="22"/>
          <w:szCs w:val="24"/>
          <w:lang w:val="es-CO"/>
        </w:rPr>
        <w:t>”</w:t>
      </w:r>
      <w:r w:rsidRPr="0057492E">
        <w:rPr>
          <w:rFonts w:ascii="Georgia" w:hAnsi="Georgia" w:cs="Arial"/>
          <w:sz w:val="24"/>
          <w:szCs w:val="24"/>
          <w:lang w:val="es-CO"/>
        </w:rPr>
        <w:t>. Y lo explica el profesor Rojas G.</w:t>
      </w:r>
      <w:r w:rsidRPr="0057492E">
        <w:rPr>
          <w:rFonts w:ascii="Georgia" w:hAnsi="Georgia" w:cs="Arial"/>
          <w:sz w:val="24"/>
          <w:szCs w:val="24"/>
          <w:vertAlign w:val="superscript"/>
          <w:lang w:val="es-CO"/>
        </w:rPr>
        <w:footnoteReference w:id="5"/>
      </w:r>
      <w:r w:rsidRPr="0057492E">
        <w:rPr>
          <w:rFonts w:ascii="Georgia" w:hAnsi="Georgia" w:cs="Arial"/>
          <w:sz w:val="24"/>
          <w:szCs w:val="24"/>
          <w:lang w:val="es-CO"/>
        </w:rPr>
        <w:t xml:space="preserve"> en su obra: </w:t>
      </w:r>
      <w:r w:rsidRPr="0057492E">
        <w:rPr>
          <w:rFonts w:ascii="Georgia" w:hAnsi="Georgia" w:cs="Arial"/>
          <w:i/>
          <w:sz w:val="22"/>
          <w:szCs w:val="24"/>
          <w:lang w:val="es-CO"/>
        </w:rPr>
        <w:t>“(…) para que la impugnación pueda ser tramitada hasta establecer si debe prosperar han de cumplirse unos precisos requisitos. En ausencia de ellos no debe dársele curso a la impugnación, o el trámite queda trunco, si ya se inició.”</w:t>
      </w:r>
      <w:r w:rsidRPr="0057492E">
        <w:rPr>
          <w:rFonts w:ascii="Georgia" w:hAnsi="Georgia" w:cs="Arial"/>
          <w:sz w:val="24"/>
          <w:szCs w:val="24"/>
          <w:lang w:val="es-CO"/>
        </w:rPr>
        <w:t>.</w:t>
      </w:r>
    </w:p>
    <w:p w:rsidR="0057492E" w:rsidRPr="0057492E" w:rsidRDefault="0057492E" w:rsidP="0057492E">
      <w:pPr>
        <w:spacing w:line="360" w:lineRule="auto"/>
        <w:ind w:left="720"/>
        <w:jc w:val="both"/>
        <w:rPr>
          <w:rFonts w:ascii="Georgia" w:hAnsi="Georgia" w:cs="Arial"/>
          <w:sz w:val="24"/>
          <w:szCs w:val="24"/>
        </w:rPr>
      </w:pPr>
    </w:p>
    <w:p w:rsidR="0057492E" w:rsidRPr="0057492E" w:rsidRDefault="0057492E" w:rsidP="0057492E">
      <w:pPr>
        <w:spacing w:line="360" w:lineRule="auto"/>
        <w:ind w:left="720"/>
        <w:jc w:val="both"/>
        <w:rPr>
          <w:rFonts w:ascii="Georgia" w:hAnsi="Georgia" w:cs="Arial"/>
          <w:sz w:val="24"/>
          <w:szCs w:val="24"/>
        </w:rPr>
      </w:pPr>
      <w:r w:rsidRPr="0057492E">
        <w:rPr>
          <w:rFonts w:ascii="Georgia" w:hAnsi="Georgia" w:cs="Arial"/>
          <w:sz w:val="24"/>
          <w:szCs w:val="24"/>
        </w:rPr>
        <w:lastRenderedPageBreak/>
        <w:t xml:space="preserve">Los requisitos son concurrentes, ausente uno debe desecharse el estudio de la impugnación. Para este caso se encuentran cumplidos, hay legitimación en la parte que recurre porque hay mengua de sus intereses con la decisión atacada, el recurso es tempestivo, la aludida  providencia es susceptible de apelación (321-2º, </w:t>
      </w:r>
      <w:proofErr w:type="spellStart"/>
      <w:r w:rsidRPr="0057492E">
        <w:rPr>
          <w:rFonts w:ascii="Georgia" w:hAnsi="Georgia" w:cs="Arial"/>
          <w:sz w:val="24"/>
          <w:szCs w:val="24"/>
        </w:rPr>
        <w:t>CGP</w:t>
      </w:r>
      <w:proofErr w:type="spellEnd"/>
      <w:r w:rsidRPr="0057492E">
        <w:rPr>
          <w:rFonts w:ascii="Georgia" w:hAnsi="Georgia" w:cs="Arial"/>
          <w:sz w:val="24"/>
          <w:szCs w:val="24"/>
        </w:rPr>
        <w:t xml:space="preserve">) y está cumplida la carga procesal de la sustentación (Artículo 322-3º, </w:t>
      </w:r>
      <w:proofErr w:type="spellStart"/>
      <w:r w:rsidRPr="0057492E">
        <w:rPr>
          <w:rFonts w:ascii="Georgia" w:hAnsi="Georgia" w:cs="Arial"/>
          <w:sz w:val="24"/>
          <w:szCs w:val="24"/>
        </w:rPr>
        <w:t>CGP</w:t>
      </w:r>
      <w:proofErr w:type="spellEnd"/>
      <w:r w:rsidRPr="0057492E">
        <w:rPr>
          <w:rFonts w:ascii="Georgia" w:hAnsi="Georgia" w:cs="Arial"/>
          <w:sz w:val="24"/>
          <w:szCs w:val="24"/>
        </w:rPr>
        <w:t>).</w:t>
      </w:r>
    </w:p>
    <w:p w:rsidR="00B75C6A" w:rsidRDefault="00B75C6A" w:rsidP="00477144">
      <w:pPr>
        <w:pStyle w:val="Sinespaciado"/>
        <w:tabs>
          <w:tab w:val="left" w:pos="709"/>
        </w:tabs>
        <w:spacing w:line="360" w:lineRule="auto"/>
        <w:ind w:left="567" w:right="567"/>
        <w:jc w:val="both"/>
        <w:rPr>
          <w:rFonts w:ascii="Georgia" w:hAnsi="Georgia" w:cs="Arial"/>
          <w:sz w:val="28"/>
        </w:rPr>
      </w:pPr>
    </w:p>
    <w:p w:rsidR="009A04A0" w:rsidRPr="00490B75" w:rsidRDefault="009A04A0" w:rsidP="009A04A0">
      <w:pPr>
        <w:pStyle w:val="Textopredeterminado"/>
        <w:numPr>
          <w:ilvl w:val="1"/>
          <w:numId w:val="12"/>
        </w:numPr>
        <w:spacing w:line="360" w:lineRule="auto"/>
        <w:jc w:val="both"/>
        <w:textAlignment w:val="baseline"/>
        <w:rPr>
          <w:rFonts w:ascii="Georgia" w:hAnsi="Georgia" w:cs="Arial"/>
          <w:szCs w:val="22"/>
          <w:lang w:val="es-CO"/>
        </w:rPr>
      </w:pPr>
      <w:r w:rsidRPr="00490B75">
        <w:rPr>
          <w:rFonts w:ascii="Georgia" w:hAnsi="Georgia" w:cs="Arial"/>
          <w:smallCaps/>
          <w:szCs w:val="26"/>
          <w:lang w:val="es-CO"/>
        </w:rPr>
        <w:t xml:space="preserve">El problema jurídico a resolver. </w:t>
      </w:r>
      <w:r w:rsidRPr="00490B75">
        <w:rPr>
          <w:rFonts w:ascii="Georgia" w:hAnsi="Georgia"/>
          <w:lang w:val="es-CO"/>
        </w:rPr>
        <w:t xml:space="preserve">¿Se debe revocar, modificar o confirmar el auto que </w:t>
      </w:r>
      <w:r>
        <w:rPr>
          <w:rFonts w:ascii="Georgia" w:hAnsi="Georgia"/>
          <w:lang w:val="es-CO"/>
        </w:rPr>
        <w:t>rechazó la demanda</w:t>
      </w:r>
      <w:r w:rsidRPr="00490B75">
        <w:rPr>
          <w:rFonts w:ascii="Georgia" w:hAnsi="Georgia"/>
          <w:lang w:val="es-CO"/>
        </w:rPr>
        <w:t xml:space="preserve">, </w:t>
      </w:r>
      <w:r>
        <w:rPr>
          <w:rFonts w:ascii="Georgia" w:hAnsi="Georgia"/>
          <w:lang w:val="es-CO"/>
        </w:rPr>
        <w:t xml:space="preserve">dictado </w:t>
      </w:r>
      <w:r w:rsidRPr="00490B75">
        <w:rPr>
          <w:rFonts w:ascii="Georgia" w:hAnsi="Georgia"/>
          <w:lang w:val="es-CO"/>
        </w:rPr>
        <w:t xml:space="preserve">por el Juzgado </w:t>
      </w:r>
      <w:r>
        <w:rPr>
          <w:rFonts w:ascii="Georgia" w:hAnsi="Georgia"/>
          <w:lang w:val="es-CO"/>
        </w:rPr>
        <w:t xml:space="preserve">Tercero </w:t>
      </w:r>
      <w:r w:rsidRPr="00490B75">
        <w:rPr>
          <w:rFonts w:ascii="Georgia" w:hAnsi="Georgia"/>
          <w:lang w:val="es-CO"/>
        </w:rPr>
        <w:t xml:space="preserve">Civil del Circuito de Pereira, según la argumentación de la apelación interpuesta por la parte </w:t>
      </w:r>
      <w:r>
        <w:rPr>
          <w:rFonts w:ascii="Georgia" w:hAnsi="Georgia"/>
          <w:lang w:val="es-CO"/>
        </w:rPr>
        <w:t>actora</w:t>
      </w:r>
      <w:r w:rsidRPr="00490B75">
        <w:rPr>
          <w:rFonts w:ascii="Georgia" w:hAnsi="Georgia" w:cs="Arial"/>
          <w:szCs w:val="22"/>
          <w:lang w:val="es-CO"/>
        </w:rPr>
        <w:t>?</w:t>
      </w:r>
    </w:p>
    <w:p w:rsidR="009A04A0" w:rsidRPr="00490B75" w:rsidRDefault="009A04A0" w:rsidP="009A04A0">
      <w:pPr>
        <w:pStyle w:val="Prrafodelista"/>
        <w:widowControl w:val="0"/>
        <w:autoSpaceDE w:val="0"/>
        <w:autoSpaceDN w:val="0"/>
        <w:adjustRightInd w:val="0"/>
        <w:spacing w:line="360" w:lineRule="auto"/>
        <w:jc w:val="both"/>
        <w:rPr>
          <w:rFonts w:ascii="Georgia" w:hAnsi="Georgia" w:cs="Arial"/>
          <w:szCs w:val="22"/>
          <w:lang w:val="es-CO"/>
        </w:rPr>
      </w:pPr>
    </w:p>
    <w:p w:rsidR="009A04A0" w:rsidRPr="00490B75" w:rsidRDefault="009A04A0" w:rsidP="009A04A0">
      <w:pPr>
        <w:pStyle w:val="Textopredeterminado"/>
        <w:numPr>
          <w:ilvl w:val="1"/>
          <w:numId w:val="12"/>
        </w:numPr>
        <w:spacing w:line="360" w:lineRule="auto"/>
        <w:jc w:val="both"/>
        <w:textAlignment w:val="baseline"/>
        <w:rPr>
          <w:rFonts w:ascii="Georgia" w:hAnsi="Georgia" w:cs="Arial"/>
          <w:lang w:val="es-CO"/>
        </w:rPr>
      </w:pPr>
      <w:r w:rsidRPr="00490B75">
        <w:rPr>
          <w:rFonts w:ascii="Georgia" w:hAnsi="Georgia" w:cs="Arial"/>
          <w:smallCaps/>
          <w:sz w:val="26"/>
          <w:szCs w:val="26"/>
          <w:lang w:val="es-CO"/>
        </w:rPr>
        <w:t xml:space="preserve">La resolución del problema jurídico planteado. </w:t>
      </w:r>
      <w:r w:rsidRPr="00490B75">
        <w:rPr>
          <w:rFonts w:ascii="Georgia" w:hAnsi="Georgia" w:cs="Arial"/>
          <w:lang w:val="es-CO"/>
        </w:rPr>
        <w:t xml:space="preserve">Delimitados por el marco argumental formulado en la alzada, en acatamiento del artículo 328 del </w:t>
      </w:r>
      <w:proofErr w:type="spellStart"/>
      <w:r w:rsidRPr="00490B75">
        <w:rPr>
          <w:rFonts w:ascii="Georgia" w:hAnsi="Georgia" w:cs="Arial"/>
          <w:lang w:val="es-CO"/>
        </w:rPr>
        <w:t>CGP</w:t>
      </w:r>
      <w:proofErr w:type="spellEnd"/>
      <w:r w:rsidRPr="00490B75">
        <w:rPr>
          <w:rFonts w:ascii="Georgia" w:hAnsi="Georgia" w:cs="Arial"/>
          <w:lang w:val="es-CO"/>
        </w:rPr>
        <w:t>, se examinará el asunto litigioso, con desarrollo de los precisos aspectos cuestionados.</w:t>
      </w:r>
    </w:p>
    <w:p w:rsidR="009A04A0" w:rsidRDefault="009A04A0" w:rsidP="009A04A0">
      <w:pPr>
        <w:pStyle w:val="Sinespaciado"/>
        <w:tabs>
          <w:tab w:val="left" w:pos="3975"/>
        </w:tabs>
        <w:spacing w:line="360" w:lineRule="auto"/>
        <w:ind w:left="567" w:right="567"/>
        <w:jc w:val="both"/>
        <w:rPr>
          <w:rFonts w:ascii="Georgia" w:hAnsi="Georgia" w:cs="Arial"/>
          <w:sz w:val="28"/>
        </w:rPr>
      </w:pPr>
    </w:p>
    <w:p w:rsidR="00A26C34" w:rsidRPr="006700A7" w:rsidRDefault="00630D04" w:rsidP="00A26C34">
      <w:pPr>
        <w:pStyle w:val="Sinespaciado"/>
        <w:numPr>
          <w:ilvl w:val="0"/>
          <w:numId w:val="8"/>
        </w:numPr>
        <w:spacing w:line="360" w:lineRule="auto"/>
        <w:jc w:val="both"/>
        <w:rPr>
          <w:rFonts w:ascii="Georgia" w:hAnsi="Georgia" w:cs="Arial"/>
          <w:smallCaps/>
          <w:sz w:val="26"/>
          <w:szCs w:val="26"/>
        </w:rPr>
      </w:pPr>
      <w:r w:rsidRPr="006700A7">
        <w:rPr>
          <w:rFonts w:ascii="Georgia" w:hAnsi="Georgia" w:cs="Arial"/>
          <w:smallCaps/>
          <w:sz w:val="26"/>
          <w:szCs w:val="26"/>
        </w:rPr>
        <w:t xml:space="preserve">El </w:t>
      </w:r>
      <w:r w:rsidR="00A26C34" w:rsidRPr="006700A7">
        <w:rPr>
          <w:rFonts w:ascii="Georgia" w:hAnsi="Georgia" w:cs="Arial"/>
          <w:smallCaps/>
          <w:sz w:val="26"/>
          <w:szCs w:val="26"/>
        </w:rPr>
        <w:t>caso concreto que se analiza</w:t>
      </w:r>
    </w:p>
    <w:p w:rsidR="009A04A0" w:rsidRPr="008F5803" w:rsidRDefault="009A04A0" w:rsidP="009A04A0">
      <w:pPr>
        <w:pStyle w:val="Sinespaciado"/>
        <w:spacing w:line="360" w:lineRule="auto"/>
        <w:jc w:val="both"/>
        <w:rPr>
          <w:rFonts w:ascii="Georgia" w:hAnsi="Georgia" w:cs="Arial"/>
        </w:rPr>
      </w:pPr>
    </w:p>
    <w:p w:rsidR="00A26C34" w:rsidRDefault="00FC30E0" w:rsidP="00A26C34">
      <w:pPr>
        <w:pStyle w:val="Sinespaciado"/>
        <w:tabs>
          <w:tab w:val="left" w:pos="3975"/>
        </w:tabs>
        <w:spacing w:line="360" w:lineRule="auto"/>
        <w:jc w:val="both"/>
        <w:rPr>
          <w:rFonts w:ascii="Georgia" w:hAnsi="Georgia" w:cs="Arial"/>
        </w:rPr>
      </w:pPr>
      <w:r>
        <w:rPr>
          <w:rFonts w:ascii="Georgia" w:hAnsi="Georgia" w:cs="Arial"/>
        </w:rPr>
        <w:t>Las providencias judiciales, a menos que deban notificarse de otra forma como la</w:t>
      </w:r>
      <w:r w:rsidR="00A26C34">
        <w:rPr>
          <w:rFonts w:ascii="Georgia" w:hAnsi="Georgia" w:cs="Arial"/>
        </w:rPr>
        <w:t>s excepciones contempladas en l</w:t>
      </w:r>
      <w:r w:rsidR="00260E1A">
        <w:rPr>
          <w:rFonts w:ascii="Georgia" w:hAnsi="Georgia" w:cs="Arial"/>
        </w:rPr>
        <w:t>os</w:t>
      </w:r>
      <w:r w:rsidR="00A26C34">
        <w:rPr>
          <w:rFonts w:ascii="Georgia" w:hAnsi="Georgia" w:cs="Arial"/>
        </w:rPr>
        <w:t xml:space="preserve"> a</w:t>
      </w:r>
      <w:r>
        <w:rPr>
          <w:rFonts w:ascii="Georgia" w:hAnsi="Georgia" w:cs="Arial"/>
        </w:rPr>
        <w:t>rtículo</w:t>
      </w:r>
      <w:r w:rsidR="00260E1A">
        <w:rPr>
          <w:rFonts w:ascii="Georgia" w:hAnsi="Georgia" w:cs="Arial"/>
        </w:rPr>
        <w:t>s</w:t>
      </w:r>
      <w:r>
        <w:rPr>
          <w:rFonts w:ascii="Georgia" w:hAnsi="Georgia" w:cs="Arial"/>
        </w:rPr>
        <w:t xml:space="preserve"> 290</w:t>
      </w:r>
      <w:r w:rsidR="00260E1A">
        <w:rPr>
          <w:rFonts w:ascii="Georgia" w:hAnsi="Georgia" w:cs="Arial"/>
        </w:rPr>
        <w:t xml:space="preserve"> y 294</w:t>
      </w:r>
      <w:r>
        <w:rPr>
          <w:rFonts w:ascii="Georgia" w:hAnsi="Georgia" w:cs="Arial"/>
        </w:rPr>
        <w:t xml:space="preserve">, </w:t>
      </w:r>
      <w:proofErr w:type="spellStart"/>
      <w:r>
        <w:rPr>
          <w:rFonts w:ascii="Georgia" w:hAnsi="Georgia" w:cs="Arial"/>
        </w:rPr>
        <w:t>CGP</w:t>
      </w:r>
      <w:proofErr w:type="spellEnd"/>
      <w:r>
        <w:rPr>
          <w:rFonts w:ascii="Georgia" w:hAnsi="Georgia" w:cs="Arial"/>
        </w:rPr>
        <w:t xml:space="preserve">, </w:t>
      </w:r>
      <w:r w:rsidR="00A26C34">
        <w:rPr>
          <w:rFonts w:ascii="Georgia" w:hAnsi="Georgia" w:cs="Arial"/>
        </w:rPr>
        <w:t xml:space="preserve">se cumplen con anotación en estados que elabora el secretario, en la que, por regla general, están incluidos los proveídos emitidos el día anterior y en él se </w:t>
      </w:r>
      <w:r w:rsidR="00630D04">
        <w:rPr>
          <w:rFonts w:ascii="Georgia" w:hAnsi="Georgia" w:cs="Arial"/>
        </w:rPr>
        <w:t>verificarán</w:t>
      </w:r>
      <w:r w:rsidR="00A26C34">
        <w:rPr>
          <w:rFonts w:ascii="Georgia" w:hAnsi="Georgia" w:cs="Arial"/>
        </w:rPr>
        <w:t xml:space="preserve"> las reglas establecidas en el artículo 295, </w:t>
      </w:r>
      <w:proofErr w:type="spellStart"/>
      <w:r w:rsidR="00A26C34">
        <w:rPr>
          <w:rFonts w:ascii="Georgia" w:hAnsi="Georgia" w:cs="Arial"/>
        </w:rPr>
        <w:t>CGP</w:t>
      </w:r>
      <w:proofErr w:type="spellEnd"/>
      <w:r w:rsidR="00A26C34">
        <w:rPr>
          <w:rFonts w:ascii="Georgia" w:hAnsi="Georgia" w:cs="Arial"/>
        </w:rPr>
        <w:t xml:space="preserve">. </w:t>
      </w:r>
    </w:p>
    <w:p w:rsidR="00A26C34" w:rsidRDefault="00A26C34" w:rsidP="00A26C34">
      <w:pPr>
        <w:pStyle w:val="Sinespaciado"/>
        <w:tabs>
          <w:tab w:val="left" w:pos="3975"/>
        </w:tabs>
        <w:spacing w:line="360" w:lineRule="auto"/>
        <w:jc w:val="both"/>
        <w:rPr>
          <w:rFonts w:ascii="Georgia" w:hAnsi="Georgia" w:cs="Arial"/>
        </w:rPr>
      </w:pPr>
    </w:p>
    <w:p w:rsidR="009B1268" w:rsidRDefault="00A26C34" w:rsidP="009B1268">
      <w:pPr>
        <w:pStyle w:val="Sinespaciado"/>
        <w:spacing w:line="360" w:lineRule="auto"/>
        <w:jc w:val="both"/>
        <w:rPr>
          <w:rFonts w:ascii="Bookman Old Style" w:hAnsi="Bookman Old Style" w:cs="Arial"/>
          <w:sz w:val="28"/>
          <w:szCs w:val="28"/>
        </w:rPr>
      </w:pPr>
      <w:r>
        <w:rPr>
          <w:rFonts w:ascii="Georgia" w:hAnsi="Georgia" w:cs="Arial"/>
        </w:rPr>
        <w:t xml:space="preserve">El parágrafo de la </w:t>
      </w:r>
      <w:r w:rsidR="003D796F">
        <w:rPr>
          <w:rFonts w:ascii="Georgia" w:hAnsi="Georgia" w:cs="Arial"/>
        </w:rPr>
        <w:t xml:space="preserve">última </w:t>
      </w:r>
      <w:r>
        <w:rPr>
          <w:rFonts w:ascii="Georgia" w:hAnsi="Georgia" w:cs="Arial"/>
        </w:rPr>
        <w:t xml:space="preserve">norma establece que cuando </w:t>
      </w:r>
      <w:r w:rsidR="004A2C13">
        <w:rPr>
          <w:rFonts w:ascii="Georgia" w:hAnsi="Georgia" w:cs="Arial"/>
        </w:rPr>
        <w:t xml:space="preserve">los </w:t>
      </w:r>
      <w:r w:rsidR="003D796F">
        <w:rPr>
          <w:rFonts w:ascii="Georgia" w:hAnsi="Georgia" w:cs="Arial"/>
        </w:rPr>
        <w:t>j</w:t>
      </w:r>
      <w:r w:rsidR="004A2C13">
        <w:rPr>
          <w:rFonts w:ascii="Georgia" w:hAnsi="Georgia" w:cs="Arial"/>
        </w:rPr>
        <w:t xml:space="preserve">uzgados </w:t>
      </w:r>
      <w:r>
        <w:rPr>
          <w:rFonts w:ascii="Georgia" w:hAnsi="Georgia" w:cs="Arial"/>
        </w:rPr>
        <w:t>cuente</w:t>
      </w:r>
      <w:r w:rsidR="004A2C13">
        <w:rPr>
          <w:rFonts w:ascii="Georgia" w:hAnsi="Georgia" w:cs="Arial"/>
        </w:rPr>
        <w:t>n</w:t>
      </w:r>
      <w:r>
        <w:rPr>
          <w:rFonts w:ascii="Georgia" w:hAnsi="Georgia" w:cs="Arial"/>
        </w:rPr>
        <w:t xml:space="preserve"> con los recursos técnicos publicarán </w:t>
      </w:r>
      <w:r w:rsidR="004A2C13">
        <w:rPr>
          <w:rFonts w:ascii="Georgia" w:hAnsi="Georgia" w:cs="Arial"/>
        </w:rPr>
        <w:t xml:space="preserve">los estados por mensaje </w:t>
      </w:r>
      <w:r w:rsidR="00260E1A">
        <w:rPr>
          <w:rFonts w:ascii="Georgia" w:hAnsi="Georgia" w:cs="Arial"/>
        </w:rPr>
        <w:t xml:space="preserve">de datos, </w:t>
      </w:r>
      <w:r w:rsidR="009B1268">
        <w:rPr>
          <w:rFonts w:ascii="Georgia" w:hAnsi="Georgia" w:cs="Arial"/>
        </w:rPr>
        <w:t xml:space="preserve">sin que pueda interpretarse que el sistema “Siglo XXI” constituya </w:t>
      </w:r>
      <w:r w:rsidR="008D255E">
        <w:rPr>
          <w:rFonts w:ascii="Georgia" w:hAnsi="Georgia" w:cs="Arial"/>
        </w:rPr>
        <w:t>ese</w:t>
      </w:r>
      <w:r w:rsidR="009B1268">
        <w:rPr>
          <w:rFonts w:ascii="Georgia" w:hAnsi="Georgia" w:cs="Arial"/>
        </w:rPr>
        <w:t xml:space="preserve"> medio de notificación consagrado en el nuevo ordenamiento, así lo enfatizo</w:t>
      </w:r>
      <w:r w:rsidR="009B1268" w:rsidRPr="009B1268">
        <w:rPr>
          <w:rFonts w:ascii="Georgia" w:hAnsi="Georgia" w:cs="Arial"/>
        </w:rPr>
        <w:t xml:space="preserve"> </w:t>
      </w:r>
      <w:r w:rsidR="009B1268">
        <w:rPr>
          <w:rFonts w:ascii="Georgia" w:hAnsi="Georgia" w:cs="Arial"/>
        </w:rPr>
        <w:t>en reciente (17-08-2017)</w:t>
      </w:r>
      <w:r w:rsidR="009B1268">
        <w:rPr>
          <w:rStyle w:val="Refdenotaalpie"/>
          <w:rFonts w:ascii="Georgia" w:hAnsi="Georgia"/>
        </w:rPr>
        <w:footnoteReference w:id="6"/>
      </w:r>
      <w:r w:rsidR="009B1268">
        <w:rPr>
          <w:rFonts w:ascii="Georgia" w:hAnsi="Georgia" w:cs="Arial"/>
        </w:rPr>
        <w:t xml:space="preserve"> decisión la CSJ: </w:t>
      </w:r>
      <w:r w:rsidR="009B1268" w:rsidRPr="009B1268">
        <w:rPr>
          <w:rFonts w:ascii="Georgia" w:hAnsi="Georgia" w:cs="Arial"/>
          <w:i/>
          <w:sz w:val="22"/>
          <w:szCs w:val="22"/>
        </w:rPr>
        <w:t xml:space="preserve">“(…) </w:t>
      </w:r>
      <w:r w:rsidR="009B1268" w:rsidRPr="009B1268">
        <w:rPr>
          <w:rFonts w:ascii="Georgia" w:hAnsi="Georgia"/>
          <w:i/>
          <w:sz w:val="22"/>
          <w:szCs w:val="22"/>
        </w:rPr>
        <w:t xml:space="preserve">menester es recordar que el Código General del Proceso regula la forma en que deben darse a conocer las providencias judiciales a las partes e intervinientes, previsión a la que están sujetas </w:t>
      </w:r>
      <w:r w:rsidR="009B1268" w:rsidRPr="009B1268">
        <w:rPr>
          <w:rFonts w:ascii="Georgia" w:hAnsi="Georgia" w:cs="Arial"/>
          <w:i/>
          <w:sz w:val="22"/>
          <w:szCs w:val="22"/>
        </w:rPr>
        <w:t>y en la que no se ha incluido el sistema de gestión judicial como un medio de enteramiento. De suerte que si las autoridades judiciales resuelven alimentar dicho sistema con las actuaciones de cada asunto puesto en su conocimiento, tal registro debe entenderse como una herramienta de seguimiento, pero no, en manera alguna, como una forma de comunicación a los sujetos procesales</w:t>
      </w:r>
      <w:r w:rsidR="009B1268">
        <w:rPr>
          <w:rFonts w:ascii="Georgia" w:hAnsi="Georgia" w:cs="Arial"/>
          <w:i/>
          <w:sz w:val="22"/>
          <w:szCs w:val="22"/>
        </w:rPr>
        <w:t xml:space="preserve"> (…)”.</w:t>
      </w:r>
    </w:p>
    <w:p w:rsidR="009B1268" w:rsidRDefault="009B1268" w:rsidP="00260E1A">
      <w:pPr>
        <w:pStyle w:val="Sinespaciado"/>
        <w:tabs>
          <w:tab w:val="left" w:pos="3975"/>
        </w:tabs>
        <w:spacing w:line="360" w:lineRule="auto"/>
        <w:jc w:val="both"/>
        <w:rPr>
          <w:rFonts w:ascii="Georgia" w:hAnsi="Georgia" w:cs="Arial"/>
        </w:rPr>
      </w:pPr>
    </w:p>
    <w:p w:rsidR="00B0011B" w:rsidRPr="00B0011B" w:rsidRDefault="009B1268" w:rsidP="00260E1A">
      <w:pPr>
        <w:pStyle w:val="Sinespaciado"/>
        <w:tabs>
          <w:tab w:val="left" w:pos="3975"/>
        </w:tabs>
        <w:spacing w:line="360" w:lineRule="auto"/>
        <w:jc w:val="both"/>
        <w:rPr>
          <w:rFonts w:ascii="Georgia" w:hAnsi="Georgia" w:cs="Arial"/>
          <w:bCs/>
          <w:i/>
          <w:sz w:val="22"/>
          <w:szCs w:val="28"/>
          <w:lang w:eastAsia="x-none"/>
        </w:rPr>
      </w:pPr>
      <w:r>
        <w:rPr>
          <w:rFonts w:ascii="Georgia" w:hAnsi="Georgia" w:cs="Arial"/>
        </w:rPr>
        <w:t xml:space="preserve">En ese sentido, ha sido pacifica </w:t>
      </w:r>
      <w:r w:rsidR="0069547F">
        <w:rPr>
          <w:rFonts w:ascii="Georgia" w:hAnsi="Georgia" w:cs="Arial"/>
        </w:rPr>
        <w:t xml:space="preserve">la jurisprudencia </w:t>
      </w:r>
      <w:r w:rsidR="00496D62">
        <w:rPr>
          <w:rFonts w:ascii="Georgia" w:hAnsi="Georgia" w:cs="Arial"/>
        </w:rPr>
        <w:t>de la CSJ</w:t>
      </w:r>
      <w:r w:rsidR="00496D62">
        <w:rPr>
          <w:rStyle w:val="Refdenotaalpie"/>
          <w:rFonts w:ascii="Georgia" w:hAnsi="Georgia"/>
        </w:rPr>
        <w:footnoteReference w:id="7"/>
      </w:r>
      <w:r w:rsidR="00B0011B">
        <w:rPr>
          <w:rFonts w:ascii="Georgia" w:hAnsi="Georgia" w:cs="Arial"/>
        </w:rPr>
        <w:t xml:space="preserve"> en tesis acogida por esta Corporación</w:t>
      </w:r>
      <w:r w:rsidR="00B0011B">
        <w:rPr>
          <w:rStyle w:val="Refdenotaalpie"/>
          <w:rFonts w:ascii="Georgia" w:hAnsi="Georgia"/>
        </w:rPr>
        <w:footnoteReference w:id="8"/>
      </w:r>
      <w:r w:rsidR="00B0011B">
        <w:rPr>
          <w:rFonts w:ascii="Georgia" w:hAnsi="Georgia" w:cs="Arial"/>
        </w:rPr>
        <w:t xml:space="preserve">, </w:t>
      </w:r>
      <w:r w:rsidR="00DA37E4">
        <w:rPr>
          <w:rFonts w:ascii="Georgia" w:hAnsi="Georgia" w:cs="Arial"/>
        </w:rPr>
        <w:t>al referir que es</w:t>
      </w:r>
      <w:r w:rsidR="008D255E">
        <w:rPr>
          <w:rFonts w:ascii="Georgia" w:hAnsi="Georgia" w:cs="Arial"/>
        </w:rPr>
        <w:t>e</w:t>
      </w:r>
      <w:r w:rsidR="00DA37E4">
        <w:rPr>
          <w:rFonts w:ascii="Georgia" w:hAnsi="Georgia" w:cs="Arial"/>
        </w:rPr>
        <w:t xml:space="preserve"> sistema de gestión judicial, </w:t>
      </w:r>
      <w:r w:rsidR="00B0011B">
        <w:rPr>
          <w:rFonts w:ascii="Georgia" w:hAnsi="Georgia" w:cs="Arial"/>
        </w:rPr>
        <w:t xml:space="preserve">es un medio de </w:t>
      </w:r>
      <w:r w:rsidR="00B0011B" w:rsidRPr="006700A7">
        <w:rPr>
          <w:rFonts w:ascii="Georgia" w:hAnsi="Georgia" w:cs="Arial"/>
          <w:u w:val="single"/>
        </w:rPr>
        <w:t>publicidad</w:t>
      </w:r>
      <w:r w:rsidR="00B0011B" w:rsidRPr="006700A7">
        <w:rPr>
          <w:rFonts w:ascii="Georgia" w:hAnsi="Georgia" w:cs="Arial"/>
        </w:rPr>
        <w:t xml:space="preserve">, no de </w:t>
      </w:r>
      <w:r w:rsidR="00B0011B" w:rsidRPr="006700A7">
        <w:rPr>
          <w:rFonts w:ascii="Georgia" w:hAnsi="Georgia" w:cs="Arial"/>
          <w:u w:val="single"/>
        </w:rPr>
        <w:t>notificación</w:t>
      </w:r>
      <w:r w:rsidR="00B0011B" w:rsidRPr="006700A7">
        <w:rPr>
          <w:rFonts w:ascii="Georgia" w:hAnsi="Georgia" w:cs="Arial"/>
        </w:rPr>
        <w:t xml:space="preserve">, </w:t>
      </w:r>
      <w:r w:rsidR="008D255E">
        <w:rPr>
          <w:rFonts w:ascii="Georgia" w:hAnsi="Georgia" w:cs="Arial"/>
        </w:rPr>
        <w:t xml:space="preserve">en sus palabras </w:t>
      </w:r>
      <w:r w:rsidR="00B0011B" w:rsidRPr="006700A7">
        <w:rPr>
          <w:rFonts w:ascii="Georgia" w:hAnsi="Georgia" w:cs="Arial"/>
        </w:rPr>
        <w:t>(</w:t>
      </w:r>
      <w:r>
        <w:rPr>
          <w:rFonts w:ascii="Georgia" w:hAnsi="Georgia" w:cs="Arial"/>
        </w:rPr>
        <w:t>21-06-</w:t>
      </w:r>
      <w:r w:rsidR="00B0011B" w:rsidRPr="006700A7">
        <w:rPr>
          <w:rFonts w:ascii="Georgia" w:hAnsi="Georgia" w:cs="Arial"/>
        </w:rPr>
        <w:t>2017)</w:t>
      </w:r>
      <w:r w:rsidR="00B0011B" w:rsidRPr="006700A7">
        <w:rPr>
          <w:rStyle w:val="Refdenotaalpie"/>
          <w:rFonts w:ascii="Georgia" w:hAnsi="Georgia"/>
        </w:rPr>
        <w:footnoteReference w:id="9"/>
      </w:r>
      <w:r w:rsidR="00B0011B" w:rsidRPr="006700A7">
        <w:rPr>
          <w:rFonts w:ascii="Georgia" w:hAnsi="Georgia" w:cs="Arial"/>
        </w:rPr>
        <w:t xml:space="preserve"> </w:t>
      </w:r>
      <w:r w:rsidR="008D255E">
        <w:rPr>
          <w:rFonts w:ascii="Georgia" w:hAnsi="Georgia" w:cs="Arial"/>
        </w:rPr>
        <w:t xml:space="preserve">así lo </w:t>
      </w:r>
      <w:r w:rsidR="00B0011B" w:rsidRPr="006700A7">
        <w:rPr>
          <w:rFonts w:ascii="Georgia" w:hAnsi="Georgia" w:cs="Arial"/>
        </w:rPr>
        <w:t xml:space="preserve">recordó: </w:t>
      </w:r>
      <w:r w:rsidR="006700A7" w:rsidRPr="006700A7">
        <w:rPr>
          <w:rFonts w:ascii="Georgia" w:hAnsi="Georgia" w:cs="Arial"/>
          <w:i/>
        </w:rPr>
        <w:t xml:space="preserve">“(…) </w:t>
      </w:r>
      <w:r w:rsidR="006700A7" w:rsidRPr="006700A7">
        <w:rPr>
          <w:rFonts w:ascii="Georgia" w:hAnsi="Georgia" w:cs="Arial"/>
          <w:bCs/>
          <w:i/>
          <w:sz w:val="22"/>
          <w:szCs w:val="28"/>
          <w:lang w:eastAsia="x-none"/>
        </w:rPr>
        <w:t xml:space="preserve">Debe precisarse que si bien el gestor aduce como justificación de </w:t>
      </w:r>
      <w:r w:rsidR="00B0011B" w:rsidRPr="006700A7">
        <w:rPr>
          <w:rFonts w:ascii="Georgia" w:hAnsi="Georgia" w:cs="Arial"/>
          <w:bCs/>
          <w:i/>
          <w:sz w:val="22"/>
          <w:szCs w:val="28"/>
          <w:lang w:eastAsia="x-none"/>
        </w:rPr>
        <w:t xml:space="preserve">su omisión el hecho de no haberse publicado en la página web de la Rama Judicial la providencia antes descrita, esa circunstancia no es de recibo, </w:t>
      </w:r>
      <w:r w:rsidR="00B0011B" w:rsidRPr="006700A7">
        <w:rPr>
          <w:rFonts w:ascii="Georgia" w:hAnsi="Georgia" w:cs="Arial"/>
          <w:bCs/>
          <w:i/>
          <w:sz w:val="22"/>
          <w:szCs w:val="28"/>
          <w:lang w:eastAsia="x-none"/>
        </w:rPr>
        <w:lastRenderedPageBreak/>
        <w:t xml:space="preserve">pues de antaño esta Corporación </w:t>
      </w:r>
      <w:r w:rsidR="00B0011B" w:rsidRPr="00260E1A">
        <w:rPr>
          <w:rFonts w:ascii="Georgia" w:hAnsi="Georgia" w:cs="Arial"/>
          <w:bCs/>
          <w:i/>
          <w:sz w:val="22"/>
          <w:szCs w:val="28"/>
          <w:u w:val="single"/>
          <w:lang w:eastAsia="x-none"/>
        </w:rPr>
        <w:t>ha sostenido que los sistemas de información son herramientas de comunicación; empero, no constituyen medios de notificación, por lo cual le corresponde a los interesados acudir a los despachos y revisar directamente los procesos</w:t>
      </w:r>
      <w:r w:rsidR="006700A7" w:rsidRPr="006700A7">
        <w:rPr>
          <w:rFonts w:ascii="Georgia" w:hAnsi="Georgia" w:cs="Arial"/>
          <w:bCs/>
          <w:i/>
          <w:sz w:val="22"/>
          <w:szCs w:val="28"/>
          <w:lang w:val="es-CO" w:eastAsia="x-none"/>
        </w:rPr>
        <w:t xml:space="preserve"> (…)”</w:t>
      </w:r>
      <w:r w:rsidR="00260E1A">
        <w:rPr>
          <w:rFonts w:ascii="Georgia" w:hAnsi="Georgia" w:cs="Arial"/>
          <w:bCs/>
          <w:i/>
          <w:sz w:val="22"/>
          <w:szCs w:val="28"/>
          <w:lang w:val="es-CO" w:eastAsia="x-none"/>
        </w:rPr>
        <w:t xml:space="preserve"> </w:t>
      </w:r>
      <w:r w:rsidR="00260E1A">
        <w:rPr>
          <w:rFonts w:ascii="Georgia" w:hAnsi="Georgia" w:cs="Arial"/>
          <w:bCs/>
          <w:szCs w:val="28"/>
          <w:lang w:val="es-CO" w:eastAsia="x-none"/>
        </w:rPr>
        <w:t>(</w:t>
      </w:r>
      <w:proofErr w:type="spellStart"/>
      <w:r w:rsidR="00260E1A">
        <w:rPr>
          <w:rFonts w:ascii="Georgia" w:hAnsi="Georgia" w:cs="Arial"/>
          <w:bCs/>
          <w:szCs w:val="28"/>
          <w:lang w:val="es-CO" w:eastAsia="x-none"/>
        </w:rPr>
        <w:t>Sublínea</w:t>
      </w:r>
      <w:proofErr w:type="spellEnd"/>
      <w:r w:rsidR="00260E1A">
        <w:rPr>
          <w:rFonts w:ascii="Georgia" w:hAnsi="Georgia" w:cs="Arial"/>
          <w:bCs/>
          <w:szCs w:val="28"/>
          <w:lang w:val="es-CO" w:eastAsia="x-none"/>
        </w:rPr>
        <w:t xml:space="preserve"> fuera de texto)</w:t>
      </w:r>
      <w:r w:rsidR="00B0011B" w:rsidRPr="006700A7">
        <w:rPr>
          <w:rFonts w:ascii="Georgia" w:hAnsi="Georgia" w:cs="Arial"/>
          <w:bCs/>
          <w:i/>
          <w:sz w:val="22"/>
          <w:szCs w:val="28"/>
          <w:lang w:eastAsia="x-none"/>
        </w:rPr>
        <w:t>.</w:t>
      </w:r>
    </w:p>
    <w:p w:rsidR="00B0011B" w:rsidRDefault="00B0011B" w:rsidP="007F0E1D">
      <w:pPr>
        <w:pStyle w:val="Sinespaciado"/>
        <w:spacing w:line="360" w:lineRule="auto"/>
        <w:jc w:val="both"/>
        <w:rPr>
          <w:rFonts w:ascii="Georgia" w:hAnsi="Georgia" w:cs="Arial"/>
          <w:sz w:val="28"/>
          <w:u w:val="single"/>
        </w:rPr>
      </w:pPr>
    </w:p>
    <w:p w:rsidR="00260E1A" w:rsidRPr="008717DB" w:rsidRDefault="003D796F" w:rsidP="00260E1A">
      <w:pPr>
        <w:spacing w:line="360" w:lineRule="auto"/>
        <w:jc w:val="both"/>
        <w:rPr>
          <w:rFonts w:ascii="Georgia" w:hAnsi="Georgia" w:cs="Arial"/>
          <w:sz w:val="24"/>
          <w:szCs w:val="24"/>
        </w:rPr>
      </w:pPr>
      <w:r>
        <w:rPr>
          <w:rFonts w:ascii="Georgia" w:hAnsi="Georgia" w:cs="Arial"/>
          <w:sz w:val="24"/>
          <w:szCs w:val="24"/>
        </w:rPr>
        <w:t xml:space="preserve">Se </w:t>
      </w:r>
      <w:r w:rsidR="008717DB">
        <w:rPr>
          <w:rFonts w:ascii="Georgia" w:hAnsi="Georgia" w:cs="Arial"/>
          <w:sz w:val="24"/>
          <w:szCs w:val="24"/>
        </w:rPr>
        <w:t xml:space="preserve">itera, </w:t>
      </w:r>
      <w:r w:rsidR="003B6795" w:rsidRPr="008717DB">
        <w:rPr>
          <w:rFonts w:ascii="Georgia" w:hAnsi="Georgia" w:cs="Arial"/>
          <w:sz w:val="24"/>
          <w:szCs w:val="24"/>
        </w:rPr>
        <w:t>es</w:t>
      </w:r>
      <w:r w:rsidR="003B6795">
        <w:rPr>
          <w:rFonts w:ascii="Georgia" w:hAnsi="Georgia" w:cs="Arial"/>
          <w:sz w:val="24"/>
          <w:szCs w:val="24"/>
        </w:rPr>
        <w:t xml:space="preserve">a herramienta </w:t>
      </w:r>
      <w:r w:rsidR="008717DB" w:rsidRPr="008717DB">
        <w:rPr>
          <w:rFonts w:ascii="Georgia" w:hAnsi="Georgia" w:cs="Arial"/>
          <w:sz w:val="24"/>
          <w:szCs w:val="24"/>
        </w:rPr>
        <w:t xml:space="preserve">es solo de información, que </w:t>
      </w:r>
      <w:r>
        <w:rPr>
          <w:rFonts w:ascii="Georgia" w:hAnsi="Georgia" w:cs="Arial"/>
          <w:sz w:val="24"/>
          <w:szCs w:val="24"/>
        </w:rPr>
        <w:t>en</w:t>
      </w:r>
      <w:r w:rsidR="00260E1A" w:rsidRPr="008717DB">
        <w:rPr>
          <w:rFonts w:ascii="Georgia" w:hAnsi="Georgia" w:cs="Arial"/>
          <w:sz w:val="24"/>
          <w:szCs w:val="24"/>
        </w:rPr>
        <w:t xml:space="preserve"> </w:t>
      </w:r>
      <w:r>
        <w:rPr>
          <w:rFonts w:ascii="Georgia" w:hAnsi="Georgia" w:cs="Arial"/>
          <w:sz w:val="24"/>
          <w:szCs w:val="24"/>
        </w:rPr>
        <w:t xml:space="preserve">modo </w:t>
      </w:r>
      <w:r w:rsidR="008717DB" w:rsidRPr="008717DB">
        <w:rPr>
          <w:rFonts w:ascii="Georgia" w:hAnsi="Georgia" w:cs="Arial"/>
          <w:sz w:val="24"/>
          <w:szCs w:val="24"/>
        </w:rPr>
        <w:t>algun</w:t>
      </w:r>
      <w:r>
        <w:rPr>
          <w:rFonts w:ascii="Georgia" w:hAnsi="Georgia" w:cs="Arial"/>
          <w:sz w:val="24"/>
          <w:szCs w:val="24"/>
        </w:rPr>
        <w:t>o</w:t>
      </w:r>
      <w:r w:rsidR="008717DB" w:rsidRPr="008717DB">
        <w:rPr>
          <w:rFonts w:ascii="Georgia" w:hAnsi="Georgia" w:cs="Arial"/>
          <w:sz w:val="24"/>
          <w:szCs w:val="24"/>
        </w:rPr>
        <w:t xml:space="preserve"> </w:t>
      </w:r>
      <w:r w:rsidR="00260E1A" w:rsidRPr="008717DB">
        <w:rPr>
          <w:rFonts w:ascii="Georgia" w:hAnsi="Georgia" w:cs="Arial"/>
          <w:sz w:val="24"/>
          <w:szCs w:val="24"/>
        </w:rPr>
        <w:t>supl</w:t>
      </w:r>
      <w:r w:rsidR="008717DB" w:rsidRPr="008717DB">
        <w:rPr>
          <w:rFonts w:ascii="Georgia" w:hAnsi="Georgia" w:cs="Arial"/>
          <w:sz w:val="24"/>
          <w:szCs w:val="24"/>
        </w:rPr>
        <w:t>e</w:t>
      </w:r>
      <w:r w:rsidR="00260E1A" w:rsidRPr="008717DB">
        <w:rPr>
          <w:rFonts w:ascii="Georgia" w:hAnsi="Georgia" w:cs="Arial"/>
          <w:sz w:val="24"/>
          <w:szCs w:val="24"/>
        </w:rPr>
        <w:t xml:space="preserve"> la forma de enteramiento legal</w:t>
      </w:r>
      <w:r w:rsidR="009B1268">
        <w:rPr>
          <w:rStyle w:val="Refdenotaalpie"/>
          <w:rFonts w:ascii="Georgia" w:hAnsi="Georgia"/>
          <w:sz w:val="24"/>
          <w:szCs w:val="24"/>
        </w:rPr>
        <w:footnoteReference w:id="10"/>
      </w:r>
      <w:r w:rsidR="008717DB">
        <w:rPr>
          <w:rFonts w:ascii="Georgia" w:hAnsi="Georgia" w:cs="Arial"/>
          <w:sz w:val="24"/>
          <w:szCs w:val="24"/>
        </w:rPr>
        <w:t xml:space="preserve">, que en este caso se dio con la notificación hecha el 30-05-2017 (Folio 17,  </w:t>
      </w:r>
      <w:r w:rsidR="008717DB" w:rsidRPr="00E93B9B">
        <w:rPr>
          <w:rFonts w:ascii="Georgia" w:hAnsi="Georgia" w:cs="Arial"/>
          <w:sz w:val="24"/>
          <w:szCs w:val="22"/>
        </w:rPr>
        <w:t>cuaderno No.1 principal</w:t>
      </w:r>
      <w:r w:rsidR="008717DB">
        <w:rPr>
          <w:rFonts w:ascii="Georgia" w:hAnsi="Georgia" w:cs="Arial"/>
          <w:sz w:val="24"/>
          <w:szCs w:val="22"/>
        </w:rPr>
        <w:t>)</w:t>
      </w:r>
      <w:r w:rsidR="00260E1A" w:rsidRPr="008717DB">
        <w:rPr>
          <w:rFonts w:ascii="Georgia" w:hAnsi="Georgia" w:cs="Arial"/>
          <w:sz w:val="24"/>
          <w:szCs w:val="24"/>
        </w:rPr>
        <w:t>.</w:t>
      </w:r>
    </w:p>
    <w:p w:rsidR="003D796F" w:rsidRDefault="003D796F" w:rsidP="007F0E1D">
      <w:pPr>
        <w:pStyle w:val="Sinespaciado"/>
        <w:spacing w:line="360" w:lineRule="auto"/>
        <w:jc w:val="both"/>
        <w:rPr>
          <w:rFonts w:ascii="Georgia" w:hAnsi="Georgia" w:cs="Arial"/>
        </w:rPr>
      </w:pPr>
    </w:p>
    <w:p w:rsidR="0068721F" w:rsidRDefault="006700A7" w:rsidP="007F0E1D">
      <w:pPr>
        <w:pStyle w:val="Sinespaciado"/>
        <w:spacing w:line="360" w:lineRule="auto"/>
        <w:jc w:val="both"/>
        <w:rPr>
          <w:rFonts w:ascii="Georgia" w:hAnsi="Georgia" w:cs="Arial"/>
        </w:rPr>
      </w:pPr>
      <w:r w:rsidRPr="006700A7">
        <w:rPr>
          <w:rFonts w:ascii="Georgia" w:hAnsi="Georgia" w:cs="Arial"/>
        </w:rPr>
        <w:t xml:space="preserve">Por manera que </w:t>
      </w:r>
      <w:r w:rsidR="003B6795">
        <w:rPr>
          <w:rFonts w:ascii="Georgia" w:hAnsi="Georgia" w:cs="Arial"/>
        </w:rPr>
        <w:t xml:space="preserve">carece la parte actora de justificación </w:t>
      </w:r>
      <w:r>
        <w:rPr>
          <w:rFonts w:ascii="Georgia" w:hAnsi="Georgia" w:cs="Arial"/>
        </w:rPr>
        <w:t>p</w:t>
      </w:r>
      <w:r w:rsidR="003D796F">
        <w:rPr>
          <w:rFonts w:ascii="Georgia" w:hAnsi="Georgia" w:cs="Arial"/>
        </w:rPr>
        <w:t>or no haber subsanado</w:t>
      </w:r>
      <w:r w:rsidR="003B6795">
        <w:rPr>
          <w:rFonts w:ascii="Georgia" w:hAnsi="Georgia" w:cs="Arial"/>
        </w:rPr>
        <w:t>,</w:t>
      </w:r>
      <w:r>
        <w:rPr>
          <w:rFonts w:ascii="Georgia" w:hAnsi="Georgia" w:cs="Arial"/>
        </w:rPr>
        <w:t xml:space="preserve"> </w:t>
      </w:r>
      <w:r w:rsidR="00082EE9">
        <w:rPr>
          <w:rFonts w:ascii="Georgia" w:hAnsi="Georgia" w:cs="Arial"/>
        </w:rPr>
        <w:t xml:space="preserve">tampoco puede hablarse de una vulneración al debido proceso, </w:t>
      </w:r>
      <w:r>
        <w:rPr>
          <w:rFonts w:ascii="Georgia" w:hAnsi="Georgia" w:cs="Arial"/>
        </w:rPr>
        <w:t xml:space="preserve">por ende, </w:t>
      </w:r>
      <w:r w:rsidR="003B6795">
        <w:rPr>
          <w:rFonts w:ascii="Georgia" w:hAnsi="Georgia" w:cs="Arial"/>
        </w:rPr>
        <w:t>se impone la confirmación del proveído recurrido</w:t>
      </w:r>
      <w:r>
        <w:rPr>
          <w:rFonts w:ascii="Georgia" w:hAnsi="Georgia" w:cs="Arial"/>
        </w:rPr>
        <w:t xml:space="preserve">. </w:t>
      </w:r>
    </w:p>
    <w:p w:rsidR="006700A7" w:rsidRPr="00337626" w:rsidRDefault="006700A7" w:rsidP="007F0E1D">
      <w:pPr>
        <w:pStyle w:val="Sinespaciado"/>
        <w:spacing w:line="360" w:lineRule="auto"/>
        <w:jc w:val="both"/>
        <w:rPr>
          <w:rFonts w:ascii="Georgia" w:hAnsi="Georgia" w:cs="Arial"/>
          <w:sz w:val="28"/>
        </w:rPr>
      </w:pPr>
    </w:p>
    <w:p w:rsidR="007F0E1D" w:rsidRPr="006700A7" w:rsidRDefault="00630D04" w:rsidP="007F0E1D">
      <w:pPr>
        <w:pStyle w:val="Textopredeterminado"/>
        <w:numPr>
          <w:ilvl w:val="0"/>
          <w:numId w:val="8"/>
        </w:numPr>
        <w:spacing w:line="360" w:lineRule="auto"/>
        <w:jc w:val="both"/>
        <w:textAlignment w:val="baseline"/>
        <w:rPr>
          <w:rFonts w:ascii="Georgia" w:hAnsi="Georgia" w:cs="Arial"/>
          <w:smallCaps/>
          <w:sz w:val="26"/>
          <w:szCs w:val="26"/>
        </w:rPr>
      </w:pPr>
      <w:r w:rsidRPr="006700A7">
        <w:rPr>
          <w:rFonts w:ascii="Georgia" w:hAnsi="Georgia" w:cs="Arial"/>
          <w:smallCaps/>
          <w:sz w:val="26"/>
          <w:szCs w:val="26"/>
        </w:rPr>
        <w:t xml:space="preserve">Las </w:t>
      </w:r>
      <w:r w:rsidR="006700A7" w:rsidRPr="006700A7">
        <w:rPr>
          <w:rFonts w:ascii="Georgia" w:hAnsi="Georgia" w:cs="Arial"/>
          <w:smallCaps/>
          <w:sz w:val="26"/>
          <w:szCs w:val="26"/>
        </w:rPr>
        <w:t>decisiones finales</w:t>
      </w:r>
    </w:p>
    <w:p w:rsidR="003B6795" w:rsidRPr="003B6795" w:rsidRDefault="003B6795" w:rsidP="003B6795">
      <w:pPr>
        <w:spacing w:line="360" w:lineRule="auto"/>
        <w:jc w:val="both"/>
        <w:rPr>
          <w:rFonts w:ascii="Georgia" w:hAnsi="Georgia" w:cs="Arial"/>
          <w:sz w:val="24"/>
          <w:szCs w:val="24"/>
        </w:rPr>
      </w:pPr>
      <w:r w:rsidRPr="003B6795">
        <w:rPr>
          <w:rFonts w:ascii="Georgia" w:hAnsi="Georgia" w:cs="Arial"/>
          <w:sz w:val="24"/>
          <w:szCs w:val="24"/>
        </w:rPr>
        <w:t xml:space="preserve">En atención a lo explicado antes (i) Se confirmará la decisión apelada; y, (ii) No habrá condena en costas porque no hay contraparte. </w:t>
      </w:r>
    </w:p>
    <w:p w:rsidR="003B6795" w:rsidRDefault="003B6795" w:rsidP="003B6795">
      <w:pPr>
        <w:tabs>
          <w:tab w:val="left" w:pos="-720"/>
        </w:tabs>
        <w:suppressAutoHyphens/>
        <w:spacing w:line="360" w:lineRule="auto"/>
        <w:jc w:val="both"/>
        <w:rPr>
          <w:rFonts w:ascii="Georgia" w:hAnsi="Georgia" w:cs="Arial"/>
          <w:sz w:val="24"/>
          <w:szCs w:val="24"/>
        </w:rPr>
      </w:pPr>
    </w:p>
    <w:p w:rsidR="003B6795" w:rsidRPr="003B6795" w:rsidRDefault="003B6795" w:rsidP="003B6795">
      <w:pPr>
        <w:tabs>
          <w:tab w:val="left" w:pos="-720"/>
        </w:tabs>
        <w:suppressAutoHyphens/>
        <w:spacing w:line="360" w:lineRule="auto"/>
        <w:jc w:val="both"/>
        <w:rPr>
          <w:rFonts w:ascii="Georgia" w:hAnsi="Georgia" w:cs="Arial"/>
          <w:sz w:val="24"/>
          <w:szCs w:val="24"/>
        </w:rPr>
      </w:pPr>
      <w:r w:rsidRPr="003B6795">
        <w:rPr>
          <w:rFonts w:ascii="Georgia" w:hAnsi="Georgia" w:cs="Arial"/>
          <w:sz w:val="24"/>
          <w:szCs w:val="24"/>
        </w:rPr>
        <w:t xml:space="preserve">En mérito de lo discurrido en los acápites precedentes, el </w:t>
      </w:r>
      <w:r w:rsidRPr="003B6795">
        <w:rPr>
          <w:rFonts w:ascii="Georgia" w:hAnsi="Georgia" w:cs="Arial"/>
          <w:smallCaps/>
          <w:sz w:val="24"/>
          <w:szCs w:val="24"/>
        </w:rPr>
        <w:t>Tribunal Superior del Distrito Judicial de Pereira, Sala Unitaria de Decisión</w:t>
      </w:r>
      <w:r w:rsidRPr="003B6795">
        <w:rPr>
          <w:rFonts w:ascii="Georgia" w:hAnsi="Georgia" w:cs="Arial"/>
          <w:sz w:val="24"/>
          <w:szCs w:val="24"/>
        </w:rPr>
        <w:t>,</w:t>
      </w:r>
    </w:p>
    <w:p w:rsidR="003B6795" w:rsidRPr="003B6795" w:rsidRDefault="003B6795" w:rsidP="003B6795">
      <w:pPr>
        <w:tabs>
          <w:tab w:val="left" w:pos="-720"/>
        </w:tabs>
        <w:suppressAutoHyphens/>
        <w:spacing w:line="360" w:lineRule="auto"/>
        <w:jc w:val="both"/>
        <w:rPr>
          <w:rFonts w:ascii="Georgia" w:hAnsi="Georgia" w:cs="Arial"/>
          <w:spacing w:val="-3"/>
          <w:sz w:val="24"/>
          <w:szCs w:val="24"/>
        </w:rPr>
      </w:pPr>
    </w:p>
    <w:p w:rsidR="003B6795" w:rsidRPr="003B6795" w:rsidRDefault="003B6795" w:rsidP="003B6795">
      <w:pPr>
        <w:pStyle w:val="Sinespaciado"/>
        <w:spacing w:line="360" w:lineRule="auto"/>
        <w:jc w:val="center"/>
        <w:rPr>
          <w:rFonts w:ascii="Georgia" w:hAnsi="Georgia" w:cs="Arial"/>
        </w:rPr>
      </w:pPr>
      <w:r w:rsidRPr="003B6795">
        <w:rPr>
          <w:rFonts w:ascii="Georgia" w:hAnsi="Georgia" w:cs="Arial"/>
        </w:rPr>
        <w:t>R E S U E L V E,</w:t>
      </w:r>
    </w:p>
    <w:p w:rsidR="003B6795" w:rsidRPr="003B6795" w:rsidRDefault="003B6795" w:rsidP="003B6795">
      <w:pPr>
        <w:pStyle w:val="Sinespaciado"/>
        <w:spacing w:line="360" w:lineRule="auto"/>
        <w:jc w:val="center"/>
        <w:rPr>
          <w:rFonts w:ascii="Georgia" w:hAnsi="Georgia" w:cs="Arial"/>
        </w:rPr>
      </w:pPr>
    </w:p>
    <w:p w:rsidR="003B6795" w:rsidRPr="003B6795" w:rsidRDefault="003B6795" w:rsidP="003B6795">
      <w:pPr>
        <w:pStyle w:val="Textopredeterminado"/>
        <w:numPr>
          <w:ilvl w:val="0"/>
          <w:numId w:val="13"/>
        </w:numPr>
        <w:spacing w:line="360" w:lineRule="auto"/>
        <w:jc w:val="both"/>
        <w:textAlignment w:val="baseline"/>
        <w:rPr>
          <w:rFonts w:ascii="Georgia" w:hAnsi="Georgia" w:cs="Arial"/>
          <w:szCs w:val="24"/>
        </w:rPr>
      </w:pPr>
      <w:r w:rsidRPr="003B6795">
        <w:rPr>
          <w:rFonts w:ascii="Georgia" w:hAnsi="Georgia" w:cs="Arial"/>
          <w:szCs w:val="24"/>
        </w:rPr>
        <w:t>CONFIRMAR el auto apelado, por lo razonado en la parte motiva de esta providencia.</w:t>
      </w:r>
    </w:p>
    <w:p w:rsidR="003B6795" w:rsidRPr="003B6795" w:rsidRDefault="003B6795" w:rsidP="003B6795">
      <w:pPr>
        <w:pStyle w:val="Textopredeterminado"/>
        <w:spacing w:line="360" w:lineRule="auto"/>
        <w:ind w:left="360"/>
        <w:jc w:val="both"/>
        <w:rPr>
          <w:rFonts w:ascii="Georgia" w:hAnsi="Georgia" w:cs="Arial"/>
          <w:szCs w:val="24"/>
        </w:rPr>
      </w:pPr>
    </w:p>
    <w:p w:rsidR="003B6795" w:rsidRPr="003B6795" w:rsidRDefault="003B6795" w:rsidP="003B6795">
      <w:pPr>
        <w:pStyle w:val="Textopredeterminado"/>
        <w:numPr>
          <w:ilvl w:val="0"/>
          <w:numId w:val="13"/>
        </w:numPr>
        <w:spacing w:line="360" w:lineRule="auto"/>
        <w:jc w:val="both"/>
        <w:textAlignment w:val="baseline"/>
        <w:rPr>
          <w:rFonts w:ascii="Georgia" w:hAnsi="Georgia" w:cs="Arial"/>
          <w:szCs w:val="24"/>
        </w:rPr>
      </w:pPr>
      <w:r w:rsidRPr="003B6795">
        <w:rPr>
          <w:rFonts w:ascii="Georgia" w:hAnsi="Georgia" w:cs="Arial"/>
          <w:szCs w:val="24"/>
        </w:rPr>
        <w:t>ABSOLVER en costas.</w:t>
      </w:r>
    </w:p>
    <w:p w:rsidR="003B6795" w:rsidRPr="003B6795" w:rsidRDefault="003B6795" w:rsidP="003B6795">
      <w:pPr>
        <w:pStyle w:val="Textopredeterminado"/>
        <w:tabs>
          <w:tab w:val="left" w:pos="544"/>
        </w:tabs>
        <w:spacing w:line="360" w:lineRule="auto"/>
        <w:jc w:val="both"/>
        <w:rPr>
          <w:rFonts w:ascii="Georgia" w:hAnsi="Georgia" w:cs="Arial"/>
          <w:color w:val="auto"/>
          <w:szCs w:val="24"/>
        </w:rPr>
      </w:pPr>
    </w:p>
    <w:p w:rsidR="003B6795" w:rsidRPr="003B6795" w:rsidRDefault="003B6795" w:rsidP="003B6795">
      <w:pPr>
        <w:pStyle w:val="Textopredeterminado"/>
        <w:numPr>
          <w:ilvl w:val="0"/>
          <w:numId w:val="13"/>
        </w:numPr>
        <w:tabs>
          <w:tab w:val="left" w:pos="544"/>
        </w:tabs>
        <w:spacing w:line="360" w:lineRule="auto"/>
        <w:jc w:val="both"/>
        <w:textAlignment w:val="baseline"/>
        <w:rPr>
          <w:rFonts w:ascii="Georgia" w:hAnsi="Georgia" w:cs="Arial"/>
          <w:color w:val="auto"/>
          <w:szCs w:val="24"/>
        </w:rPr>
      </w:pPr>
      <w:r w:rsidRPr="003B6795">
        <w:rPr>
          <w:rFonts w:ascii="Georgia" w:hAnsi="Georgia" w:cs="Arial"/>
          <w:color w:val="auto"/>
          <w:szCs w:val="24"/>
        </w:rPr>
        <w:t>ADVERTIR que esta decisión es irrecurrible.</w:t>
      </w:r>
    </w:p>
    <w:p w:rsidR="003B6795" w:rsidRPr="003B6795" w:rsidRDefault="003B6795" w:rsidP="003B6795">
      <w:pPr>
        <w:pStyle w:val="Textopredeterminado"/>
        <w:tabs>
          <w:tab w:val="left" w:pos="544"/>
        </w:tabs>
        <w:spacing w:line="360" w:lineRule="auto"/>
        <w:ind w:left="360"/>
        <w:jc w:val="both"/>
        <w:rPr>
          <w:rFonts w:ascii="Georgia" w:hAnsi="Georgia" w:cs="Arial"/>
          <w:color w:val="auto"/>
          <w:szCs w:val="24"/>
        </w:rPr>
      </w:pPr>
    </w:p>
    <w:p w:rsidR="003B6795" w:rsidRPr="003B6795" w:rsidRDefault="003B6795" w:rsidP="003B6795">
      <w:pPr>
        <w:pStyle w:val="Textopredeterminado"/>
        <w:numPr>
          <w:ilvl w:val="0"/>
          <w:numId w:val="13"/>
        </w:numPr>
        <w:tabs>
          <w:tab w:val="left" w:pos="544"/>
        </w:tabs>
        <w:spacing w:line="360" w:lineRule="auto"/>
        <w:jc w:val="both"/>
        <w:textAlignment w:val="baseline"/>
        <w:rPr>
          <w:rFonts w:ascii="Georgia" w:hAnsi="Georgia" w:cs="Arial"/>
          <w:color w:val="auto"/>
          <w:szCs w:val="24"/>
        </w:rPr>
      </w:pPr>
      <w:r w:rsidRPr="003B6795">
        <w:rPr>
          <w:rFonts w:ascii="Georgia" w:hAnsi="Georgia" w:cs="Arial"/>
          <w:color w:val="auto"/>
          <w:szCs w:val="24"/>
        </w:rPr>
        <w:t>DEVOLVER el expediente al Despacho de origen, por conducto de la Secretaría de esta Corporación.</w:t>
      </w:r>
    </w:p>
    <w:p w:rsidR="00AD10DB" w:rsidRPr="006B6DCD" w:rsidRDefault="00AD10DB" w:rsidP="00AD10DB">
      <w:pPr>
        <w:spacing w:line="360" w:lineRule="auto"/>
        <w:jc w:val="center"/>
        <w:rPr>
          <w:rFonts w:ascii="Georgia" w:hAnsi="Georgia" w:cs="Arial"/>
          <w:smallCaps/>
          <w:sz w:val="24"/>
          <w:szCs w:val="24"/>
        </w:rPr>
      </w:pPr>
      <w:r w:rsidRPr="006B6DCD">
        <w:rPr>
          <w:rFonts w:ascii="Georgia" w:hAnsi="Georgia" w:cs="Arial"/>
          <w:smallCaps/>
          <w:sz w:val="24"/>
          <w:szCs w:val="24"/>
        </w:rPr>
        <w:t>Notifíquese,</w:t>
      </w:r>
    </w:p>
    <w:p w:rsidR="003D796F" w:rsidRDefault="003D796F" w:rsidP="00AD10DB">
      <w:pPr>
        <w:spacing w:line="360" w:lineRule="auto"/>
        <w:jc w:val="both"/>
        <w:rPr>
          <w:rFonts w:ascii="Georgia" w:hAnsi="Georgia" w:cs="Arial"/>
          <w:sz w:val="24"/>
          <w:szCs w:val="24"/>
        </w:rPr>
      </w:pPr>
    </w:p>
    <w:p w:rsidR="00630D04" w:rsidRDefault="00630D04" w:rsidP="00AD10DB">
      <w:pPr>
        <w:spacing w:line="360" w:lineRule="auto"/>
        <w:jc w:val="both"/>
        <w:rPr>
          <w:rFonts w:ascii="Georgia" w:hAnsi="Georgia" w:cs="Arial"/>
          <w:sz w:val="24"/>
          <w:szCs w:val="24"/>
        </w:rPr>
      </w:pPr>
    </w:p>
    <w:p w:rsidR="00630D04" w:rsidRPr="006B6DCD" w:rsidRDefault="00630D04" w:rsidP="00AD10DB">
      <w:pPr>
        <w:spacing w:line="360" w:lineRule="auto"/>
        <w:jc w:val="both"/>
        <w:rPr>
          <w:rFonts w:ascii="Georgia" w:hAnsi="Georgia" w:cs="Arial"/>
          <w:sz w:val="24"/>
          <w:szCs w:val="24"/>
        </w:rPr>
      </w:pPr>
    </w:p>
    <w:p w:rsidR="00AD10DB" w:rsidRPr="006B6DCD" w:rsidRDefault="00AD10DB" w:rsidP="00AD10DB">
      <w:pPr>
        <w:pStyle w:val="Textopredeterminado"/>
        <w:spacing w:line="360" w:lineRule="auto"/>
        <w:jc w:val="center"/>
        <w:rPr>
          <w:rFonts w:ascii="Georgia" w:hAnsi="Georgia" w:cs="Arial"/>
          <w:caps/>
          <w:spacing w:val="20"/>
          <w:w w:val="150"/>
          <w:lang w:val="es-MX"/>
        </w:rPr>
      </w:pPr>
      <w:proofErr w:type="spellStart"/>
      <w:r w:rsidRPr="006B6DCD">
        <w:rPr>
          <w:rFonts w:ascii="Georgia" w:hAnsi="Georgia" w:cs="Arial"/>
          <w:caps/>
          <w:spacing w:val="20"/>
          <w:w w:val="150"/>
          <w:sz w:val="28"/>
          <w:lang w:val="es-MX"/>
        </w:rPr>
        <w:t>D</w:t>
      </w:r>
      <w:r w:rsidRPr="006B6DCD">
        <w:rPr>
          <w:rFonts w:ascii="Georgia" w:hAnsi="Georgia" w:cs="Arial"/>
          <w:caps/>
          <w:spacing w:val="20"/>
          <w:w w:val="150"/>
          <w:sz w:val="18"/>
          <w:lang w:val="es-MX"/>
        </w:rPr>
        <w:t>UBERNEY</w:t>
      </w:r>
      <w:proofErr w:type="spellEnd"/>
      <w:r w:rsidRPr="006B6DCD">
        <w:rPr>
          <w:rFonts w:ascii="Georgia" w:hAnsi="Georgia" w:cs="Arial"/>
          <w:caps/>
          <w:spacing w:val="20"/>
          <w:w w:val="150"/>
          <w:sz w:val="22"/>
          <w:lang w:val="es-MX"/>
        </w:rPr>
        <w:t xml:space="preserve"> </w:t>
      </w:r>
      <w:r w:rsidRPr="006B6DCD">
        <w:rPr>
          <w:rFonts w:ascii="Georgia" w:hAnsi="Georgia" w:cs="Arial"/>
          <w:caps/>
          <w:spacing w:val="20"/>
          <w:w w:val="150"/>
          <w:sz w:val="28"/>
          <w:lang w:val="es-MX"/>
        </w:rPr>
        <w:t>G</w:t>
      </w:r>
      <w:r w:rsidRPr="006B6DCD">
        <w:rPr>
          <w:rFonts w:ascii="Georgia" w:hAnsi="Georgia" w:cs="Arial"/>
          <w:caps/>
          <w:spacing w:val="20"/>
          <w:w w:val="150"/>
          <w:sz w:val="18"/>
          <w:lang w:val="es-MX"/>
        </w:rPr>
        <w:t>RISALES</w:t>
      </w:r>
      <w:r w:rsidRPr="006B6DCD">
        <w:rPr>
          <w:rFonts w:ascii="Georgia" w:hAnsi="Georgia" w:cs="Arial"/>
          <w:caps/>
          <w:spacing w:val="20"/>
          <w:w w:val="150"/>
          <w:sz w:val="22"/>
          <w:lang w:val="es-MX"/>
        </w:rPr>
        <w:t xml:space="preserve"> </w:t>
      </w:r>
      <w:r w:rsidRPr="006B6DCD">
        <w:rPr>
          <w:rFonts w:ascii="Georgia" w:hAnsi="Georgia" w:cs="Arial"/>
          <w:caps/>
          <w:spacing w:val="20"/>
          <w:w w:val="150"/>
          <w:sz w:val="28"/>
          <w:lang w:val="es-MX"/>
        </w:rPr>
        <w:t>H</w:t>
      </w:r>
      <w:r w:rsidRPr="006B6DCD">
        <w:rPr>
          <w:rFonts w:ascii="Georgia" w:hAnsi="Georgia" w:cs="Arial"/>
          <w:caps/>
          <w:spacing w:val="20"/>
          <w:w w:val="150"/>
          <w:sz w:val="18"/>
          <w:lang w:val="es-MX"/>
        </w:rPr>
        <w:t>ERRERA</w:t>
      </w:r>
    </w:p>
    <w:p w:rsidR="00125A53" w:rsidRPr="006B6DCD" w:rsidRDefault="00AD10DB" w:rsidP="00364F3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cs="Arial"/>
          <w:i/>
          <w:spacing w:val="20"/>
          <w:w w:val="150"/>
          <w:sz w:val="6"/>
          <w:szCs w:val="22"/>
          <w:lang w:val="en-US"/>
        </w:rPr>
      </w:pPr>
      <w:r w:rsidRPr="006B6DCD">
        <w:rPr>
          <w:rFonts w:ascii="Georgia" w:hAnsi="Georgia" w:cs="Arial"/>
          <w:caps/>
          <w:spacing w:val="20"/>
          <w:w w:val="150"/>
          <w:sz w:val="28"/>
          <w:szCs w:val="24"/>
        </w:rPr>
        <w:t>M</w:t>
      </w:r>
      <w:r w:rsidRPr="006B6DCD">
        <w:rPr>
          <w:rFonts w:ascii="Georgia" w:hAnsi="Georgia" w:cs="Arial"/>
          <w:caps/>
          <w:spacing w:val="20"/>
          <w:w w:val="150"/>
          <w:sz w:val="18"/>
        </w:rPr>
        <w:t>agistrado</w:t>
      </w:r>
      <w:r w:rsidR="0033124D" w:rsidRPr="006B6DCD">
        <w:rPr>
          <w:rFonts w:ascii="Georgia" w:hAnsi="Georgia" w:cs="Arial"/>
          <w:spacing w:val="20"/>
          <w:w w:val="150"/>
          <w:sz w:val="18"/>
          <w:szCs w:val="22"/>
          <w:lang w:val="en-US"/>
        </w:rPr>
        <w:t xml:space="preserve"> </w:t>
      </w:r>
    </w:p>
    <w:p w:rsidR="00337626" w:rsidRPr="006B6DCD" w:rsidRDefault="00630D04" w:rsidP="00337626">
      <w:pPr>
        <w:spacing w:line="360" w:lineRule="auto"/>
        <w:jc w:val="right"/>
        <w:rPr>
          <w:rFonts w:ascii="Georgia" w:hAnsi="Georgia" w:cs="Arial"/>
          <w:sz w:val="24"/>
          <w:szCs w:val="24"/>
        </w:rPr>
      </w:pPr>
      <w:r w:rsidRPr="00490B75">
        <w:rPr>
          <w:rFonts w:ascii="Georgia" w:hAnsi="Georgia" w:cs="Arial"/>
          <w:noProof/>
        </w:rPr>
        <mc:AlternateContent>
          <mc:Choice Requires="wps">
            <w:drawing>
              <wp:anchor distT="0" distB="0" distL="114300" distR="114300" simplePos="0" relativeHeight="251662336" behindDoc="0" locked="0" layoutInCell="1" allowOverlap="1" wp14:anchorId="23CA2B9A" wp14:editId="1DF76885">
                <wp:simplePos x="0" y="0"/>
                <wp:positionH relativeFrom="margin">
                  <wp:posOffset>1623060</wp:posOffset>
                </wp:positionH>
                <wp:positionV relativeFrom="paragraph">
                  <wp:posOffset>61595</wp:posOffset>
                </wp:positionV>
                <wp:extent cx="2752725" cy="1276350"/>
                <wp:effectExtent l="19050" t="1905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276350"/>
                        </a:xfrm>
                        <a:prstGeom prst="rect">
                          <a:avLst/>
                        </a:prstGeom>
                        <a:solidFill>
                          <a:srgbClr val="FFFFFF"/>
                        </a:solidFill>
                        <a:ln w="28575" cmpd="thickThin">
                          <a:solidFill>
                            <a:srgbClr val="000000"/>
                          </a:solidFill>
                          <a:miter lim="800000"/>
                          <a:headEnd/>
                          <a:tailEnd/>
                        </a:ln>
                      </wps:spPr>
                      <wps:txbx>
                        <w:txbxContent>
                          <w:p w:rsidR="003D796F" w:rsidRPr="00630D04" w:rsidRDefault="003D796F" w:rsidP="003D796F">
                            <w:pPr>
                              <w:pStyle w:val="Sinespaciado"/>
                              <w:jc w:val="center"/>
                              <w:rPr>
                                <w:rFonts w:ascii="Kalinga" w:hAnsi="Kalinga" w:cs="Kalinga"/>
                                <w:sz w:val="18"/>
                                <w:szCs w:val="16"/>
                              </w:rPr>
                            </w:pPr>
                            <w:r w:rsidRPr="00630D04">
                              <w:rPr>
                                <w:rFonts w:ascii="Kalinga" w:hAnsi="Kalinga" w:cs="Kalinga"/>
                                <w:sz w:val="18"/>
                                <w:szCs w:val="16"/>
                              </w:rPr>
                              <w:t xml:space="preserve">LA PROVIDENCIA ANTERIOR </w:t>
                            </w:r>
                          </w:p>
                          <w:p w:rsidR="003D796F" w:rsidRPr="00630D04" w:rsidRDefault="003D796F" w:rsidP="003D796F">
                            <w:pPr>
                              <w:pStyle w:val="Sinespaciado"/>
                              <w:jc w:val="center"/>
                              <w:rPr>
                                <w:rFonts w:ascii="Kalinga" w:hAnsi="Kalinga" w:cs="Kalinga"/>
                                <w:sz w:val="10"/>
                                <w:szCs w:val="16"/>
                              </w:rPr>
                            </w:pPr>
                            <w:r w:rsidRPr="00630D04">
                              <w:rPr>
                                <w:rFonts w:ascii="Kalinga" w:hAnsi="Kalinga" w:cs="Kalinga"/>
                                <w:sz w:val="18"/>
                                <w:szCs w:val="16"/>
                              </w:rPr>
                              <w:t xml:space="preserve">SE NOTIFICÓ POR ESTADO DEL DÍA </w:t>
                            </w: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18"/>
                                <w:szCs w:val="22"/>
                              </w:rPr>
                            </w:pPr>
                            <w:r w:rsidRPr="00630D04">
                              <w:rPr>
                                <w:rFonts w:ascii="Kalinga" w:hAnsi="Kalinga" w:cs="Kalinga"/>
                                <w:color w:val="000000"/>
                                <w:sz w:val="18"/>
                                <w:szCs w:val="22"/>
                              </w:rPr>
                              <w:t>___________________________________</w:t>
                            </w:r>
                          </w:p>
                          <w:p w:rsidR="003D796F" w:rsidRPr="00630D04" w:rsidRDefault="003D796F" w:rsidP="003D796F">
                            <w:pPr>
                              <w:jc w:val="center"/>
                              <w:rPr>
                                <w:rFonts w:ascii="Kalinga" w:hAnsi="Kalinga" w:cs="Kalinga"/>
                                <w:color w:val="000000"/>
                                <w:sz w:val="18"/>
                                <w:szCs w:val="22"/>
                              </w:rPr>
                            </w:pPr>
                            <w:proofErr w:type="spellStart"/>
                            <w:r w:rsidRPr="00630D04">
                              <w:rPr>
                                <w:rFonts w:ascii="Kalinga" w:hAnsi="Kalinga" w:cs="Kalinga"/>
                                <w:color w:val="000000"/>
                                <w:sz w:val="18"/>
                                <w:szCs w:val="22"/>
                              </w:rPr>
                              <w:t>JAÍR</w:t>
                            </w:r>
                            <w:proofErr w:type="spellEnd"/>
                            <w:r w:rsidRPr="00630D04">
                              <w:rPr>
                                <w:rFonts w:ascii="Kalinga" w:hAnsi="Kalinga" w:cs="Kalinga"/>
                                <w:color w:val="000000"/>
                                <w:sz w:val="18"/>
                                <w:szCs w:val="22"/>
                              </w:rPr>
                              <w:t xml:space="preserve"> DE JESÚS HENAO MOLINA</w:t>
                            </w:r>
                          </w:p>
                          <w:p w:rsidR="003D796F" w:rsidRPr="00630D04" w:rsidRDefault="003D796F" w:rsidP="003D796F">
                            <w:pPr>
                              <w:pStyle w:val="Sinespaciado"/>
                              <w:jc w:val="center"/>
                              <w:rPr>
                                <w:rFonts w:ascii="Kalinga" w:hAnsi="Kalinga" w:cs="Kalinga"/>
                                <w:i/>
                                <w:sz w:val="18"/>
                                <w:szCs w:val="16"/>
                              </w:rPr>
                            </w:pPr>
                            <w:r w:rsidRPr="00630D04">
                              <w:rPr>
                                <w:rFonts w:ascii="Kalinga" w:hAnsi="Kalinga" w:cs="Kalinga"/>
                                <w:i/>
                                <w:sz w:val="18"/>
                                <w:szCs w:val="16"/>
                              </w:rPr>
                              <w:t xml:space="preserve">S </w:t>
                            </w:r>
                            <w:r w:rsidRPr="00630D04">
                              <w:rPr>
                                <w:rFonts w:ascii="Kalinga" w:hAnsi="Kalinga" w:cs="Kalinga"/>
                                <w:i/>
                                <w:sz w:val="16"/>
                                <w:szCs w:val="16"/>
                              </w:rPr>
                              <w:t>E C R E T A R I O</w:t>
                            </w:r>
                          </w:p>
                          <w:p w:rsidR="003D796F" w:rsidRPr="00AC087B" w:rsidRDefault="003D796F" w:rsidP="003D796F">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2B9A" id="Rectangle 7" o:spid="_x0000_s1026" style="position:absolute;left:0;text-align:left;margin-left:127.8pt;margin-top:4.85pt;width:216.75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" strokeweight="2.25pt">
                <v:stroke linestyle="thickThin"/>
                <v:textbox>
                  <w:txbxContent>
                    <w:p w:rsidR="003D796F" w:rsidRPr="00630D04" w:rsidRDefault="003D796F" w:rsidP="003D796F">
                      <w:pPr>
                        <w:pStyle w:val="Sinespaciado"/>
                        <w:jc w:val="center"/>
                        <w:rPr>
                          <w:rFonts w:ascii="Kalinga" w:hAnsi="Kalinga" w:cs="Kalinga"/>
                          <w:sz w:val="18"/>
                          <w:szCs w:val="16"/>
                        </w:rPr>
                      </w:pPr>
                      <w:r w:rsidRPr="00630D04">
                        <w:rPr>
                          <w:rFonts w:ascii="Kalinga" w:hAnsi="Kalinga" w:cs="Kalinga"/>
                          <w:sz w:val="18"/>
                          <w:szCs w:val="16"/>
                        </w:rPr>
                        <w:t xml:space="preserve">LA PROVIDENCIA ANTERIOR </w:t>
                      </w:r>
                    </w:p>
                    <w:p w:rsidR="003D796F" w:rsidRPr="00630D04" w:rsidRDefault="003D796F" w:rsidP="003D796F">
                      <w:pPr>
                        <w:pStyle w:val="Sinespaciado"/>
                        <w:jc w:val="center"/>
                        <w:rPr>
                          <w:rFonts w:ascii="Kalinga" w:hAnsi="Kalinga" w:cs="Kalinga"/>
                          <w:sz w:val="10"/>
                          <w:szCs w:val="16"/>
                        </w:rPr>
                      </w:pPr>
                      <w:r w:rsidRPr="00630D04">
                        <w:rPr>
                          <w:rFonts w:ascii="Kalinga" w:hAnsi="Kalinga" w:cs="Kalinga"/>
                          <w:sz w:val="18"/>
                          <w:szCs w:val="16"/>
                        </w:rPr>
                        <w:t xml:space="preserve">SE NOTIFICÓ POR ESTADO DEL DÍA </w:t>
                      </w: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4"/>
                          <w:szCs w:val="22"/>
                        </w:rPr>
                      </w:pPr>
                    </w:p>
                    <w:p w:rsidR="003D796F" w:rsidRPr="00630D04" w:rsidRDefault="003D796F" w:rsidP="003D796F">
                      <w:pPr>
                        <w:jc w:val="center"/>
                        <w:rPr>
                          <w:rFonts w:ascii="Kalinga" w:hAnsi="Kalinga" w:cs="Kalinga"/>
                          <w:color w:val="000000"/>
                          <w:sz w:val="18"/>
                          <w:szCs w:val="22"/>
                        </w:rPr>
                      </w:pPr>
                      <w:r w:rsidRPr="00630D04">
                        <w:rPr>
                          <w:rFonts w:ascii="Kalinga" w:hAnsi="Kalinga" w:cs="Kalinga"/>
                          <w:color w:val="000000"/>
                          <w:sz w:val="18"/>
                          <w:szCs w:val="22"/>
                        </w:rPr>
                        <w:t>___________________________________</w:t>
                      </w:r>
                    </w:p>
                    <w:p w:rsidR="003D796F" w:rsidRPr="00630D04" w:rsidRDefault="003D796F" w:rsidP="003D796F">
                      <w:pPr>
                        <w:jc w:val="center"/>
                        <w:rPr>
                          <w:rFonts w:ascii="Kalinga" w:hAnsi="Kalinga" w:cs="Kalinga"/>
                          <w:color w:val="000000"/>
                          <w:sz w:val="18"/>
                          <w:szCs w:val="22"/>
                        </w:rPr>
                      </w:pPr>
                      <w:r w:rsidRPr="00630D04">
                        <w:rPr>
                          <w:rFonts w:ascii="Kalinga" w:hAnsi="Kalinga" w:cs="Kalinga"/>
                          <w:color w:val="000000"/>
                          <w:sz w:val="18"/>
                          <w:szCs w:val="22"/>
                        </w:rPr>
                        <w:t>JAÍR DE JESÚS HENAO MOLINA</w:t>
                      </w:r>
                    </w:p>
                    <w:p w:rsidR="003D796F" w:rsidRPr="00630D04" w:rsidRDefault="003D796F" w:rsidP="003D796F">
                      <w:pPr>
                        <w:pStyle w:val="Sinespaciado"/>
                        <w:jc w:val="center"/>
                        <w:rPr>
                          <w:rFonts w:ascii="Kalinga" w:hAnsi="Kalinga" w:cs="Kalinga"/>
                          <w:i/>
                          <w:sz w:val="18"/>
                          <w:szCs w:val="16"/>
                        </w:rPr>
                      </w:pPr>
                      <w:r w:rsidRPr="00630D04">
                        <w:rPr>
                          <w:rFonts w:ascii="Kalinga" w:hAnsi="Kalinga" w:cs="Kalinga"/>
                          <w:i/>
                          <w:sz w:val="18"/>
                          <w:szCs w:val="16"/>
                        </w:rPr>
                        <w:t xml:space="preserve">S </w:t>
                      </w:r>
                      <w:r w:rsidRPr="00630D04">
                        <w:rPr>
                          <w:rFonts w:ascii="Kalinga" w:hAnsi="Kalinga" w:cs="Kalinga"/>
                          <w:i/>
                          <w:sz w:val="16"/>
                          <w:szCs w:val="16"/>
                        </w:rPr>
                        <w:t>E C R E T A R I O</w:t>
                      </w:r>
                    </w:p>
                    <w:p w:rsidR="003D796F" w:rsidRPr="00AC087B" w:rsidRDefault="003D796F" w:rsidP="003D796F">
                      <w:pPr>
                        <w:jc w:val="center"/>
                        <w:rPr>
                          <w:rFonts w:ascii="Kalinga" w:hAnsi="Kalinga" w:cs="Kalinga"/>
                          <w:sz w:val="22"/>
                          <w:szCs w:val="22"/>
                        </w:rPr>
                      </w:pPr>
                    </w:p>
                  </w:txbxContent>
                </v:textbox>
                <w10:wrap anchorx="margin"/>
              </v:rect>
            </w:pict>
          </mc:Fallback>
        </mc:AlternateContent>
      </w:r>
      <w:proofErr w:type="spellStart"/>
      <w:r w:rsidR="00337626" w:rsidRPr="006B6DCD">
        <w:rPr>
          <w:rFonts w:ascii="Georgia" w:hAnsi="Georgia" w:cs="Arial"/>
          <w:i/>
          <w:spacing w:val="20"/>
          <w:w w:val="150"/>
          <w:sz w:val="6"/>
          <w:szCs w:val="22"/>
          <w:lang w:val="en-US"/>
        </w:rPr>
        <w:t>DGH</w:t>
      </w:r>
      <w:proofErr w:type="spellEnd"/>
      <w:r w:rsidR="00337626" w:rsidRPr="006B6DCD">
        <w:rPr>
          <w:rFonts w:ascii="Georgia" w:hAnsi="Georgia" w:cs="Arial"/>
          <w:i/>
          <w:spacing w:val="20"/>
          <w:w w:val="150"/>
          <w:sz w:val="6"/>
          <w:szCs w:val="22"/>
          <w:lang w:val="en-US"/>
        </w:rPr>
        <w:t>/</w:t>
      </w:r>
      <w:proofErr w:type="spellStart"/>
      <w:r w:rsidR="00337626" w:rsidRPr="006B6DCD">
        <w:rPr>
          <w:rFonts w:ascii="Georgia" w:hAnsi="Georgia" w:cs="Arial"/>
          <w:i/>
          <w:spacing w:val="20"/>
          <w:w w:val="150"/>
          <w:sz w:val="6"/>
          <w:szCs w:val="22"/>
          <w:lang w:val="en-US"/>
        </w:rPr>
        <w:t>DGD</w:t>
      </w:r>
      <w:proofErr w:type="spellEnd"/>
      <w:r w:rsidR="00337626" w:rsidRPr="006B6DCD">
        <w:rPr>
          <w:rFonts w:ascii="Georgia" w:hAnsi="Georgia" w:cs="Arial"/>
          <w:i/>
          <w:spacing w:val="20"/>
          <w:w w:val="150"/>
          <w:sz w:val="6"/>
          <w:szCs w:val="22"/>
          <w:lang w:val="en-US"/>
        </w:rPr>
        <w:t xml:space="preserve"> / 201</w:t>
      </w:r>
      <w:r w:rsidR="00337626">
        <w:rPr>
          <w:rFonts w:ascii="Georgia" w:hAnsi="Georgia" w:cs="Arial"/>
          <w:i/>
          <w:spacing w:val="20"/>
          <w:w w:val="150"/>
          <w:sz w:val="6"/>
          <w:szCs w:val="22"/>
          <w:lang w:val="en-US"/>
        </w:rPr>
        <w:t>7</w:t>
      </w:r>
    </w:p>
    <w:p w:rsidR="001D622F" w:rsidRPr="006B6DCD" w:rsidRDefault="001D622F" w:rsidP="00EA40EA">
      <w:pPr>
        <w:spacing w:line="360" w:lineRule="auto"/>
        <w:jc w:val="right"/>
        <w:rPr>
          <w:rFonts w:ascii="Georgia" w:hAnsi="Georgia" w:cs="Arial"/>
          <w:i/>
          <w:spacing w:val="20"/>
          <w:w w:val="150"/>
          <w:sz w:val="6"/>
          <w:szCs w:val="22"/>
          <w:lang w:val="en-US"/>
        </w:rPr>
      </w:pPr>
    </w:p>
    <w:sectPr w:rsidR="001D622F" w:rsidRPr="006B6DCD" w:rsidSect="00923B4E">
      <w:headerReference w:type="default" r:id="rId9"/>
      <w:footerReference w:type="default" r:id="rId10"/>
      <w:pgSz w:w="12242" w:h="19442" w:code="268"/>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E8" w:rsidRDefault="008620E8" w:rsidP="009A1240">
      <w:r>
        <w:separator/>
      </w:r>
    </w:p>
  </w:endnote>
  <w:endnote w:type="continuationSeparator" w:id="0">
    <w:p w:rsidR="008620E8" w:rsidRDefault="008620E8"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proofErr w:type="spellStart"/>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proofErr w:type="spellEnd"/>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E8" w:rsidRDefault="008620E8" w:rsidP="009A1240">
      <w:r>
        <w:separator/>
      </w:r>
    </w:p>
  </w:footnote>
  <w:footnote w:type="continuationSeparator" w:id="0">
    <w:p w:rsidR="008620E8" w:rsidRDefault="008620E8" w:rsidP="009A1240">
      <w:r>
        <w:continuationSeparator/>
      </w:r>
    </w:p>
  </w:footnote>
  <w:footnote w:id="1">
    <w:p w:rsidR="0057492E" w:rsidRPr="003B6795" w:rsidRDefault="0057492E" w:rsidP="003B6795">
      <w:pPr>
        <w:pStyle w:val="Textonotapie"/>
        <w:jc w:val="both"/>
        <w:rPr>
          <w:lang w:val="es-CO"/>
        </w:rPr>
      </w:pPr>
      <w:r w:rsidRPr="003B6795">
        <w:rPr>
          <w:rStyle w:val="Refdenotaalpie"/>
        </w:rPr>
        <w:footnoteRef/>
      </w:r>
      <w:r w:rsidRPr="003B6795">
        <w:t xml:space="preserve"> </w:t>
      </w:r>
      <w:r w:rsidRPr="003B6795">
        <w:rPr>
          <w:lang w:val="es-CO"/>
        </w:rPr>
        <w:t>ESCOBAR V. Édgar G. Los recursos en el Código General del Proceso. Librería jurídica Sánchez R. Ltda. 2015, p.37.</w:t>
      </w:r>
    </w:p>
  </w:footnote>
  <w:footnote w:id="2">
    <w:p w:rsidR="0057492E" w:rsidRPr="003B6795" w:rsidRDefault="0057492E" w:rsidP="003B6795">
      <w:pPr>
        <w:pStyle w:val="Textonotapie"/>
        <w:jc w:val="both"/>
      </w:pPr>
      <w:r w:rsidRPr="003B6795">
        <w:rPr>
          <w:vertAlign w:val="superscript"/>
        </w:rPr>
        <w:footnoteRef/>
      </w:r>
      <w:r w:rsidRPr="003B6795">
        <w:t xml:space="preserve"> </w:t>
      </w:r>
      <w:r w:rsidRPr="003B6795">
        <w:rPr>
          <w:lang w:val="es-CO"/>
        </w:rPr>
        <w:t xml:space="preserve">LÓPEZ B., Hernán F. Código General del Proceso, parte general, Bogotá DC, </w:t>
      </w:r>
      <w:proofErr w:type="spellStart"/>
      <w:r w:rsidRPr="003B6795">
        <w:rPr>
          <w:lang w:val="es-CO"/>
        </w:rPr>
        <w:t>Dupré</w:t>
      </w:r>
      <w:proofErr w:type="spellEnd"/>
      <w:r w:rsidRPr="003B6795">
        <w:rPr>
          <w:lang w:val="es-CO"/>
        </w:rPr>
        <w:t xml:space="preserve"> editores, 2016, p.769-776</w:t>
      </w:r>
      <w:r w:rsidRPr="003B6795">
        <w:t>.</w:t>
      </w:r>
    </w:p>
  </w:footnote>
  <w:footnote w:id="3">
    <w:p w:rsidR="0057492E" w:rsidRPr="003B6795" w:rsidRDefault="0057492E" w:rsidP="003B6795">
      <w:pPr>
        <w:pStyle w:val="Textonotapie"/>
        <w:jc w:val="both"/>
      </w:pPr>
      <w:r w:rsidRPr="003B6795">
        <w:rPr>
          <w:vertAlign w:val="superscript"/>
        </w:rPr>
        <w:footnoteRef/>
      </w:r>
      <w:r w:rsidRPr="003B6795">
        <w:t xml:space="preserve"> PARRA Q., Jairo. Derecho procesal civil, tomo I, Santafé de Bogotá D.C., Temis, 1992, p.276.</w:t>
      </w:r>
    </w:p>
  </w:footnote>
  <w:footnote w:id="4">
    <w:p w:rsidR="0057492E" w:rsidRPr="003B6795" w:rsidRDefault="0057492E" w:rsidP="003B6795">
      <w:pPr>
        <w:pStyle w:val="Sinespaciado"/>
        <w:jc w:val="both"/>
        <w:rPr>
          <w:rFonts w:ascii="Times New Roman" w:hAnsi="Times New Roman" w:cs="Times New Roman"/>
          <w:sz w:val="20"/>
          <w:szCs w:val="20"/>
        </w:rPr>
      </w:pPr>
      <w:r w:rsidRPr="003B6795">
        <w:rPr>
          <w:rFonts w:ascii="Times New Roman" w:hAnsi="Times New Roman" w:cs="Times New Roman"/>
          <w:sz w:val="20"/>
          <w:szCs w:val="20"/>
          <w:vertAlign w:val="superscript"/>
        </w:rPr>
        <w:footnoteRef/>
      </w:r>
      <w:r w:rsidRPr="003B6795">
        <w:rPr>
          <w:rFonts w:ascii="Times New Roman" w:hAnsi="Times New Roman" w:cs="Times New Roman"/>
          <w:sz w:val="20"/>
          <w:szCs w:val="20"/>
        </w:rPr>
        <w:t xml:space="preserve"> LÓPEZ B., Hernán F. Ob. cit., p. 769.</w:t>
      </w:r>
    </w:p>
  </w:footnote>
  <w:footnote w:id="5">
    <w:p w:rsidR="0057492E" w:rsidRPr="003B6795" w:rsidRDefault="0057492E" w:rsidP="003B6795">
      <w:pPr>
        <w:pStyle w:val="Textonotapie"/>
        <w:jc w:val="both"/>
        <w:rPr>
          <w:lang w:val="es-CO"/>
        </w:rPr>
      </w:pPr>
      <w:r w:rsidRPr="003B6795">
        <w:rPr>
          <w:rStyle w:val="Refdenotaalpie"/>
        </w:rPr>
        <w:footnoteRef/>
      </w:r>
      <w:r w:rsidRPr="003B6795">
        <w:t xml:space="preserve"> </w:t>
      </w:r>
      <w:r w:rsidRPr="003B6795">
        <w:rPr>
          <w:lang w:val="es-CO"/>
        </w:rPr>
        <w:t xml:space="preserve">ROJAS G., Miguel E. Lecciones de derecho procesal, procedimiento civil, tomo II, </w:t>
      </w:r>
      <w:proofErr w:type="spellStart"/>
      <w:r w:rsidRPr="003B6795">
        <w:rPr>
          <w:lang w:val="es-CO"/>
        </w:rPr>
        <w:t>ESAJU</w:t>
      </w:r>
      <w:proofErr w:type="spellEnd"/>
      <w:r w:rsidRPr="003B6795">
        <w:rPr>
          <w:lang w:val="es-CO"/>
        </w:rPr>
        <w:t>, 2013, 5ª edición, Bogotá DC, p.332.</w:t>
      </w:r>
    </w:p>
  </w:footnote>
  <w:footnote w:id="6">
    <w:p w:rsidR="009B1268" w:rsidRPr="009B1268" w:rsidRDefault="009B1268" w:rsidP="009B1268">
      <w:pPr>
        <w:pStyle w:val="Textonotapie"/>
        <w:rPr>
          <w:lang w:val="es-CO"/>
        </w:rPr>
      </w:pPr>
      <w:r>
        <w:rPr>
          <w:rStyle w:val="Refdenotaalpie"/>
        </w:rPr>
        <w:footnoteRef/>
      </w:r>
      <w:r>
        <w:t xml:space="preserve"> </w:t>
      </w:r>
      <w:proofErr w:type="spellStart"/>
      <w:r w:rsidRPr="003B6795">
        <w:rPr>
          <w:lang w:val="en-US"/>
        </w:rPr>
        <w:t>CSJ</w:t>
      </w:r>
      <w:proofErr w:type="spellEnd"/>
      <w:r w:rsidRPr="003B6795">
        <w:rPr>
          <w:lang w:val="en-US"/>
        </w:rPr>
        <w:t>. STC</w:t>
      </w:r>
      <w:r>
        <w:rPr>
          <w:lang w:val="en-US"/>
        </w:rPr>
        <w:t>12359-2017.</w:t>
      </w:r>
    </w:p>
  </w:footnote>
  <w:footnote w:id="7">
    <w:p w:rsidR="00496D62" w:rsidRPr="003B6795" w:rsidRDefault="00496D62" w:rsidP="003B6795">
      <w:pPr>
        <w:pStyle w:val="Textonotapie"/>
        <w:jc w:val="both"/>
        <w:rPr>
          <w:lang w:val="es-CO"/>
        </w:rPr>
      </w:pPr>
      <w:r w:rsidRPr="003B6795">
        <w:rPr>
          <w:rStyle w:val="Refdenotaalpie"/>
        </w:rPr>
        <w:footnoteRef/>
      </w:r>
      <w:r w:rsidRPr="003B6795">
        <w:t xml:space="preserve"> CSJ. Civil. Sentencia 11-06-2015, No.2015-01174-00, reiterado en</w:t>
      </w:r>
      <w:r w:rsidR="00B0011B" w:rsidRPr="003B6795">
        <w:t>tre otras en STC11124-2015</w:t>
      </w:r>
      <w:r w:rsidR="009B1268">
        <w:t xml:space="preserve"> y</w:t>
      </w:r>
      <w:r w:rsidRPr="003B6795">
        <w:t xml:space="preserve"> STC8909-2017.</w:t>
      </w:r>
    </w:p>
  </w:footnote>
  <w:footnote w:id="8">
    <w:p w:rsidR="00B0011B" w:rsidRPr="003B6795" w:rsidRDefault="00B0011B" w:rsidP="003B6795">
      <w:pPr>
        <w:pStyle w:val="Textonotapie"/>
        <w:jc w:val="both"/>
        <w:rPr>
          <w:lang w:val="es-CO"/>
        </w:rPr>
      </w:pPr>
      <w:r w:rsidRPr="003B6795">
        <w:rPr>
          <w:rStyle w:val="Refdenotaalpie"/>
        </w:rPr>
        <w:footnoteRef/>
      </w:r>
      <w:r w:rsidRPr="003B6795">
        <w:t xml:space="preserve"> </w:t>
      </w:r>
      <w:proofErr w:type="spellStart"/>
      <w:r w:rsidRPr="003B6795">
        <w:rPr>
          <w:lang w:val="es-CO"/>
        </w:rPr>
        <w:t>TSP</w:t>
      </w:r>
      <w:proofErr w:type="spellEnd"/>
      <w:r w:rsidRPr="003B6795">
        <w:rPr>
          <w:lang w:val="es-CO"/>
        </w:rPr>
        <w:t>, Sala Civil – Familia. Providencias del (i)</w:t>
      </w:r>
      <w:r w:rsidRPr="003B6795">
        <w:t xml:space="preserve"> 09-12-2015; </w:t>
      </w:r>
      <w:proofErr w:type="spellStart"/>
      <w:r w:rsidRPr="003B6795">
        <w:t>MP</w:t>
      </w:r>
      <w:proofErr w:type="spellEnd"/>
      <w:r w:rsidRPr="003B6795">
        <w:t xml:space="preserve">: Grisales H., No.2015-00225-01; y, (ii) 19-09-2016, </w:t>
      </w:r>
      <w:proofErr w:type="spellStart"/>
      <w:r w:rsidRPr="003B6795">
        <w:t>MP</w:t>
      </w:r>
      <w:proofErr w:type="spellEnd"/>
      <w:r w:rsidRPr="003B6795">
        <w:t>: Saraza N., No.2016-00028-02</w:t>
      </w:r>
    </w:p>
  </w:footnote>
  <w:footnote w:id="9">
    <w:p w:rsidR="00B0011B" w:rsidRPr="0057492E" w:rsidRDefault="00B0011B" w:rsidP="003B6795">
      <w:pPr>
        <w:pStyle w:val="Textonotapie"/>
        <w:jc w:val="both"/>
        <w:rPr>
          <w:lang w:val="en-US"/>
        </w:rPr>
      </w:pPr>
      <w:r w:rsidRPr="003B6795">
        <w:rPr>
          <w:rStyle w:val="Refdenotaalpie"/>
        </w:rPr>
        <w:footnoteRef/>
      </w:r>
      <w:r w:rsidRPr="003B6795">
        <w:rPr>
          <w:lang w:val="en-US"/>
        </w:rPr>
        <w:t xml:space="preserve"> </w:t>
      </w:r>
      <w:proofErr w:type="spellStart"/>
      <w:r w:rsidRPr="003B6795">
        <w:rPr>
          <w:lang w:val="en-US"/>
        </w:rPr>
        <w:t>CSJ</w:t>
      </w:r>
      <w:proofErr w:type="spellEnd"/>
      <w:r w:rsidRPr="003B6795">
        <w:rPr>
          <w:lang w:val="en-US"/>
        </w:rPr>
        <w:t>. STC8909-2017.</w:t>
      </w:r>
    </w:p>
  </w:footnote>
  <w:footnote w:id="10">
    <w:p w:rsidR="009B1268" w:rsidRPr="009B1268" w:rsidRDefault="009B1268">
      <w:pPr>
        <w:pStyle w:val="Textonotapie"/>
        <w:rPr>
          <w:lang w:val="es-CO"/>
        </w:rPr>
      </w:pPr>
      <w:r>
        <w:rPr>
          <w:rStyle w:val="Refdenotaalpie"/>
        </w:rPr>
        <w:footnoteRef/>
      </w:r>
      <w:r>
        <w:t xml:space="preserve"> </w:t>
      </w:r>
      <w:proofErr w:type="spellStart"/>
      <w:r w:rsidRPr="003B6795">
        <w:rPr>
          <w:lang w:val="en-US"/>
        </w:rPr>
        <w:t>CSJ</w:t>
      </w:r>
      <w:proofErr w:type="spellEnd"/>
      <w:r w:rsidRPr="003B6795">
        <w:rPr>
          <w:lang w:val="en-US"/>
        </w:rPr>
        <w:t>. STC</w:t>
      </w:r>
      <w:r>
        <w:rPr>
          <w:lang w:val="en-US"/>
        </w:rPr>
        <w:t>11442</w:t>
      </w:r>
      <w:r w:rsidRPr="003B6795">
        <w:rPr>
          <w:lang w:val="en-US"/>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F56089" w:rsidRPr="00F56089">
      <w:rPr>
        <w:rFonts w:asciiTheme="minorHAnsi" w:hAnsiTheme="minorHAnsi" w:cs="Calibri"/>
        <w:bCs/>
        <w:noProof/>
      </w:rPr>
      <w:t>4</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C303BC">
      <w:rPr>
        <w:rFonts w:asciiTheme="majorHAnsi" w:hAnsiTheme="majorHAnsi" w:cs="Iskoola Pota"/>
        <w:i/>
        <w:lang w:val="es-CO"/>
      </w:rPr>
      <w:t>E</w:t>
    </w:r>
    <w:r w:rsidRPr="00C303BC">
      <w:rPr>
        <w:rFonts w:asciiTheme="majorHAnsi" w:hAnsiTheme="majorHAnsi" w:cs="Iskoola Pota"/>
        <w:i/>
        <w:sz w:val="16"/>
        <w:lang w:val="es-CO"/>
      </w:rPr>
      <w:t>XPEDIENTE No.20</w:t>
    </w:r>
    <w:r w:rsidR="00383C21">
      <w:rPr>
        <w:rFonts w:asciiTheme="majorHAnsi" w:hAnsiTheme="majorHAnsi" w:cs="Iskoola Pota"/>
        <w:i/>
        <w:sz w:val="16"/>
        <w:lang w:val="es-CO"/>
      </w:rPr>
      <w:t>1</w:t>
    </w:r>
    <w:r w:rsidR="006B6DCD">
      <w:rPr>
        <w:rFonts w:asciiTheme="majorHAnsi" w:hAnsiTheme="majorHAnsi" w:cs="Iskoola Pota"/>
        <w:i/>
        <w:sz w:val="16"/>
        <w:lang w:val="es-CO"/>
      </w:rPr>
      <w:t>7</w:t>
    </w:r>
    <w:r w:rsidRPr="00C303BC">
      <w:rPr>
        <w:rFonts w:asciiTheme="majorHAnsi" w:hAnsiTheme="majorHAnsi" w:cs="Iskoola Pota"/>
        <w:i/>
        <w:sz w:val="16"/>
        <w:lang w:val="es-CO"/>
      </w:rPr>
      <w:t>-0</w:t>
    </w:r>
    <w:r w:rsidR="0093651C">
      <w:rPr>
        <w:rFonts w:asciiTheme="majorHAnsi" w:hAnsiTheme="majorHAnsi" w:cs="Iskoola Pota"/>
        <w:i/>
        <w:sz w:val="16"/>
        <w:lang w:val="es-CO"/>
      </w:rPr>
      <w:t>0</w:t>
    </w:r>
    <w:r w:rsidR="006B6DCD">
      <w:rPr>
        <w:rFonts w:asciiTheme="majorHAnsi" w:hAnsiTheme="majorHAnsi" w:cs="Iskoola Pota"/>
        <w:i/>
        <w:sz w:val="16"/>
        <w:lang w:val="es-CO"/>
      </w:rPr>
      <w:t>141</w:t>
    </w:r>
    <w:r w:rsidRPr="00C303BC">
      <w:rPr>
        <w:rFonts w:asciiTheme="majorHAnsi" w:hAnsiTheme="majorHAnsi" w:cs="Iskoola Pota"/>
        <w:i/>
        <w:sz w:val="16"/>
        <w:lang w:val="es-CO"/>
      </w:rPr>
      <w:t>-0</w:t>
    </w:r>
    <w:r w:rsidR="008B7145" w:rsidRPr="00C303BC">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07D87"/>
    <w:multiLevelType w:val="hybridMultilevel"/>
    <w:tmpl w:val="A4F25EC2"/>
    <w:lvl w:ilvl="0" w:tplc="E74CF6CC">
      <w:start w:val="1"/>
      <w:numFmt w:val="decimal"/>
      <w:suff w:val="nothing"/>
      <w:lvlText w:val="%1."/>
      <w:lvlJc w:val="left"/>
      <w:pPr>
        <w:ind w:left="567" w:firstLine="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65A6651C"/>
    <w:multiLevelType w:val="multilevel"/>
    <w:tmpl w:val="4F445466"/>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9"/>
  </w:num>
  <w:num w:numId="2">
    <w:abstractNumId w:val="5"/>
  </w:num>
  <w:num w:numId="3">
    <w:abstractNumId w:val="12"/>
  </w:num>
  <w:num w:numId="4">
    <w:abstractNumId w:val="11"/>
  </w:num>
  <w:num w:numId="5">
    <w:abstractNumId w:val="4"/>
  </w:num>
  <w:num w:numId="6">
    <w:abstractNumId w:val="2"/>
  </w:num>
  <w:num w:numId="7">
    <w:abstractNumId w:val="8"/>
  </w:num>
  <w:num w:numId="8">
    <w:abstractNumId w:val="3"/>
  </w:num>
  <w:num w:numId="9">
    <w:abstractNumId w:val="1"/>
  </w:num>
  <w:num w:numId="10">
    <w:abstractNumId w:val="0"/>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1641C"/>
    <w:rsid w:val="00032991"/>
    <w:rsid w:val="000410B1"/>
    <w:rsid w:val="000416BF"/>
    <w:rsid w:val="00045CE3"/>
    <w:rsid w:val="00050E52"/>
    <w:rsid w:val="000521D3"/>
    <w:rsid w:val="00057617"/>
    <w:rsid w:val="00057B5C"/>
    <w:rsid w:val="00060A66"/>
    <w:rsid w:val="00061786"/>
    <w:rsid w:val="0006282A"/>
    <w:rsid w:val="00063444"/>
    <w:rsid w:val="00063E12"/>
    <w:rsid w:val="00082EE9"/>
    <w:rsid w:val="00094BEA"/>
    <w:rsid w:val="000979F2"/>
    <w:rsid w:val="000A3198"/>
    <w:rsid w:val="000B2C44"/>
    <w:rsid w:val="000B4877"/>
    <w:rsid w:val="000C36C4"/>
    <w:rsid w:val="000D03C3"/>
    <w:rsid w:val="000D106C"/>
    <w:rsid w:val="000D1C67"/>
    <w:rsid w:val="000D4106"/>
    <w:rsid w:val="000D51C5"/>
    <w:rsid w:val="000D579D"/>
    <w:rsid w:val="000D70EB"/>
    <w:rsid w:val="000E1102"/>
    <w:rsid w:val="000F08E0"/>
    <w:rsid w:val="000F16E3"/>
    <w:rsid w:val="000F1B66"/>
    <w:rsid w:val="000F3C01"/>
    <w:rsid w:val="000F6932"/>
    <w:rsid w:val="000F6CA9"/>
    <w:rsid w:val="00107E1A"/>
    <w:rsid w:val="00112D32"/>
    <w:rsid w:val="001130D4"/>
    <w:rsid w:val="00114608"/>
    <w:rsid w:val="00114FEE"/>
    <w:rsid w:val="00115557"/>
    <w:rsid w:val="00117C9A"/>
    <w:rsid w:val="0012018F"/>
    <w:rsid w:val="00121881"/>
    <w:rsid w:val="00122CE4"/>
    <w:rsid w:val="00124BCD"/>
    <w:rsid w:val="00125A53"/>
    <w:rsid w:val="00132BE5"/>
    <w:rsid w:val="0013682E"/>
    <w:rsid w:val="00137E27"/>
    <w:rsid w:val="001403D4"/>
    <w:rsid w:val="00141432"/>
    <w:rsid w:val="001446B1"/>
    <w:rsid w:val="001452E0"/>
    <w:rsid w:val="00157865"/>
    <w:rsid w:val="00166D57"/>
    <w:rsid w:val="0017105E"/>
    <w:rsid w:val="00190036"/>
    <w:rsid w:val="00190742"/>
    <w:rsid w:val="001A46C4"/>
    <w:rsid w:val="001A565D"/>
    <w:rsid w:val="001A688F"/>
    <w:rsid w:val="001B2496"/>
    <w:rsid w:val="001B3230"/>
    <w:rsid w:val="001B4583"/>
    <w:rsid w:val="001B4B9B"/>
    <w:rsid w:val="001C36DF"/>
    <w:rsid w:val="001C3F97"/>
    <w:rsid w:val="001C51D4"/>
    <w:rsid w:val="001C5578"/>
    <w:rsid w:val="001C5598"/>
    <w:rsid w:val="001D0AA3"/>
    <w:rsid w:val="001D60DE"/>
    <w:rsid w:val="001D622F"/>
    <w:rsid w:val="001D7953"/>
    <w:rsid w:val="001D7E85"/>
    <w:rsid w:val="001E18FB"/>
    <w:rsid w:val="001E57DE"/>
    <w:rsid w:val="001E7DAD"/>
    <w:rsid w:val="001F53B6"/>
    <w:rsid w:val="00201848"/>
    <w:rsid w:val="00202312"/>
    <w:rsid w:val="00207C51"/>
    <w:rsid w:val="0021075B"/>
    <w:rsid w:val="00216AE8"/>
    <w:rsid w:val="00227FA6"/>
    <w:rsid w:val="00230208"/>
    <w:rsid w:val="00231A7F"/>
    <w:rsid w:val="0023681D"/>
    <w:rsid w:val="00236A9B"/>
    <w:rsid w:val="0023704F"/>
    <w:rsid w:val="00237B2C"/>
    <w:rsid w:val="00237BF5"/>
    <w:rsid w:val="002419D4"/>
    <w:rsid w:val="00243379"/>
    <w:rsid w:val="0024455A"/>
    <w:rsid w:val="0025722D"/>
    <w:rsid w:val="00257943"/>
    <w:rsid w:val="002579E7"/>
    <w:rsid w:val="00257B1F"/>
    <w:rsid w:val="00260E1A"/>
    <w:rsid w:val="002711FB"/>
    <w:rsid w:val="0027637D"/>
    <w:rsid w:val="00280589"/>
    <w:rsid w:val="002825A8"/>
    <w:rsid w:val="002860D6"/>
    <w:rsid w:val="002873EC"/>
    <w:rsid w:val="002912F2"/>
    <w:rsid w:val="002937E5"/>
    <w:rsid w:val="00297096"/>
    <w:rsid w:val="002A0A88"/>
    <w:rsid w:val="002A18D8"/>
    <w:rsid w:val="002B513B"/>
    <w:rsid w:val="002C4195"/>
    <w:rsid w:val="002C7A37"/>
    <w:rsid w:val="002D4917"/>
    <w:rsid w:val="002D605B"/>
    <w:rsid w:val="002E0BA3"/>
    <w:rsid w:val="002E21FB"/>
    <w:rsid w:val="002E5263"/>
    <w:rsid w:val="002E562C"/>
    <w:rsid w:val="002E6687"/>
    <w:rsid w:val="002F4DF5"/>
    <w:rsid w:val="002F7410"/>
    <w:rsid w:val="003013A2"/>
    <w:rsid w:val="00301E59"/>
    <w:rsid w:val="00305C99"/>
    <w:rsid w:val="00310EAB"/>
    <w:rsid w:val="00323447"/>
    <w:rsid w:val="0033124D"/>
    <w:rsid w:val="003319C7"/>
    <w:rsid w:val="003336C3"/>
    <w:rsid w:val="00337626"/>
    <w:rsid w:val="00342E88"/>
    <w:rsid w:val="00344BF2"/>
    <w:rsid w:val="003458B9"/>
    <w:rsid w:val="00352931"/>
    <w:rsid w:val="00360576"/>
    <w:rsid w:val="00360BE3"/>
    <w:rsid w:val="00360F2F"/>
    <w:rsid w:val="00363D70"/>
    <w:rsid w:val="00364F30"/>
    <w:rsid w:val="00370D1D"/>
    <w:rsid w:val="00373580"/>
    <w:rsid w:val="0038158A"/>
    <w:rsid w:val="00383C21"/>
    <w:rsid w:val="00384791"/>
    <w:rsid w:val="00386111"/>
    <w:rsid w:val="00392869"/>
    <w:rsid w:val="00392F07"/>
    <w:rsid w:val="00393DD3"/>
    <w:rsid w:val="003972DC"/>
    <w:rsid w:val="003A1A5B"/>
    <w:rsid w:val="003B19D8"/>
    <w:rsid w:val="003B3E79"/>
    <w:rsid w:val="003B445E"/>
    <w:rsid w:val="003B469C"/>
    <w:rsid w:val="003B6795"/>
    <w:rsid w:val="003C5098"/>
    <w:rsid w:val="003C77D5"/>
    <w:rsid w:val="003D081D"/>
    <w:rsid w:val="003D5B0A"/>
    <w:rsid w:val="003D67D8"/>
    <w:rsid w:val="003D6C3D"/>
    <w:rsid w:val="003D796F"/>
    <w:rsid w:val="003E236C"/>
    <w:rsid w:val="003E3CF7"/>
    <w:rsid w:val="003E4533"/>
    <w:rsid w:val="003E5ED3"/>
    <w:rsid w:val="003F3AD2"/>
    <w:rsid w:val="003F66A6"/>
    <w:rsid w:val="00400B90"/>
    <w:rsid w:val="00402132"/>
    <w:rsid w:val="00403F27"/>
    <w:rsid w:val="004100F7"/>
    <w:rsid w:val="00411AC5"/>
    <w:rsid w:val="00414421"/>
    <w:rsid w:val="00417EB4"/>
    <w:rsid w:val="00425B12"/>
    <w:rsid w:val="00426B02"/>
    <w:rsid w:val="00427BE4"/>
    <w:rsid w:val="004335C7"/>
    <w:rsid w:val="00436669"/>
    <w:rsid w:val="00455DE9"/>
    <w:rsid w:val="004614E4"/>
    <w:rsid w:val="00461F2C"/>
    <w:rsid w:val="00465107"/>
    <w:rsid w:val="0046760E"/>
    <w:rsid w:val="00471F25"/>
    <w:rsid w:val="00477144"/>
    <w:rsid w:val="00481A0C"/>
    <w:rsid w:val="00482924"/>
    <w:rsid w:val="004848E7"/>
    <w:rsid w:val="0048492D"/>
    <w:rsid w:val="00496D62"/>
    <w:rsid w:val="0049754F"/>
    <w:rsid w:val="004A2C13"/>
    <w:rsid w:val="004A7C24"/>
    <w:rsid w:val="004B5C73"/>
    <w:rsid w:val="004B6BF7"/>
    <w:rsid w:val="004C319B"/>
    <w:rsid w:val="004E1CAC"/>
    <w:rsid w:val="004E1EF9"/>
    <w:rsid w:val="004E2173"/>
    <w:rsid w:val="004E6A80"/>
    <w:rsid w:val="004F229E"/>
    <w:rsid w:val="004F25AC"/>
    <w:rsid w:val="004F537C"/>
    <w:rsid w:val="004F7160"/>
    <w:rsid w:val="00500A43"/>
    <w:rsid w:val="00500DC5"/>
    <w:rsid w:val="005022A7"/>
    <w:rsid w:val="005035D2"/>
    <w:rsid w:val="00515B6B"/>
    <w:rsid w:val="005204C6"/>
    <w:rsid w:val="0052398B"/>
    <w:rsid w:val="005240C5"/>
    <w:rsid w:val="005267B2"/>
    <w:rsid w:val="00526F65"/>
    <w:rsid w:val="0053073B"/>
    <w:rsid w:val="00541B8C"/>
    <w:rsid w:val="0054427C"/>
    <w:rsid w:val="0055115B"/>
    <w:rsid w:val="00564C16"/>
    <w:rsid w:val="0056570B"/>
    <w:rsid w:val="00570A9B"/>
    <w:rsid w:val="00570C60"/>
    <w:rsid w:val="00572804"/>
    <w:rsid w:val="0057492E"/>
    <w:rsid w:val="005768FC"/>
    <w:rsid w:val="00582F12"/>
    <w:rsid w:val="0058709F"/>
    <w:rsid w:val="00587231"/>
    <w:rsid w:val="005938D9"/>
    <w:rsid w:val="00597D74"/>
    <w:rsid w:val="005B781D"/>
    <w:rsid w:val="005C3D57"/>
    <w:rsid w:val="005C4919"/>
    <w:rsid w:val="005D0B8F"/>
    <w:rsid w:val="005D0C4E"/>
    <w:rsid w:val="005D39F3"/>
    <w:rsid w:val="005D49DF"/>
    <w:rsid w:val="005E03C6"/>
    <w:rsid w:val="005E5BDF"/>
    <w:rsid w:val="005E604E"/>
    <w:rsid w:val="005F1FB2"/>
    <w:rsid w:val="0060427D"/>
    <w:rsid w:val="00607310"/>
    <w:rsid w:val="00607759"/>
    <w:rsid w:val="00611CB0"/>
    <w:rsid w:val="006144B3"/>
    <w:rsid w:val="00617D63"/>
    <w:rsid w:val="0062131C"/>
    <w:rsid w:val="00623497"/>
    <w:rsid w:val="006235A9"/>
    <w:rsid w:val="00623A6D"/>
    <w:rsid w:val="00630D04"/>
    <w:rsid w:val="00631466"/>
    <w:rsid w:val="00651C7E"/>
    <w:rsid w:val="006527BF"/>
    <w:rsid w:val="0065726A"/>
    <w:rsid w:val="00660E7E"/>
    <w:rsid w:val="00662D36"/>
    <w:rsid w:val="00663341"/>
    <w:rsid w:val="0066530A"/>
    <w:rsid w:val="006700A7"/>
    <w:rsid w:val="00672364"/>
    <w:rsid w:val="00672632"/>
    <w:rsid w:val="0067785B"/>
    <w:rsid w:val="00681A45"/>
    <w:rsid w:val="00682BBB"/>
    <w:rsid w:val="006837D2"/>
    <w:rsid w:val="00683BF7"/>
    <w:rsid w:val="00686B69"/>
    <w:rsid w:val="0068721F"/>
    <w:rsid w:val="006950C1"/>
    <w:rsid w:val="0069547F"/>
    <w:rsid w:val="00695536"/>
    <w:rsid w:val="006A11EF"/>
    <w:rsid w:val="006A30E2"/>
    <w:rsid w:val="006A6085"/>
    <w:rsid w:val="006B2386"/>
    <w:rsid w:val="006B6DCD"/>
    <w:rsid w:val="006B768E"/>
    <w:rsid w:val="006B7EB8"/>
    <w:rsid w:val="006C408D"/>
    <w:rsid w:val="006C572F"/>
    <w:rsid w:val="006D7DA7"/>
    <w:rsid w:val="006E1121"/>
    <w:rsid w:val="006E221E"/>
    <w:rsid w:val="006F310C"/>
    <w:rsid w:val="006F58F9"/>
    <w:rsid w:val="006F61F6"/>
    <w:rsid w:val="007031D1"/>
    <w:rsid w:val="00705016"/>
    <w:rsid w:val="00707F42"/>
    <w:rsid w:val="00715013"/>
    <w:rsid w:val="007254A8"/>
    <w:rsid w:val="00725DA4"/>
    <w:rsid w:val="00726D6E"/>
    <w:rsid w:val="00727833"/>
    <w:rsid w:val="007326D4"/>
    <w:rsid w:val="007330E3"/>
    <w:rsid w:val="00734860"/>
    <w:rsid w:val="00737026"/>
    <w:rsid w:val="00740B86"/>
    <w:rsid w:val="0076163D"/>
    <w:rsid w:val="007668A2"/>
    <w:rsid w:val="00774AD2"/>
    <w:rsid w:val="00776C17"/>
    <w:rsid w:val="00780839"/>
    <w:rsid w:val="00781593"/>
    <w:rsid w:val="00781928"/>
    <w:rsid w:val="007841FC"/>
    <w:rsid w:val="007853A8"/>
    <w:rsid w:val="007860C0"/>
    <w:rsid w:val="00786922"/>
    <w:rsid w:val="007A1804"/>
    <w:rsid w:val="007A476E"/>
    <w:rsid w:val="007B4698"/>
    <w:rsid w:val="007C03DB"/>
    <w:rsid w:val="007C66B8"/>
    <w:rsid w:val="007D102F"/>
    <w:rsid w:val="007D341B"/>
    <w:rsid w:val="007D7466"/>
    <w:rsid w:val="007F0E1D"/>
    <w:rsid w:val="007F105A"/>
    <w:rsid w:val="007F2975"/>
    <w:rsid w:val="007F3A25"/>
    <w:rsid w:val="00805077"/>
    <w:rsid w:val="00810D50"/>
    <w:rsid w:val="0081363A"/>
    <w:rsid w:val="00820BF6"/>
    <w:rsid w:val="0082292F"/>
    <w:rsid w:val="00825EA0"/>
    <w:rsid w:val="00827A6D"/>
    <w:rsid w:val="0083050E"/>
    <w:rsid w:val="00832731"/>
    <w:rsid w:val="00834347"/>
    <w:rsid w:val="00834976"/>
    <w:rsid w:val="0084781D"/>
    <w:rsid w:val="008557A4"/>
    <w:rsid w:val="008620E8"/>
    <w:rsid w:val="0086284C"/>
    <w:rsid w:val="00863948"/>
    <w:rsid w:val="008717DB"/>
    <w:rsid w:val="008748E6"/>
    <w:rsid w:val="00876E0A"/>
    <w:rsid w:val="00884D74"/>
    <w:rsid w:val="00886EF0"/>
    <w:rsid w:val="008872A2"/>
    <w:rsid w:val="008920B4"/>
    <w:rsid w:val="008930E1"/>
    <w:rsid w:val="008B14AB"/>
    <w:rsid w:val="008B18E2"/>
    <w:rsid w:val="008B2AF1"/>
    <w:rsid w:val="008B3E9A"/>
    <w:rsid w:val="008B500B"/>
    <w:rsid w:val="008B7145"/>
    <w:rsid w:val="008C0972"/>
    <w:rsid w:val="008D255E"/>
    <w:rsid w:val="008D321B"/>
    <w:rsid w:val="008E0505"/>
    <w:rsid w:val="008E0D48"/>
    <w:rsid w:val="008E1174"/>
    <w:rsid w:val="008E6B3F"/>
    <w:rsid w:val="00903782"/>
    <w:rsid w:val="00910B1E"/>
    <w:rsid w:val="00911C83"/>
    <w:rsid w:val="009147CB"/>
    <w:rsid w:val="009151F5"/>
    <w:rsid w:val="00917983"/>
    <w:rsid w:val="00920096"/>
    <w:rsid w:val="00921C1B"/>
    <w:rsid w:val="00923B4E"/>
    <w:rsid w:val="0093651C"/>
    <w:rsid w:val="00944538"/>
    <w:rsid w:val="0094614E"/>
    <w:rsid w:val="00952E5E"/>
    <w:rsid w:val="00953227"/>
    <w:rsid w:val="00953B22"/>
    <w:rsid w:val="00956A70"/>
    <w:rsid w:val="0095728D"/>
    <w:rsid w:val="00963ECB"/>
    <w:rsid w:val="00967D6F"/>
    <w:rsid w:val="009759B2"/>
    <w:rsid w:val="00985FD1"/>
    <w:rsid w:val="0099309B"/>
    <w:rsid w:val="00994C08"/>
    <w:rsid w:val="009969C3"/>
    <w:rsid w:val="009A04A0"/>
    <w:rsid w:val="009A1240"/>
    <w:rsid w:val="009A6C1F"/>
    <w:rsid w:val="009A7A02"/>
    <w:rsid w:val="009B1268"/>
    <w:rsid w:val="009B54C5"/>
    <w:rsid w:val="009B72C4"/>
    <w:rsid w:val="009C1975"/>
    <w:rsid w:val="009C207D"/>
    <w:rsid w:val="009C5DFB"/>
    <w:rsid w:val="009D3CA9"/>
    <w:rsid w:val="009D5343"/>
    <w:rsid w:val="009D6B88"/>
    <w:rsid w:val="009E1072"/>
    <w:rsid w:val="009E3076"/>
    <w:rsid w:val="009E3110"/>
    <w:rsid w:val="009F0E61"/>
    <w:rsid w:val="009F2506"/>
    <w:rsid w:val="00A03EFF"/>
    <w:rsid w:val="00A044AC"/>
    <w:rsid w:val="00A115B4"/>
    <w:rsid w:val="00A11F60"/>
    <w:rsid w:val="00A12284"/>
    <w:rsid w:val="00A13BDD"/>
    <w:rsid w:val="00A22745"/>
    <w:rsid w:val="00A230D3"/>
    <w:rsid w:val="00A2585D"/>
    <w:rsid w:val="00A26C34"/>
    <w:rsid w:val="00A3039E"/>
    <w:rsid w:val="00A35365"/>
    <w:rsid w:val="00A41C7D"/>
    <w:rsid w:val="00A42D01"/>
    <w:rsid w:val="00A51E08"/>
    <w:rsid w:val="00A5572D"/>
    <w:rsid w:val="00A56277"/>
    <w:rsid w:val="00A57455"/>
    <w:rsid w:val="00A62541"/>
    <w:rsid w:val="00A62787"/>
    <w:rsid w:val="00A63699"/>
    <w:rsid w:val="00A644D6"/>
    <w:rsid w:val="00A70B4D"/>
    <w:rsid w:val="00A71D99"/>
    <w:rsid w:val="00A7420C"/>
    <w:rsid w:val="00A748DF"/>
    <w:rsid w:val="00A81263"/>
    <w:rsid w:val="00A837CE"/>
    <w:rsid w:val="00A85597"/>
    <w:rsid w:val="00A909D6"/>
    <w:rsid w:val="00A96BBB"/>
    <w:rsid w:val="00A97BC3"/>
    <w:rsid w:val="00A97E41"/>
    <w:rsid w:val="00AA0D85"/>
    <w:rsid w:val="00AB2D84"/>
    <w:rsid w:val="00AB6D90"/>
    <w:rsid w:val="00AC0533"/>
    <w:rsid w:val="00AC45F1"/>
    <w:rsid w:val="00AC51E2"/>
    <w:rsid w:val="00AC71B8"/>
    <w:rsid w:val="00AC72E5"/>
    <w:rsid w:val="00AD10DB"/>
    <w:rsid w:val="00AD1A3F"/>
    <w:rsid w:val="00AD410B"/>
    <w:rsid w:val="00AD6D47"/>
    <w:rsid w:val="00AE0641"/>
    <w:rsid w:val="00AE38B2"/>
    <w:rsid w:val="00AF09DF"/>
    <w:rsid w:val="00AF4B72"/>
    <w:rsid w:val="00AF69AF"/>
    <w:rsid w:val="00AF7A6F"/>
    <w:rsid w:val="00B0011B"/>
    <w:rsid w:val="00B01A99"/>
    <w:rsid w:val="00B07E4B"/>
    <w:rsid w:val="00B14272"/>
    <w:rsid w:val="00B21163"/>
    <w:rsid w:val="00B214D7"/>
    <w:rsid w:val="00B25249"/>
    <w:rsid w:val="00B27D74"/>
    <w:rsid w:val="00B307B1"/>
    <w:rsid w:val="00B37678"/>
    <w:rsid w:val="00B46FFD"/>
    <w:rsid w:val="00B50C23"/>
    <w:rsid w:val="00B52EC6"/>
    <w:rsid w:val="00B55A68"/>
    <w:rsid w:val="00B60061"/>
    <w:rsid w:val="00B62758"/>
    <w:rsid w:val="00B6380C"/>
    <w:rsid w:val="00B675CB"/>
    <w:rsid w:val="00B71EBD"/>
    <w:rsid w:val="00B724CE"/>
    <w:rsid w:val="00B74B6B"/>
    <w:rsid w:val="00B75A6A"/>
    <w:rsid w:val="00B75C6A"/>
    <w:rsid w:val="00B849B9"/>
    <w:rsid w:val="00B87206"/>
    <w:rsid w:val="00B960FD"/>
    <w:rsid w:val="00BA0A2F"/>
    <w:rsid w:val="00BA3EF6"/>
    <w:rsid w:val="00BA457F"/>
    <w:rsid w:val="00BB455A"/>
    <w:rsid w:val="00BC1A36"/>
    <w:rsid w:val="00BC2578"/>
    <w:rsid w:val="00BC3D53"/>
    <w:rsid w:val="00BC3EC8"/>
    <w:rsid w:val="00BC50F4"/>
    <w:rsid w:val="00BC589D"/>
    <w:rsid w:val="00BC77B9"/>
    <w:rsid w:val="00BD1343"/>
    <w:rsid w:val="00BD3F5F"/>
    <w:rsid w:val="00BD744D"/>
    <w:rsid w:val="00BE0E76"/>
    <w:rsid w:val="00BE16DB"/>
    <w:rsid w:val="00BE2F2A"/>
    <w:rsid w:val="00BE49F3"/>
    <w:rsid w:val="00BF0045"/>
    <w:rsid w:val="00BF73F6"/>
    <w:rsid w:val="00C022C2"/>
    <w:rsid w:val="00C02A44"/>
    <w:rsid w:val="00C04D9E"/>
    <w:rsid w:val="00C0547C"/>
    <w:rsid w:val="00C0586F"/>
    <w:rsid w:val="00C05C86"/>
    <w:rsid w:val="00C11794"/>
    <w:rsid w:val="00C12E58"/>
    <w:rsid w:val="00C15ED5"/>
    <w:rsid w:val="00C20FB2"/>
    <w:rsid w:val="00C23440"/>
    <w:rsid w:val="00C303BC"/>
    <w:rsid w:val="00C31C0A"/>
    <w:rsid w:val="00C31D4B"/>
    <w:rsid w:val="00C32B52"/>
    <w:rsid w:val="00C34DDA"/>
    <w:rsid w:val="00C363C4"/>
    <w:rsid w:val="00C363D3"/>
    <w:rsid w:val="00C36400"/>
    <w:rsid w:val="00C36F80"/>
    <w:rsid w:val="00C40CD0"/>
    <w:rsid w:val="00C54FE1"/>
    <w:rsid w:val="00C608FF"/>
    <w:rsid w:val="00C63F40"/>
    <w:rsid w:val="00C647E5"/>
    <w:rsid w:val="00C65DA3"/>
    <w:rsid w:val="00C741D5"/>
    <w:rsid w:val="00C820E9"/>
    <w:rsid w:val="00C82245"/>
    <w:rsid w:val="00C832B8"/>
    <w:rsid w:val="00C903AF"/>
    <w:rsid w:val="00C91199"/>
    <w:rsid w:val="00C9127E"/>
    <w:rsid w:val="00C92135"/>
    <w:rsid w:val="00C9534A"/>
    <w:rsid w:val="00CA0F66"/>
    <w:rsid w:val="00CA6C0B"/>
    <w:rsid w:val="00CB6B9A"/>
    <w:rsid w:val="00CC1093"/>
    <w:rsid w:val="00CC15CC"/>
    <w:rsid w:val="00CC75F4"/>
    <w:rsid w:val="00CD2257"/>
    <w:rsid w:val="00CD3F27"/>
    <w:rsid w:val="00CD7AAA"/>
    <w:rsid w:val="00CF0EBE"/>
    <w:rsid w:val="00CF3CF5"/>
    <w:rsid w:val="00CF4567"/>
    <w:rsid w:val="00CF6850"/>
    <w:rsid w:val="00CF7AA1"/>
    <w:rsid w:val="00D00D7D"/>
    <w:rsid w:val="00D02CB4"/>
    <w:rsid w:val="00D06465"/>
    <w:rsid w:val="00D112E2"/>
    <w:rsid w:val="00D1698E"/>
    <w:rsid w:val="00D16F22"/>
    <w:rsid w:val="00D204D6"/>
    <w:rsid w:val="00D2108D"/>
    <w:rsid w:val="00D2440A"/>
    <w:rsid w:val="00D26844"/>
    <w:rsid w:val="00D31830"/>
    <w:rsid w:val="00D4141F"/>
    <w:rsid w:val="00D4441E"/>
    <w:rsid w:val="00D46DD8"/>
    <w:rsid w:val="00D47ACB"/>
    <w:rsid w:val="00D51ACF"/>
    <w:rsid w:val="00D51EAD"/>
    <w:rsid w:val="00D5369D"/>
    <w:rsid w:val="00D619AE"/>
    <w:rsid w:val="00D671C9"/>
    <w:rsid w:val="00D70FD2"/>
    <w:rsid w:val="00D71B92"/>
    <w:rsid w:val="00D73D69"/>
    <w:rsid w:val="00D83E5D"/>
    <w:rsid w:val="00D84F31"/>
    <w:rsid w:val="00D851DA"/>
    <w:rsid w:val="00D85B05"/>
    <w:rsid w:val="00D9154D"/>
    <w:rsid w:val="00D915F4"/>
    <w:rsid w:val="00D93167"/>
    <w:rsid w:val="00D94D58"/>
    <w:rsid w:val="00D97006"/>
    <w:rsid w:val="00D97527"/>
    <w:rsid w:val="00D97B75"/>
    <w:rsid w:val="00DA079E"/>
    <w:rsid w:val="00DA1E67"/>
    <w:rsid w:val="00DA37E4"/>
    <w:rsid w:val="00DA5858"/>
    <w:rsid w:val="00DB0458"/>
    <w:rsid w:val="00DB222B"/>
    <w:rsid w:val="00DB2868"/>
    <w:rsid w:val="00DC031D"/>
    <w:rsid w:val="00DC21CE"/>
    <w:rsid w:val="00DC3B05"/>
    <w:rsid w:val="00DC4E67"/>
    <w:rsid w:val="00DD00F5"/>
    <w:rsid w:val="00DD3308"/>
    <w:rsid w:val="00DD3357"/>
    <w:rsid w:val="00DD366D"/>
    <w:rsid w:val="00DE078F"/>
    <w:rsid w:val="00DE19D9"/>
    <w:rsid w:val="00DE429A"/>
    <w:rsid w:val="00DE6399"/>
    <w:rsid w:val="00DE7F75"/>
    <w:rsid w:val="00DF5461"/>
    <w:rsid w:val="00DF73EF"/>
    <w:rsid w:val="00E036C8"/>
    <w:rsid w:val="00E04130"/>
    <w:rsid w:val="00E04CE6"/>
    <w:rsid w:val="00E10297"/>
    <w:rsid w:val="00E13879"/>
    <w:rsid w:val="00E14DB5"/>
    <w:rsid w:val="00E16943"/>
    <w:rsid w:val="00E23B32"/>
    <w:rsid w:val="00E253EE"/>
    <w:rsid w:val="00E2686D"/>
    <w:rsid w:val="00E316D9"/>
    <w:rsid w:val="00E31D06"/>
    <w:rsid w:val="00E34EB6"/>
    <w:rsid w:val="00E42B6A"/>
    <w:rsid w:val="00E4399D"/>
    <w:rsid w:val="00E44741"/>
    <w:rsid w:val="00E45AE0"/>
    <w:rsid w:val="00E54E75"/>
    <w:rsid w:val="00E55393"/>
    <w:rsid w:val="00E5643E"/>
    <w:rsid w:val="00E5720B"/>
    <w:rsid w:val="00E642EC"/>
    <w:rsid w:val="00E7400E"/>
    <w:rsid w:val="00E768A5"/>
    <w:rsid w:val="00E8141D"/>
    <w:rsid w:val="00E856DA"/>
    <w:rsid w:val="00E86F07"/>
    <w:rsid w:val="00E87611"/>
    <w:rsid w:val="00E87D43"/>
    <w:rsid w:val="00E92773"/>
    <w:rsid w:val="00E93B9B"/>
    <w:rsid w:val="00E9418E"/>
    <w:rsid w:val="00E96913"/>
    <w:rsid w:val="00EA00D7"/>
    <w:rsid w:val="00EA12F0"/>
    <w:rsid w:val="00EA40EA"/>
    <w:rsid w:val="00EB1F06"/>
    <w:rsid w:val="00EB2A8A"/>
    <w:rsid w:val="00EB7E37"/>
    <w:rsid w:val="00EC1479"/>
    <w:rsid w:val="00EC3FF2"/>
    <w:rsid w:val="00ED0720"/>
    <w:rsid w:val="00EE0413"/>
    <w:rsid w:val="00EE0973"/>
    <w:rsid w:val="00EF4827"/>
    <w:rsid w:val="00F0240A"/>
    <w:rsid w:val="00F04EAC"/>
    <w:rsid w:val="00F121C1"/>
    <w:rsid w:val="00F16444"/>
    <w:rsid w:val="00F20247"/>
    <w:rsid w:val="00F25594"/>
    <w:rsid w:val="00F31348"/>
    <w:rsid w:val="00F32BA7"/>
    <w:rsid w:val="00F404F9"/>
    <w:rsid w:val="00F56089"/>
    <w:rsid w:val="00F6163C"/>
    <w:rsid w:val="00F6458D"/>
    <w:rsid w:val="00F65EC8"/>
    <w:rsid w:val="00F725BA"/>
    <w:rsid w:val="00F72723"/>
    <w:rsid w:val="00F91A2C"/>
    <w:rsid w:val="00F94637"/>
    <w:rsid w:val="00F96938"/>
    <w:rsid w:val="00F97CD6"/>
    <w:rsid w:val="00FA35FE"/>
    <w:rsid w:val="00FB30C6"/>
    <w:rsid w:val="00FC0A1B"/>
    <w:rsid w:val="00FC0DD8"/>
    <w:rsid w:val="00FC30E0"/>
    <w:rsid w:val="00FC4B2A"/>
    <w:rsid w:val="00FC5390"/>
    <w:rsid w:val="00FC5EB6"/>
    <w:rsid w:val="00FC7BF7"/>
    <w:rsid w:val="00FD7D84"/>
    <w:rsid w:val="00FD7EDC"/>
    <w:rsid w:val="00FE41FD"/>
    <w:rsid w:val="00FE74F1"/>
    <w:rsid w:val="00FF132F"/>
    <w:rsid w:val="00FF5395"/>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3A7DD9-C58F-41BB-B369-26DC3692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b/>
      <w:i/>
      <w:sz w:val="24"/>
    </w:rPr>
  </w:style>
  <w:style w:type="character" w:customStyle="1" w:styleId="PuestoCar">
    <w:name w:val="Puesto Car"/>
    <w:basedOn w:val="Fuentedeprrafopredeter"/>
    <w:link w:val="Puest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character" w:customStyle="1" w:styleId="SinespaciadoCar1">
    <w:name w:val="Sin espaciado Car1"/>
    <w:uiPriority w:val="99"/>
    <w:locked/>
    <w:rsid w:val="007F0E1D"/>
    <w:rPr>
      <w:rFonts w:ascii="Courier New" w:hAnsi="Courier New" w:cs="Courier New"/>
      <w:sz w:val="22"/>
      <w:szCs w:val="22"/>
      <w:lang w:val="es-ES" w:eastAsia="es-ES"/>
    </w:rPr>
  </w:style>
  <w:style w:type="character" w:styleId="Refdecomentario">
    <w:name w:val="annotation reference"/>
    <w:basedOn w:val="Fuentedeprrafopredeter"/>
    <w:uiPriority w:val="99"/>
    <w:rsid w:val="00E04130"/>
    <w:rPr>
      <w:sz w:val="16"/>
      <w:szCs w:val="16"/>
    </w:rPr>
  </w:style>
  <w:style w:type="paragraph" w:styleId="Textocomentario">
    <w:name w:val="annotation text"/>
    <w:basedOn w:val="Normal"/>
    <w:link w:val="TextocomentarioCar"/>
    <w:uiPriority w:val="99"/>
    <w:rsid w:val="00E04130"/>
  </w:style>
  <w:style w:type="character" w:customStyle="1" w:styleId="TextocomentarioCar">
    <w:name w:val="Texto comentario Car"/>
    <w:basedOn w:val="Fuentedeprrafopredeter"/>
    <w:link w:val="Textocomentario"/>
    <w:uiPriority w:val="99"/>
    <w:rsid w:val="00E04130"/>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E04130"/>
    <w:rPr>
      <w:b/>
      <w:bCs/>
    </w:rPr>
  </w:style>
  <w:style w:type="character" w:customStyle="1" w:styleId="AsuntodelcomentarioCar">
    <w:name w:val="Asunto del comentario Car"/>
    <w:basedOn w:val="TextocomentarioCar"/>
    <w:link w:val="Asuntodelcomentario"/>
    <w:uiPriority w:val="99"/>
    <w:rsid w:val="00E04130"/>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B137-B333-47C7-830A-56276327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1582</Words>
  <Characters>8404</Characters>
  <Application>Microsoft Office Word</Application>
  <DocSecurity>0</DocSecurity>
  <Lines>195</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20</cp:revision>
  <cp:lastPrinted>2017-10-24T13:58:00Z</cp:lastPrinted>
  <dcterms:created xsi:type="dcterms:W3CDTF">2017-08-08T14:57:00Z</dcterms:created>
  <dcterms:modified xsi:type="dcterms:W3CDTF">2017-11-28T14:57:00Z</dcterms:modified>
</cp:coreProperties>
</file>