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69" w:rsidRDefault="005B6769" w:rsidP="005B6769">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B6769" w:rsidRDefault="005B6769" w:rsidP="005B6769">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4901E2" w:rsidRDefault="004901E2" w:rsidP="004901E2">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2 de octubre de 2017</w:t>
      </w:r>
    </w:p>
    <w:p w:rsidR="004901E2" w:rsidRDefault="004901E2" w:rsidP="004901E2">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val="es-CO"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Acción de Tutela –  Confirma – Niega</w:t>
      </w:r>
    </w:p>
    <w:p w:rsidR="004901E2" w:rsidRDefault="004901E2" w:rsidP="004901E2">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00E562C9" w:rsidRPr="004901E2">
        <w:rPr>
          <w:rFonts w:ascii="Calibri" w:hAnsi="Calibri" w:cs="Calibri"/>
          <w:bCs/>
          <w:iCs/>
          <w:color w:val="222222"/>
          <w:sz w:val="18"/>
          <w:szCs w:val="18"/>
          <w:lang w:eastAsia="fr-FR"/>
        </w:rPr>
        <w:t>2017-00194-02</w:t>
      </w:r>
    </w:p>
    <w:p w:rsidR="00E562C9" w:rsidRDefault="004901E2" w:rsidP="00E562C9">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sidR="00E562C9" w:rsidRPr="00527F46">
        <w:rPr>
          <w:rFonts w:ascii="Calibri" w:hAnsi="Calibri" w:cs="Calibri"/>
          <w:bCs/>
          <w:spacing w:val="-6"/>
          <w:sz w:val="18"/>
          <w:szCs w:val="18"/>
          <w:lang w:val="es-ES_tradnl" w:eastAsia="en-US"/>
        </w:rPr>
        <w:t>Jennifer Victoria Osorio Fiquitiva</w:t>
      </w:r>
    </w:p>
    <w:p w:rsidR="004901E2" w:rsidRDefault="004901E2" w:rsidP="004901E2">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bookmarkStart w:id="0" w:name="_GoBack"/>
      <w:bookmarkEnd w:id="0"/>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4901E2">
        <w:rPr>
          <w:rFonts w:ascii="Calibri" w:hAnsi="Calibri" w:cs="Calibri"/>
          <w:bCs/>
          <w:iCs/>
          <w:color w:val="222222"/>
          <w:sz w:val="18"/>
          <w:szCs w:val="18"/>
          <w:lang w:eastAsia="fr-FR"/>
        </w:rPr>
        <w:t>Unive</w:t>
      </w:r>
      <w:r>
        <w:rPr>
          <w:rFonts w:ascii="Calibri" w:hAnsi="Calibri" w:cs="Calibri"/>
          <w:bCs/>
          <w:iCs/>
          <w:color w:val="222222"/>
          <w:sz w:val="18"/>
          <w:szCs w:val="18"/>
          <w:lang w:eastAsia="fr-FR"/>
        </w:rPr>
        <w:t xml:space="preserve">rsidad Tecnológica de Pereira - </w:t>
      </w:r>
      <w:r w:rsidRPr="004901E2">
        <w:rPr>
          <w:rFonts w:ascii="Calibri" w:hAnsi="Calibri" w:cs="Calibri"/>
          <w:bCs/>
          <w:iCs/>
          <w:color w:val="222222"/>
          <w:sz w:val="18"/>
          <w:szCs w:val="18"/>
          <w:lang w:eastAsia="fr-FR"/>
        </w:rPr>
        <w:t>Litisconsorte (s): Ana María Valencia Montoya y otros</w:t>
      </w:r>
    </w:p>
    <w:p w:rsidR="004901E2" w:rsidRDefault="004901E2" w:rsidP="004901E2">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r>
        <w:rPr>
          <w:rFonts w:ascii="Calibri" w:hAnsi="Calibri" w:cs="Calibri"/>
          <w:bCs/>
          <w:iCs/>
          <w:color w:val="222222"/>
          <w:sz w:val="18"/>
          <w:szCs w:val="18"/>
          <w:lang w:eastAsia="fr-FR"/>
        </w:rPr>
        <w:t>DUBERNEY GRISALES HERRERA</w:t>
      </w:r>
    </w:p>
    <w:p w:rsidR="004901E2" w:rsidRDefault="004901E2" w:rsidP="004901E2">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t xml:space="preserve">EDUCACIÓN / BUEN NOMBRE / EDUCACIÓN / DEBIDO PROCESO ADMINISTRATIVO / REGLAMENTO ESTUDIANTIL / INEXISTENCIA DE VULNERACIÓN / NIEGA / CONFIRMA / ADICIONA - </w:t>
      </w:r>
      <w:r w:rsidRPr="004901E2">
        <w:rPr>
          <w:rFonts w:ascii="Calibri" w:hAnsi="Calibri" w:cs="Calibri"/>
          <w:bCs/>
          <w:iCs/>
          <w:color w:val="222222"/>
          <w:sz w:val="18"/>
          <w:szCs w:val="18"/>
          <w:lang w:val="es-ES_tradnl" w:eastAsia="fr-FR"/>
        </w:rPr>
        <w:t xml:space="preserve">Dijo la actora que es estudiante de medicina y cursó las rotaciones de pediatría y ginecoobstetricia que componen la asignatura materno infantil. La ginecoobstetricia la realizó en el Hospital San Jorge de Pereira con la doctora Ana María Valencia Montoya, quien, además del maltrato que le dio, le hizo dos reportes de abandono de prácticas, el primero sin tener en cuenta que no pudo asistir porque estaba cumpliendo una orden dada por la docente, y el último pese a que la doctora Ángela María Díaz había decidido ingresar al quirófano sin la asistencia de ninguna estudiante. </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Presentó varios derechos de petición quejándose de la situación presentada, de la calificación dada, solicitando segundo calificador, cita con la docente Valencia Montoya y permitir defenderse de los señalamientos que se le hicieron, recibió todas las respuestas, únicamente faltó la entrevista con la profesora porque no se hizo presente el día programado.</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De otro lado, agregó que la asignatura materno infantil quedó como reprobada pese a que el promedio de las notas de pediatría (4,07) y ginecoobstetricia (2,68) es de 3,37, por lo que aprobó la asignatura, sin embargo debe repetir la rotación perdida de acuerdo con el reglamento estudiantil, lo que considera injusto (Folios 1 a 6, cuaderno No.1), más aún cuando existe vacío normativo en cuanto al proceso de registro de notas para improbar la asignatura, pues existen dos notas que deben computarse para la calificación final.</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 xml:space="preserve">En este asunto la accionante en general se queja de las respuestas tardías dadas a sus peticiones, sin embargo, aunque se trata de uno de los elementos para considerar debidamente atendido este derecho, pues su incumplimiento genera vulneración, lo cierto es que todas las peticiones ya fueron respondidas y comunicadas, tal cual lo reconoce la actora en el petitorio de amparo, por lo tanto resulta inane tomar determinación alguna frente a los accionados, no hay objeto sobre el cual fallar, el derecho fundamental ya se satisfizo, distinto sería si se advirtiera con ocasión de la tardanza afectación o amenaza de algún otro derecho, más en este caso es inexistente, no hay evidencia fáctica mínima que oriente ese análisis. </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Si desea saber las razones de la tardanza deberá entonces presentar una nueva petición con esa finalidad ya que la tutela no es el medio para hacerlo.</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La accionante pide adicionalmente que sean computadas conjuntamente las notas de las rotaciones para pasar la materia “materno infantil”, pues considera injusto que figure perdida cuando el reglamento estudiantil carece de procedimiento en donde se establezca que así deba decidirse.</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Según se expresa aquella asignatura se compone de dos rotaciones (Pediatría y ginecoobstetricia); el estatuto estudiantil de la UTP  en sus artículos 210 y siguientes reglamenta la evaluación de las rotaciones y al efecto señalan que equivalen a asignaturas que se evalúan conforme las normas de pregrado, y en caso de ser reprobadas deberán repetirse al final del internado para no alterar la programación; se reprobará con un 10% de inasistencia injustificada o un 20% justificada y la evaluación será realizada por el personal docente y asistencial de cada rotación.</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 xml:space="preserve">De acuerdo con lo anterior es evidente que la asignatura mal puede figurar como aprobada, toda vez que se compone de dos rotaciones que deben superarse por separado; de acuerdo con el reglamento es imposible promediar ambas rotaciones, pues aunque afines son independientes y cuentan con personal docente diferente. </w:t>
      </w:r>
    </w:p>
    <w:p w:rsidR="004901E2" w:rsidRP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 xml:space="preserve">Asimismo, la obligación de esperar al final del internado para repetir la rotación no se advierte arbitraria, ni antojadiza, es una consecuencia de la programación que previamente la Universidad ha realizado para los demás estudiantes e imposible de alterar para favorecer a uno de ellos; recuérdese que la actora desde el inicio de sus estudios acogió y aceptó voluntariamente los estatutos cuando se matriculó en la UTP, por lo tanto le son oponibles y obligatorios. </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4901E2">
        <w:rPr>
          <w:rFonts w:ascii="Calibri" w:hAnsi="Calibri" w:cs="Calibri"/>
          <w:bCs/>
          <w:iCs/>
          <w:color w:val="222222"/>
          <w:sz w:val="18"/>
          <w:szCs w:val="18"/>
          <w:lang w:val="es-ES_tradnl" w:eastAsia="fr-FR"/>
        </w:rPr>
        <w:t xml:space="preserve">Como se vio las Universidades cuentan con autonomía académica, administrativa y económica, y solo puede limitarse cuando sea necesario privilegiar el goce efectivo de un derecho fundamental, situación que aquí no se refleja; la asignatura materno infantil fue reprobada porque no se superó satisfactoriamente una de las rotaciones que la competen.  </w:t>
      </w:r>
    </w:p>
    <w:p w:rsidR="004901E2" w:rsidRDefault="004901E2" w:rsidP="004901E2">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3913E3" w:rsidRPr="006F18F9" w:rsidRDefault="00165382" w:rsidP="00F839CE">
      <w:pPr>
        <w:pStyle w:val="Sinespaciado"/>
        <w:spacing w:line="360" w:lineRule="auto"/>
        <w:rPr>
          <w:rFonts w:ascii="Georgia" w:hAnsi="Georgia" w:cs="Arial"/>
          <w:w w:val="140"/>
        </w:rPr>
      </w:pPr>
      <w:r w:rsidRPr="006F18F9">
        <w:rPr>
          <w:rFonts w:ascii="Georgia" w:hAnsi="Georgia"/>
          <w:noProof/>
        </w:rPr>
        <w:drawing>
          <wp:anchor distT="0" distB="0" distL="114300" distR="114300" simplePos="0" relativeHeight="251658240" behindDoc="0" locked="0" layoutInCell="1" allowOverlap="1" wp14:anchorId="07469F9F" wp14:editId="3B6652B4">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6F18F9" w:rsidRDefault="003913E3" w:rsidP="00F839CE">
      <w:pPr>
        <w:pStyle w:val="Sinespaciado"/>
        <w:spacing w:line="360" w:lineRule="auto"/>
        <w:rPr>
          <w:rFonts w:ascii="Georgia" w:hAnsi="Georgia" w:cs="Arial"/>
          <w:w w:val="140"/>
          <w:sz w:val="14"/>
        </w:rPr>
      </w:pPr>
    </w:p>
    <w:p w:rsidR="003913E3" w:rsidRPr="006F18F9" w:rsidRDefault="003913E3" w:rsidP="00417661">
      <w:pPr>
        <w:pStyle w:val="Sinespaciado"/>
        <w:spacing w:line="360" w:lineRule="auto"/>
        <w:ind w:left="708" w:firstLine="708"/>
        <w:jc w:val="center"/>
        <w:rPr>
          <w:rFonts w:ascii="Georgia" w:hAnsi="Georgia" w:cs="Arial"/>
          <w:w w:val="140"/>
          <w:sz w:val="14"/>
        </w:rPr>
      </w:pPr>
    </w:p>
    <w:p w:rsidR="003913E3" w:rsidRPr="006F18F9" w:rsidRDefault="003913E3" w:rsidP="00D37757">
      <w:pPr>
        <w:pStyle w:val="Sinespaciado"/>
        <w:spacing w:line="360" w:lineRule="auto"/>
        <w:jc w:val="center"/>
        <w:rPr>
          <w:rFonts w:ascii="Georgia" w:hAnsi="Georgia" w:cs="Arial"/>
          <w:w w:val="140"/>
          <w:sz w:val="14"/>
        </w:rPr>
      </w:pPr>
      <w:r w:rsidRPr="006F18F9">
        <w:rPr>
          <w:rFonts w:ascii="Georgia" w:hAnsi="Georgia" w:cs="Arial"/>
          <w:w w:val="140"/>
          <w:sz w:val="14"/>
        </w:rPr>
        <w:t>REPUBLICA DE COLOMBIA</w:t>
      </w:r>
    </w:p>
    <w:p w:rsidR="003913E3" w:rsidRPr="006F18F9" w:rsidRDefault="003913E3" w:rsidP="00692159">
      <w:pPr>
        <w:pStyle w:val="Sinespaciado"/>
        <w:tabs>
          <w:tab w:val="center" w:pos="4987"/>
          <w:tab w:val="left" w:pos="8449"/>
        </w:tabs>
        <w:spacing w:line="360" w:lineRule="auto"/>
        <w:jc w:val="center"/>
        <w:rPr>
          <w:rFonts w:ascii="Georgia" w:hAnsi="Georgia" w:cs="Arial"/>
          <w:w w:val="140"/>
        </w:rPr>
      </w:pPr>
      <w:r w:rsidRPr="006F18F9">
        <w:rPr>
          <w:rFonts w:ascii="Georgia" w:hAnsi="Georgia" w:cs="Arial"/>
          <w:w w:val="140"/>
          <w:sz w:val="14"/>
        </w:rPr>
        <w:t>RAMA JUDICIAL DEL PODER PÚBLICO</w:t>
      </w:r>
    </w:p>
    <w:p w:rsidR="003913E3" w:rsidRPr="006F18F9" w:rsidRDefault="003913E3" w:rsidP="00692159">
      <w:pPr>
        <w:pStyle w:val="Sinespaciado"/>
        <w:spacing w:line="360" w:lineRule="auto"/>
        <w:jc w:val="center"/>
        <w:rPr>
          <w:rFonts w:ascii="Georgia" w:hAnsi="Georgia" w:cs="Arial"/>
          <w:w w:val="140"/>
          <w:sz w:val="16"/>
        </w:rPr>
      </w:pPr>
      <w:r w:rsidRPr="006F18F9">
        <w:rPr>
          <w:rFonts w:ascii="Georgia" w:hAnsi="Georgia" w:cs="Arial"/>
          <w:w w:val="140"/>
          <w:sz w:val="18"/>
        </w:rPr>
        <w:lastRenderedPageBreak/>
        <w:t>T</w:t>
      </w:r>
      <w:r w:rsidRPr="006F18F9">
        <w:rPr>
          <w:rFonts w:ascii="Georgia" w:hAnsi="Georgia" w:cs="Arial"/>
          <w:w w:val="140"/>
          <w:sz w:val="16"/>
        </w:rPr>
        <w:t>RIBUNAL</w:t>
      </w:r>
      <w:r w:rsidRPr="006F18F9">
        <w:rPr>
          <w:rFonts w:ascii="Georgia" w:hAnsi="Georgia" w:cs="Arial"/>
          <w:w w:val="140"/>
          <w:sz w:val="18"/>
        </w:rPr>
        <w:t xml:space="preserve"> S</w:t>
      </w:r>
      <w:r w:rsidRPr="006F18F9">
        <w:rPr>
          <w:rFonts w:ascii="Georgia" w:hAnsi="Georgia" w:cs="Arial"/>
          <w:w w:val="140"/>
          <w:sz w:val="16"/>
        </w:rPr>
        <w:t xml:space="preserve">UPERIOR DEL </w:t>
      </w:r>
      <w:r w:rsidRPr="006F18F9">
        <w:rPr>
          <w:rFonts w:ascii="Georgia" w:hAnsi="Georgia" w:cs="Arial"/>
          <w:w w:val="140"/>
          <w:sz w:val="18"/>
        </w:rPr>
        <w:t>D</w:t>
      </w:r>
      <w:r w:rsidRPr="006F18F9">
        <w:rPr>
          <w:rFonts w:ascii="Georgia" w:hAnsi="Georgia" w:cs="Arial"/>
          <w:w w:val="140"/>
          <w:sz w:val="16"/>
        </w:rPr>
        <w:t>ISTRITO</w:t>
      </w:r>
      <w:r w:rsidRPr="006F18F9">
        <w:rPr>
          <w:rFonts w:ascii="Georgia" w:hAnsi="Georgia" w:cs="Arial"/>
          <w:w w:val="140"/>
          <w:sz w:val="18"/>
        </w:rPr>
        <w:t xml:space="preserve"> J</w:t>
      </w:r>
      <w:r w:rsidRPr="006F18F9">
        <w:rPr>
          <w:rFonts w:ascii="Georgia" w:hAnsi="Georgia" w:cs="Arial"/>
          <w:w w:val="140"/>
          <w:sz w:val="16"/>
        </w:rPr>
        <w:t>UDICIAL</w:t>
      </w:r>
    </w:p>
    <w:p w:rsidR="004E702E" w:rsidRPr="006F18F9" w:rsidRDefault="004E702E" w:rsidP="004E702E">
      <w:pPr>
        <w:pStyle w:val="Sinespaciado"/>
        <w:spacing w:line="360" w:lineRule="auto"/>
        <w:jc w:val="center"/>
        <w:rPr>
          <w:rFonts w:ascii="Georgia" w:hAnsi="Georgia" w:cs="Arial"/>
          <w:w w:val="140"/>
          <w:sz w:val="16"/>
          <w:szCs w:val="18"/>
          <w:lang w:val="es-CO"/>
        </w:rPr>
      </w:pPr>
      <w:r w:rsidRPr="006F18F9">
        <w:rPr>
          <w:rFonts w:ascii="Georgia" w:hAnsi="Georgia" w:cs="Arial"/>
          <w:w w:val="140"/>
          <w:sz w:val="18"/>
          <w:szCs w:val="18"/>
          <w:lang w:val="es-CO"/>
        </w:rPr>
        <w:t>S</w:t>
      </w:r>
      <w:r w:rsidRPr="006F18F9">
        <w:rPr>
          <w:rFonts w:ascii="Georgia" w:hAnsi="Georgia" w:cs="Arial"/>
          <w:w w:val="140"/>
          <w:sz w:val="16"/>
          <w:szCs w:val="18"/>
          <w:lang w:val="es-CO"/>
        </w:rPr>
        <w:t xml:space="preserve">ALA DE </w:t>
      </w:r>
      <w:r w:rsidRPr="006F18F9">
        <w:rPr>
          <w:rFonts w:ascii="Georgia" w:hAnsi="Georgia" w:cs="Arial"/>
          <w:w w:val="140"/>
          <w:sz w:val="18"/>
          <w:szCs w:val="18"/>
          <w:lang w:val="es-CO"/>
        </w:rPr>
        <w:t>D</w:t>
      </w:r>
      <w:r w:rsidRPr="006F18F9">
        <w:rPr>
          <w:rFonts w:ascii="Georgia" w:hAnsi="Georgia" w:cs="Arial"/>
          <w:w w:val="140"/>
          <w:sz w:val="16"/>
          <w:szCs w:val="18"/>
          <w:lang w:val="es-CO"/>
        </w:rPr>
        <w:t xml:space="preserve">ECISIÓN </w:t>
      </w:r>
      <w:r w:rsidRPr="006F18F9">
        <w:rPr>
          <w:rFonts w:ascii="Georgia" w:hAnsi="Georgia" w:cs="Arial"/>
          <w:w w:val="140"/>
          <w:sz w:val="18"/>
          <w:szCs w:val="18"/>
          <w:lang w:val="es-CO"/>
        </w:rPr>
        <w:t>C</w:t>
      </w:r>
      <w:r w:rsidRPr="006F18F9">
        <w:rPr>
          <w:rFonts w:ascii="Georgia" w:hAnsi="Georgia" w:cs="Arial"/>
          <w:w w:val="140"/>
          <w:sz w:val="16"/>
          <w:szCs w:val="18"/>
          <w:lang w:val="es-CO"/>
        </w:rPr>
        <w:t xml:space="preserve">IVIL – </w:t>
      </w:r>
      <w:r w:rsidRPr="006F18F9">
        <w:rPr>
          <w:rFonts w:ascii="Georgia" w:hAnsi="Georgia" w:cs="Arial"/>
          <w:w w:val="140"/>
          <w:sz w:val="18"/>
          <w:szCs w:val="18"/>
          <w:lang w:val="es-CO"/>
        </w:rPr>
        <w:t>F</w:t>
      </w:r>
      <w:r w:rsidRPr="006F18F9">
        <w:rPr>
          <w:rFonts w:ascii="Georgia" w:hAnsi="Georgia" w:cs="Arial"/>
          <w:w w:val="140"/>
          <w:sz w:val="16"/>
          <w:szCs w:val="18"/>
          <w:lang w:val="es-CO"/>
        </w:rPr>
        <w:t xml:space="preserve">AMILIA – </w:t>
      </w:r>
      <w:r w:rsidRPr="006F18F9">
        <w:rPr>
          <w:rFonts w:ascii="Georgia" w:hAnsi="Georgia" w:cs="Arial"/>
          <w:w w:val="140"/>
          <w:sz w:val="18"/>
          <w:szCs w:val="18"/>
          <w:lang w:val="es-CO"/>
        </w:rPr>
        <w:t>D</w:t>
      </w:r>
      <w:r w:rsidRPr="006F18F9">
        <w:rPr>
          <w:rFonts w:ascii="Georgia" w:hAnsi="Georgia" w:cs="Arial"/>
          <w:w w:val="140"/>
          <w:sz w:val="16"/>
          <w:szCs w:val="18"/>
          <w:lang w:val="es-CO"/>
        </w:rPr>
        <w:t xml:space="preserve">ISTRITO DE </w:t>
      </w:r>
      <w:r w:rsidRPr="006F18F9">
        <w:rPr>
          <w:rFonts w:ascii="Georgia" w:hAnsi="Georgia" w:cs="Arial"/>
          <w:w w:val="140"/>
          <w:sz w:val="18"/>
          <w:szCs w:val="18"/>
          <w:lang w:val="es-CO"/>
        </w:rPr>
        <w:t>P</w:t>
      </w:r>
      <w:r w:rsidRPr="006F18F9">
        <w:rPr>
          <w:rFonts w:ascii="Georgia" w:hAnsi="Georgia" w:cs="Arial"/>
          <w:w w:val="140"/>
          <w:sz w:val="16"/>
          <w:szCs w:val="18"/>
          <w:lang w:val="es-CO"/>
        </w:rPr>
        <w:t>EREIRA</w:t>
      </w:r>
    </w:p>
    <w:p w:rsidR="00C65627" w:rsidRPr="006F18F9" w:rsidRDefault="00C65627" w:rsidP="00C65627">
      <w:pPr>
        <w:pStyle w:val="Sinespaciado"/>
        <w:spacing w:line="360" w:lineRule="auto"/>
        <w:jc w:val="center"/>
        <w:rPr>
          <w:rFonts w:ascii="Georgia" w:hAnsi="Georgia" w:cs="Arial"/>
          <w:w w:val="140"/>
          <w:sz w:val="16"/>
          <w:szCs w:val="18"/>
        </w:rPr>
      </w:pPr>
      <w:r w:rsidRPr="006F18F9">
        <w:rPr>
          <w:rFonts w:ascii="Georgia" w:hAnsi="Georgia" w:cs="Arial"/>
          <w:w w:val="140"/>
          <w:sz w:val="18"/>
          <w:szCs w:val="18"/>
        </w:rPr>
        <w:t>D</w:t>
      </w:r>
      <w:r w:rsidRPr="006F18F9">
        <w:rPr>
          <w:rFonts w:ascii="Georgia" w:hAnsi="Georgia" w:cs="Arial"/>
          <w:w w:val="140"/>
          <w:sz w:val="16"/>
          <w:szCs w:val="18"/>
        </w:rPr>
        <w:t xml:space="preserve">EPARTAMENTO DEL </w:t>
      </w:r>
      <w:r w:rsidRPr="006F18F9">
        <w:rPr>
          <w:rFonts w:ascii="Georgia" w:hAnsi="Georgia" w:cs="Arial"/>
          <w:w w:val="140"/>
          <w:sz w:val="18"/>
          <w:szCs w:val="18"/>
        </w:rPr>
        <w:t>R</w:t>
      </w:r>
      <w:r w:rsidRPr="006F18F9">
        <w:rPr>
          <w:rFonts w:ascii="Georgia" w:hAnsi="Georgia" w:cs="Arial"/>
          <w:w w:val="140"/>
          <w:sz w:val="16"/>
          <w:szCs w:val="18"/>
        </w:rPr>
        <w:t>ISARALDA</w:t>
      </w:r>
    </w:p>
    <w:p w:rsidR="003913E3" w:rsidRPr="006F18F9" w:rsidRDefault="003913E3" w:rsidP="00F839CE">
      <w:pPr>
        <w:spacing w:line="360" w:lineRule="auto"/>
        <w:jc w:val="center"/>
        <w:rPr>
          <w:rFonts w:ascii="Georgia" w:hAnsi="Georgia" w:cs="Arial"/>
          <w:b/>
          <w:bCs/>
          <w:szCs w:val="26"/>
        </w:rPr>
      </w:pPr>
    </w:p>
    <w:p w:rsidR="003913E3" w:rsidRPr="006F18F9" w:rsidRDefault="003913E3" w:rsidP="00F839CE">
      <w:pPr>
        <w:pStyle w:val="Textoindependiente"/>
        <w:spacing w:line="360" w:lineRule="auto"/>
        <w:rPr>
          <w:rFonts w:ascii="Georgia" w:hAnsi="Georgia"/>
          <w:sz w:val="22"/>
          <w:szCs w:val="22"/>
        </w:rPr>
      </w:pPr>
      <w:r w:rsidRPr="006F18F9">
        <w:rPr>
          <w:rFonts w:ascii="Georgia" w:hAnsi="Georgia"/>
          <w:sz w:val="22"/>
          <w:szCs w:val="22"/>
        </w:rPr>
        <w:tab/>
      </w:r>
      <w:r w:rsidRPr="006F18F9">
        <w:rPr>
          <w:rFonts w:ascii="Georgia" w:hAnsi="Georgia"/>
          <w:sz w:val="22"/>
          <w:szCs w:val="22"/>
        </w:rPr>
        <w:tab/>
        <w:t>Asunto</w:t>
      </w:r>
      <w:r w:rsidRPr="006F18F9">
        <w:rPr>
          <w:rFonts w:ascii="Georgia" w:hAnsi="Georgia"/>
          <w:sz w:val="22"/>
          <w:szCs w:val="22"/>
        </w:rPr>
        <w:tab/>
      </w:r>
      <w:r w:rsidRPr="006F18F9">
        <w:rPr>
          <w:rFonts w:ascii="Georgia" w:hAnsi="Georgia"/>
          <w:sz w:val="22"/>
          <w:szCs w:val="22"/>
        </w:rPr>
        <w:tab/>
      </w:r>
      <w:r w:rsidRPr="006F18F9">
        <w:rPr>
          <w:rFonts w:ascii="Georgia" w:hAnsi="Georgia"/>
          <w:sz w:val="22"/>
          <w:szCs w:val="22"/>
        </w:rPr>
        <w:tab/>
        <w:t>: Sentencia de tutela en segunda instancia</w:t>
      </w:r>
    </w:p>
    <w:p w:rsidR="003913E3" w:rsidRPr="006F18F9" w:rsidRDefault="003913E3" w:rsidP="00F839CE">
      <w:pPr>
        <w:pStyle w:val="Textoindependiente"/>
        <w:spacing w:line="360" w:lineRule="auto"/>
        <w:rPr>
          <w:rFonts w:ascii="Georgia" w:hAnsi="Georgia"/>
          <w:sz w:val="22"/>
          <w:szCs w:val="22"/>
        </w:rPr>
      </w:pPr>
      <w:r w:rsidRPr="006F18F9">
        <w:rPr>
          <w:rFonts w:ascii="Georgia" w:hAnsi="Georgia"/>
          <w:sz w:val="22"/>
          <w:szCs w:val="22"/>
        </w:rPr>
        <w:tab/>
      </w:r>
      <w:r w:rsidRPr="006F18F9">
        <w:rPr>
          <w:rFonts w:ascii="Georgia" w:hAnsi="Georgia"/>
          <w:sz w:val="22"/>
          <w:szCs w:val="22"/>
        </w:rPr>
        <w:tab/>
        <w:t>Accionante</w:t>
      </w:r>
      <w:r w:rsidR="004E702E" w:rsidRPr="006F18F9">
        <w:rPr>
          <w:rFonts w:ascii="Georgia" w:hAnsi="Georgia"/>
          <w:sz w:val="22"/>
          <w:szCs w:val="22"/>
        </w:rPr>
        <w:t xml:space="preserve"> (s)</w:t>
      </w:r>
      <w:r w:rsidRPr="006F18F9">
        <w:rPr>
          <w:rFonts w:ascii="Georgia" w:hAnsi="Georgia"/>
          <w:sz w:val="22"/>
          <w:szCs w:val="22"/>
        </w:rPr>
        <w:tab/>
      </w:r>
      <w:r w:rsidRPr="006F18F9">
        <w:rPr>
          <w:rFonts w:ascii="Georgia" w:hAnsi="Georgia"/>
          <w:sz w:val="22"/>
          <w:szCs w:val="22"/>
        </w:rPr>
        <w:tab/>
        <w:t xml:space="preserve">: </w:t>
      </w:r>
      <w:r w:rsidR="00630DDC" w:rsidRPr="006F18F9">
        <w:rPr>
          <w:rFonts w:ascii="Georgia" w:hAnsi="Georgia"/>
          <w:sz w:val="22"/>
          <w:szCs w:val="22"/>
        </w:rPr>
        <w:t xml:space="preserve">Jennifer Victoria Osorio Fiquitiva </w:t>
      </w:r>
    </w:p>
    <w:p w:rsidR="007E274B" w:rsidRPr="006F18F9" w:rsidRDefault="003913E3" w:rsidP="007E274B">
      <w:pPr>
        <w:pStyle w:val="Textoindependiente"/>
        <w:spacing w:line="360" w:lineRule="auto"/>
        <w:ind w:left="3540" w:hanging="3540"/>
        <w:rPr>
          <w:rFonts w:ascii="Georgia" w:hAnsi="Georgia"/>
          <w:sz w:val="22"/>
          <w:szCs w:val="22"/>
        </w:rPr>
      </w:pPr>
      <w:r w:rsidRPr="006F18F9">
        <w:rPr>
          <w:rFonts w:ascii="Georgia" w:hAnsi="Georgia"/>
          <w:sz w:val="22"/>
          <w:szCs w:val="22"/>
        </w:rPr>
        <w:tab/>
      </w:r>
      <w:r w:rsidRPr="006F18F9">
        <w:rPr>
          <w:rFonts w:ascii="Georgia" w:hAnsi="Georgia"/>
          <w:sz w:val="22"/>
          <w:szCs w:val="22"/>
        </w:rPr>
        <w:tab/>
      </w:r>
      <w:r w:rsidR="00D8241A" w:rsidRPr="006F18F9">
        <w:rPr>
          <w:rFonts w:ascii="Georgia" w:hAnsi="Georgia"/>
          <w:sz w:val="22"/>
          <w:szCs w:val="22"/>
        </w:rPr>
        <w:t>Accionado (s)</w:t>
      </w:r>
      <w:r w:rsidR="00D8241A" w:rsidRPr="006F18F9">
        <w:rPr>
          <w:rFonts w:ascii="Georgia" w:hAnsi="Georgia"/>
          <w:sz w:val="22"/>
          <w:szCs w:val="22"/>
        </w:rPr>
        <w:tab/>
      </w:r>
      <w:r w:rsidRPr="006F18F9">
        <w:rPr>
          <w:rFonts w:ascii="Georgia" w:hAnsi="Georgia"/>
          <w:sz w:val="22"/>
          <w:szCs w:val="22"/>
        </w:rPr>
        <w:tab/>
        <w:t xml:space="preserve">: </w:t>
      </w:r>
      <w:r w:rsidR="00630DDC" w:rsidRPr="006F18F9">
        <w:rPr>
          <w:rFonts w:ascii="Georgia" w:hAnsi="Georgia"/>
          <w:sz w:val="22"/>
          <w:szCs w:val="22"/>
        </w:rPr>
        <w:t xml:space="preserve">Universidad Tecnológica de Pereira   </w:t>
      </w:r>
    </w:p>
    <w:p w:rsidR="00D8241A" w:rsidRPr="006F18F9" w:rsidRDefault="00D8241A" w:rsidP="007E274B">
      <w:pPr>
        <w:pStyle w:val="Textoindependiente"/>
        <w:spacing w:line="360" w:lineRule="auto"/>
        <w:ind w:left="3540" w:hanging="3540"/>
        <w:rPr>
          <w:rFonts w:ascii="Georgia" w:hAnsi="Georgia"/>
          <w:sz w:val="22"/>
          <w:szCs w:val="22"/>
        </w:rPr>
      </w:pPr>
      <w:r w:rsidRPr="006F18F9">
        <w:rPr>
          <w:rFonts w:ascii="Georgia" w:hAnsi="Georgia"/>
          <w:sz w:val="22"/>
          <w:szCs w:val="22"/>
        </w:rPr>
        <w:tab/>
      </w:r>
      <w:r w:rsidRPr="006F18F9">
        <w:rPr>
          <w:rFonts w:ascii="Georgia" w:hAnsi="Georgia"/>
          <w:sz w:val="22"/>
          <w:szCs w:val="22"/>
        </w:rPr>
        <w:tab/>
        <w:t>Litisconsorte (s)</w:t>
      </w:r>
      <w:r w:rsidRPr="006F18F9">
        <w:rPr>
          <w:rFonts w:ascii="Georgia" w:hAnsi="Georgia"/>
          <w:sz w:val="22"/>
          <w:szCs w:val="22"/>
        </w:rPr>
        <w:tab/>
        <w:t xml:space="preserve">: </w:t>
      </w:r>
      <w:r w:rsidRPr="006F18F9">
        <w:rPr>
          <w:rFonts w:ascii="Georgia" w:hAnsi="Georgia" w:cs="Arial"/>
          <w:sz w:val="22"/>
          <w:szCs w:val="22"/>
        </w:rPr>
        <w:t>Ana María Valencia Montoya y otros</w:t>
      </w:r>
    </w:p>
    <w:p w:rsidR="003913E3" w:rsidRPr="006F18F9" w:rsidRDefault="003913E3" w:rsidP="00F839CE">
      <w:pPr>
        <w:pStyle w:val="Textoindependiente"/>
        <w:spacing w:line="360" w:lineRule="auto"/>
        <w:rPr>
          <w:rFonts w:ascii="Georgia" w:hAnsi="Georgia"/>
          <w:sz w:val="22"/>
        </w:rPr>
      </w:pPr>
      <w:r w:rsidRPr="006F18F9">
        <w:rPr>
          <w:rFonts w:ascii="Georgia" w:hAnsi="Georgia"/>
          <w:sz w:val="18"/>
          <w:szCs w:val="22"/>
        </w:rPr>
        <w:tab/>
      </w:r>
      <w:r w:rsidRPr="006F18F9">
        <w:rPr>
          <w:rFonts w:ascii="Georgia" w:hAnsi="Georgia"/>
          <w:sz w:val="18"/>
          <w:szCs w:val="22"/>
        </w:rPr>
        <w:tab/>
      </w:r>
      <w:r w:rsidRPr="006F18F9">
        <w:rPr>
          <w:rFonts w:ascii="Georgia" w:hAnsi="Georgia"/>
          <w:sz w:val="22"/>
          <w:szCs w:val="22"/>
        </w:rPr>
        <w:t>Radicación</w:t>
      </w:r>
      <w:r w:rsidRPr="006F18F9">
        <w:rPr>
          <w:rFonts w:ascii="Georgia" w:hAnsi="Georgia"/>
          <w:sz w:val="22"/>
          <w:szCs w:val="22"/>
        </w:rPr>
        <w:tab/>
      </w:r>
      <w:r w:rsidRPr="006F18F9">
        <w:rPr>
          <w:rFonts w:ascii="Georgia" w:hAnsi="Georgia"/>
          <w:sz w:val="22"/>
          <w:szCs w:val="22"/>
        </w:rPr>
        <w:tab/>
        <w:t xml:space="preserve">: </w:t>
      </w:r>
      <w:r w:rsidR="007E274B" w:rsidRPr="006F18F9">
        <w:rPr>
          <w:rFonts w:ascii="Georgia" w:hAnsi="Georgia"/>
          <w:sz w:val="22"/>
        </w:rPr>
        <w:t>2017-</w:t>
      </w:r>
      <w:r w:rsidR="00D8241A" w:rsidRPr="006F18F9">
        <w:rPr>
          <w:rFonts w:ascii="Georgia" w:hAnsi="Georgia"/>
          <w:sz w:val="22"/>
        </w:rPr>
        <w:t>00194</w:t>
      </w:r>
      <w:r w:rsidR="007E274B" w:rsidRPr="006F18F9">
        <w:rPr>
          <w:rFonts w:ascii="Georgia" w:hAnsi="Georgia"/>
          <w:sz w:val="22"/>
        </w:rPr>
        <w:t>-</w:t>
      </w:r>
      <w:r w:rsidR="00D8241A" w:rsidRPr="006F18F9">
        <w:rPr>
          <w:rFonts w:ascii="Georgia" w:hAnsi="Georgia"/>
          <w:sz w:val="22"/>
        </w:rPr>
        <w:t>02</w:t>
      </w:r>
    </w:p>
    <w:p w:rsidR="00435CCB" w:rsidRPr="006F18F9" w:rsidRDefault="003913E3" w:rsidP="00DB2859">
      <w:pPr>
        <w:pStyle w:val="Textoindependiente"/>
        <w:spacing w:line="360" w:lineRule="auto"/>
        <w:ind w:left="708" w:hanging="708"/>
        <w:rPr>
          <w:rFonts w:ascii="Georgia" w:hAnsi="Georgia"/>
          <w:sz w:val="22"/>
          <w:szCs w:val="22"/>
        </w:rPr>
      </w:pPr>
      <w:r w:rsidRPr="006F18F9">
        <w:rPr>
          <w:rFonts w:ascii="Georgia" w:hAnsi="Georgia"/>
          <w:sz w:val="22"/>
          <w:szCs w:val="22"/>
        </w:rPr>
        <w:tab/>
      </w:r>
      <w:r w:rsidRPr="006F18F9">
        <w:rPr>
          <w:rFonts w:ascii="Georgia" w:hAnsi="Georgia"/>
          <w:sz w:val="22"/>
          <w:szCs w:val="22"/>
        </w:rPr>
        <w:tab/>
        <w:t>Tema</w:t>
      </w:r>
      <w:r w:rsidR="002D6B23" w:rsidRPr="006F18F9">
        <w:rPr>
          <w:rFonts w:ascii="Georgia" w:hAnsi="Georgia"/>
          <w:sz w:val="22"/>
          <w:szCs w:val="22"/>
        </w:rPr>
        <w:t>s</w:t>
      </w:r>
      <w:r w:rsidRPr="006F18F9">
        <w:rPr>
          <w:rFonts w:ascii="Georgia" w:hAnsi="Georgia"/>
          <w:sz w:val="22"/>
          <w:szCs w:val="22"/>
        </w:rPr>
        <w:tab/>
      </w:r>
      <w:r w:rsidRPr="006F18F9">
        <w:rPr>
          <w:rFonts w:ascii="Georgia" w:hAnsi="Georgia"/>
          <w:sz w:val="22"/>
          <w:szCs w:val="22"/>
        </w:rPr>
        <w:tab/>
      </w:r>
      <w:r w:rsidRPr="006F18F9">
        <w:rPr>
          <w:rFonts w:ascii="Georgia" w:hAnsi="Georgia"/>
          <w:sz w:val="22"/>
          <w:szCs w:val="22"/>
        </w:rPr>
        <w:tab/>
        <w:t xml:space="preserve">: </w:t>
      </w:r>
      <w:r w:rsidR="00D8241A" w:rsidRPr="006F18F9">
        <w:rPr>
          <w:rFonts w:ascii="Georgia" w:hAnsi="Georgia"/>
          <w:sz w:val="22"/>
          <w:szCs w:val="22"/>
        </w:rPr>
        <w:t>Insistencia de vulneración y amenaza – Ausencia fáctica</w:t>
      </w:r>
    </w:p>
    <w:p w:rsidR="00DB2859" w:rsidRPr="006F18F9" w:rsidRDefault="007E274B" w:rsidP="00DB2859">
      <w:pPr>
        <w:pStyle w:val="Textoindependiente"/>
        <w:spacing w:line="360" w:lineRule="auto"/>
        <w:ind w:left="708" w:hanging="708"/>
        <w:rPr>
          <w:rFonts w:ascii="Georgia" w:hAnsi="Georgia"/>
          <w:sz w:val="22"/>
          <w:szCs w:val="22"/>
        </w:rPr>
      </w:pPr>
      <w:r w:rsidRPr="006F18F9">
        <w:rPr>
          <w:rFonts w:ascii="Georgia" w:hAnsi="Georgia"/>
          <w:sz w:val="22"/>
          <w:szCs w:val="22"/>
        </w:rPr>
        <w:tab/>
      </w:r>
      <w:r w:rsidR="00435CCB" w:rsidRPr="006F18F9">
        <w:rPr>
          <w:rFonts w:ascii="Georgia" w:hAnsi="Georgia"/>
          <w:sz w:val="22"/>
          <w:szCs w:val="22"/>
        </w:rPr>
        <w:tab/>
      </w:r>
      <w:r w:rsidR="00C65627" w:rsidRPr="006F18F9">
        <w:rPr>
          <w:rFonts w:ascii="Georgia" w:hAnsi="Georgia"/>
          <w:sz w:val="22"/>
          <w:szCs w:val="22"/>
        </w:rPr>
        <w:t>Despacho de origen</w:t>
      </w:r>
      <w:r w:rsidR="00C65627" w:rsidRPr="006F18F9">
        <w:rPr>
          <w:rFonts w:ascii="Georgia" w:hAnsi="Georgia"/>
          <w:sz w:val="22"/>
          <w:szCs w:val="22"/>
        </w:rPr>
        <w:tab/>
        <w:t xml:space="preserve">: Juzgado </w:t>
      </w:r>
      <w:r w:rsidR="0001669B">
        <w:rPr>
          <w:rFonts w:ascii="Georgia" w:hAnsi="Georgia"/>
          <w:sz w:val="22"/>
          <w:szCs w:val="22"/>
        </w:rPr>
        <w:t>Segundo</w:t>
      </w:r>
      <w:r w:rsidRPr="006F18F9">
        <w:rPr>
          <w:rFonts w:ascii="Georgia" w:hAnsi="Georgia"/>
          <w:sz w:val="22"/>
          <w:szCs w:val="22"/>
        </w:rPr>
        <w:t xml:space="preserve"> </w:t>
      </w:r>
      <w:r w:rsidR="00D8241A" w:rsidRPr="006F18F9">
        <w:rPr>
          <w:rFonts w:ascii="Georgia" w:hAnsi="Georgia"/>
          <w:sz w:val="22"/>
          <w:szCs w:val="22"/>
        </w:rPr>
        <w:t>Civil del Circuito de Pereira</w:t>
      </w:r>
    </w:p>
    <w:p w:rsidR="005331D9" w:rsidRDefault="003913E3" w:rsidP="005331D9">
      <w:pPr>
        <w:spacing w:line="360" w:lineRule="auto"/>
        <w:ind w:left="708" w:firstLine="708"/>
        <w:rPr>
          <w:rFonts w:ascii="Georgia" w:hAnsi="Georgia" w:cs="Arial"/>
          <w:smallCaps/>
          <w:sz w:val="22"/>
          <w:szCs w:val="22"/>
          <w:lang w:val="es-CO"/>
        </w:rPr>
      </w:pPr>
      <w:r w:rsidRPr="006F18F9">
        <w:rPr>
          <w:rFonts w:ascii="Georgia" w:hAnsi="Georgia"/>
          <w:sz w:val="22"/>
          <w:szCs w:val="22"/>
        </w:rPr>
        <w:t>Magistrado Ponente</w:t>
      </w:r>
      <w:r w:rsidRPr="006F18F9">
        <w:rPr>
          <w:rFonts w:ascii="Georgia" w:hAnsi="Georgia"/>
          <w:sz w:val="22"/>
          <w:szCs w:val="22"/>
        </w:rPr>
        <w:tab/>
        <w:t xml:space="preserve">: </w:t>
      </w:r>
      <w:r w:rsidRPr="006F18F9">
        <w:rPr>
          <w:rFonts w:ascii="Georgia" w:hAnsi="Georgia" w:cs="Arial"/>
          <w:smallCaps/>
          <w:sz w:val="22"/>
          <w:szCs w:val="22"/>
          <w:lang w:val="es-CO"/>
        </w:rPr>
        <w:t>Duberney Grisales Herrera</w:t>
      </w:r>
    </w:p>
    <w:p w:rsidR="005331D9" w:rsidRPr="005331D9" w:rsidRDefault="005331D9" w:rsidP="005331D9">
      <w:pPr>
        <w:spacing w:line="360" w:lineRule="auto"/>
        <w:ind w:left="708" w:firstLine="708"/>
        <w:rPr>
          <w:rFonts w:ascii="Georgia" w:hAnsi="Georgia" w:cs="Arial"/>
          <w:smallCaps/>
          <w:sz w:val="22"/>
          <w:szCs w:val="22"/>
          <w:lang w:val="es-CO"/>
        </w:rPr>
      </w:pPr>
      <w:r w:rsidRPr="0049720F">
        <w:rPr>
          <w:rFonts w:ascii="Georgia" w:hAnsi="Georgia"/>
          <w:sz w:val="22"/>
          <w:szCs w:val="22"/>
        </w:rPr>
        <w:t>Acta número</w:t>
      </w:r>
      <w:r>
        <w:rPr>
          <w:rFonts w:ascii="Georgia" w:hAnsi="Georgia"/>
          <w:sz w:val="22"/>
          <w:szCs w:val="22"/>
        </w:rPr>
        <w:tab/>
      </w:r>
      <w:r w:rsidRPr="0049720F">
        <w:rPr>
          <w:rFonts w:ascii="Georgia" w:hAnsi="Georgia"/>
          <w:sz w:val="22"/>
          <w:szCs w:val="22"/>
        </w:rPr>
        <w:tab/>
        <w:t xml:space="preserve">: </w:t>
      </w:r>
      <w:r>
        <w:rPr>
          <w:rFonts w:ascii="Georgia" w:hAnsi="Georgia"/>
          <w:sz w:val="22"/>
          <w:szCs w:val="22"/>
        </w:rPr>
        <w:t>512 de 02-10-2017</w:t>
      </w:r>
    </w:p>
    <w:p w:rsidR="005331D9" w:rsidRPr="0049720F" w:rsidRDefault="005331D9" w:rsidP="005331D9">
      <w:pPr>
        <w:pBdr>
          <w:bottom w:val="double" w:sz="6" w:space="1" w:color="auto"/>
        </w:pBdr>
        <w:spacing w:line="360" w:lineRule="auto"/>
        <w:jc w:val="center"/>
        <w:rPr>
          <w:rFonts w:ascii="Georgia" w:hAnsi="Georgia" w:cs="Arial"/>
          <w:b/>
          <w:bCs/>
          <w:sz w:val="22"/>
          <w:szCs w:val="22"/>
        </w:rPr>
      </w:pPr>
    </w:p>
    <w:p w:rsidR="005331D9" w:rsidRPr="0049720F" w:rsidRDefault="005331D9" w:rsidP="005331D9">
      <w:pPr>
        <w:spacing w:line="360" w:lineRule="auto"/>
        <w:jc w:val="center"/>
        <w:rPr>
          <w:rFonts w:ascii="Georgia" w:hAnsi="Georgia" w:cs="Arial"/>
          <w:b/>
          <w:bCs/>
          <w:sz w:val="22"/>
          <w:szCs w:val="22"/>
        </w:rPr>
      </w:pPr>
    </w:p>
    <w:p w:rsidR="005331D9" w:rsidRPr="0049720F" w:rsidRDefault="005331D9" w:rsidP="005331D9">
      <w:pPr>
        <w:spacing w:line="360" w:lineRule="auto"/>
        <w:jc w:val="center"/>
        <w:rPr>
          <w:rFonts w:ascii="Georgia" w:hAnsi="Georgia" w:cs="Arial"/>
          <w:iCs/>
          <w:sz w:val="28"/>
          <w:szCs w:val="28"/>
          <w:lang w:val="es-CO"/>
        </w:rPr>
      </w:pPr>
      <w:r w:rsidRPr="0049720F">
        <w:rPr>
          <w:rFonts w:ascii="Georgia" w:hAnsi="Georgia" w:cs="Arial"/>
          <w:iCs/>
          <w:smallCaps/>
          <w:sz w:val="28"/>
          <w:szCs w:val="28"/>
          <w:lang w:val="es-CO"/>
        </w:rPr>
        <w:t xml:space="preserve">Pereira, R., </w:t>
      </w:r>
      <w:r>
        <w:rPr>
          <w:rFonts w:ascii="Georgia" w:hAnsi="Georgia" w:cs="Arial"/>
          <w:iCs/>
          <w:smallCaps/>
          <w:sz w:val="28"/>
          <w:szCs w:val="28"/>
          <w:lang w:val="es-CO"/>
        </w:rPr>
        <w:t xml:space="preserve">dos </w:t>
      </w:r>
      <w:r w:rsidRPr="0049720F">
        <w:rPr>
          <w:rFonts w:ascii="Georgia" w:hAnsi="Georgia" w:cs="Arial"/>
          <w:iCs/>
          <w:smallCaps/>
          <w:sz w:val="28"/>
          <w:szCs w:val="28"/>
          <w:lang w:val="es-CO"/>
        </w:rPr>
        <w:t>(</w:t>
      </w:r>
      <w:r>
        <w:rPr>
          <w:rFonts w:ascii="Georgia" w:hAnsi="Georgia" w:cs="Arial"/>
          <w:iCs/>
          <w:smallCaps/>
          <w:sz w:val="28"/>
          <w:szCs w:val="28"/>
          <w:lang w:val="es-CO"/>
        </w:rPr>
        <w:t>2</w:t>
      </w:r>
      <w:r w:rsidRPr="0049720F">
        <w:rPr>
          <w:rFonts w:ascii="Georgia" w:hAnsi="Georgia" w:cs="Arial"/>
          <w:iCs/>
          <w:smallCaps/>
          <w:sz w:val="28"/>
          <w:szCs w:val="28"/>
          <w:lang w:val="es-CO"/>
        </w:rPr>
        <w:t xml:space="preserve">) de </w:t>
      </w:r>
      <w:r>
        <w:rPr>
          <w:rFonts w:ascii="Georgia" w:hAnsi="Georgia" w:cs="Arial"/>
          <w:iCs/>
          <w:smallCaps/>
          <w:sz w:val="28"/>
          <w:szCs w:val="28"/>
          <w:lang w:val="es-CO"/>
        </w:rPr>
        <w:t xml:space="preserve">octubre </w:t>
      </w:r>
      <w:r w:rsidRPr="0049720F">
        <w:rPr>
          <w:rFonts w:ascii="Georgia" w:hAnsi="Georgia" w:cs="Arial"/>
          <w:iCs/>
          <w:smallCaps/>
          <w:sz w:val="28"/>
          <w:szCs w:val="28"/>
          <w:lang w:val="es-CO"/>
        </w:rPr>
        <w:t>de dos mil diecisiete (2017)</w:t>
      </w:r>
      <w:r w:rsidRPr="0049720F">
        <w:rPr>
          <w:rFonts w:ascii="Georgia" w:hAnsi="Georgia" w:cs="Arial"/>
          <w:iCs/>
          <w:sz w:val="28"/>
          <w:szCs w:val="28"/>
          <w:lang w:val="es-CO"/>
        </w:rPr>
        <w:t>.</w:t>
      </w:r>
    </w:p>
    <w:p w:rsidR="003913E3" w:rsidRPr="006F18F9" w:rsidRDefault="003913E3" w:rsidP="00F839CE">
      <w:pPr>
        <w:pStyle w:val="Textoindependiente"/>
        <w:spacing w:line="360" w:lineRule="auto"/>
        <w:rPr>
          <w:rFonts w:ascii="Georgia" w:hAnsi="Georgia" w:cs="Arial"/>
          <w:szCs w:val="24"/>
        </w:rPr>
      </w:pPr>
    </w:p>
    <w:p w:rsidR="003913E3" w:rsidRPr="006F18F9" w:rsidRDefault="003913E3" w:rsidP="00F839CE">
      <w:pPr>
        <w:pStyle w:val="Textoindependiente"/>
        <w:numPr>
          <w:ilvl w:val="0"/>
          <w:numId w:val="1"/>
        </w:numPr>
        <w:spacing w:line="360" w:lineRule="auto"/>
        <w:rPr>
          <w:rFonts w:ascii="Georgia" w:hAnsi="Georgia" w:cs="Arial"/>
          <w:sz w:val="24"/>
          <w:szCs w:val="24"/>
        </w:rPr>
      </w:pPr>
      <w:r w:rsidRPr="006F18F9">
        <w:rPr>
          <w:rFonts w:ascii="Georgia" w:hAnsi="Georgia" w:cs="Arial"/>
          <w:sz w:val="24"/>
          <w:szCs w:val="24"/>
        </w:rPr>
        <w:t>EL ASUNTO A DECIDIR</w:t>
      </w:r>
    </w:p>
    <w:p w:rsidR="003913E3" w:rsidRPr="006F18F9" w:rsidRDefault="003913E3" w:rsidP="00F839CE">
      <w:pPr>
        <w:pStyle w:val="Textoindependiente"/>
        <w:spacing w:line="360" w:lineRule="auto"/>
        <w:rPr>
          <w:rFonts w:ascii="Georgia" w:hAnsi="Georgia" w:cs="Arial"/>
          <w:szCs w:val="24"/>
        </w:rPr>
      </w:pPr>
    </w:p>
    <w:p w:rsidR="006545A0" w:rsidRPr="006F18F9" w:rsidRDefault="006545A0" w:rsidP="006545A0">
      <w:pPr>
        <w:pStyle w:val="Textoindependiente"/>
        <w:spacing w:line="360" w:lineRule="auto"/>
        <w:rPr>
          <w:rFonts w:ascii="Georgia" w:hAnsi="Georgia"/>
          <w:sz w:val="24"/>
          <w:szCs w:val="24"/>
        </w:rPr>
      </w:pPr>
      <w:r w:rsidRPr="006F18F9">
        <w:rPr>
          <w:rFonts w:ascii="Georgia" w:hAnsi="Georgia"/>
          <w:sz w:val="24"/>
          <w:szCs w:val="24"/>
        </w:rPr>
        <w:t xml:space="preserve">La impugnación </w:t>
      </w:r>
      <w:r w:rsidR="00435CCB" w:rsidRPr="006F18F9">
        <w:rPr>
          <w:rFonts w:ascii="Georgia" w:hAnsi="Georgia"/>
          <w:sz w:val="24"/>
          <w:szCs w:val="24"/>
        </w:rPr>
        <w:t>suscitada</w:t>
      </w:r>
      <w:r w:rsidRPr="006F18F9">
        <w:rPr>
          <w:rFonts w:ascii="Georgia" w:hAnsi="Georgia"/>
          <w:sz w:val="24"/>
          <w:szCs w:val="24"/>
        </w:rPr>
        <w:t xml:space="preserve"> en el trámite constitucional ya referido, una vez se ha cumplido la actuación de primera instancia.</w:t>
      </w:r>
    </w:p>
    <w:p w:rsidR="003913E3" w:rsidRPr="006F18F9" w:rsidRDefault="003913E3" w:rsidP="00F839CE">
      <w:pPr>
        <w:pStyle w:val="Textoindependiente"/>
        <w:spacing w:line="360" w:lineRule="auto"/>
        <w:rPr>
          <w:rFonts w:ascii="Georgia" w:hAnsi="Georgia" w:cs="Arial"/>
          <w:szCs w:val="24"/>
        </w:rPr>
      </w:pPr>
    </w:p>
    <w:p w:rsidR="003913E3" w:rsidRPr="006F18F9" w:rsidRDefault="003913E3" w:rsidP="00F839CE">
      <w:pPr>
        <w:pStyle w:val="Textoindependiente"/>
        <w:numPr>
          <w:ilvl w:val="0"/>
          <w:numId w:val="1"/>
        </w:numPr>
        <w:spacing w:line="360" w:lineRule="auto"/>
        <w:rPr>
          <w:rFonts w:ascii="Georgia" w:hAnsi="Georgia" w:cs="Arial"/>
          <w:sz w:val="24"/>
          <w:szCs w:val="24"/>
        </w:rPr>
      </w:pPr>
      <w:r w:rsidRPr="006F18F9">
        <w:rPr>
          <w:rFonts w:ascii="Georgia" w:hAnsi="Georgia" w:cs="Arial"/>
          <w:sz w:val="24"/>
          <w:szCs w:val="24"/>
        </w:rPr>
        <w:t xml:space="preserve">LA SÍNTESIS </w:t>
      </w:r>
      <w:r w:rsidR="00000585" w:rsidRPr="006F18F9">
        <w:rPr>
          <w:rFonts w:ascii="Georgia" w:hAnsi="Georgia" w:cs="Arial"/>
          <w:sz w:val="24"/>
          <w:szCs w:val="24"/>
        </w:rPr>
        <w:t>FÁCTICA</w:t>
      </w:r>
    </w:p>
    <w:p w:rsidR="003913E3" w:rsidRPr="006F18F9" w:rsidRDefault="003913E3" w:rsidP="00F839CE">
      <w:pPr>
        <w:pStyle w:val="Textoindependiente"/>
        <w:spacing w:line="360" w:lineRule="auto"/>
        <w:rPr>
          <w:rFonts w:ascii="Georgia" w:hAnsi="Georgia" w:cs="Arial"/>
          <w:szCs w:val="24"/>
        </w:rPr>
      </w:pPr>
    </w:p>
    <w:p w:rsidR="009E26FC" w:rsidRPr="006F18F9" w:rsidRDefault="000F112D" w:rsidP="00386A25">
      <w:pPr>
        <w:pStyle w:val="Textoindependiente"/>
        <w:spacing w:line="360" w:lineRule="auto"/>
        <w:rPr>
          <w:rFonts w:ascii="Georgia" w:hAnsi="Georgia" w:cs="Arial"/>
          <w:sz w:val="24"/>
          <w:szCs w:val="24"/>
        </w:rPr>
      </w:pPr>
      <w:r w:rsidRPr="006F18F9">
        <w:rPr>
          <w:rFonts w:ascii="Georgia" w:hAnsi="Georgia" w:cs="Arial"/>
          <w:sz w:val="24"/>
          <w:szCs w:val="24"/>
        </w:rPr>
        <w:t>Dijo la actora que e</w:t>
      </w:r>
      <w:r w:rsidR="00630DDC" w:rsidRPr="006F18F9">
        <w:rPr>
          <w:rFonts w:ascii="Georgia" w:hAnsi="Georgia" w:cs="Arial"/>
          <w:sz w:val="24"/>
          <w:szCs w:val="24"/>
        </w:rPr>
        <w:t xml:space="preserve">s estudiante de medicina y </w:t>
      </w:r>
      <w:r w:rsidR="009E26FC" w:rsidRPr="006F18F9">
        <w:rPr>
          <w:rFonts w:ascii="Georgia" w:hAnsi="Georgia" w:cs="Arial"/>
          <w:sz w:val="24"/>
          <w:szCs w:val="24"/>
        </w:rPr>
        <w:t xml:space="preserve">cursó </w:t>
      </w:r>
      <w:r w:rsidR="00630DDC" w:rsidRPr="006F18F9">
        <w:rPr>
          <w:rFonts w:ascii="Georgia" w:hAnsi="Georgia" w:cs="Arial"/>
          <w:sz w:val="24"/>
          <w:szCs w:val="24"/>
        </w:rPr>
        <w:t xml:space="preserve">las </w:t>
      </w:r>
      <w:r w:rsidR="004329D5" w:rsidRPr="006F18F9">
        <w:rPr>
          <w:rFonts w:ascii="Georgia" w:hAnsi="Georgia" w:cs="Arial"/>
          <w:sz w:val="24"/>
          <w:szCs w:val="24"/>
        </w:rPr>
        <w:t xml:space="preserve">rotaciones </w:t>
      </w:r>
      <w:r w:rsidR="00630DDC" w:rsidRPr="006F18F9">
        <w:rPr>
          <w:rFonts w:ascii="Georgia" w:hAnsi="Georgia" w:cs="Arial"/>
          <w:sz w:val="24"/>
          <w:szCs w:val="24"/>
        </w:rPr>
        <w:t xml:space="preserve">de </w:t>
      </w:r>
      <w:r w:rsidR="004329D5" w:rsidRPr="006F18F9">
        <w:rPr>
          <w:rFonts w:ascii="Georgia" w:hAnsi="Georgia" w:cs="Arial"/>
          <w:sz w:val="24"/>
          <w:szCs w:val="24"/>
        </w:rPr>
        <w:t>pediatría</w:t>
      </w:r>
      <w:r w:rsidR="00630DDC" w:rsidRPr="006F18F9">
        <w:rPr>
          <w:rFonts w:ascii="Georgia" w:hAnsi="Georgia" w:cs="Arial"/>
          <w:sz w:val="24"/>
          <w:szCs w:val="24"/>
        </w:rPr>
        <w:t xml:space="preserve"> y ginecoobstetricia que componen la asignatura materno infantil. La ginecoobstetricia la </w:t>
      </w:r>
      <w:r w:rsidR="004329D5" w:rsidRPr="006F18F9">
        <w:rPr>
          <w:rFonts w:ascii="Georgia" w:hAnsi="Georgia" w:cs="Arial"/>
          <w:sz w:val="24"/>
          <w:szCs w:val="24"/>
        </w:rPr>
        <w:t>realizó</w:t>
      </w:r>
      <w:r w:rsidR="00630DDC" w:rsidRPr="006F18F9">
        <w:rPr>
          <w:rFonts w:ascii="Georgia" w:hAnsi="Georgia" w:cs="Arial"/>
          <w:sz w:val="24"/>
          <w:szCs w:val="24"/>
        </w:rPr>
        <w:t xml:space="preserve"> en el Hospital San Jorge de Pereira</w:t>
      </w:r>
      <w:r w:rsidR="004329D5" w:rsidRPr="006F18F9">
        <w:rPr>
          <w:rFonts w:ascii="Georgia" w:hAnsi="Georgia" w:cs="Arial"/>
          <w:sz w:val="24"/>
          <w:szCs w:val="24"/>
        </w:rPr>
        <w:t xml:space="preserve"> con la </w:t>
      </w:r>
      <w:r w:rsidR="00D51756" w:rsidRPr="006F18F9">
        <w:rPr>
          <w:rFonts w:ascii="Georgia" w:hAnsi="Georgia" w:cs="Arial"/>
          <w:sz w:val="24"/>
          <w:szCs w:val="24"/>
        </w:rPr>
        <w:t xml:space="preserve">doctora </w:t>
      </w:r>
      <w:r w:rsidR="007F7C5C" w:rsidRPr="006F18F9">
        <w:rPr>
          <w:rFonts w:ascii="Georgia" w:hAnsi="Georgia" w:cs="Arial"/>
          <w:sz w:val="24"/>
          <w:szCs w:val="24"/>
        </w:rPr>
        <w:t xml:space="preserve">Ana María Valencia Montoya, </w:t>
      </w:r>
      <w:r w:rsidR="0010150F" w:rsidRPr="006F18F9">
        <w:rPr>
          <w:rFonts w:ascii="Georgia" w:hAnsi="Georgia" w:cs="Arial"/>
          <w:sz w:val="24"/>
          <w:szCs w:val="24"/>
        </w:rPr>
        <w:t xml:space="preserve">quien, además del maltrato que le dio, </w:t>
      </w:r>
      <w:r w:rsidRPr="006F18F9">
        <w:rPr>
          <w:rFonts w:ascii="Georgia" w:hAnsi="Georgia" w:cs="Arial"/>
          <w:sz w:val="24"/>
          <w:szCs w:val="24"/>
        </w:rPr>
        <w:t xml:space="preserve">le </w:t>
      </w:r>
      <w:r w:rsidR="00D51756" w:rsidRPr="006F18F9">
        <w:rPr>
          <w:rFonts w:ascii="Georgia" w:hAnsi="Georgia" w:cs="Arial"/>
          <w:sz w:val="24"/>
          <w:szCs w:val="24"/>
        </w:rPr>
        <w:t xml:space="preserve">hizo dos reportes de abandono de prácticas, el primero </w:t>
      </w:r>
      <w:r w:rsidR="004329D5" w:rsidRPr="006F18F9">
        <w:rPr>
          <w:rFonts w:ascii="Georgia" w:hAnsi="Georgia" w:cs="Arial"/>
          <w:sz w:val="24"/>
          <w:szCs w:val="24"/>
        </w:rPr>
        <w:t xml:space="preserve">sin tener en cuenta que </w:t>
      </w:r>
      <w:r w:rsidR="00D51756" w:rsidRPr="006F18F9">
        <w:rPr>
          <w:rFonts w:ascii="Georgia" w:hAnsi="Georgia" w:cs="Arial"/>
          <w:sz w:val="24"/>
          <w:szCs w:val="24"/>
        </w:rPr>
        <w:t xml:space="preserve">no pudo asistir porque estaba cumpliendo una orden </w:t>
      </w:r>
      <w:r w:rsidR="002E49FF" w:rsidRPr="006F18F9">
        <w:rPr>
          <w:rFonts w:ascii="Georgia" w:hAnsi="Georgia" w:cs="Arial"/>
          <w:sz w:val="24"/>
          <w:szCs w:val="24"/>
        </w:rPr>
        <w:t xml:space="preserve">dada por la </w:t>
      </w:r>
      <w:r w:rsidR="00D51756" w:rsidRPr="006F18F9">
        <w:rPr>
          <w:rFonts w:ascii="Georgia" w:hAnsi="Georgia" w:cs="Arial"/>
          <w:sz w:val="24"/>
          <w:szCs w:val="24"/>
        </w:rPr>
        <w:t xml:space="preserve">docente, y el último pese a que la doctora </w:t>
      </w:r>
      <w:r w:rsidR="002E49FF" w:rsidRPr="006F18F9">
        <w:rPr>
          <w:rFonts w:ascii="Georgia" w:hAnsi="Georgia" w:cs="Arial"/>
          <w:sz w:val="24"/>
          <w:szCs w:val="24"/>
        </w:rPr>
        <w:t xml:space="preserve">Ángela María Díaz había decidido ingresar al quirófano sin la asistencia de ninguna estudiante. </w:t>
      </w:r>
    </w:p>
    <w:p w:rsidR="009E26FC" w:rsidRPr="006F18F9" w:rsidRDefault="009E26FC" w:rsidP="00386A25">
      <w:pPr>
        <w:pStyle w:val="Textoindependiente"/>
        <w:spacing w:line="360" w:lineRule="auto"/>
        <w:rPr>
          <w:rFonts w:ascii="Georgia" w:hAnsi="Georgia" w:cs="Arial"/>
          <w:sz w:val="24"/>
          <w:szCs w:val="24"/>
        </w:rPr>
      </w:pPr>
    </w:p>
    <w:p w:rsidR="005B1094" w:rsidRPr="006F18F9" w:rsidRDefault="009E26FC" w:rsidP="00386A25">
      <w:pPr>
        <w:pStyle w:val="Textoindependiente"/>
        <w:spacing w:line="360" w:lineRule="auto"/>
        <w:rPr>
          <w:rFonts w:ascii="Georgia" w:hAnsi="Georgia" w:cs="Arial"/>
          <w:sz w:val="24"/>
          <w:szCs w:val="24"/>
        </w:rPr>
      </w:pPr>
      <w:r w:rsidRPr="006F18F9">
        <w:rPr>
          <w:rFonts w:ascii="Georgia" w:hAnsi="Georgia" w:cs="Arial"/>
          <w:sz w:val="24"/>
          <w:szCs w:val="24"/>
        </w:rPr>
        <w:t>Presentó varios derechos de petición quejándose de la situación presentada, de la calificación dada</w:t>
      </w:r>
      <w:r w:rsidR="005B1094" w:rsidRPr="006F18F9">
        <w:rPr>
          <w:rFonts w:ascii="Georgia" w:hAnsi="Georgia" w:cs="Arial"/>
          <w:sz w:val="24"/>
          <w:szCs w:val="24"/>
        </w:rPr>
        <w:t xml:space="preserve">, solicitando </w:t>
      </w:r>
      <w:r w:rsidRPr="006F18F9">
        <w:rPr>
          <w:rFonts w:ascii="Georgia" w:hAnsi="Georgia" w:cs="Arial"/>
          <w:sz w:val="24"/>
          <w:szCs w:val="24"/>
        </w:rPr>
        <w:t>segundo calificador</w:t>
      </w:r>
      <w:r w:rsidR="005B1094" w:rsidRPr="006F18F9">
        <w:rPr>
          <w:rFonts w:ascii="Georgia" w:hAnsi="Georgia" w:cs="Arial"/>
          <w:sz w:val="24"/>
          <w:szCs w:val="24"/>
        </w:rPr>
        <w:t>, cita con la docente Valencia Montoya y permitir defenderse de los señalamientos que se le hicieron</w:t>
      </w:r>
      <w:r w:rsidR="006601B8" w:rsidRPr="006F18F9">
        <w:rPr>
          <w:rFonts w:ascii="Georgia" w:hAnsi="Georgia" w:cs="Arial"/>
          <w:sz w:val="24"/>
          <w:szCs w:val="24"/>
        </w:rPr>
        <w:t xml:space="preserve">, recibió todas las respuestas, únicamente faltó la </w:t>
      </w:r>
      <w:r w:rsidR="005B1094" w:rsidRPr="006F18F9">
        <w:rPr>
          <w:rFonts w:ascii="Georgia" w:hAnsi="Georgia" w:cs="Arial"/>
          <w:sz w:val="24"/>
          <w:szCs w:val="24"/>
        </w:rPr>
        <w:t>entrevista con la profesora</w:t>
      </w:r>
      <w:r w:rsidR="006601B8" w:rsidRPr="006F18F9">
        <w:rPr>
          <w:rFonts w:ascii="Georgia" w:hAnsi="Georgia" w:cs="Arial"/>
          <w:sz w:val="24"/>
          <w:szCs w:val="24"/>
        </w:rPr>
        <w:t xml:space="preserve"> porque no se hizo presente el día programado</w:t>
      </w:r>
      <w:r w:rsidR="005B1094" w:rsidRPr="006F18F9">
        <w:rPr>
          <w:rFonts w:ascii="Georgia" w:hAnsi="Georgia" w:cs="Arial"/>
          <w:sz w:val="24"/>
          <w:szCs w:val="24"/>
        </w:rPr>
        <w:t>.</w:t>
      </w:r>
    </w:p>
    <w:p w:rsidR="006601B8" w:rsidRPr="006F18F9" w:rsidRDefault="006601B8" w:rsidP="00386A25">
      <w:pPr>
        <w:pStyle w:val="Textoindependiente"/>
        <w:spacing w:line="360" w:lineRule="auto"/>
        <w:rPr>
          <w:rFonts w:ascii="Georgia" w:hAnsi="Georgia" w:cs="Arial"/>
          <w:sz w:val="24"/>
          <w:szCs w:val="24"/>
        </w:rPr>
      </w:pPr>
    </w:p>
    <w:p w:rsidR="003913E3" w:rsidRPr="006F18F9" w:rsidRDefault="006601B8" w:rsidP="00386A25">
      <w:pPr>
        <w:pStyle w:val="Textoindependiente"/>
        <w:spacing w:line="360" w:lineRule="auto"/>
        <w:rPr>
          <w:rFonts w:ascii="Georgia" w:hAnsi="Georgia" w:cs="Arial"/>
          <w:sz w:val="24"/>
          <w:szCs w:val="24"/>
        </w:rPr>
      </w:pPr>
      <w:r w:rsidRPr="006F18F9">
        <w:rPr>
          <w:rFonts w:ascii="Georgia" w:hAnsi="Georgia" w:cs="Arial"/>
          <w:sz w:val="24"/>
          <w:szCs w:val="24"/>
        </w:rPr>
        <w:t>De otro lado, a</w:t>
      </w:r>
      <w:r w:rsidR="005B1094" w:rsidRPr="006F18F9">
        <w:rPr>
          <w:rFonts w:ascii="Georgia" w:hAnsi="Georgia" w:cs="Arial"/>
          <w:sz w:val="24"/>
          <w:szCs w:val="24"/>
        </w:rPr>
        <w:t xml:space="preserve">gregó que la asignatura materno </w:t>
      </w:r>
      <w:r w:rsidRPr="006F18F9">
        <w:rPr>
          <w:rFonts w:ascii="Georgia" w:hAnsi="Georgia" w:cs="Arial"/>
          <w:sz w:val="24"/>
          <w:szCs w:val="24"/>
        </w:rPr>
        <w:t>infantil</w:t>
      </w:r>
      <w:r w:rsidR="005B1094" w:rsidRPr="006F18F9">
        <w:rPr>
          <w:rFonts w:ascii="Georgia" w:hAnsi="Georgia" w:cs="Arial"/>
          <w:sz w:val="24"/>
          <w:szCs w:val="24"/>
        </w:rPr>
        <w:t xml:space="preserve"> quedó como reprobada pese a que el promedio de las notas de pediatría (4,07) y ginecoobstetricia (2,68) es de 3,37, por lo que aprobó la asignatura, sin embargo debe repetir la rotación perdida</w:t>
      </w:r>
      <w:r w:rsidRPr="006F18F9">
        <w:rPr>
          <w:rFonts w:ascii="Georgia" w:hAnsi="Georgia" w:cs="Arial"/>
          <w:sz w:val="24"/>
          <w:szCs w:val="24"/>
        </w:rPr>
        <w:t xml:space="preserve"> de acuerdo con el reglamento estudiantil, lo que considera injusto </w:t>
      </w:r>
      <w:r w:rsidR="003913E3" w:rsidRPr="006F18F9">
        <w:rPr>
          <w:rFonts w:ascii="Georgia" w:hAnsi="Georgia" w:cs="Arial"/>
          <w:sz w:val="24"/>
          <w:szCs w:val="24"/>
          <w:lang w:val="es-CO"/>
        </w:rPr>
        <w:t>(Folio</w:t>
      </w:r>
      <w:r w:rsidR="00E56AE7" w:rsidRPr="006F18F9">
        <w:rPr>
          <w:rFonts w:ascii="Georgia" w:hAnsi="Georgia" w:cs="Arial"/>
          <w:sz w:val="24"/>
          <w:szCs w:val="24"/>
          <w:lang w:val="es-CO"/>
        </w:rPr>
        <w:t>s</w:t>
      </w:r>
      <w:r w:rsidR="003913E3" w:rsidRPr="006F18F9">
        <w:rPr>
          <w:rFonts w:ascii="Georgia" w:hAnsi="Georgia" w:cs="Arial"/>
          <w:sz w:val="24"/>
          <w:szCs w:val="24"/>
          <w:lang w:val="es-CO"/>
        </w:rPr>
        <w:t xml:space="preserve"> </w:t>
      </w:r>
      <w:r w:rsidR="004C2E35" w:rsidRPr="006F18F9">
        <w:rPr>
          <w:rFonts w:ascii="Georgia" w:hAnsi="Georgia" w:cs="Arial"/>
          <w:sz w:val="24"/>
          <w:szCs w:val="24"/>
          <w:lang w:val="es-CO"/>
        </w:rPr>
        <w:t>1 a 6</w:t>
      </w:r>
      <w:r w:rsidR="003913E3" w:rsidRPr="006F18F9">
        <w:rPr>
          <w:rFonts w:ascii="Georgia" w:hAnsi="Georgia" w:cs="Arial"/>
          <w:sz w:val="24"/>
          <w:szCs w:val="24"/>
          <w:lang w:val="es-CO"/>
        </w:rPr>
        <w:t>,</w:t>
      </w:r>
      <w:r w:rsidR="007E274B" w:rsidRPr="006F18F9">
        <w:rPr>
          <w:rFonts w:ascii="Georgia" w:hAnsi="Georgia" w:cs="Arial"/>
          <w:sz w:val="24"/>
          <w:szCs w:val="24"/>
          <w:lang w:val="es-CO"/>
        </w:rPr>
        <w:t xml:space="preserve"> cuaderno No.1)</w:t>
      </w:r>
      <w:r w:rsidR="000F112D" w:rsidRPr="006F18F9">
        <w:rPr>
          <w:rFonts w:ascii="Georgia" w:hAnsi="Georgia" w:cs="Arial"/>
          <w:sz w:val="24"/>
          <w:szCs w:val="24"/>
          <w:lang w:val="es-CO"/>
        </w:rPr>
        <w:t xml:space="preserve">, más aún </w:t>
      </w:r>
      <w:r w:rsidR="000F112D" w:rsidRPr="006F18F9">
        <w:rPr>
          <w:rFonts w:ascii="Georgia" w:hAnsi="Georgia" w:cs="Arial"/>
          <w:sz w:val="24"/>
          <w:szCs w:val="24"/>
          <w:lang w:val="es-CO"/>
        </w:rPr>
        <w:lastRenderedPageBreak/>
        <w:t>cuando existe</w:t>
      </w:r>
      <w:r w:rsidR="004C2E35" w:rsidRPr="006F18F9">
        <w:rPr>
          <w:rFonts w:ascii="Georgia" w:hAnsi="Georgia" w:cs="Arial"/>
          <w:sz w:val="24"/>
          <w:szCs w:val="24"/>
          <w:lang w:val="es-CO"/>
        </w:rPr>
        <w:t xml:space="preserve"> vacío normativo en cuanto al proceso de registro de notas para improbar la asignatura, pues existen dos notas que deben computarse para la calificación final</w:t>
      </w:r>
      <w:r w:rsidR="003913E3" w:rsidRPr="006F18F9">
        <w:rPr>
          <w:rFonts w:ascii="Georgia" w:hAnsi="Georgia" w:cs="Arial"/>
          <w:sz w:val="24"/>
          <w:szCs w:val="24"/>
          <w:lang w:val="es-CO"/>
        </w:rPr>
        <w:t>.</w:t>
      </w:r>
    </w:p>
    <w:p w:rsidR="00996E1D" w:rsidRPr="006F18F9" w:rsidRDefault="00996E1D" w:rsidP="00386A25">
      <w:pPr>
        <w:pStyle w:val="Textoindependiente"/>
        <w:spacing w:line="360" w:lineRule="auto"/>
        <w:rPr>
          <w:rFonts w:ascii="Georgia" w:hAnsi="Georgia" w:cs="Arial"/>
          <w:sz w:val="24"/>
          <w:szCs w:val="24"/>
          <w:lang w:val="es-CO"/>
        </w:rPr>
      </w:pPr>
    </w:p>
    <w:p w:rsidR="00386A25" w:rsidRPr="006F18F9" w:rsidRDefault="00386A25" w:rsidP="00386A25">
      <w:pPr>
        <w:pStyle w:val="Textoindependiente"/>
        <w:numPr>
          <w:ilvl w:val="0"/>
          <w:numId w:val="1"/>
        </w:numPr>
        <w:spacing w:line="360" w:lineRule="auto"/>
        <w:rPr>
          <w:rFonts w:ascii="Georgia" w:hAnsi="Georgia"/>
          <w:sz w:val="24"/>
          <w:szCs w:val="24"/>
        </w:rPr>
      </w:pPr>
      <w:r w:rsidRPr="006F18F9">
        <w:rPr>
          <w:rFonts w:ascii="Georgia" w:hAnsi="Georgia"/>
          <w:sz w:val="24"/>
          <w:szCs w:val="24"/>
        </w:rPr>
        <w:t xml:space="preserve">LOS DERECHOS </w:t>
      </w:r>
      <w:r w:rsidR="00E22AF4" w:rsidRPr="006F18F9">
        <w:rPr>
          <w:rFonts w:ascii="Georgia" w:hAnsi="Georgia"/>
          <w:sz w:val="24"/>
          <w:szCs w:val="24"/>
        </w:rPr>
        <w:t>INVOCADOS</w:t>
      </w:r>
    </w:p>
    <w:p w:rsidR="00036C66" w:rsidRPr="006F18F9" w:rsidRDefault="00036C66" w:rsidP="00036C66">
      <w:pPr>
        <w:pStyle w:val="Textoindependiente"/>
        <w:spacing w:line="360" w:lineRule="auto"/>
        <w:ind w:left="360"/>
        <w:rPr>
          <w:rFonts w:ascii="Georgia" w:hAnsi="Georgia"/>
          <w:szCs w:val="24"/>
        </w:rPr>
      </w:pPr>
    </w:p>
    <w:p w:rsidR="00386A25" w:rsidRPr="006F18F9" w:rsidRDefault="00386A25" w:rsidP="00386A25">
      <w:pPr>
        <w:pStyle w:val="Textoindependiente"/>
        <w:widowControl w:val="0"/>
        <w:spacing w:line="360" w:lineRule="auto"/>
        <w:rPr>
          <w:rFonts w:ascii="Georgia" w:hAnsi="Georgia"/>
          <w:sz w:val="24"/>
          <w:szCs w:val="24"/>
        </w:rPr>
      </w:pPr>
      <w:r w:rsidRPr="006F18F9">
        <w:rPr>
          <w:rFonts w:ascii="Georgia" w:hAnsi="Georgia"/>
          <w:sz w:val="24"/>
          <w:szCs w:val="24"/>
        </w:rPr>
        <w:t xml:space="preserve">Se invocan </w:t>
      </w:r>
      <w:r w:rsidR="007E274B" w:rsidRPr="006F18F9">
        <w:rPr>
          <w:rFonts w:ascii="Georgia" w:hAnsi="Georgia"/>
          <w:sz w:val="24"/>
          <w:szCs w:val="24"/>
        </w:rPr>
        <w:t xml:space="preserve">los derechos a </w:t>
      </w:r>
      <w:r w:rsidR="004C2E35" w:rsidRPr="006F18F9">
        <w:rPr>
          <w:rFonts w:ascii="Georgia" w:hAnsi="Georgia"/>
          <w:sz w:val="24"/>
          <w:szCs w:val="24"/>
        </w:rPr>
        <w:t xml:space="preserve">la educación, al buen nombre y de petición </w:t>
      </w:r>
      <w:r w:rsidRPr="006F18F9">
        <w:rPr>
          <w:rFonts w:ascii="Georgia" w:hAnsi="Georgia"/>
          <w:sz w:val="24"/>
          <w:szCs w:val="24"/>
        </w:rPr>
        <w:t xml:space="preserve">(Folio </w:t>
      </w:r>
      <w:r w:rsidR="004C2E35" w:rsidRPr="006F18F9">
        <w:rPr>
          <w:rFonts w:ascii="Georgia" w:hAnsi="Georgia"/>
          <w:sz w:val="24"/>
          <w:szCs w:val="24"/>
        </w:rPr>
        <w:t xml:space="preserve">4 vuelto y 5, </w:t>
      </w:r>
      <w:r w:rsidRPr="006F18F9">
        <w:rPr>
          <w:rFonts w:ascii="Georgia" w:hAnsi="Georgia" w:cs="Arial"/>
          <w:sz w:val="24"/>
          <w:lang w:val="es-CO"/>
        </w:rPr>
        <w:t>cuaderno No.1</w:t>
      </w:r>
      <w:r w:rsidRPr="006F18F9">
        <w:rPr>
          <w:rFonts w:ascii="Georgia" w:hAnsi="Georgia"/>
          <w:sz w:val="24"/>
          <w:szCs w:val="24"/>
        </w:rPr>
        <w:t>).</w:t>
      </w:r>
    </w:p>
    <w:p w:rsidR="002D6D2A" w:rsidRPr="006F18F9" w:rsidRDefault="002D6D2A" w:rsidP="00386A25">
      <w:pPr>
        <w:pStyle w:val="Textoindependiente"/>
        <w:widowControl w:val="0"/>
        <w:spacing w:line="360" w:lineRule="auto"/>
        <w:rPr>
          <w:rFonts w:ascii="Georgia" w:hAnsi="Georgia"/>
          <w:sz w:val="24"/>
          <w:szCs w:val="24"/>
        </w:rPr>
      </w:pPr>
    </w:p>
    <w:p w:rsidR="002D6D2A" w:rsidRPr="006F18F9" w:rsidRDefault="007A4604" w:rsidP="002D6D2A">
      <w:pPr>
        <w:pStyle w:val="Textoindependiente"/>
        <w:numPr>
          <w:ilvl w:val="0"/>
          <w:numId w:val="1"/>
        </w:numPr>
        <w:spacing w:line="360" w:lineRule="auto"/>
        <w:rPr>
          <w:rFonts w:ascii="Georgia" w:hAnsi="Georgia"/>
          <w:sz w:val="24"/>
          <w:szCs w:val="28"/>
        </w:rPr>
      </w:pPr>
      <w:r w:rsidRPr="006F18F9">
        <w:rPr>
          <w:rFonts w:ascii="Georgia" w:hAnsi="Georgia"/>
          <w:sz w:val="24"/>
          <w:szCs w:val="28"/>
        </w:rPr>
        <w:t>LA PETICIÓN DE PROTECCIÓN</w:t>
      </w:r>
    </w:p>
    <w:p w:rsidR="002D6D2A" w:rsidRPr="006F18F9" w:rsidRDefault="002D6D2A" w:rsidP="002D6D2A">
      <w:pPr>
        <w:pStyle w:val="Sinespaciado"/>
        <w:spacing w:line="360" w:lineRule="auto"/>
        <w:jc w:val="both"/>
        <w:rPr>
          <w:rFonts w:ascii="Georgia" w:hAnsi="Georgia" w:cs="Arial"/>
          <w:sz w:val="24"/>
        </w:rPr>
      </w:pPr>
    </w:p>
    <w:p w:rsidR="002D6D2A" w:rsidRPr="006F18F9" w:rsidRDefault="002D6D2A" w:rsidP="002D6D2A">
      <w:pPr>
        <w:pStyle w:val="Textoindependiente"/>
        <w:widowControl w:val="0"/>
        <w:spacing w:line="360" w:lineRule="auto"/>
        <w:rPr>
          <w:rFonts w:ascii="Georgia" w:hAnsi="Georgia" w:cs="Arial"/>
          <w:sz w:val="24"/>
          <w:szCs w:val="24"/>
        </w:rPr>
      </w:pPr>
      <w:r w:rsidRPr="006F18F9">
        <w:rPr>
          <w:rFonts w:ascii="Georgia" w:hAnsi="Georgia" w:cs="Arial"/>
          <w:sz w:val="24"/>
        </w:rPr>
        <w:t>Que se tutelen los derechos fundamentales invocados, en consecuencia</w:t>
      </w:r>
      <w:r w:rsidR="004C2E35" w:rsidRPr="006F18F9">
        <w:rPr>
          <w:rFonts w:ascii="Georgia" w:hAnsi="Georgia" w:cs="Arial"/>
          <w:sz w:val="24"/>
        </w:rPr>
        <w:t>, se ordene a los accionados (i) informar por qué sus peticiones no fueron atendidas a tiempo; (ii) computar las notas de las rotaciones y aprobar la asignatura materno infantil; (iii)  programar cita con cada docente para aclarar las impresiones que presentan en sus escritos; y, (iv) se ordene a la doctora Ana María Valencia Montoya</w:t>
      </w:r>
      <w:r w:rsidR="00E412C3" w:rsidRPr="006F18F9">
        <w:rPr>
          <w:rFonts w:ascii="Georgia" w:hAnsi="Georgia" w:cs="Arial"/>
          <w:sz w:val="24"/>
        </w:rPr>
        <w:t xml:space="preserve"> retractarse </w:t>
      </w:r>
      <w:r w:rsidR="000F112D" w:rsidRPr="006F18F9">
        <w:rPr>
          <w:rFonts w:ascii="Georgia" w:hAnsi="Georgia" w:cs="Arial"/>
          <w:sz w:val="24"/>
        </w:rPr>
        <w:t>de las afirmaciones dadas en la</w:t>
      </w:r>
      <w:r w:rsidR="00E412C3" w:rsidRPr="006F18F9">
        <w:rPr>
          <w:rFonts w:ascii="Georgia" w:hAnsi="Georgia" w:cs="Arial"/>
          <w:sz w:val="24"/>
        </w:rPr>
        <w:t xml:space="preserve"> respuesta al derecho de petición o </w:t>
      </w:r>
      <w:r w:rsidR="00F879E7" w:rsidRPr="006F18F9">
        <w:rPr>
          <w:rFonts w:ascii="Georgia" w:hAnsi="Georgia" w:cs="Arial"/>
          <w:sz w:val="24"/>
        </w:rPr>
        <w:t xml:space="preserve">realizar una conciliación </w:t>
      </w:r>
      <w:r w:rsidR="00E412C3" w:rsidRPr="006F18F9">
        <w:rPr>
          <w:rFonts w:ascii="Georgia" w:hAnsi="Georgia" w:cs="Arial"/>
          <w:sz w:val="24"/>
        </w:rPr>
        <w:t xml:space="preserve">con la actora </w:t>
      </w:r>
      <w:r w:rsidRPr="006F18F9">
        <w:rPr>
          <w:rFonts w:ascii="Georgia" w:hAnsi="Georgia" w:cs="Arial"/>
          <w:sz w:val="24"/>
          <w:szCs w:val="24"/>
        </w:rPr>
        <w:t>(Folio</w:t>
      </w:r>
      <w:r w:rsidR="00F879E7" w:rsidRPr="006F18F9">
        <w:rPr>
          <w:rFonts w:ascii="Georgia" w:hAnsi="Georgia" w:cs="Arial"/>
          <w:sz w:val="24"/>
          <w:szCs w:val="24"/>
        </w:rPr>
        <w:t xml:space="preserve"> 5</w:t>
      </w:r>
      <w:r w:rsidRPr="006F18F9">
        <w:rPr>
          <w:rFonts w:ascii="Georgia" w:hAnsi="Georgia" w:cs="Arial"/>
          <w:sz w:val="24"/>
          <w:szCs w:val="24"/>
        </w:rPr>
        <w:t>, cuaderno No.1).</w:t>
      </w:r>
    </w:p>
    <w:p w:rsidR="00800C57" w:rsidRPr="006F18F9" w:rsidRDefault="00800C57" w:rsidP="00F839CE">
      <w:pPr>
        <w:pStyle w:val="Textoindependiente"/>
        <w:widowControl w:val="0"/>
        <w:spacing w:line="360" w:lineRule="auto"/>
        <w:rPr>
          <w:rFonts w:ascii="Georgia" w:hAnsi="Georgia" w:cs="Arial"/>
          <w:sz w:val="24"/>
          <w:szCs w:val="24"/>
        </w:rPr>
      </w:pPr>
    </w:p>
    <w:p w:rsidR="003913E3" w:rsidRPr="006F18F9" w:rsidRDefault="007A4604" w:rsidP="00F839CE">
      <w:pPr>
        <w:pStyle w:val="Textoindependiente"/>
        <w:widowControl w:val="0"/>
        <w:numPr>
          <w:ilvl w:val="0"/>
          <w:numId w:val="1"/>
        </w:numPr>
        <w:spacing w:line="360" w:lineRule="auto"/>
        <w:rPr>
          <w:rFonts w:ascii="Georgia" w:hAnsi="Georgia" w:cs="Arial"/>
          <w:sz w:val="24"/>
          <w:szCs w:val="24"/>
        </w:rPr>
      </w:pPr>
      <w:r w:rsidRPr="006F18F9">
        <w:rPr>
          <w:rFonts w:ascii="Georgia" w:hAnsi="Georgia" w:cs="Arial"/>
          <w:sz w:val="24"/>
          <w:szCs w:val="24"/>
        </w:rPr>
        <w:t xml:space="preserve">EL RESUMEN </w:t>
      </w:r>
      <w:r w:rsidR="003913E3" w:rsidRPr="006F18F9">
        <w:rPr>
          <w:rFonts w:ascii="Georgia" w:hAnsi="Georgia" w:cs="Arial"/>
          <w:sz w:val="24"/>
          <w:szCs w:val="24"/>
        </w:rPr>
        <w:t>DE LA CRÓNICA PROCESAL</w:t>
      </w:r>
    </w:p>
    <w:p w:rsidR="003913E3" w:rsidRPr="006F18F9" w:rsidRDefault="003913E3" w:rsidP="00B942B6">
      <w:pPr>
        <w:pStyle w:val="Textoindependiente"/>
        <w:spacing w:line="360" w:lineRule="auto"/>
        <w:rPr>
          <w:rFonts w:ascii="Georgia" w:hAnsi="Georgia" w:cs="Arial"/>
          <w:sz w:val="24"/>
          <w:szCs w:val="24"/>
        </w:rPr>
      </w:pPr>
    </w:p>
    <w:p w:rsidR="00E23D2E" w:rsidRPr="006F18F9" w:rsidRDefault="00036C66" w:rsidP="00E23D2E">
      <w:pPr>
        <w:pStyle w:val="Textoindependiente"/>
        <w:widowControl w:val="0"/>
        <w:spacing w:line="360" w:lineRule="auto"/>
        <w:rPr>
          <w:rFonts w:ascii="Georgia" w:hAnsi="Georgia"/>
          <w:sz w:val="24"/>
        </w:rPr>
      </w:pPr>
      <w:r w:rsidRPr="006F18F9">
        <w:rPr>
          <w:rFonts w:ascii="Georgia" w:hAnsi="Georgia"/>
          <w:sz w:val="24"/>
        </w:rPr>
        <w:t>C</w:t>
      </w:r>
      <w:r w:rsidR="00E23D2E" w:rsidRPr="006F18F9">
        <w:rPr>
          <w:rFonts w:ascii="Georgia" w:hAnsi="Georgia"/>
          <w:sz w:val="24"/>
        </w:rPr>
        <w:t xml:space="preserve">on providencia del </w:t>
      </w:r>
      <w:r w:rsidR="00F879E7" w:rsidRPr="006F18F9">
        <w:rPr>
          <w:rFonts w:ascii="Georgia" w:hAnsi="Georgia"/>
          <w:sz w:val="24"/>
        </w:rPr>
        <w:t xml:space="preserve">16-06-2017 </w:t>
      </w:r>
      <w:r w:rsidRPr="006F18F9">
        <w:rPr>
          <w:rFonts w:ascii="Georgia" w:hAnsi="Georgia"/>
          <w:sz w:val="24"/>
        </w:rPr>
        <w:t xml:space="preserve">se </w:t>
      </w:r>
      <w:r w:rsidR="00E23D2E" w:rsidRPr="006F18F9">
        <w:rPr>
          <w:rFonts w:ascii="Georgia" w:hAnsi="Georgia"/>
          <w:sz w:val="24"/>
        </w:rPr>
        <w:t xml:space="preserve">admitió y </w:t>
      </w:r>
      <w:r w:rsidRPr="006F18F9">
        <w:rPr>
          <w:rFonts w:ascii="Georgia" w:hAnsi="Georgia"/>
          <w:sz w:val="24"/>
        </w:rPr>
        <w:t xml:space="preserve">se </w:t>
      </w:r>
      <w:r w:rsidR="00E23D2E" w:rsidRPr="006F18F9">
        <w:rPr>
          <w:rFonts w:ascii="Georgia" w:hAnsi="Georgia"/>
          <w:sz w:val="24"/>
        </w:rPr>
        <w:t>ordenó notificar a las partes (Folio</w:t>
      </w:r>
      <w:r w:rsidR="00FB469C" w:rsidRPr="006F18F9">
        <w:rPr>
          <w:rFonts w:ascii="Georgia" w:hAnsi="Georgia"/>
          <w:sz w:val="24"/>
        </w:rPr>
        <w:t xml:space="preserve"> </w:t>
      </w:r>
      <w:r w:rsidR="00F879E7" w:rsidRPr="006F18F9">
        <w:rPr>
          <w:rFonts w:ascii="Georgia" w:hAnsi="Georgia"/>
          <w:sz w:val="24"/>
        </w:rPr>
        <w:t>74</w:t>
      </w:r>
      <w:r w:rsidR="00E23D2E" w:rsidRPr="006F18F9">
        <w:rPr>
          <w:rFonts w:ascii="Georgia" w:hAnsi="Georgia"/>
          <w:sz w:val="24"/>
        </w:rPr>
        <w:t xml:space="preserve">, </w:t>
      </w:r>
      <w:r w:rsidR="002D6D2A" w:rsidRPr="006F18F9">
        <w:rPr>
          <w:rFonts w:ascii="Georgia" w:hAnsi="Georgia" w:cs="Arial"/>
          <w:sz w:val="24"/>
          <w:lang w:val="es-CO"/>
        </w:rPr>
        <w:t>ibídem</w:t>
      </w:r>
      <w:r w:rsidR="00E23D2E" w:rsidRPr="006F18F9">
        <w:rPr>
          <w:rFonts w:ascii="Georgia" w:hAnsi="Georgia"/>
          <w:sz w:val="24"/>
        </w:rPr>
        <w:t>)</w:t>
      </w:r>
      <w:r w:rsidR="00490305" w:rsidRPr="006F18F9">
        <w:rPr>
          <w:rFonts w:ascii="Georgia" w:hAnsi="Georgia"/>
          <w:sz w:val="24"/>
        </w:rPr>
        <w:t xml:space="preserve">. </w:t>
      </w:r>
      <w:r w:rsidR="00F879E7" w:rsidRPr="006F18F9">
        <w:rPr>
          <w:rFonts w:ascii="Georgia" w:hAnsi="Georgia"/>
          <w:sz w:val="24"/>
        </w:rPr>
        <w:t>El 20-06-2017 se hicieron varias vinculaciones (Folio 86</w:t>
      </w:r>
      <w:r w:rsidR="00E23D2E" w:rsidRPr="006F18F9">
        <w:rPr>
          <w:rFonts w:ascii="Georgia" w:hAnsi="Georgia"/>
          <w:sz w:val="24"/>
        </w:rPr>
        <w:t xml:space="preserve">, ibídem); </w:t>
      </w:r>
      <w:r w:rsidR="00F879E7" w:rsidRPr="006F18F9">
        <w:rPr>
          <w:rFonts w:ascii="Georgia" w:hAnsi="Georgia"/>
          <w:sz w:val="24"/>
        </w:rPr>
        <w:t xml:space="preserve">el 04-07-2017 se profirió sentencia (Folios 119 a 124, ibídem), y el 13-07-2017 </w:t>
      </w:r>
      <w:r w:rsidR="00E23D2E" w:rsidRPr="006F18F9">
        <w:rPr>
          <w:rFonts w:ascii="Georgia" w:hAnsi="Georgia"/>
          <w:sz w:val="24"/>
        </w:rPr>
        <w:t>se concedió la impugnación formulada por la parte actora</w:t>
      </w:r>
      <w:r w:rsidR="007E274B" w:rsidRPr="006F18F9">
        <w:rPr>
          <w:rFonts w:ascii="Georgia" w:hAnsi="Georgia"/>
          <w:sz w:val="24"/>
        </w:rPr>
        <w:t xml:space="preserve"> (Folio </w:t>
      </w:r>
      <w:r w:rsidR="00F879E7" w:rsidRPr="006F18F9">
        <w:rPr>
          <w:rFonts w:ascii="Georgia" w:hAnsi="Georgia"/>
          <w:sz w:val="24"/>
        </w:rPr>
        <w:t>141 vuelto, ib.)</w:t>
      </w:r>
      <w:r w:rsidR="00E23D2E" w:rsidRPr="006F18F9">
        <w:rPr>
          <w:rFonts w:ascii="Georgia" w:hAnsi="Georgia"/>
          <w:sz w:val="24"/>
        </w:rPr>
        <w:t xml:space="preserve">. </w:t>
      </w:r>
    </w:p>
    <w:p w:rsidR="00996E1D" w:rsidRPr="006F18F9" w:rsidRDefault="00996E1D" w:rsidP="00E23D2E">
      <w:pPr>
        <w:pStyle w:val="Textoindependiente"/>
        <w:widowControl w:val="0"/>
        <w:spacing w:line="360" w:lineRule="auto"/>
        <w:rPr>
          <w:rFonts w:ascii="Georgia" w:hAnsi="Georgia"/>
          <w:sz w:val="24"/>
        </w:rPr>
      </w:pPr>
    </w:p>
    <w:p w:rsidR="00F879E7" w:rsidRPr="006F18F9" w:rsidRDefault="00F879E7" w:rsidP="00F879E7">
      <w:pPr>
        <w:pStyle w:val="Textoindependiente"/>
        <w:widowControl w:val="0"/>
        <w:spacing w:line="360" w:lineRule="auto"/>
        <w:rPr>
          <w:rFonts w:ascii="Georgia" w:hAnsi="Georgia"/>
          <w:sz w:val="24"/>
          <w:szCs w:val="24"/>
        </w:rPr>
      </w:pPr>
      <w:r w:rsidRPr="006F18F9">
        <w:rPr>
          <w:rFonts w:ascii="Georgia" w:hAnsi="Georgia"/>
          <w:sz w:val="24"/>
          <w:szCs w:val="24"/>
        </w:rPr>
        <w:t>Ya ante esta instancia, con proveído del 02-08-2017 se declaró la nulidad de lo actuado (Folios 3 y 4, cuaderno No.2). Retornado el expediente, con decisión del 08-08-2017 se corrigió el yerro advertido (Folio 163, cuaderno No.1), el 18-08-2017 se profirió el fallo (Folios 197 a 202, ib.) y el 30-08-2017 se concedió la impugnación presentada por la parte accionante, ante este Tribunal (Folio 223 vuelto, ib.).</w:t>
      </w:r>
    </w:p>
    <w:p w:rsidR="00F879E7" w:rsidRPr="006F18F9" w:rsidRDefault="00F879E7" w:rsidP="00E23D2E">
      <w:pPr>
        <w:pStyle w:val="Textoindependiente"/>
        <w:widowControl w:val="0"/>
        <w:spacing w:line="360" w:lineRule="auto"/>
        <w:rPr>
          <w:rFonts w:ascii="Georgia" w:hAnsi="Georgia"/>
          <w:sz w:val="24"/>
        </w:rPr>
      </w:pPr>
    </w:p>
    <w:p w:rsidR="003913E3" w:rsidRPr="006F18F9" w:rsidRDefault="00434D78" w:rsidP="00F839CE">
      <w:pPr>
        <w:pStyle w:val="Textoindependiente"/>
        <w:widowControl w:val="0"/>
        <w:spacing w:line="360" w:lineRule="auto"/>
        <w:rPr>
          <w:rFonts w:ascii="Georgia" w:hAnsi="Georgia" w:cs="Arial"/>
          <w:sz w:val="24"/>
          <w:szCs w:val="24"/>
        </w:rPr>
      </w:pPr>
      <w:r w:rsidRPr="006F18F9">
        <w:rPr>
          <w:rFonts w:ascii="Georgia" w:hAnsi="Georgia" w:cs="Arial"/>
          <w:sz w:val="24"/>
          <w:szCs w:val="24"/>
        </w:rPr>
        <w:t xml:space="preserve">En el </w:t>
      </w:r>
      <w:r w:rsidR="002D6D2A" w:rsidRPr="006F18F9">
        <w:rPr>
          <w:rFonts w:ascii="Georgia" w:hAnsi="Georgia" w:cs="Arial"/>
          <w:sz w:val="24"/>
          <w:szCs w:val="24"/>
        </w:rPr>
        <w:t xml:space="preserve">fallo </w:t>
      </w:r>
      <w:r w:rsidR="00D810D1" w:rsidRPr="006F18F9">
        <w:rPr>
          <w:rFonts w:ascii="Georgia" w:hAnsi="Georgia" w:cs="Arial"/>
          <w:sz w:val="24"/>
          <w:szCs w:val="24"/>
        </w:rPr>
        <w:t xml:space="preserve">se </w:t>
      </w:r>
      <w:r w:rsidR="002D6D2A" w:rsidRPr="006F18F9">
        <w:rPr>
          <w:rFonts w:ascii="Georgia" w:hAnsi="Georgia" w:cs="Arial"/>
          <w:sz w:val="24"/>
          <w:szCs w:val="24"/>
        </w:rPr>
        <w:t xml:space="preserve">negó el amparo </w:t>
      </w:r>
      <w:r w:rsidR="00F879E7" w:rsidRPr="006F18F9">
        <w:rPr>
          <w:rFonts w:ascii="Georgia" w:hAnsi="Georgia" w:cs="Arial"/>
          <w:sz w:val="24"/>
          <w:szCs w:val="24"/>
        </w:rPr>
        <w:t xml:space="preserve">porque las peticiones fueron debidamente contestadas y debe solicitar al accionado la explicación de las razones por las cuales </w:t>
      </w:r>
      <w:r w:rsidR="0001669B">
        <w:rPr>
          <w:rFonts w:ascii="Georgia" w:hAnsi="Georgia" w:cs="Arial"/>
          <w:sz w:val="24"/>
          <w:szCs w:val="24"/>
        </w:rPr>
        <w:t>omitió responder</w:t>
      </w:r>
      <w:r w:rsidR="00F879E7" w:rsidRPr="006F18F9">
        <w:rPr>
          <w:rFonts w:ascii="Georgia" w:hAnsi="Georgia" w:cs="Arial"/>
          <w:sz w:val="24"/>
          <w:szCs w:val="24"/>
        </w:rPr>
        <w:t xml:space="preserve"> a tiempo; </w:t>
      </w:r>
      <w:r w:rsidR="00A404A7" w:rsidRPr="006F18F9">
        <w:rPr>
          <w:rFonts w:ascii="Georgia" w:hAnsi="Georgia" w:cs="Arial"/>
          <w:sz w:val="24"/>
          <w:szCs w:val="24"/>
        </w:rPr>
        <w:t xml:space="preserve">la difusión de la información relativa a su desempeño no quebrantó su buen nombre; es inexistente vacío en reglamento estudiantil en torno a la aprobación de las rotaciones; la defensa de la calificación debe  ventilarla directamente ante la Universidad; y </w:t>
      </w:r>
      <w:r w:rsidR="0001669B">
        <w:rPr>
          <w:rFonts w:ascii="Georgia" w:hAnsi="Georgia" w:cs="Arial"/>
          <w:sz w:val="24"/>
          <w:szCs w:val="24"/>
        </w:rPr>
        <w:t xml:space="preserve">tampoco </w:t>
      </w:r>
      <w:r w:rsidR="00A404A7" w:rsidRPr="006F18F9">
        <w:rPr>
          <w:rFonts w:ascii="Georgia" w:hAnsi="Georgia" w:cs="Arial"/>
          <w:sz w:val="24"/>
          <w:szCs w:val="24"/>
        </w:rPr>
        <w:t xml:space="preserve">se puede sustituir a la accionada en la decisión referente a la institución donde se realizan las rotaciones de sus estudiantes </w:t>
      </w:r>
      <w:r w:rsidR="003B677E" w:rsidRPr="006F18F9">
        <w:rPr>
          <w:rFonts w:ascii="Georgia" w:hAnsi="Georgia" w:cs="Arial"/>
          <w:sz w:val="24"/>
          <w:szCs w:val="24"/>
        </w:rPr>
        <w:t>(Folio</w:t>
      </w:r>
      <w:r w:rsidR="00CF0365" w:rsidRPr="006F18F9">
        <w:rPr>
          <w:rFonts w:ascii="Georgia" w:hAnsi="Georgia" w:cs="Arial"/>
          <w:sz w:val="24"/>
          <w:szCs w:val="24"/>
        </w:rPr>
        <w:t>s</w:t>
      </w:r>
      <w:r w:rsidR="00D342F8" w:rsidRPr="006F18F9">
        <w:rPr>
          <w:rFonts w:ascii="Georgia" w:hAnsi="Georgia" w:cs="Arial"/>
          <w:sz w:val="24"/>
          <w:szCs w:val="24"/>
        </w:rPr>
        <w:t xml:space="preserve"> </w:t>
      </w:r>
      <w:r w:rsidR="00A404A7" w:rsidRPr="006F18F9">
        <w:rPr>
          <w:rFonts w:ascii="Georgia" w:hAnsi="Georgia" w:cs="Arial"/>
          <w:sz w:val="24"/>
          <w:szCs w:val="24"/>
        </w:rPr>
        <w:t>197 a 202</w:t>
      </w:r>
      <w:r w:rsidR="003B677E" w:rsidRPr="006F18F9">
        <w:rPr>
          <w:rFonts w:ascii="Georgia" w:hAnsi="Georgia" w:cs="Arial"/>
          <w:sz w:val="24"/>
          <w:szCs w:val="24"/>
        </w:rPr>
        <w:t>, ib.)</w:t>
      </w:r>
      <w:r w:rsidR="00E5080E" w:rsidRPr="006F18F9">
        <w:rPr>
          <w:rFonts w:ascii="Georgia" w:hAnsi="Georgia" w:cs="Arial"/>
          <w:sz w:val="24"/>
          <w:szCs w:val="24"/>
        </w:rPr>
        <w:t>.</w:t>
      </w:r>
    </w:p>
    <w:p w:rsidR="00A404A7" w:rsidRPr="006F18F9" w:rsidRDefault="00A404A7" w:rsidP="00F839CE">
      <w:pPr>
        <w:pStyle w:val="Textoindependiente"/>
        <w:widowControl w:val="0"/>
        <w:spacing w:line="360" w:lineRule="auto"/>
        <w:rPr>
          <w:rFonts w:ascii="Georgia" w:hAnsi="Georgia" w:cs="Arial"/>
          <w:sz w:val="24"/>
          <w:szCs w:val="24"/>
        </w:rPr>
      </w:pPr>
    </w:p>
    <w:p w:rsidR="00A404A7" w:rsidRPr="006F18F9" w:rsidRDefault="00A404A7" w:rsidP="00F839CE">
      <w:pPr>
        <w:pStyle w:val="Textoindependiente"/>
        <w:widowControl w:val="0"/>
        <w:spacing w:line="360" w:lineRule="auto"/>
        <w:rPr>
          <w:rFonts w:ascii="Georgia" w:hAnsi="Georgia" w:cs="Arial"/>
          <w:sz w:val="24"/>
          <w:szCs w:val="24"/>
        </w:rPr>
      </w:pPr>
      <w:r w:rsidRPr="006F18F9">
        <w:rPr>
          <w:rFonts w:ascii="Georgia" w:hAnsi="Georgia" w:cs="Arial"/>
          <w:sz w:val="24"/>
          <w:szCs w:val="24"/>
        </w:rPr>
        <w:t xml:space="preserve">La recurrente aduce que </w:t>
      </w:r>
      <w:r w:rsidR="0001669B">
        <w:rPr>
          <w:rFonts w:ascii="Georgia" w:hAnsi="Georgia" w:cs="Arial"/>
          <w:sz w:val="24"/>
          <w:szCs w:val="24"/>
        </w:rPr>
        <w:t xml:space="preserve">es falso </w:t>
      </w:r>
      <w:r w:rsidRPr="006F18F9">
        <w:rPr>
          <w:rFonts w:ascii="Georgia" w:hAnsi="Georgia" w:cs="Arial"/>
          <w:sz w:val="24"/>
          <w:szCs w:val="24"/>
        </w:rPr>
        <w:t xml:space="preserve">que se haya adelantado un debido proceso, por cuanto se </w:t>
      </w:r>
      <w:r w:rsidRPr="006F18F9">
        <w:rPr>
          <w:rFonts w:ascii="Georgia" w:hAnsi="Georgia" w:cs="Arial"/>
          <w:sz w:val="24"/>
          <w:szCs w:val="24"/>
        </w:rPr>
        <w:lastRenderedPageBreak/>
        <w:t xml:space="preserve">desconoció el acoso al que fue sometida durante el curso de la rotación. </w:t>
      </w:r>
      <w:r w:rsidR="00D75E3C" w:rsidRPr="006F18F9">
        <w:rPr>
          <w:rFonts w:ascii="Georgia" w:hAnsi="Georgia" w:cs="Arial"/>
          <w:sz w:val="24"/>
          <w:szCs w:val="24"/>
        </w:rPr>
        <w:t xml:space="preserve">La pérdida de la nota se debió a una amenaza de la docente y la universidad en la investigación que realizó </w:t>
      </w:r>
      <w:r w:rsidR="0001669B">
        <w:rPr>
          <w:rFonts w:ascii="Georgia" w:hAnsi="Georgia" w:cs="Arial"/>
          <w:sz w:val="24"/>
          <w:szCs w:val="24"/>
        </w:rPr>
        <w:t xml:space="preserve">dejó de aclarar </w:t>
      </w:r>
      <w:r w:rsidR="00D75E3C" w:rsidRPr="006F18F9">
        <w:rPr>
          <w:rFonts w:ascii="Georgia" w:hAnsi="Georgia" w:cs="Arial"/>
          <w:sz w:val="24"/>
          <w:szCs w:val="24"/>
        </w:rPr>
        <w:t xml:space="preserve">lo sucedido. Pidió revocar la decisión y conceder sus pretensiones (Folios 220 a 221, ib.). </w:t>
      </w:r>
    </w:p>
    <w:p w:rsidR="003913E3" w:rsidRPr="006F18F9" w:rsidRDefault="003913E3" w:rsidP="00B942B6">
      <w:pPr>
        <w:pStyle w:val="Textoindependiente"/>
        <w:spacing w:line="360" w:lineRule="auto"/>
        <w:rPr>
          <w:rFonts w:ascii="Georgia" w:hAnsi="Georgia" w:cs="Arial"/>
          <w:sz w:val="24"/>
          <w:szCs w:val="24"/>
        </w:rPr>
      </w:pPr>
    </w:p>
    <w:p w:rsidR="00CF0365" w:rsidRPr="006F18F9"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6F18F9">
        <w:rPr>
          <w:rFonts w:ascii="Georgia" w:hAnsi="Georgia" w:cs="Arial"/>
          <w:sz w:val="24"/>
          <w:szCs w:val="24"/>
        </w:rPr>
        <w:t>LA FUNDAMENTACIÓN JURÍDICA PARA RESOLVER</w:t>
      </w:r>
    </w:p>
    <w:p w:rsidR="00CF0365" w:rsidRPr="006F18F9" w:rsidRDefault="00CF0365"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6F18F9" w:rsidRDefault="003913E3"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6F18F9">
        <w:rPr>
          <w:rFonts w:ascii="Georgia" w:hAnsi="Georgia" w:cs="Arial"/>
          <w:smallCaps/>
          <w:sz w:val="24"/>
          <w:szCs w:val="24"/>
        </w:rPr>
        <w:t>La competencia funcional</w:t>
      </w:r>
      <w:r w:rsidR="00CF0365" w:rsidRPr="006F18F9">
        <w:rPr>
          <w:rFonts w:ascii="Georgia" w:hAnsi="Georgia" w:cs="Arial"/>
          <w:smallCaps/>
          <w:sz w:val="24"/>
          <w:szCs w:val="24"/>
        </w:rPr>
        <w:t xml:space="preserve">. </w:t>
      </w:r>
      <w:r w:rsidR="0017096D" w:rsidRPr="006F18F9">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6F18F9">
        <w:rPr>
          <w:rFonts w:ascii="Georgia" w:hAnsi="Georgia" w:cs="Arial"/>
          <w:sz w:val="24"/>
          <w:szCs w:val="24"/>
          <w:lang w:val="es-CO"/>
        </w:rPr>
        <w:t>.</w:t>
      </w:r>
    </w:p>
    <w:p w:rsidR="004B74BA" w:rsidRPr="006F18F9" w:rsidRDefault="004B74BA" w:rsidP="004B74B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6F18F9" w:rsidRDefault="004B74BA"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6F18F9">
        <w:rPr>
          <w:rFonts w:ascii="Georgia" w:hAnsi="Georgia" w:cs="Arial"/>
          <w:smallCaps/>
          <w:sz w:val="24"/>
          <w:szCs w:val="24"/>
        </w:rPr>
        <w:t>El problema jurídico a resolver.</w:t>
      </w:r>
      <w:r w:rsidRPr="006F18F9">
        <w:rPr>
          <w:rFonts w:ascii="Georgia" w:hAnsi="Georgia" w:cs="Arial"/>
          <w:sz w:val="24"/>
          <w:szCs w:val="24"/>
        </w:rPr>
        <w:t xml:space="preserve"> ¿Es procedente confirmar, modificar o revocar la sentencia del </w:t>
      </w:r>
      <w:r w:rsidRPr="006F18F9">
        <w:rPr>
          <w:rFonts w:ascii="Georgia" w:hAnsi="Georgia"/>
          <w:sz w:val="24"/>
        </w:rPr>
        <w:t xml:space="preserve">Juzgado </w:t>
      </w:r>
      <w:r w:rsidR="00A404A7" w:rsidRPr="006F18F9">
        <w:rPr>
          <w:rFonts w:ascii="Georgia" w:hAnsi="Georgia"/>
          <w:sz w:val="24"/>
        </w:rPr>
        <w:t>Segundo Civil del Circuito de Pereira</w:t>
      </w:r>
      <w:r w:rsidRPr="006F18F9">
        <w:rPr>
          <w:rFonts w:ascii="Georgia" w:hAnsi="Georgia" w:cs="Arial"/>
          <w:sz w:val="24"/>
          <w:szCs w:val="24"/>
        </w:rPr>
        <w:t xml:space="preserve">, según la impugnación de la parte actora? </w:t>
      </w:r>
    </w:p>
    <w:p w:rsidR="004B74BA" w:rsidRPr="006F18F9" w:rsidRDefault="004B74BA"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6F18F9" w:rsidRDefault="003469EC" w:rsidP="007A4604">
      <w:pPr>
        <w:pStyle w:val="Textoindependiente"/>
        <w:numPr>
          <w:ilvl w:val="1"/>
          <w:numId w:val="33"/>
        </w:numPr>
        <w:spacing w:line="360" w:lineRule="auto"/>
        <w:rPr>
          <w:rFonts w:ascii="Georgia" w:hAnsi="Georgia" w:cs="Arial"/>
          <w:sz w:val="24"/>
          <w:szCs w:val="24"/>
        </w:rPr>
      </w:pPr>
      <w:r w:rsidRPr="006F18F9">
        <w:rPr>
          <w:rFonts w:ascii="Georgia" w:hAnsi="Georgia"/>
          <w:smallCaps/>
          <w:sz w:val="24"/>
          <w:szCs w:val="24"/>
        </w:rPr>
        <w:t>Los presupuestos generales de procedencia</w:t>
      </w:r>
    </w:p>
    <w:p w:rsidR="004B74BA" w:rsidRPr="006F18F9" w:rsidRDefault="004B74BA"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CF0365" w:rsidRPr="006F18F9" w:rsidRDefault="003913E3" w:rsidP="004B74BA">
      <w:pPr>
        <w:pStyle w:val="Textoindependien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6F18F9">
        <w:rPr>
          <w:rFonts w:ascii="Georgia" w:hAnsi="Georgia" w:cs="Arial"/>
          <w:smallCaps/>
          <w:sz w:val="22"/>
          <w:szCs w:val="22"/>
        </w:rPr>
        <w:t>La legitimación en la causa</w:t>
      </w:r>
    </w:p>
    <w:p w:rsidR="00AA3391" w:rsidRPr="006F18F9" w:rsidRDefault="00AA3391" w:rsidP="00AA339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076E82" w:rsidRPr="006F18F9" w:rsidRDefault="003913E3" w:rsidP="008D4074">
      <w:pPr>
        <w:pStyle w:val="Textoindependiente"/>
        <w:spacing w:line="360" w:lineRule="auto"/>
        <w:rPr>
          <w:rFonts w:ascii="Georgia" w:hAnsi="Georgia" w:cs="Arial"/>
          <w:sz w:val="24"/>
          <w:szCs w:val="24"/>
        </w:rPr>
      </w:pPr>
      <w:r w:rsidRPr="006F18F9">
        <w:rPr>
          <w:rFonts w:ascii="Georgia" w:hAnsi="Georgia" w:cs="Arial"/>
          <w:sz w:val="24"/>
          <w:szCs w:val="24"/>
        </w:rPr>
        <w:t xml:space="preserve">Se cumple por activa porque </w:t>
      </w:r>
      <w:r w:rsidR="00D75E3C" w:rsidRPr="006F18F9">
        <w:rPr>
          <w:rFonts w:ascii="Georgia" w:hAnsi="Georgia" w:cs="Arial"/>
          <w:sz w:val="24"/>
          <w:szCs w:val="24"/>
        </w:rPr>
        <w:t xml:space="preserve">la señora Jennifer Victoria Osorio Fiquitiva está </w:t>
      </w:r>
      <w:r w:rsidR="00332A88" w:rsidRPr="006F18F9">
        <w:rPr>
          <w:rFonts w:ascii="Georgia" w:hAnsi="Georgia" w:cs="Arial"/>
          <w:sz w:val="24"/>
          <w:szCs w:val="24"/>
        </w:rPr>
        <w:t>matriculada</w:t>
      </w:r>
      <w:r w:rsidR="00D75E3C" w:rsidRPr="006F18F9">
        <w:rPr>
          <w:rFonts w:ascii="Georgia" w:hAnsi="Georgia" w:cs="Arial"/>
          <w:sz w:val="24"/>
          <w:szCs w:val="24"/>
        </w:rPr>
        <w:t xml:space="preserve"> en la Universidad Tecnológica de </w:t>
      </w:r>
      <w:r w:rsidR="00332A88" w:rsidRPr="006F18F9">
        <w:rPr>
          <w:rFonts w:ascii="Georgia" w:hAnsi="Georgia" w:cs="Arial"/>
          <w:sz w:val="24"/>
          <w:szCs w:val="24"/>
        </w:rPr>
        <w:t xml:space="preserve">Pereira – UTP </w:t>
      </w:r>
      <w:r w:rsidR="00D75E3C" w:rsidRPr="006F18F9">
        <w:rPr>
          <w:rFonts w:ascii="Georgia" w:hAnsi="Georgia" w:cs="Arial"/>
          <w:sz w:val="24"/>
          <w:szCs w:val="24"/>
        </w:rPr>
        <w:t>y presentó los derechos de petición.</w:t>
      </w:r>
      <w:r w:rsidRPr="006F18F9">
        <w:rPr>
          <w:rFonts w:ascii="Georgia" w:hAnsi="Georgia" w:cs="Arial"/>
          <w:sz w:val="24"/>
          <w:szCs w:val="24"/>
        </w:rPr>
        <w:t xml:space="preserve"> </w:t>
      </w:r>
    </w:p>
    <w:p w:rsidR="00076E82" w:rsidRPr="006F18F9" w:rsidRDefault="00076E82" w:rsidP="008D4074">
      <w:pPr>
        <w:pStyle w:val="Textoindependiente"/>
        <w:spacing w:line="360" w:lineRule="auto"/>
        <w:rPr>
          <w:rFonts w:ascii="Georgia" w:hAnsi="Georgia" w:cs="Arial"/>
          <w:sz w:val="24"/>
          <w:szCs w:val="24"/>
        </w:rPr>
      </w:pPr>
    </w:p>
    <w:p w:rsidR="00076E82" w:rsidRPr="006F18F9" w:rsidRDefault="008D4074" w:rsidP="008D4074">
      <w:pPr>
        <w:pStyle w:val="Textoindependiente"/>
        <w:spacing w:line="360" w:lineRule="auto"/>
        <w:rPr>
          <w:rFonts w:ascii="Georgia" w:hAnsi="Georgia" w:cs="Arial"/>
          <w:sz w:val="24"/>
          <w:szCs w:val="24"/>
        </w:rPr>
      </w:pPr>
      <w:r w:rsidRPr="006F18F9">
        <w:rPr>
          <w:rFonts w:ascii="Georgia" w:hAnsi="Georgia" w:cs="Arial"/>
          <w:sz w:val="24"/>
          <w:szCs w:val="24"/>
        </w:rPr>
        <w:t xml:space="preserve">En </w:t>
      </w:r>
      <w:r w:rsidR="00332A88" w:rsidRPr="006F18F9">
        <w:rPr>
          <w:rFonts w:ascii="Georgia" w:hAnsi="Georgia" w:cs="Arial"/>
          <w:sz w:val="24"/>
          <w:szCs w:val="24"/>
        </w:rPr>
        <w:t xml:space="preserve">los doctores Héctor Fabio Gallo Mosquera, Ana María Valencia Montoya, Samuel Trujillo Henao, María Fernanda Álvarez C., </w:t>
      </w:r>
      <w:r w:rsidR="00215C48" w:rsidRPr="006F18F9">
        <w:rPr>
          <w:rFonts w:ascii="Georgia" w:hAnsi="Georgia" w:cs="Arial"/>
          <w:sz w:val="24"/>
          <w:szCs w:val="24"/>
        </w:rPr>
        <w:t>J</w:t>
      </w:r>
      <w:r w:rsidR="0001669B">
        <w:rPr>
          <w:rFonts w:ascii="Georgia" w:hAnsi="Georgia" w:cs="Arial"/>
          <w:sz w:val="24"/>
          <w:szCs w:val="24"/>
        </w:rPr>
        <w:t>uan David Restrepo Mejía, Jhon É</w:t>
      </w:r>
      <w:r w:rsidR="00215C48" w:rsidRPr="006F18F9">
        <w:rPr>
          <w:rFonts w:ascii="Georgia" w:hAnsi="Georgia" w:cs="Arial"/>
          <w:sz w:val="24"/>
          <w:szCs w:val="24"/>
        </w:rPr>
        <w:t>dgar Sánchez, Samuel Alberto Galvis Castaño, Samuel Alberto Galvis Castaño, Claudia Lucena Galeano Cardona, Hernando García Velasco, José W. León, quienes recibieron los derechos de petición y/o dieron las respuestas (Folios 7 a 71, cuaderno No.</w:t>
      </w:r>
      <w:r w:rsidR="00076E82" w:rsidRPr="006F18F9">
        <w:rPr>
          <w:rFonts w:ascii="Georgia" w:hAnsi="Georgia" w:cs="Arial"/>
          <w:sz w:val="24"/>
          <w:szCs w:val="24"/>
        </w:rPr>
        <w:t>1</w:t>
      </w:r>
      <w:r w:rsidR="00215C48" w:rsidRPr="006F18F9">
        <w:rPr>
          <w:rFonts w:ascii="Georgia" w:hAnsi="Georgia" w:cs="Arial"/>
          <w:sz w:val="24"/>
          <w:szCs w:val="24"/>
        </w:rPr>
        <w:t>)</w:t>
      </w:r>
      <w:r w:rsidR="00076E82" w:rsidRPr="006F18F9">
        <w:rPr>
          <w:rFonts w:ascii="Georgia" w:hAnsi="Georgia" w:cs="Arial"/>
          <w:sz w:val="24"/>
          <w:szCs w:val="24"/>
        </w:rPr>
        <w:t>.</w:t>
      </w:r>
    </w:p>
    <w:p w:rsidR="00076E82" w:rsidRPr="006F18F9" w:rsidRDefault="00076E82" w:rsidP="008D4074">
      <w:pPr>
        <w:pStyle w:val="Textoindependiente"/>
        <w:spacing w:line="360" w:lineRule="auto"/>
        <w:rPr>
          <w:rFonts w:ascii="Georgia" w:hAnsi="Georgia" w:cs="Arial"/>
          <w:sz w:val="24"/>
          <w:szCs w:val="24"/>
        </w:rPr>
      </w:pPr>
    </w:p>
    <w:p w:rsidR="00AA3391" w:rsidRPr="006F18F9" w:rsidRDefault="00076E82" w:rsidP="008D4074">
      <w:pPr>
        <w:pStyle w:val="Textoindependiente"/>
        <w:spacing w:line="360" w:lineRule="auto"/>
        <w:rPr>
          <w:rFonts w:ascii="Georgia" w:hAnsi="Georgia" w:cs="Arial"/>
          <w:sz w:val="24"/>
          <w:szCs w:val="24"/>
        </w:rPr>
      </w:pPr>
      <w:r w:rsidRPr="006F18F9">
        <w:rPr>
          <w:rFonts w:ascii="Georgia" w:hAnsi="Georgia" w:cs="Arial"/>
          <w:sz w:val="24"/>
          <w:szCs w:val="24"/>
        </w:rPr>
        <w:t>También, l</w:t>
      </w:r>
      <w:r w:rsidR="00215C48" w:rsidRPr="006F18F9">
        <w:rPr>
          <w:rFonts w:ascii="Georgia" w:hAnsi="Georgia" w:cs="Arial"/>
          <w:sz w:val="24"/>
          <w:szCs w:val="24"/>
        </w:rPr>
        <w:t xml:space="preserve">a UTP porque es </w:t>
      </w:r>
      <w:r w:rsidRPr="006F18F9">
        <w:rPr>
          <w:rFonts w:ascii="Georgia" w:hAnsi="Georgia" w:cs="Arial"/>
          <w:sz w:val="24"/>
          <w:szCs w:val="24"/>
        </w:rPr>
        <w:t xml:space="preserve">la </w:t>
      </w:r>
      <w:r w:rsidRPr="006F18F9">
        <w:rPr>
          <w:rFonts w:ascii="Georgia" w:hAnsi="Georgia" w:cs="Arial"/>
          <w:sz w:val="24"/>
          <w:szCs w:val="24"/>
          <w:lang w:val="es-CO"/>
        </w:rPr>
        <w:t>institución en la que se encuentra matriculada la accionante, y el Interventor y la Coordinadora del Área de Asistencia Materno Infantil del Hospital Universitario San Jorge en razón a que les fueron trasladadas las quejas presentadas contra la doctora Valencia Montoya (Folios 104 a 107, ibídem)</w:t>
      </w:r>
      <w:r w:rsidR="003469EC" w:rsidRPr="006F18F9">
        <w:rPr>
          <w:rFonts w:ascii="Georgia" w:hAnsi="Georgia" w:cs="Arial"/>
          <w:sz w:val="24"/>
          <w:szCs w:val="24"/>
        </w:rPr>
        <w:t xml:space="preserve">. </w:t>
      </w:r>
    </w:p>
    <w:p w:rsidR="00AA3391" w:rsidRPr="006F18F9" w:rsidRDefault="00AA3391" w:rsidP="008D4074">
      <w:pPr>
        <w:pStyle w:val="Textoindependiente"/>
        <w:spacing w:line="360" w:lineRule="auto"/>
        <w:rPr>
          <w:rFonts w:ascii="Georgia" w:hAnsi="Georgia" w:cs="Arial"/>
          <w:sz w:val="24"/>
          <w:szCs w:val="24"/>
        </w:rPr>
      </w:pPr>
    </w:p>
    <w:p w:rsidR="00076E82" w:rsidRPr="006F18F9" w:rsidRDefault="00076E82" w:rsidP="006F18F9">
      <w:pPr>
        <w:pStyle w:val="Textoindependiente"/>
        <w:numPr>
          <w:ilvl w:val="2"/>
          <w:numId w:val="33"/>
        </w:numPr>
        <w:tabs>
          <w:tab w:val="clear" w:pos="708"/>
          <w:tab w:val="clear" w:pos="1416"/>
          <w:tab w:val="left" w:pos="709"/>
          <w:tab w:val="left" w:pos="1418"/>
        </w:tabs>
        <w:spacing w:line="360" w:lineRule="auto"/>
        <w:rPr>
          <w:rFonts w:ascii="Georgia" w:hAnsi="Georgia" w:cs="Verdana"/>
          <w:smallCaps/>
          <w:spacing w:val="0"/>
          <w:sz w:val="22"/>
          <w:szCs w:val="22"/>
          <w:lang w:val="es-ES"/>
        </w:rPr>
      </w:pPr>
      <w:r w:rsidRPr="006F18F9">
        <w:rPr>
          <w:rFonts w:ascii="Georgia" w:hAnsi="Georgia" w:cs="Verdana"/>
          <w:smallCaps/>
          <w:spacing w:val="0"/>
          <w:sz w:val="22"/>
          <w:szCs w:val="22"/>
          <w:lang w:val="es-ES"/>
        </w:rPr>
        <w:t xml:space="preserve">La subsidiariedad e inmediatez </w:t>
      </w:r>
    </w:p>
    <w:p w:rsidR="00076E82" w:rsidRPr="006F18F9" w:rsidRDefault="00076E82" w:rsidP="00076E82">
      <w:pPr>
        <w:pStyle w:val="Textoindependiente"/>
        <w:tabs>
          <w:tab w:val="clear" w:pos="708"/>
          <w:tab w:val="clear" w:pos="1416"/>
          <w:tab w:val="left" w:pos="709"/>
          <w:tab w:val="left" w:pos="1418"/>
        </w:tabs>
        <w:spacing w:line="360" w:lineRule="auto"/>
        <w:ind w:left="720"/>
        <w:rPr>
          <w:rFonts w:ascii="Georgia" w:hAnsi="Georgia"/>
          <w:szCs w:val="24"/>
        </w:rPr>
      </w:pPr>
    </w:p>
    <w:p w:rsidR="00076E82" w:rsidRPr="006F18F9" w:rsidRDefault="00076E82" w:rsidP="00076E82">
      <w:pPr>
        <w:spacing w:line="360" w:lineRule="auto"/>
        <w:jc w:val="both"/>
        <w:rPr>
          <w:rFonts w:ascii="Georgia" w:hAnsi="Georgia" w:cs="Arial"/>
          <w:spacing w:val="-3"/>
          <w:lang w:val="es-ES_tradnl"/>
        </w:rPr>
      </w:pPr>
      <w:r w:rsidRPr="006F18F9">
        <w:rPr>
          <w:rFonts w:ascii="Georgia" w:hAnsi="Georgia" w:cs="Arial"/>
          <w:spacing w:val="-3"/>
          <w:lang w:val="es-ES_tradnl"/>
        </w:rPr>
        <w:t>La jurisprudencia tiene establecido que (i) La subsidiariedad o residualidad, y (ii) La inmediatez, son exigencias generales de procedencia de la acción, indispensables para conocer del fondo las solicitudes de protección de los derechos fundamentales.</w:t>
      </w:r>
    </w:p>
    <w:p w:rsidR="00076E82" w:rsidRPr="006F18F9" w:rsidRDefault="00076E82" w:rsidP="00076E82">
      <w:pPr>
        <w:spacing w:line="360" w:lineRule="auto"/>
        <w:jc w:val="both"/>
        <w:rPr>
          <w:rFonts w:ascii="Georgia" w:hAnsi="Georgia" w:cs="Arial"/>
          <w:spacing w:val="-3"/>
          <w:lang w:val="es-ES_tradnl"/>
        </w:rPr>
      </w:pPr>
    </w:p>
    <w:p w:rsidR="00076E82" w:rsidRPr="006F18F9" w:rsidRDefault="00076E82" w:rsidP="00076E82">
      <w:pPr>
        <w:spacing w:line="360" w:lineRule="auto"/>
        <w:jc w:val="both"/>
        <w:rPr>
          <w:rFonts w:ascii="Georgia" w:hAnsi="Georgia" w:cs="Arial"/>
          <w:noProof/>
          <w:szCs w:val="22"/>
          <w:lang w:val="es-CO"/>
        </w:rPr>
      </w:pPr>
      <w:r w:rsidRPr="006F18F9">
        <w:rPr>
          <w:rFonts w:ascii="Georgia" w:hAnsi="Georgia" w:cs="Arial"/>
          <w:spacing w:val="-3"/>
          <w:lang w:val="es-ES_tradnl"/>
        </w:rPr>
        <w:lastRenderedPageBreak/>
        <w:t>Este último supuesto está satisfecho, pues la acción se presentó dentro de los seis meses siguiente a los hechos violatorio, que es el plazo general, fijado por la doctrina constitucional</w:t>
      </w:r>
      <w:r w:rsidRPr="006F18F9">
        <w:rPr>
          <w:rStyle w:val="Refdenotaalpie"/>
          <w:rFonts w:ascii="Georgia" w:hAnsi="Georgia" w:cs="Arial"/>
        </w:rPr>
        <w:footnoteReference w:id="1"/>
      </w:r>
      <w:r w:rsidRPr="006F18F9">
        <w:rPr>
          <w:rFonts w:ascii="Georgia" w:hAnsi="Georgia" w:cs="Arial"/>
          <w:spacing w:val="-3"/>
          <w:lang w:val="es-ES_tradnl"/>
        </w:rPr>
        <w:t xml:space="preserve">, nótese </w:t>
      </w:r>
      <w:r w:rsidRPr="006F18F9">
        <w:rPr>
          <w:rFonts w:ascii="Georgia" w:hAnsi="Georgia" w:cs="Arial"/>
          <w:noProof/>
          <w:szCs w:val="22"/>
          <w:lang w:val="es-CO"/>
        </w:rPr>
        <w:t xml:space="preserve">que </w:t>
      </w:r>
      <w:r w:rsidR="000F112D" w:rsidRPr="006F18F9">
        <w:rPr>
          <w:rFonts w:ascii="Georgia" w:hAnsi="Georgia" w:cs="Arial"/>
          <w:noProof/>
          <w:szCs w:val="22"/>
          <w:lang w:val="es-CO"/>
        </w:rPr>
        <w:t xml:space="preserve">los </w:t>
      </w:r>
      <w:r w:rsidRPr="006F18F9">
        <w:rPr>
          <w:rFonts w:ascii="Georgia" w:hAnsi="Georgia" w:cs="Arial"/>
          <w:noProof/>
          <w:szCs w:val="22"/>
          <w:lang w:val="es-CO"/>
        </w:rPr>
        <w:t>derecho</w:t>
      </w:r>
      <w:r w:rsidR="000F112D" w:rsidRPr="006F18F9">
        <w:rPr>
          <w:rFonts w:ascii="Georgia" w:hAnsi="Georgia" w:cs="Arial"/>
          <w:noProof/>
          <w:szCs w:val="22"/>
          <w:lang w:val="es-CO"/>
        </w:rPr>
        <w:t>s</w:t>
      </w:r>
      <w:r w:rsidRPr="006F18F9">
        <w:rPr>
          <w:rFonts w:ascii="Georgia" w:hAnsi="Georgia" w:cs="Arial"/>
          <w:noProof/>
          <w:szCs w:val="22"/>
          <w:lang w:val="es-CO"/>
        </w:rPr>
        <w:t xml:space="preserve"> de petición fue</w:t>
      </w:r>
      <w:r w:rsidR="000F112D" w:rsidRPr="006F18F9">
        <w:rPr>
          <w:rFonts w:ascii="Georgia" w:hAnsi="Georgia" w:cs="Arial"/>
          <w:noProof/>
          <w:szCs w:val="22"/>
          <w:lang w:val="es-CO"/>
        </w:rPr>
        <w:t>ron</w:t>
      </w:r>
      <w:r w:rsidRPr="006F18F9">
        <w:rPr>
          <w:rFonts w:ascii="Georgia" w:hAnsi="Georgia" w:cs="Arial"/>
          <w:noProof/>
          <w:szCs w:val="22"/>
          <w:lang w:val="es-CO"/>
        </w:rPr>
        <w:t xml:space="preserve"> radicado</w:t>
      </w:r>
      <w:r w:rsidR="000F112D" w:rsidRPr="006F18F9">
        <w:rPr>
          <w:rFonts w:ascii="Georgia" w:hAnsi="Georgia" w:cs="Arial"/>
          <w:noProof/>
          <w:szCs w:val="22"/>
          <w:lang w:val="es-CO"/>
        </w:rPr>
        <w:t>s</w:t>
      </w:r>
      <w:r w:rsidRPr="006F18F9">
        <w:rPr>
          <w:rFonts w:ascii="Georgia" w:hAnsi="Georgia" w:cs="Arial"/>
          <w:noProof/>
          <w:szCs w:val="22"/>
          <w:lang w:val="es-CO"/>
        </w:rPr>
        <w:t xml:space="preserve"> </w:t>
      </w:r>
      <w:r w:rsidR="000F112D" w:rsidRPr="006F18F9">
        <w:rPr>
          <w:rFonts w:ascii="Georgia" w:hAnsi="Georgia" w:cs="Arial"/>
          <w:noProof/>
          <w:szCs w:val="22"/>
          <w:lang w:val="es-CO"/>
        </w:rPr>
        <w:t xml:space="preserve">los días 07-03-2017, 24-04-2017, 24-05-2017 y 06-06-2017 </w:t>
      </w:r>
      <w:r w:rsidRPr="006F18F9">
        <w:rPr>
          <w:rFonts w:ascii="Georgia" w:hAnsi="Georgia" w:cs="Arial"/>
          <w:noProof/>
          <w:szCs w:val="22"/>
          <w:lang w:val="es-CO"/>
        </w:rPr>
        <w:t>(Folio</w:t>
      </w:r>
      <w:r w:rsidR="000F112D" w:rsidRPr="006F18F9">
        <w:rPr>
          <w:rFonts w:ascii="Georgia" w:hAnsi="Georgia" w:cs="Arial"/>
          <w:noProof/>
          <w:szCs w:val="22"/>
          <w:lang w:val="es-CO"/>
        </w:rPr>
        <w:t>s</w:t>
      </w:r>
      <w:r w:rsidRPr="006F18F9">
        <w:rPr>
          <w:rFonts w:ascii="Georgia" w:hAnsi="Georgia" w:cs="Arial"/>
          <w:noProof/>
          <w:szCs w:val="22"/>
          <w:lang w:val="es-CO"/>
        </w:rPr>
        <w:t xml:space="preserve"> 7</w:t>
      </w:r>
      <w:r w:rsidR="000F112D" w:rsidRPr="006F18F9">
        <w:rPr>
          <w:rFonts w:ascii="Georgia" w:hAnsi="Georgia" w:cs="Arial"/>
          <w:noProof/>
          <w:szCs w:val="22"/>
          <w:lang w:val="es-CO"/>
        </w:rPr>
        <w:t xml:space="preserve"> a 8, 11 a 13, 27 a 28</w:t>
      </w:r>
      <w:r w:rsidR="003852F0" w:rsidRPr="006F18F9">
        <w:rPr>
          <w:rFonts w:ascii="Georgia" w:hAnsi="Georgia" w:cs="Arial"/>
          <w:noProof/>
          <w:szCs w:val="22"/>
          <w:lang w:val="es-CO"/>
        </w:rPr>
        <w:t xml:space="preserve"> y 44</w:t>
      </w:r>
      <w:r w:rsidRPr="006F18F9">
        <w:rPr>
          <w:rFonts w:ascii="Georgia" w:hAnsi="Georgia" w:cs="Arial"/>
          <w:noProof/>
          <w:szCs w:val="22"/>
          <w:lang w:val="es-CO"/>
        </w:rPr>
        <w:t xml:space="preserve">, ib.) y la tutela se presentó el </w:t>
      </w:r>
      <w:r w:rsidR="003852F0" w:rsidRPr="006F18F9">
        <w:rPr>
          <w:rFonts w:ascii="Georgia" w:hAnsi="Georgia" w:cs="Arial"/>
          <w:noProof/>
          <w:szCs w:val="22"/>
          <w:lang w:val="es-CO"/>
        </w:rPr>
        <w:t xml:space="preserve">16-06-2017 </w:t>
      </w:r>
      <w:r w:rsidRPr="006F18F9">
        <w:rPr>
          <w:rFonts w:ascii="Georgia" w:hAnsi="Georgia" w:cs="Arial"/>
          <w:noProof/>
          <w:szCs w:val="22"/>
          <w:lang w:val="es-CO"/>
        </w:rPr>
        <w:t xml:space="preserve">(Folio </w:t>
      </w:r>
      <w:r w:rsidR="003852F0" w:rsidRPr="006F18F9">
        <w:rPr>
          <w:rFonts w:ascii="Georgia" w:hAnsi="Georgia" w:cs="Arial"/>
          <w:noProof/>
          <w:szCs w:val="22"/>
          <w:lang w:val="es-CO"/>
        </w:rPr>
        <w:t>73</w:t>
      </w:r>
      <w:r w:rsidRPr="006F18F9">
        <w:rPr>
          <w:rFonts w:ascii="Georgia" w:hAnsi="Georgia" w:cs="Arial"/>
          <w:noProof/>
          <w:szCs w:val="22"/>
          <w:lang w:val="es-CO"/>
        </w:rPr>
        <w:t>, ib.).</w:t>
      </w:r>
    </w:p>
    <w:p w:rsidR="00076E82" w:rsidRPr="006F18F9" w:rsidRDefault="00076E82" w:rsidP="00076E82">
      <w:pPr>
        <w:spacing w:line="360" w:lineRule="auto"/>
        <w:jc w:val="both"/>
        <w:rPr>
          <w:rFonts w:ascii="Georgia" w:hAnsi="Georgia" w:cs="Arial"/>
          <w:noProof/>
          <w:sz w:val="20"/>
          <w:szCs w:val="22"/>
          <w:lang w:val="es-CO"/>
        </w:rPr>
      </w:pPr>
    </w:p>
    <w:p w:rsidR="00076E82" w:rsidRPr="006F18F9" w:rsidRDefault="00076E82" w:rsidP="00076E82">
      <w:pPr>
        <w:spacing w:line="360" w:lineRule="auto"/>
        <w:jc w:val="both"/>
        <w:rPr>
          <w:rFonts w:ascii="Georgia" w:hAnsi="Georgia" w:cs="Arial"/>
        </w:rPr>
      </w:pPr>
      <w:r w:rsidRPr="006F18F9">
        <w:rPr>
          <w:rFonts w:ascii="Georgia" w:hAnsi="Georgia" w:cs="Arial"/>
        </w:rPr>
        <w:t xml:space="preserve">En cuanto a la subsidiariedad debe indicarse que la acción es viable siempre que el afectado no disponga de otro medio de defensa judicial, de tal manera que no se </w:t>
      </w:r>
      <w:r w:rsidRPr="006F18F9">
        <w:rPr>
          <w:rFonts w:ascii="Georgia" w:hAnsi="Georgia"/>
        </w:rPr>
        <w:t>sustituyan los mecanismos legales ordinarios</w:t>
      </w:r>
      <w:r w:rsidRPr="006F18F9">
        <w:rPr>
          <w:rStyle w:val="Refdenotaalpie"/>
          <w:rFonts w:ascii="Georgia" w:hAnsi="Georgia" w:cs="Arial"/>
        </w:rPr>
        <w:footnoteReference w:id="2"/>
      </w:r>
      <w:r w:rsidRPr="006F18F9">
        <w:rPr>
          <w:rFonts w:ascii="Georgia" w:hAnsi="Georgia"/>
        </w:rPr>
        <w:t xml:space="preserve">. </w:t>
      </w:r>
      <w:r w:rsidRPr="006F18F9">
        <w:rPr>
          <w:rFonts w:ascii="Georgia" w:hAnsi="Georgia" w:cs="Arial"/>
        </w:rPr>
        <w:t>Esta regla tiene dos (2) excepciones que guardan en común la existencia del medio judicial ordinario</w:t>
      </w:r>
      <w:r w:rsidRPr="006F18F9">
        <w:rPr>
          <w:rStyle w:val="Refdenotaalpie"/>
          <w:rFonts w:ascii="Georgia" w:hAnsi="Georgia" w:cs="Arial"/>
        </w:rPr>
        <w:footnoteReference w:id="3"/>
      </w:r>
      <w:r w:rsidRPr="006F18F9">
        <w:rPr>
          <w:rFonts w:ascii="Georgia" w:hAnsi="Georgia" w:cs="Arial"/>
        </w:rPr>
        <w:t xml:space="preserve">: (i) la tutela transitoria para evitar un perjuicio irremediable; y (ii) La ineficacia de la acción ordinaria para salvaguardar los derechos fundamentales del accionante. </w:t>
      </w:r>
      <w:r w:rsidRPr="006F18F9">
        <w:rPr>
          <w:rFonts w:ascii="Georgia" w:hAnsi="Georgia"/>
        </w:rPr>
        <w:t xml:space="preserve">En el </w:t>
      </w:r>
      <w:r w:rsidRPr="006F18F9">
        <w:rPr>
          <w:rFonts w:ascii="Georgia" w:hAnsi="Georgia"/>
          <w:i/>
        </w:rPr>
        <w:t>sub examine</w:t>
      </w:r>
      <w:r w:rsidRPr="006F18F9">
        <w:rPr>
          <w:rFonts w:ascii="Georgia" w:hAnsi="Georgia"/>
        </w:rPr>
        <w:t>, la accionante no cuenta con otro mecanismo diferente a esta acción para procurar la defensa de</w:t>
      </w:r>
      <w:r w:rsidR="003852F0" w:rsidRPr="006F18F9">
        <w:rPr>
          <w:rFonts w:ascii="Georgia" w:hAnsi="Georgia"/>
        </w:rPr>
        <w:t xml:space="preserve"> </w:t>
      </w:r>
      <w:r w:rsidRPr="006F18F9">
        <w:rPr>
          <w:rFonts w:ascii="Georgia" w:hAnsi="Georgia"/>
        </w:rPr>
        <w:t>l</w:t>
      </w:r>
      <w:r w:rsidR="003852F0" w:rsidRPr="006F18F9">
        <w:rPr>
          <w:rFonts w:ascii="Georgia" w:hAnsi="Georgia"/>
        </w:rPr>
        <w:t>os</w:t>
      </w:r>
      <w:r w:rsidRPr="006F18F9">
        <w:rPr>
          <w:rFonts w:ascii="Georgia" w:hAnsi="Georgia"/>
        </w:rPr>
        <w:t xml:space="preserve"> derecho</w:t>
      </w:r>
      <w:r w:rsidR="003852F0" w:rsidRPr="006F18F9">
        <w:rPr>
          <w:rFonts w:ascii="Georgia" w:hAnsi="Georgia"/>
        </w:rPr>
        <w:t>s</w:t>
      </w:r>
      <w:r w:rsidRPr="006F18F9">
        <w:rPr>
          <w:rFonts w:ascii="Georgia" w:hAnsi="Georgia"/>
        </w:rPr>
        <w:t xml:space="preserve"> invocado</w:t>
      </w:r>
      <w:r w:rsidR="003852F0" w:rsidRPr="006F18F9">
        <w:rPr>
          <w:rFonts w:ascii="Georgia" w:hAnsi="Georgia"/>
        </w:rPr>
        <w:t>s</w:t>
      </w:r>
      <w:r w:rsidRPr="006F18F9">
        <w:rPr>
          <w:rFonts w:ascii="Georgia" w:hAnsi="Georgia" w:cs="Arial"/>
        </w:rPr>
        <w:t xml:space="preserve">. Por consiguiente, como este asunto supera el test de procedencia, puede examinarse de fondo. </w:t>
      </w:r>
    </w:p>
    <w:p w:rsidR="00076E82" w:rsidRPr="006F18F9" w:rsidRDefault="00076E82" w:rsidP="00076E82">
      <w:pPr>
        <w:pStyle w:val="Prrafodelista"/>
        <w:tabs>
          <w:tab w:val="left" w:pos="567"/>
        </w:tabs>
        <w:spacing w:line="360" w:lineRule="auto"/>
        <w:ind w:left="567" w:right="-91" w:hanging="567"/>
        <w:rPr>
          <w:rFonts w:ascii="Georgia" w:hAnsi="Georgia"/>
          <w:spacing w:val="-3"/>
          <w:sz w:val="24"/>
        </w:rPr>
      </w:pPr>
    </w:p>
    <w:p w:rsidR="00076E82" w:rsidRPr="006F18F9" w:rsidRDefault="00076E82" w:rsidP="006F18F9">
      <w:pPr>
        <w:pStyle w:val="Prrafodelista"/>
        <w:numPr>
          <w:ilvl w:val="1"/>
          <w:numId w:val="33"/>
        </w:numPr>
        <w:spacing w:after="0" w:line="360" w:lineRule="auto"/>
        <w:jc w:val="both"/>
        <w:rPr>
          <w:rFonts w:ascii="Georgia" w:hAnsi="Georgia" w:cs="Arial"/>
          <w:smallCaps/>
          <w:spacing w:val="-3"/>
          <w:sz w:val="24"/>
          <w:szCs w:val="24"/>
          <w:lang w:val="es-ES_tradnl"/>
        </w:rPr>
      </w:pPr>
      <w:r w:rsidRPr="006F18F9">
        <w:rPr>
          <w:rFonts w:ascii="Georgia" w:hAnsi="Georgia" w:cs="Arial"/>
          <w:smallCaps/>
          <w:spacing w:val="-3"/>
          <w:sz w:val="24"/>
          <w:szCs w:val="24"/>
          <w:lang w:val="es-ES_tradnl"/>
        </w:rPr>
        <w:t>El derecho fundamental de petición</w:t>
      </w:r>
    </w:p>
    <w:p w:rsidR="00703FBD" w:rsidRPr="006F18F9" w:rsidRDefault="00703FBD" w:rsidP="00076E82">
      <w:pPr>
        <w:spacing w:line="360" w:lineRule="auto"/>
        <w:jc w:val="both"/>
        <w:rPr>
          <w:rFonts w:ascii="Georgia" w:hAnsi="Georgia" w:cs="Arial"/>
          <w:spacing w:val="-3"/>
        </w:rPr>
      </w:pPr>
    </w:p>
    <w:p w:rsidR="00076E82" w:rsidRPr="006F18F9" w:rsidRDefault="00076E82" w:rsidP="00076E82">
      <w:pPr>
        <w:spacing w:line="360" w:lineRule="auto"/>
        <w:jc w:val="both"/>
        <w:rPr>
          <w:rFonts w:ascii="Georgia" w:hAnsi="Georgia" w:cs="Arial"/>
          <w:i/>
          <w:sz w:val="22"/>
          <w:szCs w:val="22"/>
          <w:shd w:val="clear" w:color="auto" w:fill="FFFFFF"/>
        </w:rPr>
      </w:pPr>
      <w:r w:rsidRPr="006F18F9">
        <w:rPr>
          <w:rFonts w:ascii="Georgia" w:hAnsi="Georgia" w:cs="Arial"/>
          <w:spacing w:val="-3"/>
        </w:rPr>
        <w:t>Tiene dicho de manera reiterada la jurisprudencia constitucional</w:t>
      </w:r>
      <w:r w:rsidRPr="006F18F9">
        <w:rPr>
          <w:rFonts w:ascii="Georgia" w:hAnsi="Georgia" w:cs="Arial"/>
          <w:vertAlign w:val="superscript"/>
        </w:rPr>
        <w:footnoteReference w:id="4"/>
      </w:r>
      <w:r w:rsidRPr="006F18F9">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F18F9">
        <w:rPr>
          <w:rFonts w:ascii="Georgia" w:hAnsi="Georgia" w:cs="Arial"/>
          <w:i/>
          <w:spacing w:val="-3"/>
          <w:sz w:val="22"/>
          <w:szCs w:val="22"/>
        </w:rPr>
        <w:t>“</w:t>
      </w:r>
      <w:r w:rsidRPr="006F18F9">
        <w:rPr>
          <w:rFonts w:ascii="Georgia" w:hAnsi="Georgia" w:cs="Arial"/>
          <w:i/>
          <w:iCs/>
          <w:spacing w:val="-3"/>
          <w:sz w:val="22"/>
          <w:szCs w:val="22"/>
        </w:rPr>
        <w:t>con</w:t>
      </w:r>
      <w:r w:rsidRPr="006F18F9">
        <w:rPr>
          <w:rFonts w:ascii="Georgia" w:hAnsi="Georgia" w:cs="Arial"/>
          <w:i/>
          <w:sz w:val="22"/>
          <w:szCs w:val="22"/>
          <w:shd w:val="clear" w:color="auto" w:fill="FFFFFF"/>
        </w:rPr>
        <w:t xml:space="preserve"> ciertas condiciones: (i) oportunidad</w:t>
      </w:r>
      <w:bookmarkStart w:id="1" w:name="_ftnref16"/>
      <w:r w:rsidRPr="006F18F9">
        <w:rPr>
          <w:rStyle w:val="Refdenotaalpie"/>
          <w:rFonts w:ascii="Georgia" w:hAnsi="Georgia"/>
          <w:i/>
          <w:sz w:val="22"/>
          <w:szCs w:val="22"/>
          <w:shd w:val="clear" w:color="auto" w:fill="FFFFFF"/>
        </w:rPr>
        <w:footnoteReference w:id="5"/>
      </w:r>
      <w:bookmarkEnd w:id="1"/>
      <w:r w:rsidRPr="006F18F9">
        <w:rPr>
          <w:rFonts w:ascii="Georgia" w:hAnsi="Georgia" w:cs="Arial"/>
          <w:i/>
          <w:sz w:val="22"/>
          <w:szCs w:val="22"/>
          <w:shd w:val="clear" w:color="auto" w:fill="FFFFFF"/>
        </w:rPr>
        <w:t>; (ii) debe resolverse de fondo, de manera clara, precisa y congruente con lo solicitado</w:t>
      </w:r>
      <w:bookmarkStart w:id="2" w:name="_ftnref17"/>
      <w:r w:rsidRPr="006F18F9">
        <w:rPr>
          <w:rStyle w:val="Refdenotaalpie"/>
          <w:rFonts w:ascii="Georgia" w:hAnsi="Georgia"/>
          <w:i/>
          <w:sz w:val="22"/>
          <w:szCs w:val="22"/>
          <w:shd w:val="clear" w:color="auto" w:fill="FFFFFF"/>
        </w:rPr>
        <w:footnoteReference w:id="6"/>
      </w:r>
      <w:bookmarkEnd w:id="2"/>
      <w:r w:rsidRPr="006F18F9">
        <w:rPr>
          <w:rFonts w:ascii="Georgia" w:hAnsi="Georgia" w:cs="Arial"/>
          <w:i/>
          <w:sz w:val="22"/>
          <w:szCs w:val="22"/>
          <w:shd w:val="clear" w:color="auto" w:fill="FFFFFF"/>
        </w:rPr>
        <w:t>; y (iii) ser puesta en conocimiento del peticionario</w:t>
      </w:r>
      <w:r w:rsidRPr="006F18F9">
        <w:rPr>
          <w:rStyle w:val="Refdenotaalpie"/>
          <w:rFonts w:ascii="Georgia" w:hAnsi="Georgia"/>
          <w:i/>
          <w:sz w:val="22"/>
          <w:szCs w:val="22"/>
          <w:shd w:val="clear" w:color="auto" w:fill="FFFFFF"/>
        </w:rPr>
        <w:footnoteReference w:id="7"/>
      </w:r>
      <w:r w:rsidRPr="006F18F9">
        <w:rPr>
          <w:rFonts w:ascii="Georgia" w:hAnsi="Georgia" w:cs="Arial"/>
          <w:i/>
          <w:sz w:val="22"/>
          <w:szCs w:val="22"/>
          <w:shd w:val="clear" w:color="auto" w:fill="FFFFFF"/>
        </w:rPr>
        <w:t>, so pena de incurrir en la violación de este derecho fundamental”</w:t>
      </w:r>
      <w:r w:rsidRPr="006F18F9">
        <w:rPr>
          <w:rStyle w:val="Refdenotaalpie"/>
          <w:rFonts w:ascii="Georgia" w:hAnsi="Georgia"/>
          <w:i/>
          <w:sz w:val="22"/>
          <w:szCs w:val="22"/>
          <w:shd w:val="clear" w:color="auto" w:fill="FFFFFF"/>
        </w:rPr>
        <w:footnoteReference w:id="8"/>
      </w:r>
      <w:r w:rsidRPr="006F18F9">
        <w:rPr>
          <w:rFonts w:ascii="Georgia" w:hAnsi="Georgia" w:cs="Arial"/>
          <w:i/>
          <w:sz w:val="22"/>
          <w:szCs w:val="22"/>
          <w:shd w:val="clear" w:color="auto" w:fill="FFFFFF"/>
        </w:rPr>
        <w:t>.</w:t>
      </w:r>
    </w:p>
    <w:p w:rsidR="00076E82" w:rsidRPr="006F18F9" w:rsidRDefault="00076E82" w:rsidP="00076E82">
      <w:pPr>
        <w:pStyle w:val="Textoindependiente"/>
        <w:spacing w:line="360" w:lineRule="auto"/>
        <w:rPr>
          <w:rFonts w:ascii="Georgia" w:hAnsi="Georgia" w:cs="Arial"/>
          <w:szCs w:val="24"/>
        </w:rPr>
      </w:pPr>
    </w:p>
    <w:p w:rsidR="00076E82" w:rsidRPr="006F18F9" w:rsidRDefault="00076E82" w:rsidP="00076E82">
      <w:pPr>
        <w:pStyle w:val="Textoindependiente"/>
        <w:spacing w:line="360" w:lineRule="auto"/>
        <w:rPr>
          <w:rFonts w:ascii="Georgia" w:hAnsi="Georgia" w:cs="Arial"/>
          <w:sz w:val="24"/>
          <w:szCs w:val="24"/>
        </w:rPr>
      </w:pPr>
      <w:r w:rsidRPr="006F18F9">
        <w:rPr>
          <w:rFonts w:ascii="Georgia" w:hAnsi="Georgia" w:cs="Arial"/>
          <w:sz w:val="24"/>
          <w:szCs w:val="24"/>
        </w:rPr>
        <w:t xml:space="preserve">De ahí que se vulnera este derecho cuando (i) la entidad deja de emitir una respuesta en un lapso que, en los términos de la Constitución, se ajuste a “pronta resolución”, (ii) la supuesta respuesta se limita a evadir la petición, o carece de claridad, precisión y congruencia, (iii) o </w:t>
      </w:r>
      <w:r w:rsidRPr="006F18F9">
        <w:rPr>
          <w:rFonts w:ascii="Georgia" w:hAnsi="Georgia" w:cs="Arial"/>
          <w:sz w:val="24"/>
          <w:szCs w:val="24"/>
        </w:rPr>
        <w:lastRenderedPageBreak/>
        <w:t>no se comunique la respuesta al interesado</w:t>
      </w:r>
      <w:r w:rsidRPr="006F18F9">
        <w:rPr>
          <w:rFonts w:ascii="Georgia" w:hAnsi="Georgia" w:cs="Arial"/>
          <w:sz w:val="24"/>
          <w:szCs w:val="24"/>
          <w:vertAlign w:val="superscript"/>
        </w:rPr>
        <w:footnoteReference w:id="9"/>
      </w:r>
      <w:r w:rsidRPr="006F18F9">
        <w:rPr>
          <w:rFonts w:ascii="Georgia" w:hAnsi="Georgia" w:cs="Arial"/>
          <w:sz w:val="24"/>
          <w:szCs w:val="24"/>
        </w:rPr>
        <w:t>. Además la falta de competencia de la autoridad a quien se formuló, no le exonera del deber de responder</w:t>
      </w:r>
      <w:r w:rsidRPr="006F18F9">
        <w:rPr>
          <w:rFonts w:ascii="Georgia" w:hAnsi="Georgia" w:cs="Arial"/>
          <w:sz w:val="24"/>
          <w:szCs w:val="24"/>
          <w:vertAlign w:val="superscript"/>
        </w:rPr>
        <w:footnoteReference w:id="10"/>
      </w:r>
      <w:r w:rsidRPr="006F18F9">
        <w:rPr>
          <w:rFonts w:ascii="Georgia" w:hAnsi="Georgia" w:cs="Arial"/>
          <w:sz w:val="24"/>
          <w:szCs w:val="24"/>
        </w:rPr>
        <w:t>.</w:t>
      </w:r>
    </w:p>
    <w:p w:rsidR="00076E82" w:rsidRPr="006F18F9" w:rsidRDefault="00076E82" w:rsidP="00076E82">
      <w:pPr>
        <w:pStyle w:val="Textoindependiente"/>
        <w:spacing w:line="360" w:lineRule="auto"/>
        <w:rPr>
          <w:rFonts w:ascii="Georgia" w:hAnsi="Georgia" w:cs="Arial"/>
          <w:szCs w:val="24"/>
        </w:rPr>
      </w:pPr>
    </w:p>
    <w:p w:rsidR="00076E82" w:rsidRPr="006F18F9" w:rsidRDefault="00076E82" w:rsidP="00076E82">
      <w:pPr>
        <w:pStyle w:val="Textoindependiente"/>
        <w:spacing w:line="360" w:lineRule="auto"/>
        <w:rPr>
          <w:rFonts w:ascii="Georgia" w:hAnsi="Georgia" w:cs="Arial"/>
          <w:sz w:val="24"/>
          <w:szCs w:val="24"/>
        </w:rPr>
      </w:pPr>
      <w:r w:rsidRPr="006F18F9">
        <w:rPr>
          <w:rFonts w:ascii="Georgia" w:hAnsi="Georgia" w:cs="Arial"/>
          <w:sz w:val="24"/>
          <w:szCs w:val="24"/>
        </w:rPr>
        <w:t>Precisa el Alto Tribunal Constitucional</w:t>
      </w:r>
      <w:r w:rsidRPr="006F18F9">
        <w:rPr>
          <w:rFonts w:ascii="Georgia" w:hAnsi="Georgia" w:cs="Arial"/>
          <w:i/>
          <w:sz w:val="24"/>
          <w:szCs w:val="24"/>
          <w:vertAlign w:val="superscript"/>
        </w:rPr>
        <w:footnoteReference w:id="11"/>
      </w:r>
      <w:r w:rsidRPr="006F18F9">
        <w:rPr>
          <w:rFonts w:ascii="Georgia" w:hAnsi="Georgia" w:cs="Arial"/>
          <w:i/>
          <w:sz w:val="24"/>
          <w:szCs w:val="24"/>
        </w:rPr>
        <w:t>:</w:t>
      </w:r>
      <w:r w:rsidRPr="006F18F9">
        <w:rPr>
          <w:rFonts w:ascii="Georgia" w:hAnsi="Georgia" w:cs="Arial"/>
          <w:i/>
          <w:sz w:val="22"/>
          <w:szCs w:val="24"/>
        </w:rPr>
        <w:t>“</w:t>
      </w:r>
      <w:r w:rsidR="006F18F9" w:rsidRPr="006F18F9">
        <w:rPr>
          <w:rFonts w:ascii="Georgia" w:hAnsi="Georgia" w:cs="Arial"/>
          <w:i/>
          <w:sz w:val="22"/>
          <w:szCs w:val="24"/>
        </w:rPr>
        <w:t xml:space="preserve">(…) </w:t>
      </w:r>
      <w:r w:rsidRPr="006F18F9">
        <w:rPr>
          <w:rFonts w:ascii="Georgia" w:hAnsi="Georgia" w:cs="Arial"/>
          <w:i/>
          <w:sz w:val="22"/>
          <w:szCs w:val="24"/>
        </w:rPr>
        <w:t>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006F18F9" w:rsidRPr="006F18F9">
        <w:rPr>
          <w:rFonts w:ascii="Georgia" w:hAnsi="Georgia" w:cs="Arial"/>
          <w:i/>
          <w:sz w:val="22"/>
          <w:szCs w:val="24"/>
        </w:rPr>
        <w:t xml:space="preserve"> (…)</w:t>
      </w:r>
      <w:r w:rsidRPr="006F18F9">
        <w:rPr>
          <w:rFonts w:ascii="Georgia" w:hAnsi="Georgia" w:cs="Arial"/>
          <w:i/>
          <w:sz w:val="22"/>
          <w:szCs w:val="24"/>
        </w:rPr>
        <w:t>”</w:t>
      </w:r>
      <w:r w:rsidRPr="006F18F9">
        <w:rPr>
          <w:rFonts w:ascii="Georgia" w:hAnsi="Georgia" w:cs="Arial"/>
          <w:i/>
          <w:sz w:val="24"/>
          <w:szCs w:val="24"/>
        </w:rPr>
        <w:t>.</w:t>
      </w:r>
      <w:r w:rsidRPr="006F18F9">
        <w:rPr>
          <w:rFonts w:ascii="Georgia" w:hAnsi="Georgia" w:cs="Arial"/>
          <w:sz w:val="24"/>
          <w:szCs w:val="24"/>
        </w:rPr>
        <w:t xml:space="preserve"> Esta doctrina ha sido consolidada a lo largo de diversas decisiones</w:t>
      </w:r>
      <w:r w:rsidRPr="006F18F9">
        <w:rPr>
          <w:rStyle w:val="Refdenotaalpie"/>
          <w:rFonts w:ascii="Georgia" w:hAnsi="Georgia"/>
          <w:sz w:val="24"/>
          <w:szCs w:val="24"/>
        </w:rPr>
        <w:footnoteReference w:id="12"/>
      </w:r>
      <w:r w:rsidRPr="006F18F9">
        <w:rPr>
          <w:rFonts w:ascii="Georgia" w:hAnsi="Georgia" w:cs="Arial"/>
          <w:sz w:val="24"/>
          <w:szCs w:val="24"/>
        </w:rPr>
        <w:t>, de manera reciente (2017)</w:t>
      </w:r>
      <w:r w:rsidRPr="006F18F9">
        <w:rPr>
          <w:rStyle w:val="Refdenotaalpie"/>
          <w:rFonts w:ascii="Georgia" w:hAnsi="Georgia"/>
          <w:sz w:val="24"/>
          <w:szCs w:val="24"/>
        </w:rPr>
        <w:footnoteReference w:id="13"/>
      </w:r>
      <w:r w:rsidRPr="006F18F9">
        <w:rPr>
          <w:rFonts w:ascii="Georgia" w:hAnsi="Georgia" w:cs="Arial"/>
          <w:sz w:val="24"/>
          <w:szCs w:val="24"/>
        </w:rPr>
        <w:t>.</w:t>
      </w:r>
    </w:p>
    <w:p w:rsidR="00076E82" w:rsidRPr="006F18F9" w:rsidRDefault="00076E82" w:rsidP="00076E82">
      <w:pPr>
        <w:pStyle w:val="Textoindependiente"/>
        <w:spacing w:line="360" w:lineRule="auto"/>
        <w:rPr>
          <w:rFonts w:ascii="Georgia" w:hAnsi="Georgia" w:cs="Arial"/>
          <w:szCs w:val="24"/>
        </w:rPr>
      </w:pPr>
    </w:p>
    <w:p w:rsidR="00076E82" w:rsidRPr="006F18F9" w:rsidRDefault="00076E82" w:rsidP="00076E82">
      <w:pPr>
        <w:spacing w:line="360" w:lineRule="auto"/>
        <w:ind w:right="51"/>
        <w:jc w:val="both"/>
        <w:rPr>
          <w:rFonts w:ascii="Georgia" w:hAnsi="Georgia" w:cs="Arial"/>
        </w:rPr>
      </w:pPr>
      <w:r w:rsidRPr="006F18F9">
        <w:rPr>
          <w:rFonts w:ascii="Georgia" w:hAnsi="Georgia" w:cs="Arial"/>
        </w:rPr>
        <w:t xml:space="preserve">Hay que acotar que el derecho de petición fue reglado por el legislador a través de la Ley 1755 del 30-06-2015, con efectos a partir de esa fecha, valga decir, la de su promulgación. </w:t>
      </w:r>
    </w:p>
    <w:p w:rsidR="00076E82" w:rsidRPr="006F18F9" w:rsidRDefault="00076E82" w:rsidP="00076E82">
      <w:pPr>
        <w:pStyle w:val="Textoindependiente"/>
        <w:tabs>
          <w:tab w:val="clear" w:pos="708"/>
          <w:tab w:val="clear" w:pos="1416"/>
          <w:tab w:val="left" w:pos="709"/>
          <w:tab w:val="left" w:pos="1418"/>
        </w:tabs>
        <w:spacing w:line="360" w:lineRule="auto"/>
        <w:ind w:left="720"/>
        <w:rPr>
          <w:rFonts w:ascii="Georgia" w:hAnsi="Georgia" w:cs="Verdana"/>
          <w:smallCaps/>
          <w:spacing w:val="0"/>
          <w:sz w:val="22"/>
          <w:szCs w:val="22"/>
          <w:lang w:val="es-ES"/>
        </w:rPr>
      </w:pPr>
    </w:p>
    <w:p w:rsidR="00725575" w:rsidRPr="006F18F9" w:rsidRDefault="00D63A32" w:rsidP="006F18F9">
      <w:pPr>
        <w:pStyle w:val="Textoindependiente"/>
        <w:numPr>
          <w:ilvl w:val="1"/>
          <w:numId w:val="33"/>
        </w:numPr>
        <w:spacing w:line="360" w:lineRule="auto"/>
        <w:rPr>
          <w:rFonts w:ascii="Georgia" w:hAnsi="Georgia" w:cs="Arial"/>
          <w:smallCaps/>
          <w:sz w:val="24"/>
          <w:szCs w:val="24"/>
        </w:rPr>
      </w:pPr>
      <w:r w:rsidRPr="006F18F9">
        <w:rPr>
          <w:rFonts w:ascii="Georgia" w:hAnsi="Georgia" w:cs="Arial"/>
          <w:smallCaps/>
          <w:sz w:val="24"/>
          <w:szCs w:val="24"/>
        </w:rPr>
        <w:t xml:space="preserve">La autonomía universitaria </w:t>
      </w:r>
    </w:p>
    <w:p w:rsidR="00D63A32" w:rsidRPr="006F18F9" w:rsidRDefault="00D63A32" w:rsidP="00D63A32">
      <w:pPr>
        <w:pStyle w:val="Textoindependiente"/>
        <w:spacing w:line="360" w:lineRule="auto"/>
        <w:rPr>
          <w:rFonts w:ascii="Georgia" w:hAnsi="Georgia" w:cs="Arial"/>
          <w:sz w:val="24"/>
          <w:szCs w:val="24"/>
        </w:rPr>
      </w:pPr>
    </w:p>
    <w:p w:rsidR="000E7583" w:rsidRPr="006F18F9" w:rsidRDefault="00D63A32" w:rsidP="00D63A32">
      <w:pPr>
        <w:pStyle w:val="Textoindependiente"/>
        <w:spacing w:line="360" w:lineRule="auto"/>
        <w:rPr>
          <w:rFonts w:ascii="Georgia" w:hAnsi="Georgia"/>
          <w:iCs/>
          <w:sz w:val="24"/>
          <w:szCs w:val="24"/>
          <w:bdr w:val="none" w:sz="0" w:space="0" w:color="auto" w:frame="1"/>
        </w:rPr>
      </w:pPr>
      <w:r w:rsidRPr="006F18F9">
        <w:rPr>
          <w:rFonts w:ascii="Georgia" w:hAnsi="Georgia" w:cs="Arial"/>
          <w:sz w:val="24"/>
          <w:szCs w:val="24"/>
        </w:rPr>
        <w:t>Según se estable</w:t>
      </w:r>
      <w:r w:rsidR="003852F0" w:rsidRPr="006F18F9">
        <w:rPr>
          <w:rFonts w:ascii="Georgia" w:hAnsi="Georgia" w:cs="Arial"/>
          <w:sz w:val="24"/>
          <w:szCs w:val="24"/>
        </w:rPr>
        <w:t>ce</w:t>
      </w:r>
      <w:r w:rsidRPr="006F18F9">
        <w:rPr>
          <w:rFonts w:ascii="Georgia" w:hAnsi="Georgia" w:cs="Arial"/>
          <w:sz w:val="24"/>
          <w:szCs w:val="24"/>
        </w:rPr>
        <w:t xml:space="preserve"> en el artículo 69 de la CP: </w:t>
      </w:r>
      <w:r w:rsidRPr="006F18F9">
        <w:rPr>
          <w:rFonts w:ascii="Georgia" w:hAnsi="Georgia" w:cs="Arial"/>
          <w:i/>
          <w:sz w:val="22"/>
          <w:szCs w:val="24"/>
        </w:rPr>
        <w:t>“Las universidades podrán darse sus directivas y regirse por sus propios estatutos, de acuerdo con la ley”</w:t>
      </w:r>
      <w:r w:rsidRPr="006F18F9">
        <w:rPr>
          <w:rFonts w:ascii="Georgia" w:hAnsi="Georgia" w:cs="Arial"/>
          <w:sz w:val="24"/>
          <w:szCs w:val="24"/>
        </w:rPr>
        <w:t xml:space="preserve">, claramente </w:t>
      </w:r>
      <w:r w:rsidR="000B5EB0" w:rsidRPr="006F18F9">
        <w:rPr>
          <w:rFonts w:ascii="Georgia" w:hAnsi="Georgia" w:cs="Arial"/>
          <w:sz w:val="24"/>
          <w:szCs w:val="24"/>
        </w:rPr>
        <w:t xml:space="preserve">mediante </w:t>
      </w:r>
      <w:r w:rsidRPr="006F18F9">
        <w:rPr>
          <w:rFonts w:ascii="Georgia" w:hAnsi="Georgia" w:cs="Arial"/>
          <w:sz w:val="24"/>
          <w:szCs w:val="24"/>
        </w:rPr>
        <w:t xml:space="preserve">sus estatutos </w:t>
      </w:r>
      <w:r w:rsidR="000828DD" w:rsidRPr="006F18F9">
        <w:rPr>
          <w:rFonts w:ascii="Georgia" w:hAnsi="Georgia" w:cs="Arial"/>
          <w:sz w:val="24"/>
          <w:szCs w:val="24"/>
        </w:rPr>
        <w:t xml:space="preserve">definen </w:t>
      </w:r>
      <w:r w:rsidRPr="006F18F9">
        <w:rPr>
          <w:rFonts w:ascii="Georgia" w:hAnsi="Georgia" w:cs="Arial"/>
          <w:sz w:val="24"/>
          <w:szCs w:val="24"/>
        </w:rPr>
        <w:t>su filosofía y organización interna</w:t>
      </w:r>
      <w:r w:rsidR="00B77A66" w:rsidRPr="006F18F9">
        <w:rPr>
          <w:rStyle w:val="Refdenotaalpie"/>
          <w:rFonts w:ascii="Georgia" w:hAnsi="Georgia"/>
          <w:i/>
          <w:sz w:val="22"/>
          <w:szCs w:val="24"/>
          <w:shd w:val="clear" w:color="auto" w:fill="FFFFFF"/>
        </w:rPr>
        <w:footnoteReference w:id="14"/>
      </w:r>
      <w:r w:rsidR="00B77A66" w:rsidRPr="006F18F9">
        <w:rPr>
          <w:rFonts w:ascii="Georgia" w:hAnsi="Georgia"/>
          <w:i/>
          <w:sz w:val="22"/>
          <w:szCs w:val="24"/>
          <w:shd w:val="clear" w:color="auto" w:fill="FFFFFF"/>
        </w:rPr>
        <w:t>,</w:t>
      </w:r>
      <w:r w:rsidR="000E7583" w:rsidRPr="006F18F9">
        <w:rPr>
          <w:rFonts w:ascii="Georgia" w:hAnsi="Georgia"/>
          <w:i/>
          <w:sz w:val="22"/>
          <w:szCs w:val="24"/>
          <w:shd w:val="clear" w:color="auto" w:fill="FFFFFF"/>
        </w:rPr>
        <w:t>“(…)</w:t>
      </w:r>
      <w:r w:rsidR="00B77A66" w:rsidRPr="006F18F9">
        <w:rPr>
          <w:rFonts w:ascii="Georgia" w:hAnsi="Georgia"/>
          <w:i/>
          <w:sz w:val="22"/>
          <w:szCs w:val="24"/>
          <w:shd w:val="clear" w:color="auto" w:fill="FFFFFF"/>
        </w:rPr>
        <w:t xml:space="preserve"> </w:t>
      </w:r>
      <w:r w:rsidR="000E7583" w:rsidRPr="006F18F9">
        <w:rPr>
          <w:rFonts w:ascii="Georgia" w:hAnsi="Georgia"/>
          <w:i/>
          <w:sz w:val="22"/>
          <w:szCs w:val="24"/>
          <w:shd w:val="clear" w:color="auto" w:fill="FFFFFF"/>
        </w:rPr>
        <w:t>Sin embargo, esta facultad de autogobierno concedida por la Carta Política para regular sus procesos administrativos internos, sus normas académicas y su concepción ideológica, se encuentra limitada por: </w:t>
      </w:r>
      <w:r w:rsidR="000E7583" w:rsidRPr="006F18F9">
        <w:rPr>
          <w:rFonts w:ascii="Georgia" w:hAnsi="Georgia"/>
          <w:i/>
          <w:iCs/>
          <w:sz w:val="22"/>
          <w:szCs w:val="24"/>
          <w:bdr w:val="none" w:sz="0" w:space="0" w:color="auto" w:frame="1"/>
          <w:shd w:val="clear" w:color="auto" w:fill="FFFFFF"/>
        </w:rPr>
        <w:t>“(…) </w:t>
      </w:r>
      <w:r w:rsidR="000E7583" w:rsidRPr="006F18F9">
        <w:rPr>
          <w:rFonts w:ascii="Georgia" w:hAnsi="Georgia"/>
          <w:i/>
          <w:iCs/>
          <w:sz w:val="22"/>
          <w:szCs w:val="24"/>
          <w:bdr w:val="none" w:sz="0" w:space="0" w:color="auto" w:frame="1"/>
        </w:rPr>
        <w:t>la Constitución, el respeto a los derechos fundamentales de la comunidad universitaria y, en especial, de los estudiantes, y la legislación, que fija los términos mínimos de organización, prestación y calidad del servicio, cuya verificación es realizada por el Estado</w:t>
      </w:r>
      <w:r w:rsidR="00B77A66" w:rsidRPr="006F18F9">
        <w:rPr>
          <w:rFonts w:ascii="Georgia" w:hAnsi="Georgia"/>
          <w:i/>
          <w:iCs/>
          <w:sz w:val="22"/>
          <w:szCs w:val="24"/>
          <w:bdr w:val="none" w:sz="0" w:space="0" w:color="auto" w:frame="1"/>
        </w:rPr>
        <w:t xml:space="preserve"> (…)</w:t>
      </w:r>
      <w:r w:rsidR="000E7583" w:rsidRPr="006F18F9">
        <w:rPr>
          <w:rFonts w:ascii="Georgia" w:hAnsi="Georgia"/>
          <w:i/>
          <w:iCs/>
          <w:sz w:val="22"/>
          <w:szCs w:val="24"/>
          <w:bdr w:val="none" w:sz="0" w:space="0" w:color="auto" w:frame="1"/>
        </w:rPr>
        <w:t>”</w:t>
      </w:r>
      <w:r w:rsidR="00B77A66" w:rsidRPr="006F18F9">
        <w:rPr>
          <w:rStyle w:val="Refdenotaalpie"/>
          <w:rFonts w:ascii="Georgia" w:hAnsi="Georgia"/>
          <w:i/>
          <w:iCs/>
          <w:sz w:val="22"/>
          <w:szCs w:val="24"/>
          <w:bdr w:val="none" w:sz="0" w:space="0" w:color="auto" w:frame="1"/>
        </w:rPr>
        <w:footnoteReference w:id="15"/>
      </w:r>
      <w:r w:rsidR="000E7583" w:rsidRPr="006F18F9">
        <w:rPr>
          <w:rFonts w:ascii="Georgia" w:hAnsi="Georgia"/>
          <w:i/>
          <w:iCs/>
          <w:sz w:val="22"/>
          <w:szCs w:val="24"/>
          <w:bdr w:val="none" w:sz="0" w:space="0" w:color="auto" w:frame="1"/>
        </w:rPr>
        <w:t>.</w:t>
      </w:r>
    </w:p>
    <w:p w:rsidR="000E7583" w:rsidRPr="006F18F9" w:rsidRDefault="000E7583" w:rsidP="00D63A32">
      <w:pPr>
        <w:pStyle w:val="Textoindependiente"/>
        <w:spacing w:line="360" w:lineRule="auto"/>
        <w:rPr>
          <w:rFonts w:ascii="Georgia" w:hAnsi="Georgia"/>
          <w:iCs/>
          <w:sz w:val="24"/>
          <w:szCs w:val="24"/>
          <w:bdr w:val="none" w:sz="0" w:space="0" w:color="auto" w:frame="1"/>
        </w:rPr>
      </w:pPr>
    </w:p>
    <w:p w:rsidR="000E7583" w:rsidRPr="006F18F9" w:rsidRDefault="00B77A66" w:rsidP="00D63A32">
      <w:pPr>
        <w:pStyle w:val="Textoindependiente"/>
        <w:spacing w:line="360" w:lineRule="auto"/>
        <w:rPr>
          <w:rFonts w:ascii="Georgia" w:hAnsi="Georgia"/>
          <w:i/>
          <w:iCs/>
          <w:sz w:val="24"/>
          <w:szCs w:val="24"/>
          <w:bdr w:val="none" w:sz="0" w:space="0" w:color="auto" w:frame="1"/>
        </w:rPr>
      </w:pPr>
      <w:r w:rsidRPr="006F18F9">
        <w:rPr>
          <w:rFonts w:ascii="Georgia" w:hAnsi="Georgia"/>
          <w:iCs/>
          <w:sz w:val="24"/>
          <w:szCs w:val="24"/>
          <w:bdr w:val="none" w:sz="0" w:space="0" w:color="auto" w:frame="1"/>
        </w:rPr>
        <w:t xml:space="preserve">Así </w:t>
      </w:r>
      <w:r w:rsidR="000E7583" w:rsidRPr="006F18F9">
        <w:rPr>
          <w:rFonts w:ascii="Georgia" w:hAnsi="Georgia"/>
          <w:iCs/>
          <w:sz w:val="24"/>
          <w:szCs w:val="24"/>
          <w:bdr w:val="none" w:sz="0" w:space="0" w:color="auto" w:frame="1"/>
        </w:rPr>
        <w:t>las cosas, este privilegio no es absoluto y debe analizarse a la luz de los demás preceptos constitucionales</w:t>
      </w:r>
      <w:r w:rsidRPr="006F18F9">
        <w:rPr>
          <w:rFonts w:ascii="Georgia" w:hAnsi="Georgia"/>
          <w:iCs/>
          <w:sz w:val="24"/>
          <w:szCs w:val="24"/>
          <w:bdr w:val="none" w:sz="0" w:space="0" w:color="auto" w:frame="1"/>
        </w:rPr>
        <w:t>, pues</w:t>
      </w:r>
      <w:r w:rsidR="000E7583" w:rsidRPr="006F18F9">
        <w:rPr>
          <w:rFonts w:ascii="Georgia" w:hAnsi="Georgia"/>
          <w:iCs/>
          <w:sz w:val="24"/>
          <w:szCs w:val="24"/>
          <w:bdr w:val="none" w:sz="0" w:space="0" w:color="auto" w:frame="1"/>
        </w:rPr>
        <w:t xml:space="preserve"> </w:t>
      </w:r>
      <w:r w:rsidR="000E7583" w:rsidRPr="006F18F9">
        <w:rPr>
          <w:rFonts w:ascii="Georgia" w:hAnsi="Georgia"/>
          <w:i/>
          <w:iCs/>
          <w:sz w:val="22"/>
          <w:szCs w:val="24"/>
          <w:bdr w:val="none" w:sz="0" w:space="0" w:color="auto" w:frame="1"/>
        </w:rPr>
        <w:t xml:space="preserve">“(…) </w:t>
      </w:r>
      <w:r w:rsidR="000E7583" w:rsidRPr="006F18F9">
        <w:rPr>
          <w:rFonts w:ascii="Georgia" w:hAnsi="Georgia"/>
          <w:i/>
          <w:sz w:val="22"/>
          <w:szCs w:val="24"/>
          <w:shd w:val="clear" w:color="auto" w:fill="FFFFFF"/>
        </w:rPr>
        <w:t>los reglamentos que en ejercicio de la autonomía universitaria expidan estos entes educativos no son normas intangibles e inmunes a un control de constitucionalidad sino que, por el contrario, se someten a la aplicación de los principios constitucionales de legalidad, irretroactividad y razonabilidad (…)”</w:t>
      </w:r>
      <w:r w:rsidRPr="006F18F9">
        <w:rPr>
          <w:rStyle w:val="Refdenotaalpie"/>
          <w:rFonts w:ascii="Georgia" w:hAnsi="Georgia"/>
          <w:i/>
          <w:sz w:val="22"/>
          <w:szCs w:val="24"/>
          <w:shd w:val="clear" w:color="auto" w:fill="FFFFFF"/>
        </w:rPr>
        <w:footnoteReference w:id="16"/>
      </w:r>
      <w:r w:rsidRPr="006F18F9">
        <w:rPr>
          <w:rFonts w:ascii="Georgia" w:hAnsi="Georgia"/>
          <w:sz w:val="24"/>
          <w:szCs w:val="24"/>
          <w:shd w:val="clear" w:color="auto" w:fill="FFFFFF"/>
        </w:rPr>
        <w:t xml:space="preserve">, </w:t>
      </w:r>
      <w:r w:rsidR="000E7583" w:rsidRPr="006F18F9">
        <w:rPr>
          <w:rFonts w:ascii="Georgia" w:hAnsi="Georgia"/>
          <w:iCs/>
          <w:sz w:val="24"/>
          <w:szCs w:val="24"/>
          <w:bdr w:val="none" w:sz="0" w:space="0" w:color="auto" w:frame="1"/>
        </w:rPr>
        <w:t xml:space="preserve">no obstante, </w:t>
      </w:r>
      <w:r w:rsidRPr="006F18F9">
        <w:rPr>
          <w:rFonts w:ascii="Georgia" w:hAnsi="Georgia"/>
          <w:iCs/>
          <w:sz w:val="24"/>
          <w:szCs w:val="24"/>
          <w:bdr w:val="none" w:sz="0" w:space="0" w:color="auto" w:frame="1"/>
        </w:rPr>
        <w:t xml:space="preserve">hay que </w:t>
      </w:r>
      <w:r w:rsidR="000E7583" w:rsidRPr="006F18F9">
        <w:rPr>
          <w:rFonts w:ascii="Georgia" w:hAnsi="Georgia"/>
          <w:iCs/>
          <w:sz w:val="24"/>
          <w:szCs w:val="24"/>
          <w:bdr w:val="none" w:sz="0" w:space="0" w:color="auto" w:frame="1"/>
        </w:rPr>
        <w:t>evitar injerencias</w:t>
      </w:r>
      <w:r w:rsidRPr="006F18F9">
        <w:rPr>
          <w:rFonts w:ascii="Georgia" w:hAnsi="Georgia"/>
          <w:iCs/>
          <w:sz w:val="24"/>
          <w:szCs w:val="24"/>
          <w:bdr w:val="none" w:sz="0" w:space="0" w:color="auto" w:frame="1"/>
        </w:rPr>
        <w:t xml:space="preserve"> indebidas y garantizar </w:t>
      </w:r>
      <w:r w:rsidR="000E7583" w:rsidRPr="006F18F9">
        <w:rPr>
          <w:rFonts w:ascii="Georgia" w:hAnsi="Georgia"/>
          <w:iCs/>
          <w:sz w:val="24"/>
          <w:szCs w:val="24"/>
          <w:bdr w:val="none" w:sz="0" w:space="0" w:color="auto" w:frame="1"/>
        </w:rPr>
        <w:t>su autogobierno</w:t>
      </w:r>
      <w:r w:rsidRPr="006F18F9">
        <w:rPr>
          <w:rFonts w:ascii="Georgia" w:hAnsi="Georgia"/>
          <w:iCs/>
          <w:sz w:val="24"/>
          <w:szCs w:val="24"/>
          <w:bdr w:val="none" w:sz="0" w:space="0" w:color="auto" w:frame="1"/>
        </w:rPr>
        <w:t xml:space="preserve">, siempre y cuando no sea necesario privilegiar el goce efectivo de un derecho fundamental sobre el rigorismo del texto </w:t>
      </w:r>
      <w:r w:rsidRPr="006F18F9">
        <w:rPr>
          <w:rFonts w:ascii="Georgia" w:hAnsi="Georgia"/>
          <w:iCs/>
          <w:sz w:val="24"/>
          <w:szCs w:val="24"/>
          <w:bdr w:val="none" w:sz="0" w:space="0" w:color="auto" w:frame="1"/>
        </w:rPr>
        <w:lastRenderedPageBreak/>
        <w:t>reglamentario, y para ello siempre hay que tener en cuenta los parámetros fijados por la jurisprudencia constitucional</w:t>
      </w:r>
      <w:r w:rsidR="000B5EB0" w:rsidRPr="006F18F9">
        <w:rPr>
          <w:rStyle w:val="Refdenotaalpie"/>
          <w:rFonts w:ascii="Georgia" w:hAnsi="Georgia"/>
          <w:iCs/>
          <w:sz w:val="24"/>
          <w:szCs w:val="24"/>
          <w:bdr w:val="none" w:sz="0" w:space="0" w:color="auto" w:frame="1"/>
        </w:rPr>
        <w:footnoteReference w:id="17"/>
      </w:r>
      <w:r w:rsidRPr="006F18F9">
        <w:rPr>
          <w:rFonts w:ascii="Georgia" w:hAnsi="Georgia"/>
          <w:iCs/>
          <w:sz w:val="24"/>
          <w:szCs w:val="24"/>
          <w:bdr w:val="none" w:sz="0" w:space="0" w:color="auto" w:frame="1"/>
        </w:rPr>
        <w:t xml:space="preserve">, entre ellos, los siguientes:  </w:t>
      </w:r>
    </w:p>
    <w:p w:rsidR="00B77A66" w:rsidRPr="006F18F9" w:rsidRDefault="00B77A66" w:rsidP="00D63A32">
      <w:pPr>
        <w:pStyle w:val="Textoindependiente"/>
        <w:spacing w:line="360" w:lineRule="auto"/>
        <w:rPr>
          <w:rFonts w:ascii="Georgia" w:hAnsi="Georgia"/>
          <w:i/>
          <w:iCs/>
          <w:szCs w:val="24"/>
          <w:bdr w:val="none" w:sz="0" w:space="0" w:color="auto" w:frame="1"/>
        </w:rPr>
      </w:pPr>
    </w:p>
    <w:p w:rsidR="00B77A66" w:rsidRPr="006F18F9" w:rsidRDefault="00B77A66" w:rsidP="00B77A66">
      <w:pPr>
        <w:shd w:val="clear" w:color="auto" w:fill="FFFFFF"/>
        <w:ind w:left="567" w:right="567"/>
        <w:jc w:val="both"/>
        <w:textAlignment w:val="baseline"/>
        <w:rPr>
          <w:rFonts w:ascii="Georgia" w:hAnsi="Georgia"/>
          <w:i/>
          <w:iCs/>
          <w:bdr w:val="none" w:sz="0" w:space="0" w:color="auto" w:frame="1"/>
          <w:lang w:val="es-CO"/>
        </w:rPr>
      </w:pPr>
      <w:r w:rsidRPr="006F18F9">
        <w:rPr>
          <w:rFonts w:ascii="Georgia" w:hAnsi="Georgia"/>
          <w:i/>
          <w:iCs/>
          <w:bdr w:val="none" w:sz="0" w:space="0" w:color="auto" w:frame="1"/>
          <w:lang w:val="es-CO"/>
        </w:rPr>
        <w:t>… d) Los estatutos se acogen voluntariamente por quienes desean estudiar en el centro educativo superior, pero una vez aceptados son obligatorios para toda la comunidad educativa. El reglamento concreta la libertad académica, administrativa y económica de las instituciones de educación superior</w:t>
      </w:r>
      <w:r w:rsidR="000B5EB0" w:rsidRPr="006F18F9">
        <w:rPr>
          <w:rStyle w:val="Refdenotaalpie"/>
          <w:rFonts w:ascii="Georgia" w:hAnsi="Georgia"/>
          <w:i/>
          <w:iCs/>
          <w:bdr w:val="none" w:sz="0" w:space="0" w:color="auto" w:frame="1"/>
          <w:lang w:val="es-CO"/>
        </w:rPr>
        <w:footnoteReference w:id="18"/>
      </w:r>
      <w:r w:rsidRPr="006F18F9">
        <w:rPr>
          <w:rFonts w:ascii="Georgia" w:hAnsi="Georgia"/>
          <w:i/>
          <w:iCs/>
          <w:bdr w:val="none" w:sz="0" w:space="0" w:color="auto" w:frame="1"/>
          <w:lang w:val="es-CO"/>
        </w:rPr>
        <w:t>…</w:t>
      </w:r>
    </w:p>
    <w:p w:rsidR="00B77A66" w:rsidRPr="006F18F9" w:rsidRDefault="00B77A66" w:rsidP="00B77A66">
      <w:pPr>
        <w:shd w:val="clear" w:color="auto" w:fill="FFFFFF"/>
        <w:ind w:left="567" w:right="567"/>
        <w:jc w:val="both"/>
        <w:textAlignment w:val="baseline"/>
        <w:rPr>
          <w:rFonts w:ascii="Georgia" w:hAnsi="Georgia"/>
          <w:i/>
          <w:iCs/>
          <w:bdr w:val="none" w:sz="0" w:space="0" w:color="auto" w:frame="1"/>
          <w:lang w:val="es-CO"/>
        </w:rPr>
      </w:pPr>
    </w:p>
    <w:p w:rsidR="00B77A66" w:rsidRPr="006F18F9" w:rsidRDefault="00B77A66" w:rsidP="00B77A66">
      <w:pPr>
        <w:shd w:val="clear" w:color="auto" w:fill="FFFFFF"/>
        <w:ind w:left="567" w:right="567"/>
        <w:jc w:val="both"/>
        <w:textAlignment w:val="baseline"/>
        <w:rPr>
          <w:rFonts w:ascii="Georgia" w:hAnsi="Georgia"/>
        </w:rPr>
      </w:pPr>
      <w:r w:rsidRPr="006F18F9">
        <w:rPr>
          <w:rFonts w:ascii="Georgia" w:hAnsi="Georgia"/>
          <w:i/>
          <w:iCs/>
          <w:bdr w:val="none" w:sz="0" w:space="0" w:color="auto" w:frame="1"/>
          <w:lang w:val="es-CO"/>
        </w:rPr>
        <w:t>…h) Los criterios para determinar las calificaciones mínimas deben regularse por reglamento, esto es corresponden a la autonomía universitaria</w:t>
      </w:r>
      <w:r w:rsidR="000B5EB0" w:rsidRPr="006F18F9">
        <w:rPr>
          <w:rStyle w:val="Refdenotaalpie"/>
          <w:rFonts w:ascii="Georgia" w:hAnsi="Georgia"/>
          <w:i/>
          <w:iCs/>
          <w:bdr w:val="none" w:sz="0" w:space="0" w:color="auto" w:frame="1"/>
          <w:lang w:val="es-CO"/>
        </w:rPr>
        <w:footnoteReference w:id="19"/>
      </w:r>
      <w:r w:rsidRPr="006F18F9">
        <w:rPr>
          <w:rFonts w:ascii="Georgia" w:hAnsi="Georgia"/>
          <w:i/>
          <w:iCs/>
          <w:bdr w:val="none" w:sz="0" w:space="0" w:color="auto" w:frame="1"/>
          <w:lang w:val="es-CO"/>
        </w:rPr>
        <w:t>…</w:t>
      </w:r>
    </w:p>
    <w:p w:rsidR="00D63A32" w:rsidRPr="006F18F9" w:rsidRDefault="00D63A32" w:rsidP="00D63A32">
      <w:pPr>
        <w:pStyle w:val="Textoindependiente"/>
        <w:spacing w:line="360" w:lineRule="auto"/>
        <w:rPr>
          <w:rFonts w:ascii="Georgia" w:hAnsi="Georgia" w:cs="Arial"/>
          <w:sz w:val="28"/>
          <w:szCs w:val="24"/>
        </w:rPr>
      </w:pPr>
    </w:p>
    <w:p w:rsidR="003852F0" w:rsidRPr="006F18F9" w:rsidRDefault="00135C55" w:rsidP="006F18F9">
      <w:pPr>
        <w:pStyle w:val="Textoindependiente"/>
        <w:numPr>
          <w:ilvl w:val="1"/>
          <w:numId w:val="33"/>
        </w:numPr>
        <w:spacing w:line="360" w:lineRule="auto"/>
        <w:rPr>
          <w:rFonts w:ascii="Georgia" w:hAnsi="Georgia" w:cs="Arial"/>
          <w:smallCaps/>
          <w:sz w:val="24"/>
          <w:szCs w:val="24"/>
        </w:rPr>
      </w:pPr>
      <w:r w:rsidRPr="006F18F9">
        <w:rPr>
          <w:rFonts w:ascii="Georgia" w:hAnsi="Georgia" w:cs="Arial"/>
          <w:smallCaps/>
          <w:sz w:val="24"/>
          <w:szCs w:val="24"/>
        </w:rPr>
        <w:t>La honra y e</w:t>
      </w:r>
      <w:r w:rsidR="003852F0" w:rsidRPr="006F18F9">
        <w:rPr>
          <w:rFonts w:ascii="Georgia" w:hAnsi="Georgia" w:cs="Arial"/>
          <w:smallCaps/>
          <w:sz w:val="24"/>
          <w:szCs w:val="24"/>
        </w:rPr>
        <w:t xml:space="preserve">l buen nombre </w:t>
      </w:r>
    </w:p>
    <w:p w:rsidR="003852F0" w:rsidRPr="006F18F9" w:rsidRDefault="003852F0" w:rsidP="003852F0">
      <w:pPr>
        <w:pStyle w:val="Textoindependiente"/>
        <w:spacing w:line="360" w:lineRule="auto"/>
        <w:ind w:left="720"/>
        <w:rPr>
          <w:rFonts w:ascii="Georgia" w:hAnsi="Georgia" w:cs="Arial"/>
          <w:sz w:val="28"/>
          <w:szCs w:val="24"/>
        </w:rPr>
      </w:pPr>
    </w:p>
    <w:p w:rsidR="003852F0" w:rsidRPr="006F18F9" w:rsidRDefault="00135C55" w:rsidP="00135C55">
      <w:pPr>
        <w:pStyle w:val="Textoindependiente"/>
        <w:spacing w:line="360" w:lineRule="auto"/>
        <w:rPr>
          <w:rFonts w:ascii="Georgia" w:hAnsi="Georgia" w:cs="Arial"/>
          <w:sz w:val="24"/>
          <w:szCs w:val="24"/>
        </w:rPr>
      </w:pPr>
      <w:r w:rsidRPr="006F18F9">
        <w:rPr>
          <w:rFonts w:ascii="Georgia" w:hAnsi="Georgia"/>
          <w:iCs/>
          <w:sz w:val="24"/>
          <w:szCs w:val="24"/>
          <w:bdr w:val="none" w:sz="0" w:space="0" w:color="auto" w:frame="1"/>
          <w:lang w:val="es-CO"/>
        </w:rPr>
        <w:t>La jurisprudencia de la CC</w:t>
      </w:r>
      <w:r w:rsidRPr="006F18F9">
        <w:rPr>
          <w:rStyle w:val="Refdenotaalpie"/>
          <w:rFonts w:ascii="Georgia" w:hAnsi="Georgia"/>
          <w:iCs/>
          <w:sz w:val="24"/>
          <w:szCs w:val="24"/>
          <w:bdr w:val="none" w:sz="0" w:space="0" w:color="auto" w:frame="1"/>
          <w:lang w:val="es-CO"/>
        </w:rPr>
        <w:footnoteReference w:id="20"/>
      </w:r>
      <w:r w:rsidRPr="006F18F9">
        <w:rPr>
          <w:rFonts w:ascii="Georgia" w:hAnsi="Georgia"/>
          <w:iCs/>
          <w:sz w:val="24"/>
          <w:szCs w:val="24"/>
          <w:bdr w:val="none" w:sz="0" w:space="0" w:color="auto" w:frame="1"/>
          <w:lang w:val="es-CO"/>
        </w:rPr>
        <w:t xml:space="preserve"> ha referido que:</w:t>
      </w:r>
      <w:r w:rsidRPr="006F18F9">
        <w:rPr>
          <w:rFonts w:ascii="Georgia" w:hAnsi="Georgia"/>
          <w:i/>
          <w:iCs/>
          <w:sz w:val="24"/>
          <w:szCs w:val="24"/>
          <w:bdr w:val="none" w:sz="0" w:space="0" w:color="auto" w:frame="1"/>
          <w:lang w:val="es-CO"/>
        </w:rPr>
        <w:t xml:space="preserve"> </w:t>
      </w:r>
      <w:r w:rsidRPr="006F18F9">
        <w:rPr>
          <w:rFonts w:ascii="Georgia" w:hAnsi="Georgia"/>
          <w:i/>
          <w:iCs/>
          <w:sz w:val="22"/>
          <w:szCs w:val="24"/>
          <w:bdr w:val="none" w:sz="0" w:space="0" w:color="auto" w:frame="1"/>
          <w:lang w:val="es-CO"/>
        </w:rPr>
        <w:t xml:space="preserve">“(…) </w:t>
      </w:r>
      <w:r w:rsidR="003852F0" w:rsidRPr="006F18F9">
        <w:rPr>
          <w:rFonts w:ascii="Georgia" w:hAnsi="Georgia"/>
          <w:i/>
          <w:iCs/>
          <w:sz w:val="22"/>
          <w:szCs w:val="24"/>
          <w:bdr w:val="none" w:sz="0" w:space="0" w:color="auto" w:frame="1"/>
          <w:lang w:val="es-CO"/>
        </w:rPr>
        <w:t xml:space="preserve">los derechos a la honra y al buen nombre, </w:t>
      </w:r>
      <w:r w:rsidRPr="006F18F9">
        <w:rPr>
          <w:rFonts w:ascii="Georgia" w:hAnsi="Georgia"/>
          <w:i/>
          <w:iCs/>
          <w:sz w:val="22"/>
          <w:szCs w:val="24"/>
          <w:bdr w:val="none" w:sz="0" w:space="0" w:color="auto" w:frame="1"/>
          <w:lang w:val="es-CO"/>
        </w:rPr>
        <w:t xml:space="preserve">(…) </w:t>
      </w:r>
      <w:r w:rsidR="003852F0" w:rsidRPr="006F18F9">
        <w:rPr>
          <w:rFonts w:ascii="Georgia" w:hAnsi="Georgia"/>
          <w:i/>
          <w:iCs/>
          <w:sz w:val="22"/>
          <w:szCs w:val="24"/>
          <w:bdr w:val="none" w:sz="0" w:space="0" w:color="auto" w:frame="1"/>
          <w:lang w:val="es-CO"/>
        </w:rPr>
        <w:t xml:space="preserve">se encuentran en una relación estrecha y la afectación de uno de ellos, por lo general, acarrea una lesión al otro. Bajo este entendido, </w:t>
      </w:r>
      <w:r w:rsidRPr="006F18F9">
        <w:rPr>
          <w:rFonts w:ascii="Georgia" w:hAnsi="Georgia"/>
          <w:i/>
          <w:iCs/>
          <w:sz w:val="22"/>
          <w:szCs w:val="24"/>
          <w:bdr w:val="none" w:sz="0" w:space="0" w:color="auto" w:frame="1"/>
          <w:lang w:val="es-CO"/>
        </w:rPr>
        <w:t xml:space="preserve">(…) </w:t>
      </w:r>
      <w:r w:rsidR="003852F0" w:rsidRPr="006F18F9">
        <w:rPr>
          <w:rFonts w:ascii="Georgia" w:hAnsi="Georgia"/>
          <w:i/>
          <w:iCs/>
          <w:sz w:val="22"/>
          <w:szCs w:val="24"/>
          <w:bdr w:val="none" w:sz="0" w:space="0" w:color="auto" w:frame="1"/>
          <w:lang w:val="es-CO"/>
        </w:rPr>
        <w:t>el derecho al buen nombre cobija la reputación, mientras que la honra se estructuraría en torno a la consideración que toda persona merece por su condición de miembro de la especie humana. De otra parte, se ha vinculado el derecho al buen nombre a las actividades desplegadas de forma pública por alguien. Sosteniéndose que el mismo integraría la valoración que el grupo social hace de sus comportamientos públicos. En cambio, el derecho a la honra se ha utilizado para referirse a aspectos más relacionados con la vida privada de las personas y a su valor intrínseco.</w:t>
      </w:r>
    </w:p>
    <w:p w:rsidR="00135C55" w:rsidRPr="006F18F9" w:rsidRDefault="00135C55" w:rsidP="00135C55">
      <w:pPr>
        <w:pStyle w:val="Textoindependiente"/>
        <w:spacing w:line="360" w:lineRule="auto"/>
        <w:rPr>
          <w:rFonts w:ascii="Georgia" w:hAnsi="Georgia" w:cs="Arial"/>
          <w:sz w:val="28"/>
          <w:szCs w:val="24"/>
        </w:rPr>
      </w:pPr>
    </w:p>
    <w:p w:rsidR="00135C55" w:rsidRPr="006F18F9" w:rsidRDefault="00135C55" w:rsidP="00135C55">
      <w:pPr>
        <w:pStyle w:val="Textoindependiente"/>
        <w:spacing w:line="360" w:lineRule="auto"/>
        <w:rPr>
          <w:rFonts w:ascii="Georgia" w:hAnsi="Georgia" w:cs="Arial"/>
          <w:sz w:val="24"/>
          <w:szCs w:val="24"/>
        </w:rPr>
      </w:pPr>
      <w:r w:rsidRPr="006F18F9">
        <w:rPr>
          <w:rFonts w:ascii="Georgia" w:hAnsi="Georgia" w:cs="Arial"/>
          <w:sz w:val="24"/>
          <w:szCs w:val="24"/>
        </w:rPr>
        <w:t>Asimismo, aquella Corporación</w:t>
      </w:r>
      <w:r w:rsidRPr="006F18F9">
        <w:rPr>
          <w:rStyle w:val="Refdenotaalpie"/>
          <w:rFonts w:ascii="Georgia" w:hAnsi="Georgia"/>
          <w:sz w:val="24"/>
          <w:szCs w:val="24"/>
        </w:rPr>
        <w:footnoteReference w:id="21"/>
      </w:r>
      <w:r w:rsidRPr="006F18F9">
        <w:rPr>
          <w:rFonts w:ascii="Georgia" w:hAnsi="Georgia" w:cs="Arial"/>
          <w:sz w:val="24"/>
          <w:szCs w:val="24"/>
        </w:rPr>
        <w:t xml:space="preserve"> ha expuesto que el derecho al buen nombre se afecta </w:t>
      </w:r>
      <w:r w:rsidRPr="006F18F9">
        <w:rPr>
          <w:rFonts w:ascii="Georgia" w:hAnsi="Georgia" w:cs="Arial"/>
          <w:sz w:val="22"/>
          <w:szCs w:val="24"/>
        </w:rPr>
        <w:t xml:space="preserve">“(…) </w:t>
      </w:r>
      <w:r w:rsidRPr="006F18F9">
        <w:rPr>
          <w:rFonts w:ascii="Georgia" w:hAnsi="Georgia"/>
          <w:i/>
          <w:iCs/>
          <w:sz w:val="22"/>
          <w:szCs w:val="24"/>
          <w:bdr w:val="none" w:sz="0" w:space="0" w:color="auto" w:frame="1"/>
          <w:lang w:val="es-CO"/>
        </w:rPr>
        <w:t>con información falsa sobre la persona y supone un desdoro para la imagen pública del sujeto (…)”</w:t>
      </w:r>
      <w:r w:rsidRPr="006F18F9">
        <w:rPr>
          <w:rFonts w:ascii="Georgia" w:hAnsi="Georgia"/>
          <w:i/>
          <w:iCs/>
          <w:sz w:val="24"/>
          <w:szCs w:val="24"/>
          <w:bdr w:val="none" w:sz="0" w:space="0" w:color="auto" w:frame="1"/>
          <w:lang w:val="es-CO"/>
        </w:rPr>
        <w:t xml:space="preserve">, </w:t>
      </w:r>
      <w:r w:rsidRPr="006F18F9">
        <w:rPr>
          <w:rFonts w:ascii="Georgia" w:hAnsi="Georgia"/>
          <w:iCs/>
          <w:sz w:val="24"/>
          <w:szCs w:val="24"/>
          <w:bdr w:val="none" w:sz="0" w:space="0" w:color="auto" w:frame="1"/>
          <w:lang w:val="es-CO"/>
        </w:rPr>
        <w:t>mientras que</w:t>
      </w:r>
      <w:r w:rsidRPr="006F18F9">
        <w:rPr>
          <w:rFonts w:ascii="Georgia" w:hAnsi="Georgia"/>
          <w:i/>
          <w:iCs/>
          <w:sz w:val="24"/>
          <w:szCs w:val="24"/>
          <w:bdr w:val="none" w:sz="0" w:space="0" w:color="auto" w:frame="1"/>
          <w:lang w:val="es-CO"/>
        </w:rPr>
        <w:t xml:space="preserve"> </w:t>
      </w:r>
      <w:r w:rsidRPr="006F18F9">
        <w:rPr>
          <w:rFonts w:ascii="Georgia" w:hAnsi="Georgia"/>
          <w:iCs/>
          <w:sz w:val="24"/>
          <w:szCs w:val="24"/>
          <w:bdr w:val="none" w:sz="0" w:space="0" w:color="auto" w:frame="1"/>
          <w:lang w:val="es-CO"/>
        </w:rPr>
        <w:t xml:space="preserve">la honra </w:t>
      </w:r>
      <w:r w:rsidRPr="006F18F9">
        <w:rPr>
          <w:rFonts w:ascii="Georgia" w:hAnsi="Georgia"/>
          <w:i/>
          <w:iCs/>
          <w:sz w:val="22"/>
          <w:szCs w:val="24"/>
          <w:bdr w:val="none" w:sz="0" w:space="0" w:color="auto" w:frame="1"/>
          <w:lang w:val="es-CO"/>
        </w:rPr>
        <w:t>“(…) no solo se ve vulnerada por información desfigurada, sino que, las opiniones sobre el individuo y su conducta privada, tienen la entidad suficiente para violar el derecho referido (…)”</w:t>
      </w:r>
      <w:r w:rsidRPr="006F18F9">
        <w:rPr>
          <w:rFonts w:ascii="Georgia" w:hAnsi="Georgia"/>
          <w:i/>
          <w:iCs/>
          <w:sz w:val="24"/>
          <w:szCs w:val="24"/>
          <w:bdr w:val="none" w:sz="0" w:space="0" w:color="auto" w:frame="1"/>
          <w:lang w:val="es-CO"/>
        </w:rPr>
        <w:t xml:space="preserve">. </w:t>
      </w:r>
      <w:r w:rsidRPr="006F18F9">
        <w:rPr>
          <w:rFonts w:ascii="Georgia" w:hAnsi="Georgia"/>
          <w:iCs/>
          <w:sz w:val="24"/>
          <w:szCs w:val="24"/>
          <w:bdr w:val="none" w:sz="0" w:space="0" w:color="auto" w:frame="1"/>
          <w:lang w:val="es-CO"/>
        </w:rPr>
        <w:t xml:space="preserve">Adicionalmente, expuso que el </w:t>
      </w:r>
      <w:r w:rsidRPr="006F18F9">
        <w:rPr>
          <w:rFonts w:ascii="Georgia" w:hAnsi="Georgia"/>
          <w:i/>
          <w:iCs/>
          <w:sz w:val="22"/>
          <w:szCs w:val="24"/>
          <w:bdr w:val="none" w:sz="0" w:space="0" w:color="auto" w:frame="1"/>
          <w:lang w:val="es-CO"/>
        </w:rPr>
        <w:t>“(…) derecho a la honra, (…) también se vincula al mérito, con lo cual, un elemento a atender cuando se trata de verificar el quebrantamiento o amenaza al derecho, tiene que ver con la conducta del titular del mismo (…)”</w:t>
      </w:r>
      <w:r w:rsidRPr="006F18F9">
        <w:rPr>
          <w:rFonts w:ascii="Georgia" w:hAnsi="Georgia"/>
          <w:i/>
          <w:iCs/>
          <w:sz w:val="24"/>
          <w:szCs w:val="24"/>
          <w:bdr w:val="none" w:sz="0" w:space="0" w:color="auto" w:frame="1"/>
          <w:lang w:val="es-CO"/>
        </w:rPr>
        <w:t>.</w:t>
      </w:r>
    </w:p>
    <w:p w:rsidR="00135C55" w:rsidRPr="006F18F9" w:rsidRDefault="00135C55" w:rsidP="00135C55">
      <w:pPr>
        <w:pStyle w:val="Textoindependiente"/>
        <w:spacing w:line="360" w:lineRule="auto"/>
        <w:rPr>
          <w:rFonts w:ascii="Georgia" w:hAnsi="Georgia" w:cs="Arial"/>
          <w:sz w:val="28"/>
          <w:szCs w:val="24"/>
        </w:rPr>
      </w:pPr>
    </w:p>
    <w:p w:rsidR="00703FBD" w:rsidRPr="006F18F9" w:rsidRDefault="002F2011" w:rsidP="00703FBD">
      <w:pPr>
        <w:pStyle w:val="Prrafodelista"/>
        <w:numPr>
          <w:ilvl w:val="0"/>
          <w:numId w:val="33"/>
        </w:numPr>
        <w:spacing w:after="0" w:line="360" w:lineRule="auto"/>
        <w:jc w:val="both"/>
        <w:rPr>
          <w:rFonts w:ascii="Georgia" w:hAnsi="Georgia" w:cs="Arial"/>
          <w:sz w:val="24"/>
          <w:szCs w:val="24"/>
        </w:rPr>
      </w:pPr>
      <w:r w:rsidRPr="006F18F9">
        <w:rPr>
          <w:rFonts w:ascii="Georgia" w:hAnsi="Georgia" w:cs="Arial"/>
          <w:sz w:val="24"/>
          <w:szCs w:val="24"/>
        </w:rPr>
        <w:t>EL CASO CONCRETO MATERIA DE ANÁLISIS</w:t>
      </w:r>
    </w:p>
    <w:p w:rsidR="00703FBD" w:rsidRPr="006F18F9" w:rsidRDefault="00703FBD" w:rsidP="00703FBD">
      <w:pPr>
        <w:spacing w:line="360" w:lineRule="auto"/>
        <w:jc w:val="both"/>
        <w:rPr>
          <w:rFonts w:ascii="Georgia" w:hAnsi="Georgia"/>
          <w:lang w:val="es-ES_tradnl"/>
        </w:rPr>
      </w:pPr>
    </w:p>
    <w:p w:rsidR="00703FBD" w:rsidRDefault="00703FBD" w:rsidP="00703FBD">
      <w:pPr>
        <w:spacing w:line="360" w:lineRule="auto"/>
        <w:jc w:val="both"/>
        <w:rPr>
          <w:rFonts w:ascii="Georgia" w:hAnsi="Georgia"/>
          <w:lang w:val="es-ES_tradnl"/>
        </w:rPr>
      </w:pPr>
      <w:r w:rsidRPr="006F18F9">
        <w:rPr>
          <w:rFonts w:ascii="Georgia" w:hAnsi="Georgia"/>
          <w:lang w:val="es-ES_tradnl"/>
        </w:rPr>
        <w:t>Partiendo de las premisas jurídicas anotadas y teniendo en cuenta el petitorio de amparo junto con las pruebas obrantes en el expediente, advierte esta Sala que la sentencia venida en impugnación habrá de confirmarse íntegramente, pues son infundados los argumentos de la actora impugnante.</w:t>
      </w:r>
    </w:p>
    <w:p w:rsidR="004901E2" w:rsidRPr="006F18F9" w:rsidRDefault="004901E2" w:rsidP="00703FBD">
      <w:pPr>
        <w:spacing w:line="360" w:lineRule="auto"/>
        <w:jc w:val="both"/>
        <w:rPr>
          <w:rFonts w:ascii="Georgia" w:hAnsi="Georgia"/>
          <w:lang w:val="es-ES_tradnl"/>
        </w:rPr>
      </w:pPr>
    </w:p>
    <w:p w:rsidR="00703FBD" w:rsidRPr="006F18F9" w:rsidRDefault="00703FBD" w:rsidP="006F18F9">
      <w:pPr>
        <w:pStyle w:val="Prrafodelista"/>
        <w:numPr>
          <w:ilvl w:val="1"/>
          <w:numId w:val="33"/>
        </w:numPr>
        <w:spacing w:after="0" w:line="360" w:lineRule="auto"/>
        <w:jc w:val="both"/>
        <w:rPr>
          <w:rFonts w:ascii="Georgia" w:hAnsi="Georgia" w:cs="Arial"/>
          <w:smallCaps/>
          <w:sz w:val="24"/>
          <w:szCs w:val="24"/>
        </w:rPr>
      </w:pPr>
      <w:r w:rsidRPr="006F18F9">
        <w:rPr>
          <w:rFonts w:ascii="Georgia" w:hAnsi="Georgia"/>
          <w:smallCaps/>
          <w:lang w:val="es-ES_tradnl"/>
        </w:rPr>
        <w:lastRenderedPageBreak/>
        <w:t>EL derecho de Petición</w:t>
      </w:r>
    </w:p>
    <w:p w:rsidR="006F18F9" w:rsidRPr="006F18F9" w:rsidRDefault="006F18F9" w:rsidP="006F18F9">
      <w:pPr>
        <w:pStyle w:val="Prrafodelista"/>
        <w:spacing w:after="0" w:line="360" w:lineRule="auto"/>
        <w:jc w:val="both"/>
        <w:rPr>
          <w:rFonts w:ascii="Georgia" w:hAnsi="Georgia" w:cs="Arial"/>
          <w:smallCaps/>
          <w:sz w:val="24"/>
          <w:szCs w:val="24"/>
        </w:rPr>
      </w:pPr>
    </w:p>
    <w:p w:rsidR="00703FBD" w:rsidRPr="006F18F9" w:rsidRDefault="00703FBD" w:rsidP="00703FBD">
      <w:pPr>
        <w:spacing w:line="360" w:lineRule="auto"/>
        <w:jc w:val="both"/>
        <w:rPr>
          <w:rFonts w:ascii="Georgia" w:hAnsi="Georgia" w:cs="Arial"/>
          <w:sz w:val="22"/>
          <w:szCs w:val="22"/>
          <w:lang w:val="es-CO"/>
        </w:rPr>
      </w:pPr>
      <w:r w:rsidRPr="006F18F9">
        <w:rPr>
          <w:rFonts w:ascii="Georgia" w:hAnsi="Georgia"/>
          <w:lang w:val="es-ES_tradnl"/>
        </w:rPr>
        <w:t>Como se anotó en líneas precedentes este derecho fundamental comporta la obligación del destinatario de responder íntegramente la solicitud y comunicarla al peticionar</w:t>
      </w:r>
      <w:r w:rsidR="00CF0477">
        <w:rPr>
          <w:rFonts w:ascii="Georgia" w:hAnsi="Georgia"/>
          <w:lang w:val="es-ES_tradnl"/>
        </w:rPr>
        <w:t xml:space="preserve">io, sin </w:t>
      </w:r>
      <w:r w:rsidRPr="006F18F9">
        <w:rPr>
          <w:rFonts w:ascii="Georgia" w:hAnsi="Georgia"/>
          <w:lang w:val="es-ES_tradnl"/>
        </w:rPr>
        <w:t xml:space="preserve">que </w:t>
      </w:r>
      <w:r w:rsidR="00CF0477" w:rsidRPr="006F18F9">
        <w:rPr>
          <w:rFonts w:ascii="Georgia" w:hAnsi="Georgia"/>
          <w:lang w:val="es-ES_tradnl"/>
        </w:rPr>
        <w:t xml:space="preserve">necesariamente </w:t>
      </w:r>
      <w:r w:rsidRPr="006F18F9">
        <w:rPr>
          <w:rFonts w:ascii="Georgia" w:hAnsi="Georgia"/>
          <w:lang w:val="es-ES_tradnl"/>
        </w:rPr>
        <w:t>ello implique que sea favorable, al decir de la CC</w:t>
      </w:r>
      <w:r w:rsidRPr="006F18F9">
        <w:rPr>
          <w:rStyle w:val="Refdenotaalpie"/>
          <w:rFonts w:ascii="Georgia" w:hAnsi="Georgia"/>
          <w:lang w:val="es-CO"/>
        </w:rPr>
        <w:footnoteReference w:id="22"/>
      </w:r>
      <w:r w:rsidRPr="006F18F9">
        <w:rPr>
          <w:rFonts w:ascii="Georgia" w:hAnsi="Georgia" w:cs="Arial"/>
          <w:lang w:val="es-CO"/>
        </w:rPr>
        <w:t xml:space="preserve">: </w:t>
      </w:r>
      <w:r w:rsidRPr="006F18F9">
        <w:rPr>
          <w:rFonts w:ascii="Georgia" w:hAnsi="Georgia" w:cs="Arial"/>
          <w:i/>
          <w:sz w:val="22"/>
          <w:lang w:val="es-CO"/>
        </w:rPr>
        <w:t xml:space="preserve">“(…) </w:t>
      </w:r>
      <w:r w:rsidRPr="006F18F9">
        <w:rPr>
          <w:rFonts w:ascii="Georgia" w:hAnsi="Georgia"/>
          <w:i/>
          <w:sz w:val="22"/>
          <w:shd w:val="clear" w:color="auto" w:fill="FFFFFF"/>
          <w:lang w:val="es-CO"/>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6F18F9">
        <w:rPr>
          <w:rFonts w:ascii="Georgia" w:hAnsi="Georgia"/>
          <w:i/>
          <w:iCs/>
          <w:sz w:val="22"/>
          <w:bdr w:val="none" w:sz="0" w:space="0" w:color="auto" w:frame="1"/>
          <w:shd w:val="clear" w:color="auto" w:fill="FFFFFF"/>
          <w:lang w:val="es-CO"/>
        </w:rPr>
        <w:t>no se entiende insatisfecho y vulnerado, cuando ha sido contestado de fondo, claro y congruente, pero en forma negativa al peticionario”.</w:t>
      </w:r>
      <w:r w:rsidRPr="006F18F9">
        <w:rPr>
          <w:rFonts w:ascii="Georgia" w:hAnsi="Georgia" w:cs="Arial"/>
          <w:i/>
          <w:iCs/>
          <w:sz w:val="22"/>
          <w:lang w:val="es-CO"/>
        </w:rPr>
        <w:t xml:space="preserve"> (...)”</w:t>
      </w:r>
      <w:r w:rsidRPr="006F18F9">
        <w:rPr>
          <w:rFonts w:ascii="Georgia" w:hAnsi="Georgia" w:cs="Arial"/>
          <w:i/>
          <w:iCs/>
          <w:sz w:val="22"/>
          <w:szCs w:val="22"/>
        </w:rPr>
        <w:t>.</w:t>
      </w:r>
    </w:p>
    <w:p w:rsidR="00703FBD" w:rsidRPr="006F18F9" w:rsidRDefault="00703FBD" w:rsidP="00703FBD">
      <w:pPr>
        <w:spacing w:line="360" w:lineRule="auto"/>
        <w:jc w:val="both"/>
        <w:rPr>
          <w:rFonts w:ascii="Georgia" w:hAnsi="Georgia" w:cs="Arial"/>
          <w:spacing w:val="-3"/>
          <w:lang w:val="es-CO"/>
        </w:rPr>
      </w:pPr>
    </w:p>
    <w:p w:rsidR="00EF4E2B" w:rsidRDefault="00703FBD" w:rsidP="00703FBD">
      <w:pPr>
        <w:spacing w:line="360" w:lineRule="auto"/>
        <w:jc w:val="both"/>
        <w:rPr>
          <w:rFonts w:ascii="Georgia" w:hAnsi="Georgia" w:cs="Arial"/>
          <w:spacing w:val="-3"/>
          <w:lang w:val="es-CO"/>
        </w:rPr>
      </w:pPr>
      <w:r w:rsidRPr="006F18F9">
        <w:rPr>
          <w:rFonts w:ascii="Georgia" w:hAnsi="Georgia" w:cs="Arial"/>
          <w:spacing w:val="-3"/>
          <w:lang w:val="es-CO"/>
        </w:rPr>
        <w:t>En este asunto la accionante en general se queja de la</w:t>
      </w:r>
      <w:r w:rsidR="00CF0477">
        <w:rPr>
          <w:rFonts w:ascii="Georgia" w:hAnsi="Georgia" w:cs="Arial"/>
          <w:spacing w:val="-3"/>
          <w:lang w:val="es-CO"/>
        </w:rPr>
        <w:t>s</w:t>
      </w:r>
      <w:r w:rsidRPr="006F18F9">
        <w:rPr>
          <w:rFonts w:ascii="Georgia" w:hAnsi="Georgia" w:cs="Arial"/>
          <w:spacing w:val="-3"/>
          <w:lang w:val="es-CO"/>
        </w:rPr>
        <w:t xml:space="preserve"> respuesta</w:t>
      </w:r>
      <w:r w:rsidR="00CF0477">
        <w:rPr>
          <w:rFonts w:ascii="Georgia" w:hAnsi="Georgia" w:cs="Arial"/>
          <w:spacing w:val="-3"/>
          <w:lang w:val="es-CO"/>
        </w:rPr>
        <w:t>s</w:t>
      </w:r>
      <w:r w:rsidRPr="006F18F9">
        <w:rPr>
          <w:rFonts w:ascii="Georgia" w:hAnsi="Georgia" w:cs="Arial"/>
          <w:spacing w:val="-3"/>
          <w:lang w:val="es-CO"/>
        </w:rPr>
        <w:t xml:space="preserve"> tardía</w:t>
      </w:r>
      <w:r w:rsidR="00CF0477">
        <w:rPr>
          <w:rFonts w:ascii="Georgia" w:hAnsi="Georgia" w:cs="Arial"/>
          <w:spacing w:val="-3"/>
          <w:lang w:val="es-CO"/>
        </w:rPr>
        <w:t>s</w:t>
      </w:r>
      <w:r w:rsidRPr="006F18F9">
        <w:rPr>
          <w:rFonts w:ascii="Georgia" w:hAnsi="Georgia" w:cs="Arial"/>
          <w:spacing w:val="-3"/>
          <w:lang w:val="es-CO"/>
        </w:rPr>
        <w:t xml:space="preserve"> dada</w:t>
      </w:r>
      <w:r w:rsidR="00CF0477">
        <w:rPr>
          <w:rFonts w:ascii="Georgia" w:hAnsi="Georgia" w:cs="Arial"/>
          <w:spacing w:val="-3"/>
          <w:lang w:val="es-CO"/>
        </w:rPr>
        <w:t>s</w:t>
      </w:r>
      <w:r w:rsidRPr="006F18F9">
        <w:rPr>
          <w:rFonts w:ascii="Georgia" w:hAnsi="Georgia" w:cs="Arial"/>
          <w:spacing w:val="-3"/>
          <w:lang w:val="es-CO"/>
        </w:rPr>
        <w:t xml:space="preserve"> a sus peticiones, sin embargo, aunque se trata de uno de los elementos para considerar </w:t>
      </w:r>
      <w:r w:rsidR="00E609C2" w:rsidRPr="006F18F9">
        <w:rPr>
          <w:rFonts w:ascii="Georgia" w:hAnsi="Georgia" w:cs="Arial"/>
          <w:spacing w:val="-3"/>
          <w:lang w:val="es-CO"/>
        </w:rPr>
        <w:t xml:space="preserve">debidamente </w:t>
      </w:r>
      <w:r w:rsidRPr="006F18F9">
        <w:rPr>
          <w:rFonts w:ascii="Georgia" w:hAnsi="Georgia" w:cs="Arial"/>
          <w:spacing w:val="-3"/>
          <w:lang w:val="es-CO"/>
        </w:rPr>
        <w:t>atendido este derecho</w:t>
      </w:r>
      <w:r w:rsidR="00515B43" w:rsidRPr="006F18F9">
        <w:rPr>
          <w:rFonts w:ascii="Georgia" w:hAnsi="Georgia" w:cs="Arial"/>
          <w:spacing w:val="-3"/>
          <w:lang w:val="es-CO"/>
        </w:rPr>
        <w:t xml:space="preserve">, </w:t>
      </w:r>
      <w:r w:rsidR="00EF4E2B">
        <w:rPr>
          <w:rFonts w:ascii="Georgia" w:hAnsi="Georgia" w:cs="Arial"/>
          <w:spacing w:val="-3"/>
          <w:lang w:val="es-CO"/>
        </w:rPr>
        <w:t xml:space="preserve">pues </w:t>
      </w:r>
      <w:r w:rsidR="00515B43" w:rsidRPr="006F18F9">
        <w:rPr>
          <w:rFonts w:ascii="Georgia" w:hAnsi="Georgia" w:cs="Arial"/>
          <w:spacing w:val="-3"/>
          <w:lang w:val="es-CO"/>
        </w:rPr>
        <w:t>su incumplimiento</w:t>
      </w:r>
      <w:r w:rsidR="00EF4E2B">
        <w:rPr>
          <w:rFonts w:ascii="Georgia" w:hAnsi="Georgia" w:cs="Arial"/>
          <w:spacing w:val="-3"/>
          <w:lang w:val="es-CO"/>
        </w:rPr>
        <w:t xml:space="preserve"> genera vulneración, lo cierto es que </w:t>
      </w:r>
      <w:r w:rsidR="00515B43" w:rsidRPr="006F18F9">
        <w:rPr>
          <w:rFonts w:ascii="Georgia" w:hAnsi="Georgia" w:cs="Arial"/>
          <w:spacing w:val="-3"/>
          <w:lang w:val="es-CO"/>
        </w:rPr>
        <w:t xml:space="preserve">todas las peticiones </w:t>
      </w:r>
      <w:r w:rsidR="00EF4E2B">
        <w:rPr>
          <w:rFonts w:ascii="Georgia" w:hAnsi="Georgia" w:cs="Arial"/>
          <w:spacing w:val="-3"/>
          <w:lang w:val="es-CO"/>
        </w:rPr>
        <w:t xml:space="preserve">ya </w:t>
      </w:r>
      <w:r w:rsidR="00515B43" w:rsidRPr="006F18F9">
        <w:rPr>
          <w:rFonts w:ascii="Georgia" w:hAnsi="Georgia" w:cs="Arial"/>
          <w:spacing w:val="-3"/>
          <w:lang w:val="es-CO"/>
        </w:rPr>
        <w:t xml:space="preserve">fueron respondidas y comunicadas, tal cual lo reconoce </w:t>
      </w:r>
      <w:r w:rsidR="00EF4E2B">
        <w:rPr>
          <w:rFonts w:ascii="Georgia" w:hAnsi="Georgia" w:cs="Arial"/>
          <w:spacing w:val="-3"/>
          <w:lang w:val="es-CO"/>
        </w:rPr>
        <w:t xml:space="preserve">la actora </w:t>
      </w:r>
      <w:r w:rsidR="00515B43" w:rsidRPr="006F18F9">
        <w:rPr>
          <w:rFonts w:ascii="Georgia" w:hAnsi="Georgia" w:cs="Arial"/>
          <w:spacing w:val="-3"/>
          <w:lang w:val="es-CO"/>
        </w:rPr>
        <w:t>en el petitorio de amparo</w:t>
      </w:r>
      <w:r w:rsidR="00EF4E2B">
        <w:rPr>
          <w:rFonts w:ascii="Georgia" w:hAnsi="Georgia" w:cs="Arial"/>
          <w:spacing w:val="-3"/>
          <w:lang w:val="es-CO"/>
        </w:rPr>
        <w:t xml:space="preserve">, por lo tanto resulta inane tomar determinación alguna frente a los accionados, no hay objeto sobre el cual fallar, el derecho fundamental </w:t>
      </w:r>
      <w:r w:rsidR="00507F23">
        <w:rPr>
          <w:rFonts w:ascii="Georgia" w:hAnsi="Georgia" w:cs="Arial"/>
          <w:spacing w:val="-3"/>
          <w:lang w:val="es-CO"/>
        </w:rPr>
        <w:t xml:space="preserve">ya </w:t>
      </w:r>
      <w:r w:rsidR="00EF4E2B">
        <w:rPr>
          <w:rFonts w:ascii="Georgia" w:hAnsi="Georgia" w:cs="Arial"/>
          <w:spacing w:val="-3"/>
          <w:lang w:val="es-CO"/>
        </w:rPr>
        <w:t>se satisfizo, distinto sería si se advirtiera con ocasión de la tardanza afectación o amenaza de algún otro derecho, mas en este caso es inexistente, no hay evidencia fáctica mínima que oriente ese análisis.</w:t>
      </w:r>
      <w:r w:rsidR="00515B43" w:rsidRPr="006F18F9">
        <w:rPr>
          <w:rFonts w:ascii="Georgia" w:hAnsi="Georgia" w:cs="Arial"/>
          <w:spacing w:val="-3"/>
          <w:lang w:val="es-CO"/>
        </w:rPr>
        <w:t xml:space="preserve"> </w:t>
      </w:r>
    </w:p>
    <w:p w:rsidR="00EF4E2B" w:rsidRDefault="00EF4E2B" w:rsidP="00703FBD">
      <w:pPr>
        <w:spacing w:line="360" w:lineRule="auto"/>
        <w:jc w:val="both"/>
        <w:rPr>
          <w:rFonts w:ascii="Georgia" w:hAnsi="Georgia" w:cs="Arial"/>
          <w:spacing w:val="-3"/>
          <w:lang w:val="es-CO"/>
        </w:rPr>
      </w:pPr>
    </w:p>
    <w:p w:rsidR="00515B43" w:rsidRPr="006F18F9" w:rsidRDefault="00E609C2" w:rsidP="00703FBD">
      <w:pPr>
        <w:spacing w:line="360" w:lineRule="auto"/>
        <w:jc w:val="both"/>
        <w:rPr>
          <w:rFonts w:ascii="Georgia" w:hAnsi="Georgia" w:cs="Arial"/>
          <w:spacing w:val="-3"/>
          <w:lang w:val="es-CO"/>
        </w:rPr>
      </w:pPr>
      <w:r w:rsidRPr="006F18F9">
        <w:rPr>
          <w:rFonts w:ascii="Georgia" w:hAnsi="Georgia" w:cs="Arial"/>
          <w:spacing w:val="-3"/>
          <w:lang w:val="es-CO"/>
        </w:rPr>
        <w:t>Si desea saber las razones de la tardanza deberá entonces p</w:t>
      </w:r>
      <w:r w:rsidR="00EF4E2B">
        <w:rPr>
          <w:rFonts w:ascii="Georgia" w:hAnsi="Georgia" w:cs="Arial"/>
          <w:spacing w:val="-3"/>
          <w:lang w:val="es-CO"/>
        </w:rPr>
        <w:t xml:space="preserve">resentar una nueva petición con </w:t>
      </w:r>
      <w:r w:rsidRPr="006F18F9">
        <w:rPr>
          <w:rFonts w:ascii="Georgia" w:hAnsi="Georgia" w:cs="Arial"/>
          <w:spacing w:val="-3"/>
          <w:lang w:val="es-CO"/>
        </w:rPr>
        <w:t xml:space="preserve">esa finalidad </w:t>
      </w:r>
      <w:r w:rsidR="00CF0477">
        <w:rPr>
          <w:rFonts w:ascii="Georgia" w:hAnsi="Georgia" w:cs="Arial"/>
          <w:spacing w:val="-3"/>
          <w:lang w:val="es-CO"/>
        </w:rPr>
        <w:t xml:space="preserve">ya que </w:t>
      </w:r>
      <w:r w:rsidRPr="006F18F9">
        <w:rPr>
          <w:rFonts w:ascii="Georgia" w:hAnsi="Georgia" w:cs="Arial"/>
          <w:spacing w:val="-3"/>
          <w:lang w:val="es-CO"/>
        </w:rPr>
        <w:t>la tutela no es el medio para hacerlo.</w:t>
      </w:r>
    </w:p>
    <w:p w:rsidR="00E609C2" w:rsidRPr="006F18F9" w:rsidRDefault="00E609C2" w:rsidP="00703FBD">
      <w:pPr>
        <w:spacing w:line="360" w:lineRule="auto"/>
        <w:jc w:val="both"/>
        <w:rPr>
          <w:rFonts w:ascii="Georgia" w:hAnsi="Georgia" w:cs="Arial"/>
          <w:spacing w:val="-3"/>
          <w:lang w:val="es-CO"/>
        </w:rPr>
      </w:pPr>
    </w:p>
    <w:p w:rsidR="00E609C2" w:rsidRPr="006F18F9" w:rsidRDefault="00E609C2" w:rsidP="00703FBD">
      <w:pPr>
        <w:spacing w:line="360" w:lineRule="auto"/>
        <w:jc w:val="both"/>
        <w:rPr>
          <w:rFonts w:ascii="Georgia" w:hAnsi="Georgia" w:cs="Arial"/>
          <w:spacing w:val="-3"/>
          <w:lang w:val="es-CO"/>
        </w:rPr>
      </w:pPr>
      <w:r w:rsidRPr="006F18F9">
        <w:rPr>
          <w:rFonts w:ascii="Georgia" w:hAnsi="Georgia" w:cs="Arial"/>
          <w:spacing w:val="-3"/>
          <w:lang w:val="es-CO"/>
        </w:rPr>
        <w:t xml:space="preserve">También se duele </w:t>
      </w:r>
      <w:r w:rsidR="009E55B5">
        <w:rPr>
          <w:rFonts w:ascii="Georgia" w:hAnsi="Georgia" w:cs="Arial"/>
          <w:spacing w:val="-3"/>
          <w:lang w:val="es-CO"/>
        </w:rPr>
        <w:t xml:space="preserve">de </w:t>
      </w:r>
      <w:r w:rsidRPr="006F18F9">
        <w:rPr>
          <w:rFonts w:ascii="Georgia" w:hAnsi="Georgia" w:cs="Arial"/>
          <w:spacing w:val="-3"/>
          <w:lang w:val="es-CO"/>
        </w:rPr>
        <w:t>que no se le informara cuáles fueron los docentes que la evaluaron insatisfactoriamente y las razones que tuvieron para ello, pero a este respecto hay que decir que sí se le brindó dicha información</w:t>
      </w:r>
      <w:r w:rsidR="00CF0477">
        <w:rPr>
          <w:rFonts w:ascii="Georgia" w:hAnsi="Georgia" w:cs="Arial"/>
          <w:spacing w:val="-3"/>
          <w:lang w:val="es-CO"/>
        </w:rPr>
        <w:t xml:space="preserve">, el destinatario </w:t>
      </w:r>
      <w:r w:rsidRPr="006F18F9">
        <w:rPr>
          <w:rFonts w:ascii="Georgia" w:hAnsi="Georgia" w:cs="Arial"/>
          <w:spacing w:val="-3"/>
          <w:lang w:val="es-CO"/>
        </w:rPr>
        <w:t>hizo entrega de los formatos de evaluaciones junto con los fundamentos que tuvieron los galenos para así calificarla (Folios 30 a 43 y 62 a 71, cuaderno No.1).</w:t>
      </w:r>
    </w:p>
    <w:p w:rsidR="00515B43" w:rsidRPr="006F18F9" w:rsidRDefault="00515B43" w:rsidP="00703FBD">
      <w:pPr>
        <w:spacing w:line="360" w:lineRule="auto"/>
        <w:jc w:val="both"/>
        <w:rPr>
          <w:rFonts w:ascii="Georgia" w:hAnsi="Georgia" w:cs="Arial"/>
          <w:spacing w:val="-3"/>
          <w:lang w:val="es-CO"/>
        </w:rPr>
      </w:pPr>
    </w:p>
    <w:p w:rsidR="00E609C2" w:rsidRPr="006F18F9" w:rsidRDefault="00E609C2" w:rsidP="00647F84">
      <w:pPr>
        <w:spacing w:line="360" w:lineRule="auto"/>
        <w:jc w:val="both"/>
        <w:rPr>
          <w:rFonts w:ascii="Georgia" w:hAnsi="Georgia" w:cs="Arial"/>
          <w:spacing w:val="-3"/>
          <w:lang w:val="es-CO"/>
        </w:rPr>
      </w:pPr>
      <w:r w:rsidRPr="006F18F9">
        <w:rPr>
          <w:rFonts w:ascii="Georgia" w:hAnsi="Georgia" w:cs="Arial"/>
          <w:spacing w:val="-3"/>
          <w:lang w:val="es-CO"/>
        </w:rPr>
        <w:t xml:space="preserve">Adicionalmente manifiesta que </w:t>
      </w:r>
      <w:r w:rsidR="00647F84" w:rsidRPr="006F18F9">
        <w:rPr>
          <w:rFonts w:ascii="Georgia" w:hAnsi="Georgia" w:cs="Arial"/>
          <w:spacing w:val="-3"/>
          <w:lang w:val="es-CO"/>
        </w:rPr>
        <w:t>no pudo hacer las aclaraciones pertinentes a la docente Ana María Valencia Montoya</w:t>
      </w:r>
      <w:r w:rsidR="00FB48F5" w:rsidRPr="006F18F9">
        <w:rPr>
          <w:rFonts w:ascii="Georgia" w:hAnsi="Georgia" w:cs="Arial"/>
          <w:spacing w:val="-3"/>
          <w:lang w:val="es-CO"/>
        </w:rPr>
        <w:t>, tal cual lo solicitó en uno de sus derechos de petición (Folio 44, ibídem),</w:t>
      </w:r>
      <w:r w:rsidR="00647F84" w:rsidRPr="006F18F9">
        <w:rPr>
          <w:rFonts w:ascii="Georgia" w:hAnsi="Georgia" w:cs="Arial"/>
          <w:spacing w:val="-3"/>
          <w:lang w:val="es-CO"/>
        </w:rPr>
        <w:t xml:space="preserve"> toda vez que dejó de asistir a la reunión programada para el 09-06-2017, mas hay que decir que el derecho fundamental no fue vulnerado  porque la obligación del destinatario era responder</w:t>
      </w:r>
      <w:r w:rsidR="00FB48F5" w:rsidRPr="006F18F9">
        <w:rPr>
          <w:rFonts w:ascii="Georgia" w:hAnsi="Georgia" w:cs="Arial"/>
          <w:spacing w:val="-3"/>
          <w:lang w:val="es-CO"/>
        </w:rPr>
        <w:t xml:space="preserve">, </w:t>
      </w:r>
      <w:r w:rsidR="00647F84" w:rsidRPr="006F18F9">
        <w:rPr>
          <w:rFonts w:ascii="Georgia" w:hAnsi="Georgia" w:cs="Arial"/>
          <w:spacing w:val="-3"/>
          <w:lang w:val="es-CO"/>
        </w:rPr>
        <w:t xml:space="preserve">y así lo hizo, </w:t>
      </w:r>
      <w:r w:rsidR="00FB48F5" w:rsidRPr="006F18F9">
        <w:rPr>
          <w:rFonts w:ascii="Georgia" w:hAnsi="Georgia" w:cs="Arial"/>
          <w:spacing w:val="-3"/>
          <w:lang w:val="es-CO"/>
        </w:rPr>
        <w:t xml:space="preserve">lo que </w:t>
      </w:r>
      <w:r w:rsidR="00647F84" w:rsidRPr="006F18F9">
        <w:rPr>
          <w:rFonts w:ascii="Georgia" w:hAnsi="Georgia" w:cs="Arial"/>
          <w:spacing w:val="-3"/>
          <w:lang w:val="es-CO"/>
        </w:rPr>
        <w:t xml:space="preserve">reconoce la actora (Folio 4 y </w:t>
      </w:r>
      <w:r w:rsidR="00FB48F5" w:rsidRPr="006F18F9">
        <w:rPr>
          <w:rFonts w:ascii="Georgia" w:hAnsi="Georgia" w:cs="Arial"/>
          <w:spacing w:val="-3"/>
          <w:lang w:val="es-CO"/>
        </w:rPr>
        <w:t>52, ib.)</w:t>
      </w:r>
      <w:r w:rsidR="00647F84" w:rsidRPr="006F18F9">
        <w:rPr>
          <w:rFonts w:ascii="Georgia" w:hAnsi="Georgia" w:cs="Arial"/>
          <w:spacing w:val="-3"/>
          <w:lang w:val="es-CO"/>
        </w:rPr>
        <w:t>, diferente es que la doctora Valencia Montoya dejara de asistir a la cita.</w:t>
      </w:r>
    </w:p>
    <w:p w:rsidR="00E609C2" w:rsidRPr="006F18F9" w:rsidRDefault="00E609C2" w:rsidP="00703FBD">
      <w:pPr>
        <w:spacing w:line="360" w:lineRule="auto"/>
        <w:jc w:val="both"/>
        <w:rPr>
          <w:rFonts w:ascii="Georgia" w:hAnsi="Georgia" w:cs="Arial"/>
          <w:spacing w:val="-3"/>
          <w:lang w:val="es-CO"/>
        </w:rPr>
      </w:pPr>
    </w:p>
    <w:p w:rsidR="00FB48F5" w:rsidRPr="006F18F9" w:rsidRDefault="00FB48F5" w:rsidP="006F18F9">
      <w:pPr>
        <w:pStyle w:val="Prrafodelista"/>
        <w:numPr>
          <w:ilvl w:val="1"/>
          <w:numId w:val="33"/>
        </w:numPr>
        <w:spacing w:after="0" w:line="360" w:lineRule="auto"/>
        <w:jc w:val="both"/>
        <w:rPr>
          <w:rFonts w:ascii="Georgia" w:hAnsi="Georgia" w:cs="Arial"/>
          <w:smallCaps/>
          <w:spacing w:val="-3"/>
          <w:sz w:val="24"/>
          <w:szCs w:val="24"/>
        </w:rPr>
      </w:pPr>
      <w:r w:rsidRPr="006F18F9">
        <w:rPr>
          <w:rFonts w:ascii="Georgia" w:hAnsi="Georgia" w:cs="Arial"/>
          <w:smallCaps/>
          <w:spacing w:val="-3"/>
          <w:sz w:val="24"/>
          <w:szCs w:val="24"/>
        </w:rPr>
        <w:t>La autonomía universitaria</w:t>
      </w:r>
    </w:p>
    <w:p w:rsidR="004901E2" w:rsidRDefault="004901E2" w:rsidP="00FB48F5">
      <w:pPr>
        <w:spacing w:line="360" w:lineRule="auto"/>
        <w:jc w:val="both"/>
        <w:rPr>
          <w:rFonts w:ascii="Georgia" w:hAnsi="Georgia" w:cs="Arial"/>
          <w:spacing w:val="-3"/>
        </w:rPr>
      </w:pPr>
    </w:p>
    <w:p w:rsidR="00FB48F5" w:rsidRDefault="00FB48F5" w:rsidP="00FB48F5">
      <w:pPr>
        <w:spacing w:line="360" w:lineRule="auto"/>
        <w:jc w:val="both"/>
        <w:rPr>
          <w:rFonts w:ascii="Georgia" w:hAnsi="Georgia" w:cs="Arial"/>
          <w:spacing w:val="-3"/>
        </w:rPr>
      </w:pPr>
      <w:r w:rsidRPr="006F18F9">
        <w:rPr>
          <w:rFonts w:ascii="Georgia" w:hAnsi="Georgia" w:cs="Arial"/>
          <w:spacing w:val="-3"/>
        </w:rPr>
        <w:t>La accionante pide adicionalmente que sean computadas conjuntamente las notas de las rotaciones para pasar la materia “materno infantil”, pues considera injusto que figure perdida cuando e</w:t>
      </w:r>
      <w:r w:rsidR="009E55B5">
        <w:rPr>
          <w:rFonts w:ascii="Georgia" w:hAnsi="Georgia" w:cs="Arial"/>
          <w:spacing w:val="-3"/>
        </w:rPr>
        <w:t>l reglamento estudiantil carece</w:t>
      </w:r>
      <w:r w:rsidRPr="006F18F9">
        <w:rPr>
          <w:rFonts w:ascii="Georgia" w:hAnsi="Georgia" w:cs="Arial"/>
          <w:spacing w:val="-3"/>
        </w:rPr>
        <w:t xml:space="preserve"> de procedimiento en donde se establezca que así deba decidirse.</w:t>
      </w:r>
    </w:p>
    <w:p w:rsidR="00507F23" w:rsidRPr="006F18F9" w:rsidRDefault="00507F23" w:rsidP="00FB48F5">
      <w:pPr>
        <w:spacing w:line="360" w:lineRule="auto"/>
        <w:jc w:val="both"/>
        <w:rPr>
          <w:rFonts w:ascii="Georgia" w:hAnsi="Georgia" w:cs="Arial"/>
          <w:spacing w:val="-3"/>
        </w:rPr>
      </w:pPr>
    </w:p>
    <w:p w:rsidR="003C1496" w:rsidRPr="006F18F9" w:rsidRDefault="00FB48F5" w:rsidP="00FB48F5">
      <w:pPr>
        <w:spacing w:line="360" w:lineRule="auto"/>
        <w:jc w:val="both"/>
        <w:rPr>
          <w:rFonts w:ascii="Georgia" w:hAnsi="Georgia" w:cs="Arial"/>
          <w:spacing w:val="-3"/>
          <w:lang w:val="es-CO"/>
        </w:rPr>
      </w:pPr>
      <w:r w:rsidRPr="006F18F9">
        <w:rPr>
          <w:rFonts w:ascii="Georgia" w:hAnsi="Georgia" w:cs="Arial"/>
          <w:spacing w:val="-3"/>
        </w:rPr>
        <w:t xml:space="preserve">Según se expresa aquella asignatura se compone de dos rotaciones (Pediatría y ginecoobstetricia); el </w:t>
      </w:r>
      <w:r w:rsidR="00393A0D" w:rsidRPr="006F18F9">
        <w:rPr>
          <w:rFonts w:ascii="Georgia" w:hAnsi="Georgia" w:cs="Arial"/>
          <w:spacing w:val="-3"/>
        </w:rPr>
        <w:t>estatuto</w:t>
      </w:r>
      <w:r w:rsidRPr="006F18F9">
        <w:rPr>
          <w:rFonts w:ascii="Georgia" w:hAnsi="Georgia" w:cs="Arial"/>
          <w:spacing w:val="-3"/>
        </w:rPr>
        <w:t xml:space="preserve"> estudiantil de la UTP</w:t>
      </w:r>
      <w:r w:rsidR="00507F23">
        <w:rPr>
          <w:rStyle w:val="Refdenotaalpie"/>
          <w:rFonts w:ascii="Georgia" w:hAnsi="Georgia"/>
          <w:spacing w:val="-3"/>
        </w:rPr>
        <w:footnoteReference w:id="23"/>
      </w:r>
      <w:r w:rsidRPr="006F18F9">
        <w:rPr>
          <w:rFonts w:ascii="Georgia" w:hAnsi="Georgia" w:cs="Arial"/>
          <w:spacing w:val="-3"/>
        </w:rPr>
        <w:t xml:space="preserve"> en sus artículos 210 y siguientes </w:t>
      </w:r>
      <w:r w:rsidR="00393A0D" w:rsidRPr="006F18F9">
        <w:rPr>
          <w:rFonts w:ascii="Georgia" w:hAnsi="Georgia" w:cs="Arial"/>
          <w:spacing w:val="-3"/>
        </w:rPr>
        <w:t xml:space="preserve">reglamenta </w:t>
      </w:r>
      <w:r w:rsidRPr="006F18F9">
        <w:rPr>
          <w:rFonts w:ascii="Georgia" w:hAnsi="Georgia" w:cs="Arial"/>
          <w:spacing w:val="-3"/>
        </w:rPr>
        <w:t>la evaluación de las rotaciones y al efecto señala</w:t>
      </w:r>
      <w:r w:rsidR="00393A0D" w:rsidRPr="006F18F9">
        <w:rPr>
          <w:rFonts w:ascii="Georgia" w:hAnsi="Georgia" w:cs="Arial"/>
          <w:spacing w:val="-3"/>
        </w:rPr>
        <w:t>n</w:t>
      </w:r>
      <w:r w:rsidRPr="006F18F9">
        <w:rPr>
          <w:rFonts w:ascii="Georgia" w:hAnsi="Georgia" w:cs="Arial"/>
          <w:spacing w:val="-3"/>
          <w:lang w:val="es-CO"/>
        </w:rPr>
        <w:t xml:space="preserve"> que equivale</w:t>
      </w:r>
      <w:r w:rsidR="00393A0D" w:rsidRPr="006F18F9">
        <w:rPr>
          <w:rFonts w:ascii="Georgia" w:hAnsi="Georgia" w:cs="Arial"/>
          <w:spacing w:val="-3"/>
          <w:lang w:val="es-CO"/>
        </w:rPr>
        <w:t>n</w:t>
      </w:r>
      <w:r w:rsidRPr="006F18F9">
        <w:rPr>
          <w:rFonts w:ascii="Georgia" w:hAnsi="Georgia" w:cs="Arial"/>
          <w:spacing w:val="-3"/>
          <w:lang w:val="es-CO"/>
        </w:rPr>
        <w:t xml:space="preserve"> a asignatura</w:t>
      </w:r>
      <w:r w:rsidR="00393A0D" w:rsidRPr="006F18F9">
        <w:rPr>
          <w:rFonts w:ascii="Georgia" w:hAnsi="Georgia" w:cs="Arial"/>
          <w:spacing w:val="-3"/>
          <w:lang w:val="es-CO"/>
        </w:rPr>
        <w:t>s</w:t>
      </w:r>
      <w:r w:rsidRPr="006F18F9">
        <w:rPr>
          <w:rFonts w:ascii="Georgia" w:hAnsi="Georgia" w:cs="Arial"/>
          <w:spacing w:val="-3"/>
          <w:lang w:val="es-CO"/>
        </w:rPr>
        <w:t xml:space="preserve"> </w:t>
      </w:r>
      <w:r w:rsidR="00393A0D" w:rsidRPr="006F18F9">
        <w:rPr>
          <w:rFonts w:ascii="Georgia" w:hAnsi="Georgia" w:cs="Arial"/>
          <w:spacing w:val="-3"/>
          <w:lang w:val="es-CO"/>
        </w:rPr>
        <w:t xml:space="preserve">que se evalúan </w:t>
      </w:r>
      <w:r w:rsidR="003C1496" w:rsidRPr="006F18F9">
        <w:rPr>
          <w:rFonts w:ascii="Georgia" w:hAnsi="Georgia" w:cs="Arial"/>
          <w:spacing w:val="-3"/>
          <w:lang w:val="es-CO"/>
        </w:rPr>
        <w:t xml:space="preserve">conforme </w:t>
      </w:r>
      <w:r w:rsidR="00393A0D" w:rsidRPr="006F18F9">
        <w:rPr>
          <w:rFonts w:ascii="Georgia" w:hAnsi="Georgia" w:cs="Arial"/>
          <w:spacing w:val="-3"/>
          <w:lang w:val="es-CO"/>
        </w:rPr>
        <w:t xml:space="preserve">las normas de </w:t>
      </w:r>
      <w:r w:rsidR="003C1496" w:rsidRPr="006F18F9">
        <w:rPr>
          <w:rFonts w:ascii="Georgia" w:hAnsi="Georgia" w:cs="Arial"/>
          <w:spacing w:val="-3"/>
          <w:lang w:val="es-CO"/>
        </w:rPr>
        <w:t>pregrado</w:t>
      </w:r>
      <w:r w:rsidR="00393A0D" w:rsidRPr="006F18F9">
        <w:rPr>
          <w:rFonts w:ascii="Georgia" w:hAnsi="Georgia" w:cs="Arial"/>
          <w:spacing w:val="-3"/>
          <w:lang w:val="es-CO"/>
        </w:rPr>
        <w:t>,</w:t>
      </w:r>
      <w:r w:rsidR="003C1496" w:rsidRPr="006F18F9">
        <w:rPr>
          <w:rFonts w:ascii="Georgia" w:hAnsi="Georgia" w:cs="Arial"/>
          <w:spacing w:val="-3"/>
          <w:lang w:val="es-CO"/>
        </w:rPr>
        <w:t xml:space="preserve"> y en caso de ser reprobada</w:t>
      </w:r>
      <w:r w:rsidR="00393A0D" w:rsidRPr="006F18F9">
        <w:rPr>
          <w:rFonts w:ascii="Georgia" w:hAnsi="Georgia" w:cs="Arial"/>
          <w:spacing w:val="-3"/>
          <w:lang w:val="es-CO"/>
        </w:rPr>
        <w:t>s</w:t>
      </w:r>
      <w:r w:rsidR="003C1496" w:rsidRPr="006F18F9">
        <w:rPr>
          <w:rFonts w:ascii="Georgia" w:hAnsi="Georgia" w:cs="Arial"/>
          <w:spacing w:val="-3"/>
          <w:lang w:val="es-CO"/>
        </w:rPr>
        <w:t xml:space="preserve"> deberá</w:t>
      </w:r>
      <w:r w:rsidR="00393A0D" w:rsidRPr="006F18F9">
        <w:rPr>
          <w:rFonts w:ascii="Georgia" w:hAnsi="Georgia" w:cs="Arial"/>
          <w:spacing w:val="-3"/>
          <w:lang w:val="es-CO"/>
        </w:rPr>
        <w:t>n</w:t>
      </w:r>
      <w:r w:rsidR="003C1496" w:rsidRPr="006F18F9">
        <w:rPr>
          <w:rFonts w:ascii="Georgia" w:hAnsi="Georgia" w:cs="Arial"/>
          <w:spacing w:val="-3"/>
          <w:lang w:val="es-CO"/>
        </w:rPr>
        <w:t xml:space="preserve"> repetirse al final del internado para no alterar la programación; se reprobará con un 10% de inasistencia injustificada o un 20% justificada y la evaluación será realizada por el personal docente y asistencia</w:t>
      </w:r>
      <w:r w:rsidR="00393A0D" w:rsidRPr="006F18F9">
        <w:rPr>
          <w:rFonts w:ascii="Georgia" w:hAnsi="Georgia" w:cs="Arial"/>
          <w:spacing w:val="-3"/>
          <w:lang w:val="es-CO"/>
        </w:rPr>
        <w:t>l</w:t>
      </w:r>
      <w:r w:rsidR="003C1496" w:rsidRPr="006F18F9">
        <w:rPr>
          <w:rFonts w:ascii="Georgia" w:hAnsi="Georgia" w:cs="Arial"/>
          <w:spacing w:val="-3"/>
          <w:lang w:val="es-CO"/>
        </w:rPr>
        <w:t xml:space="preserve"> de cada rotación.</w:t>
      </w:r>
    </w:p>
    <w:p w:rsidR="003C1496" w:rsidRPr="006F18F9" w:rsidRDefault="003C1496" w:rsidP="00FB48F5">
      <w:pPr>
        <w:spacing w:line="360" w:lineRule="auto"/>
        <w:jc w:val="both"/>
        <w:rPr>
          <w:rFonts w:ascii="Georgia" w:hAnsi="Georgia" w:cs="Arial"/>
          <w:spacing w:val="-3"/>
          <w:lang w:val="es-CO"/>
        </w:rPr>
      </w:pPr>
    </w:p>
    <w:p w:rsidR="00393A0D" w:rsidRPr="006F18F9" w:rsidRDefault="003C1496" w:rsidP="00FB48F5">
      <w:pPr>
        <w:spacing w:line="360" w:lineRule="auto"/>
        <w:jc w:val="both"/>
        <w:rPr>
          <w:rFonts w:ascii="Georgia" w:hAnsi="Georgia" w:cs="Arial"/>
          <w:spacing w:val="-3"/>
          <w:lang w:val="es-CO"/>
        </w:rPr>
      </w:pPr>
      <w:r w:rsidRPr="006F18F9">
        <w:rPr>
          <w:rFonts w:ascii="Georgia" w:hAnsi="Georgia" w:cs="Arial"/>
          <w:spacing w:val="-3"/>
          <w:lang w:val="es-CO"/>
        </w:rPr>
        <w:t xml:space="preserve">De acuerdo con lo anterior es evidente que la asignatura </w:t>
      </w:r>
      <w:r w:rsidR="00507F23">
        <w:rPr>
          <w:rFonts w:ascii="Georgia" w:hAnsi="Georgia" w:cs="Arial"/>
          <w:spacing w:val="-3"/>
          <w:lang w:val="es-CO"/>
        </w:rPr>
        <w:t xml:space="preserve">mal </w:t>
      </w:r>
      <w:r w:rsidRPr="006F18F9">
        <w:rPr>
          <w:rFonts w:ascii="Georgia" w:hAnsi="Georgia" w:cs="Arial"/>
          <w:spacing w:val="-3"/>
          <w:lang w:val="es-CO"/>
        </w:rPr>
        <w:t>puede figurar como aprobada, toda vez que se compone de dos rotaciones que debe</w:t>
      </w:r>
      <w:r w:rsidR="00393A0D" w:rsidRPr="006F18F9">
        <w:rPr>
          <w:rFonts w:ascii="Georgia" w:hAnsi="Georgia" w:cs="Arial"/>
          <w:spacing w:val="-3"/>
          <w:lang w:val="es-CO"/>
        </w:rPr>
        <w:t>n</w:t>
      </w:r>
      <w:r w:rsidRPr="006F18F9">
        <w:rPr>
          <w:rFonts w:ascii="Georgia" w:hAnsi="Georgia" w:cs="Arial"/>
          <w:spacing w:val="-3"/>
          <w:lang w:val="es-CO"/>
        </w:rPr>
        <w:t xml:space="preserve"> superarse por separado</w:t>
      </w:r>
      <w:r w:rsidR="00393A0D" w:rsidRPr="006F18F9">
        <w:rPr>
          <w:rFonts w:ascii="Georgia" w:hAnsi="Georgia" w:cs="Arial"/>
          <w:spacing w:val="-3"/>
          <w:lang w:val="es-CO"/>
        </w:rPr>
        <w:t>;</w:t>
      </w:r>
      <w:r w:rsidRPr="006F18F9">
        <w:rPr>
          <w:rFonts w:ascii="Georgia" w:hAnsi="Georgia" w:cs="Arial"/>
          <w:spacing w:val="-3"/>
          <w:lang w:val="es-CO"/>
        </w:rPr>
        <w:t xml:space="preserve"> de acuerdo con el reglamento es imposible promediar ambas rotaciones</w:t>
      </w:r>
      <w:r w:rsidR="00507F23">
        <w:rPr>
          <w:rFonts w:ascii="Georgia" w:hAnsi="Georgia" w:cs="Arial"/>
          <w:spacing w:val="-3"/>
          <w:lang w:val="es-CO"/>
        </w:rPr>
        <w:t>,</w:t>
      </w:r>
      <w:r w:rsidRPr="006F18F9">
        <w:rPr>
          <w:rFonts w:ascii="Georgia" w:hAnsi="Georgia" w:cs="Arial"/>
          <w:spacing w:val="-3"/>
          <w:lang w:val="es-CO"/>
        </w:rPr>
        <w:t xml:space="preserve"> pues aunque afines son independientes y cuentan con personal docente diferente. </w:t>
      </w:r>
    </w:p>
    <w:p w:rsidR="00393A0D" w:rsidRPr="006F18F9" w:rsidRDefault="00393A0D" w:rsidP="00FB48F5">
      <w:pPr>
        <w:spacing w:line="360" w:lineRule="auto"/>
        <w:jc w:val="both"/>
        <w:rPr>
          <w:rFonts w:ascii="Georgia" w:hAnsi="Georgia" w:cs="Arial"/>
          <w:spacing w:val="-3"/>
          <w:lang w:val="es-CO"/>
        </w:rPr>
      </w:pPr>
    </w:p>
    <w:p w:rsidR="00393A0D" w:rsidRPr="006F18F9" w:rsidRDefault="003C1496" w:rsidP="00393A0D">
      <w:pPr>
        <w:spacing w:line="360" w:lineRule="auto"/>
        <w:jc w:val="both"/>
        <w:rPr>
          <w:rFonts w:ascii="Georgia" w:hAnsi="Georgia" w:cs="Arial"/>
          <w:spacing w:val="-3"/>
          <w:lang w:val="es-CO"/>
        </w:rPr>
      </w:pPr>
      <w:r w:rsidRPr="006F18F9">
        <w:rPr>
          <w:rFonts w:ascii="Georgia" w:hAnsi="Georgia" w:cs="Arial"/>
          <w:spacing w:val="-3"/>
          <w:lang w:val="es-CO"/>
        </w:rPr>
        <w:t>Asimismo, la obligación de esperar al final de</w:t>
      </w:r>
      <w:r w:rsidR="00393A0D" w:rsidRPr="006F18F9">
        <w:rPr>
          <w:rFonts w:ascii="Georgia" w:hAnsi="Georgia" w:cs="Arial"/>
          <w:spacing w:val="-3"/>
          <w:lang w:val="es-CO"/>
        </w:rPr>
        <w:t>l</w:t>
      </w:r>
      <w:r w:rsidRPr="006F18F9">
        <w:rPr>
          <w:rFonts w:ascii="Georgia" w:hAnsi="Georgia" w:cs="Arial"/>
          <w:spacing w:val="-3"/>
          <w:lang w:val="es-CO"/>
        </w:rPr>
        <w:t xml:space="preserve"> internado para repetir la rotación no se advierte arbitraria</w:t>
      </w:r>
      <w:r w:rsidR="00507F23">
        <w:rPr>
          <w:rFonts w:ascii="Georgia" w:hAnsi="Georgia" w:cs="Arial"/>
          <w:spacing w:val="-3"/>
          <w:lang w:val="es-CO"/>
        </w:rPr>
        <w:t>,</w:t>
      </w:r>
      <w:r w:rsidRPr="006F18F9">
        <w:rPr>
          <w:rFonts w:ascii="Georgia" w:hAnsi="Georgia" w:cs="Arial"/>
          <w:spacing w:val="-3"/>
          <w:lang w:val="es-CO"/>
        </w:rPr>
        <w:t xml:space="preserve"> ni antojadiza, es </w:t>
      </w:r>
      <w:r w:rsidR="00393A0D" w:rsidRPr="006F18F9">
        <w:rPr>
          <w:rFonts w:ascii="Georgia" w:hAnsi="Georgia" w:cs="Arial"/>
          <w:spacing w:val="-3"/>
          <w:lang w:val="es-CO"/>
        </w:rPr>
        <w:t xml:space="preserve">una </w:t>
      </w:r>
      <w:r w:rsidRPr="006F18F9">
        <w:rPr>
          <w:rFonts w:ascii="Georgia" w:hAnsi="Georgia" w:cs="Arial"/>
          <w:spacing w:val="-3"/>
          <w:lang w:val="es-CO"/>
        </w:rPr>
        <w:t xml:space="preserve">consecuencia de la programación que previamente la Universidad ha realizado para los demás estudiantes </w:t>
      </w:r>
      <w:r w:rsidR="00507F23">
        <w:rPr>
          <w:rFonts w:ascii="Georgia" w:hAnsi="Georgia" w:cs="Arial"/>
          <w:spacing w:val="-3"/>
          <w:lang w:val="es-CO"/>
        </w:rPr>
        <w:t>e imposible de alterar</w:t>
      </w:r>
      <w:r w:rsidRPr="006F18F9">
        <w:rPr>
          <w:rFonts w:ascii="Georgia" w:hAnsi="Georgia" w:cs="Arial"/>
          <w:spacing w:val="-3"/>
          <w:lang w:val="es-CO"/>
        </w:rPr>
        <w:t xml:space="preserve"> para favorecer a uno </w:t>
      </w:r>
      <w:r w:rsidR="00393A0D" w:rsidRPr="006F18F9">
        <w:rPr>
          <w:rFonts w:ascii="Georgia" w:hAnsi="Georgia" w:cs="Arial"/>
          <w:spacing w:val="-3"/>
          <w:lang w:val="es-CO"/>
        </w:rPr>
        <w:t xml:space="preserve">de ellos; recuérdese que la actora desde el inicio de sus estudios acogió y aceptó voluntariamente los estatutos cuando se matriculó en la UTP, por lo tanto le son oponibles y obligatorios. </w:t>
      </w:r>
    </w:p>
    <w:p w:rsidR="00393A0D" w:rsidRPr="006F18F9" w:rsidRDefault="00393A0D" w:rsidP="00393A0D">
      <w:pPr>
        <w:spacing w:line="360" w:lineRule="auto"/>
        <w:jc w:val="both"/>
        <w:rPr>
          <w:rFonts w:ascii="Georgia" w:hAnsi="Georgia" w:cs="Arial"/>
          <w:spacing w:val="-3"/>
          <w:lang w:val="es-CO"/>
        </w:rPr>
      </w:pPr>
    </w:p>
    <w:p w:rsidR="00393A0D" w:rsidRPr="006F18F9" w:rsidRDefault="00393A0D" w:rsidP="00393A0D">
      <w:pPr>
        <w:pStyle w:val="Textoindependiente"/>
        <w:spacing w:line="360" w:lineRule="auto"/>
        <w:rPr>
          <w:rFonts w:ascii="Georgia" w:hAnsi="Georgia"/>
          <w:i/>
          <w:iCs/>
          <w:sz w:val="24"/>
          <w:szCs w:val="24"/>
          <w:bdr w:val="none" w:sz="0" w:space="0" w:color="auto" w:frame="1"/>
        </w:rPr>
      </w:pPr>
      <w:r w:rsidRPr="006F18F9">
        <w:rPr>
          <w:rFonts w:ascii="Georgia" w:hAnsi="Georgia" w:cs="Arial"/>
          <w:sz w:val="24"/>
          <w:szCs w:val="24"/>
          <w:lang w:val="es-CO"/>
        </w:rPr>
        <w:t xml:space="preserve">Como se vio las Universidades cuentan con autonomía académica, administrativa y económica, y solo puede limitarse </w:t>
      </w:r>
      <w:r w:rsidRPr="006F18F9">
        <w:rPr>
          <w:rFonts w:ascii="Georgia" w:hAnsi="Georgia"/>
          <w:iCs/>
          <w:sz w:val="24"/>
          <w:szCs w:val="24"/>
          <w:bdr w:val="none" w:sz="0" w:space="0" w:color="auto" w:frame="1"/>
        </w:rPr>
        <w:t xml:space="preserve">cuando sea necesario privilegiar el goce efectivo de un derecho fundamental, situación que aquí no se refleja; la asignatura materno infantil fue reprobada porque no se superó satisfactoriamente una de las rotaciones que la competen.  </w:t>
      </w:r>
    </w:p>
    <w:p w:rsidR="003C1496" w:rsidRPr="006F18F9" w:rsidRDefault="003C1496" w:rsidP="00FB48F5">
      <w:pPr>
        <w:spacing w:line="360" w:lineRule="auto"/>
        <w:jc w:val="both"/>
        <w:rPr>
          <w:rFonts w:ascii="Georgia" w:hAnsi="Georgia" w:cs="Arial"/>
          <w:spacing w:val="-3"/>
          <w:lang w:val="es-CO"/>
        </w:rPr>
      </w:pPr>
    </w:p>
    <w:p w:rsidR="007615A1" w:rsidRPr="006F18F9" w:rsidRDefault="007615A1" w:rsidP="006F18F9">
      <w:pPr>
        <w:pStyle w:val="Prrafodelista"/>
        <w:numPr>
          <w:ilvl w:val="1"/>
          <w:numId w:val="33"/>
        </w:numPr>
        <w:spacing w:after="0" w:line="360" w:lineRule="auto"/>
        <w:jc w:val="both"/>
        <w:rPr>
          <w:rFonts w:ascii="Georgia" w:hAnsi="Georgia" w:cs="Arial"/>
          <w:smallCaps/>
          <w:spacing w:val="-3"/>
          <w:sz w:val="24"/>
          <w:szCs w:val="24"/>
        </w:rPr>
      </w:pPr>
      <w:r w:rsidRPr="006F18F9">
        <w:rPr>
          <w:rFonts w:ascii="Georgia" w:hAnsi="Georgia" w:cs="Arial"/>
          <w:smallCaps/>
          <w:spacing w:val="-3"/>
          <w:sz w:val="24"/>
          <w:szCs w:val="24"/>
        </w:rPr>
        <w:t>La honra y el buen nombre</w:t>
      </w:r>
    </w:p>
    <w:p w:rsidR="007615A1" w:rsidRPr="006F18F9" w:rsidRDefault="007615A1" w:rsidP="007615A1">
      <w:pPr>
        <w:spacing w:line="360" w:lineRule="auto"/>
        <w:jc w:val="both"/>
        <w:rPr>
          <w:rFonts w:ascii="Georgia" w:hAnsi="Georgia" w:cs="Arial"/>
          <w:spacing w:val="-3"/>
        </w:rPr>
      </w:pPr>
    </w:p>
    <w:p w:rsidR="007615A1" w:rsidRPr="006F18F9" w:rsidRDefault="007615A1" w:rsidP="007615A1">
      <w:pPr>
        <w:spacing w:line="360" w:lineRule="auto"/>
        <w:jc w:val="both"/>
        <w:rPr>
          <w:rFonts w:ascii="Georgia" w:hAnsi="Georgia" w:cs="Arial"/>
          <w:spacing w:val="-3"/>
        </w:rPr>
      </w:pPr>
      <w:r w:rsidRPr="006F18F9">
        <w:rPr>
          <w:rFonts w:ascii="Georgia" w:hAnsi="Georgia" w:cs="Arial"/>
          <w:spacing w:val="-3"/>
        </w:rPr>
        <w:t xml:space="preserve">Adicionalmente la promotora de la acción está contrariada por la respuesta que la doctora Ana María Valencia Montoya dio a uno de sus derechos de petición, </w:t>
      </w:r>
      <w:r w:rsidR="004219A1" w:rsidRPr="006F18F9">
        <w:rPr>
          <w:rFonts w:ascii="Georgia" w:hAnsi="Georgia" w:cs="Arial"/>
          <w:spacing w:val="-3"/>
        </w:rPr>
        <w:t>en el sentido que todas las afirmaciones allí expuestas afectan su reputación como estudiante y futura profesional de la medicina</w:t>
      </w:r>
      <w:r w:rsidR="009E55B5">
        <w:rPr>
          <w:rFonts w:ascii="Georgia" w:hAnsi="Georgia" w:cs="Arial"/>
          <w:spacing w:val="-3"/>
        </w:rPr>
        <w:t>,</w:t>
      </w:r>
      <w:r w:rsidR="004219A1" w:rsidRPr="006F18F9">
        <w:rPr>
          <w:rFonts w:ascii="Georgia" w:hAnsi="Georgia" w:cs="Arial"/>
          <w:spacing w:val="-3"/>
        </w:rPr>
        <w:t xml:space="preserve"> al referir que </w:t>
      </w:r>
      <w:r w:rsidR="00507F23">
        <w:rPr>
          <w:rFonts w:ascii="Georgia" w:hAnsi="Georgia" w:cs="Arial"/>
          <w:spacing w:val="-3"/>
        </w:rPr>
        <w:t>ina</w:t>
      </w:r>
      <w:r w:rsidR="004219A1" w:rsidRPr="006F18F9">
        <w:rPr>
          <w:rFonts w:ascii="Georgia" w:hAnsi="Georgia" w:cs="Arial"/>
          <w:spacing w:val="-3"/>
        </w:rPr>
        <w:t>sistió a las ayudantías quirúrgicas</w:t>
      </w:r>
      <w:r w:rsidR="00507F23">
        <w:rPr>
          <w:rFonts w:ascii="Georgia" w:hAnsi="Georgia" w:cs="Arial"/>
          <w:spacing w:val="-3"/>
        </w:rPr>
        <w:t>,</w:t>
      </w:r>
      <w:r w:rsidR="004219A1" w:rsidRPr="006F18F9">
        <w:rPr>
          <w:rFonts w:ascii="Georgia" w:hAnsi="Georgia" w:cs="Arial"/>
          <w:spacing w:val="-3"/>
        </w:rPr>
        <w:t xml:space="preserve"> ni presentó justificación, </w:t>
      </w:r>
      <w:r w:rsidR="004219A1" w:rsidRPr="006F18F9">
        <w:rPr>
          <w:rFonts w:ascii="Georgia" w:hAnsi="Georgia" w:cs="Arial"/>
          <w:spacing w:val="-3"/>
        </w:rPr>
        <w:lastRenderedPageBreak/>
        <w:t>brindó a sus compañeros de rotación información insuficiente sobre el estado de sus pacientes y sus conocimientos frente a patologías comunes y repetitivas no eran acordes con el nivel de un médico interno (Folios 23 y 24, ib.).</w:t>
      </w:r>
    </w:p>
    <w:p w:rsidR="004219A1" w:rsidRPr="006F18F9" w:rsidRDefault="004219A1" w:rsidP="007615A1">
      <w:pPr>
        <w:spacing w:line="360" w:lineRule="auto"/>
        <w:jc w:val="both"/>
        <w:rPr>
          <w:rFonts w:ascii="Georgia" w:hAnsi="Georgia" w:cs="Arial"/>
          <w:spacing w:val="-3"/>
        </w:rPr>
      </w:pPr>
    </w:p>
    <w:p w:rsidR="00AA2521" w:rsidRPr="006F18F9" w:rsidRDefault="004219A1" w:rsidP="007615A1">
      <w:pPr>
        <w:spacing w:line="360" w:lineRule="auto"/>
        <w:jc w:val="both"/>
        <w:rPr>
          <w:rFonts w:ascii="Georgia" w:hAnsi="Georgia" w:cs="Arial"/>
          <w:spacing w:val="-3"/>
        </w:rPr>
      </w:pPr>
      <w:r w:rsidRPr="006F18F9">
        <w:rPr>
          <w:rFonts w:ascii="Georgia" w:hAnsi="Georgia" w:cs="Arial"/>
          <w:spacing w:val="-3"/>
        </w:rPr>
        <w:t>Al respecto</w:t>
      </w:r>
      <w:r w:rsidR="00507F23">
        <w:rPr>
          <w:rFonts w:ascii="Georgia" w:hAnsi="Georgia" w:cs="Arial"/>
          <w:spacing w:val="-3"/>
        </w:rPr>
        <w:t>,</w:t>
      </w:r>
      <w:r w:rsidRPr="006F18F9">
        <w:rPr>
          <w:rFonts w:ascii="Georgia" w:hAnsi="Georgia" w:cs="Arial"/>
          <w:spacing w:val="-3"/>
        </w:rPr>
        <w:t xml:space="preserve"> para esta Magistratura</w:t>
      </w:r>
      <w:r w:rsidR="00507F23">
        <w:rPr>
          <w:rFonts w:ascii="Georgia" w:hAnsi="Georgia" w:cs="Arial"/>
          <w:spacing w:val="-3"/>
        </w:rPr>
        <w:t>,</w:t>
      </w:r>
      <w:r w:rsidRPr="006F18F9">
        <w:rPr>
          <w:rFonts w:ascii="Georgia" w:hAnsi="Georgia" w:cs="Arial"/>
          <w:spacing w:val="-3"/>
        </w:rPr>
        <w:t xml:space="preserve"> aquella respuesta dista de menoscabar los derechos a la honra y al buen nombre de la actora, en primer lugar, porque se trata de una comunicación que se puso en conocimiento del doctor </w:t>
      </w:r>
      <w:r w:rsidR="00507F23" w:rsidRPr="006F18F9">
        <w:rPr>
          <w:rFonts w:ascii="Georgia" w:hAnsi="Georgia" w:cs="Arial"/>
          <w:spacing w:val="-3"/>
        </w:rPr>
        <w:t>Héctor</w:t>
      </w:r>
      <w:r w:rsidRPr="006F18F9">
        <w:rPr>
          <w:rFonts w:ascii="Georgia" w:hAnsi="Georgia" w:cs="Arial"/>
          <w:spacing w:val="-3"/>
        </w:rPr>
        <w:t xml:space="preserve"> Fabio Gallo Mosquera, Departamento de Ciencias Clínicas de la UTP, quien la requirió</w:t>
      </w:r>
      <w:r w:rsidR="00AA2521" w:rsidRPr="006F18F9">
        <w:rPr>
          <w:rFonts w:ascii="Georgia" w:hAnsi="Georgia" w:cs="Arial"/>
          <w:spacing w:val="-3"/>
        </w:rPr>
        <w:t xml:space="preserve"> con fundamento en </w:t>
      </w:r>
      <w:r w:rsidR="00507F23">
        <w:rPr>
          <w:rFonts w:ascii="Georgia" w:hAnsi="Georgia" w:cs="Arial"/>
          <w:spacing w:val="-3"/>
        </w:rPr>
        <w:t xml:space="preserve">una de las peticiones </w:t>
      </w:r>
      <w:r w:rsidR="00AA2521" w:rsidRPr="006F18F9">
        <w:rPr>
          <w:rFonts w:ascii="Georgia" w:hAnsi="Georgia" w:cs="Arial"/>
          <w:spacing w:val="-3"/>
        </w:rPr>
        <w:t xml:space="preserve">de la actora, </w:t>
      </w:r>
      <w:r w:rsidR="00507F23">
        <w:rPr>
          <w:rFonts w:ascii="Georgia" w:hAnsi="Georgia" w:cs="Arial"/>
          <w:spacing w:val="-3"/>
        </w:rPr>
        <w:t xml:space="preserve">además de que tampoco fue </w:t>
      </w:r>
      <w:r w:rsidR="00AA2521" w:rsidRPr="006F18F9">
        <w:rPr>
          <w:rFonts w:ascii="Georgia" w:hAnsi="Georgia" w:cs="Arial"/>
          <w:spacing w:val="-3"/>
        </w:rPr>
        <w:t>divulgada a la comunidad en general</w:t>
      </w:r>
      <w:r w:rsidR="00507F23">
        <w:rPr>
          <w:rFonts w:ascii="Georgia" w:hAnsi="Georgia" w:cs="Arial"/>
          <w:spacing w:val="-3"/>
        </w:rPr>
        <w:t>,</w:t>
      </w:r>
      <w:r w:rsidR="00AA2521" w:rsidRPr="006F18F9">
        <w:rPr>
          <w:rFonts w:ascii="Georgia" w:hAnsi="Georgia" w:cs="Arial"/>
          <w:spacing w:val="-3"/>
        </w:rPr>
        <w:t xml:space="preserve"> ni a los médicos y estudiantes de esa carrera.</w:t>
      </w:r>
    </w:p>
    <w:p w:rsidR="00AA2521" w:rsidRPr="006F18F9" w:rsidRDefault="00AA2521" w:rsidP="007615A1">
      <w:pPr>
        <w:spacing w:line="360" w:lineRule="auto"/>
        <w:jc w:val="both"/>
        <w:rPr>
          <w:rFonts w:ascii="Georgia" w:hAnsi="Georgia" w:cs="Arial"/>
          <w:spacing w:val="-3"/>
        </w:rPr>
      </w:pPr>
    </w:p>
    <w:p w:rsidR="00AA2521" w:rsidRPr="006F18F9" w:rsidRDefault="00AA2521" w:rsidP="007615A1">
      <w:pPr>
        <w:spacing w:line="360" w:lineRule="auto"/>
        <w:jc w:val="both"/>
        <w:rPr>
          <w:rFonts w:ascii="Georgia" w:hAnsi="Georgia" w:cs="Arial"/>
          <w:spacing w:val="-3"/>
        </w:rPr>
      </w:pPr>
      <w:r w:rsidRPr="006F18F9">
        <w:rPr>
          <w:rFonts w:ascii="Georgia" w:hAnsi="Georgia" w:cs="Arial"/>
          <w:spacing w:val="-3"/>
        </w:rPr>
        <w:t xml:space="preserve">Y en segundo lugar, porque de su contenido no se desprenden vejámenes, ultrajes, maltrato ni agravio contra la persona de la actora, </w:t>
      </w:r>
      <w:r w:rsidR="00507F23">
        <w:rPr>
          <w:rFonts w:ascii="Georgia" w:hAnsi="Georgia" w:cs="Arial"/>
          <w:spacing w:val="-3"/>
        </w:rPr>
        <w:t xml:space="preserve">en </w:t>
      </w:r>
      <w:r w:rsidRPr="006F18F9">
        <w:rPr>
          <w:rFonts w:ascii="Georgia" w:hAnsi="Georgia" w:cs="Arial"/>
          <w:spacing w:val="-3"/>
        </w:rPr>
        <w:t xml:space="preserve">su contenido se </w:t>
      </w:r>
      <w:r w:rsidR="00507F23">
        <w:rPr>
          <w:rFonts w:ascii="Georgia" w:hAnsi="Georgia" w:cs="Arial"/>
          <w:spacing w:val="-3"/>
        </w:rPr>
        <w:t xml:space="preserve">hallan </w:t>
      </w:r>
      <w:r w:rsidRPr="006F18F9">
        <w:rPr>
          <w:rFonts w:ascii="Georgia" w:hAnsi="Georgia" w:cs="Arial"/>
          <w:spacing w:val="-3"/>
        </w:rPr>
        <w:t xml:space="preserve">argumentos estrictamente relacionados con su desempeño académico y que se tuvieron en cuenta para </w:t>
      </w:r>
      <w:r w:rsidR="00507F23">
        <w:rPr>
          <w:rFonts w:ascii="Georgia" w:hAnsi="Georgia" w:cs="Arial"/>
          <w:spacing w:val="-3"/>
        </w:rPr>
        <w:t xml:space="preserve">la </w:t>
      </w:r>
      <w:r w:rsidRPr="006F18F9">
        <w:rPr>
          <w:rFonts w:ascii="Georgia" w:hAnsi="Georgia" w:cs="Arial"/>
          <w:spacing w:val="-3"/>
        </w:rPr>
        <w:t>calificación insatisfactoria, mismo</w:t>
      </w:r>
      <w:r w:rsidR="00507F23">
        <w:rPr>
          <w:rFonts w:ascii="Georgia" w:hAnsi="Georgia" w:cs="Arial"/>
          <w:spacing w:val="-3"/>
        </w:rPr>
        <w:t>s</w:t>
      </w:r>
      <w:r w:rsidRPr="006F18F9">
        <w:rPr>
          <w:rFonts w:ascii="Georgia" w:hAnsi="Georgia" w:cs="Arial"/>
          <w:spacing w:val="-3"/>
        </w:rPr>
        <w:t xml:space="preserve"> que concuerdan con las apreciaciones de los demás docentes asistenciales de la rotación (Folios 63 a 71, ib.); es imposible hablar de desinformación malintencionada cuando todos los docentes coinciden en </w:t>
      </w:r>
      <w:r w:rsidR="00507F23">
        <w:rPr>
          <w:rFonts w:ascii="Georgia" w:hAnsi="Georgia" w:cs="Arial"/>
          <w:spacing w:val="-3"/>
        </w:rPr>
        <w:t xml:space="preserve">similares </w:t>
      </w:r>
      <w:r w:rsidRPr="006F18F9">
        <w:rPr>
          <w:rFonts w:ascii="Georgia" w:hAnsi="Georgia" w:cs="Arial"/>
          <w:spacing w:val="-3"/>
        </w:rPr>
        <w:t>falencias prácticas y académicas de la actora.</w:t>
      </w:r>
    </w:p>
    <w:p w:rsidR="00AA2521" w:rsidRPr="006F18F9" w:rsidRDefault="00AA2521" w:rsidP="007615A1">
      <w:pPr>
        <w:spacing w:line="360" w:lineRule="auto"/>
        <w:jc w:val="both"/>
        <w:rPr>
          <w:rFonts w:ascii="Georgia" w:hAnsi="Georgia" w:cs="Arial"/>
          <w:spacing w:val="-3"/>
        </w:rPr>
      </w:pPr>
    </w:p>
    <w:p w:rsidR="00E609C2" w:rsidRPr="006F18F9" w:rsidRDefault="000261C8" w:rsidP="00703FBD">
      <w:pPr>
        <w:spacing w:line="360" w:lineRule="auto"/>
        <w:jc w:val="both"/>
        <w:rPr>
          <w:rFonts w:ascii="Georgia" w:hAnsi="Georgia" w:cs="Arial"/>
          <w:spacing w:val="-3"/>
          <w:lang w:val="es-CO"/>
        </w:rPr>
      </w:pPr>
      <w:r w:rsidRPr="006F18F9">
        <w:rPr>
          <w:rFonts w:ascii="Georgia" w:hAnsi="Georgia" w:cs="Arial"/>
          <w:spacing w:val="-3"/>
          <w:lang w:val="es-CO"/>
        </w:rPr>
        <w:t>De otro lado y</w:t>
      </w:r>
      <w:r w:rsidR="00507F23">
        <w:rPr>
          <w:rFonts w:ascii="Georgia" w:hAnsi="Georgia" w:cs="Arial"/>
          <w:spacing w:val="-3"/>
          <w:lang w:val="es-CO"/>
        </w:rPr>
        <w:t>,</w:t>
      </w:r>
      <w:r w:rsidRPr="006F18F9">
        <w:rPr>
          <w:rFonts w:ascii="Georgia" w:hAnsi="Georgia" w:cs="Arial"/>
          <w:spacing w:val="-3"/>
          <w:lang w:val="es-CO"/>
        </w:rPr>
        <w:t xml:space="preserve"> finalmente, en lo que respecta a que </w:t>
      </w:r>
      <w:r w:rsidR="00507F23">
        <w:rPr>
          <w:rFonts w:ascii="Georgia" w:hAnsi="Georgia" w:cs="Arial"/>
          <w:spacing w:val="-3"/>
          <w:lang w:val="es-CO"/>
        </w:rPr>
        <w:t xml:space="preserve">se pretermitió </w:t>
      </w:r>
      <w:r w:rsidRPr="006F18F9">
        <w:rPr>
          <w:rFonts w:ascii="Georgia" w:hAnsi="Georgia" w:cs="Arial"/>
          <w:spacing w:val="-3"/>
          <w:lang w:val="es-CO"/>
        </w:rPr>
        <w:t xml:space="preserve">la investigación disciplinaria correspondiente frente a la doctora Valencia Montoya, queja expuesta en la impugnación (Folio 221, ib.), de entrada advierte la Corporación la ausencia fáctica, en el entendido que la actuación administrativa se adelantó durante el trámite de la acción y la decisión cuestionada se tomó el 25-07-2017, es decir, con posterioridad a la promoción del amparo, 16-07-2017 (Folio 73, ib.), por lo tanto es inviable cuestionar aquel trámite y menos su resultado, cuando para la época de la radicación de la tutela no se había finiquitado, en consecuencia, se adicionará un numeral para negar esta petición subsidiaria </w:t>
      </w:r>
    </w:p>
    <w:p w:rsidR="000261C8" w:rsidRPr="006F18F9" w:rsidRDefault="000261C8" w:rsidP="00703FBD">
      <w:pPr>
        <w:spacing w:line="360" w:lineRule="auto"/>
        <w:jc w:val="both"/>
        <w:rPr>
          <w:rFonts w:ascii="Georgia" w:hAnsi="Georgia" w:cs="Arial"/>
          <w:spacing w:val="-3"/>
          <w:lang w:val="es-CO"/>
        </w:rPr>
      </w:pPr>
    </w:p>
    <w:p w:rsidR="00D4466B" w:rsidRPr="006F18F9" w:rsidRDefault="00D4466B" w:rsidP="002C4FE7">
      <w:pPr>
        <w:pStyle w:val="Textoindependiente"/>
        <w:numPr>
          <w:ilvl w:val="0"/>
          <w:numId w:val="33"/>
        </w:numPr>
        <w:spacing w:line="360" w:lineRule="auto"/>
        <w:ind w:right="567"/>
        <w:textAlignment w:val="auto"/>
        <w:rPr>
          <w:rFonts w:ascii="Georgia" w:hAnsi="Georgia" w:cs="Arial"/>
          <w:sz w:val="24"/>
          <w:szCs w:val="24"/>
          <w:lang w:val="es-CO"/>
        </w:rPr>
      </w:pPr>
      <w:r w:rsidRPr="006F18F9">
        <w:rPr>
          <w:rFonts w:ascii="Georgia" w:hAnsi="Georgia" w:cs="Arial"/>
          <w:sz w:val="24"/>
          <w:szCs w:val="24"/>
          <w:lang w:val="es-CO"/>
        </w:rPr>
        <w:t xml:space="preserve">LAS CONCLUSIONES </w:t>
      </w:r>
    </w:p>
    <w:p w:rsidR="00F407B5" w:rsidRPr="006F18F9" w:rsidRDefault="00F407B5" w:rsidP="00F407B5">
      <w:pPr>
        <w:pStyle w:val="Textoindependiente"/>
        <w:spacing w:line="360" w:lineRule="auto"/>
        <w:ind w:left="390" w:right="567"/>
        <w:textAlignment w:val="auto"/>
        <w:rPr>
          <w:rFonts w:ascii="Georgia" w:hAnsi="Georgia" w:cs="Arial"/>
          <w:sz w:val="24"/>
          <w:szCs w:val="24"/>
          <w:lang w:val="es-CO"/>
        </w:rPr>
      </w:pPr>
    </w:p>
    <w:p w:rsidR="00CF088B" w:rsidRPr="006F18F9" w:rsidRDefault="00CF088B" w:rsidP="00CF088B">
      <w:pPr>
        <w:spacing w:line="360" w:lineRule="auto"/>
        <w:jc w:val="both"/>
        <w:rPr>
          <w:rFonts w:ascii="Georgia" w:hAnsi="Georgia" w:cs="Arial"/>
          <w:lang w:val="es-CO"/>
        </w:rPr>
      </w:pPr>
      <w:r w:rsidRPr="006F18F9">
        <w:rPr>
          <w:rFonts w:ascii="Georgia" w:hAnsi="Georgia" w:cs="Arial"/>
          <w:lang w:val="es-CO"/>
        </w:rPr>
        <w:t xml:space="preserve">En armonía con lo afirmado </w:t>
      </w:r>
      <w:r w:rsidR="007A4604" w:rsidRPr="006F18F9">
        <w:rPr>
          <w:rFonts w:ascii="Georgia" w:hAnsi="Georgia" w:cs="Arial"/>
          <w:lang w:val="es-CO"/>
        </w:rPr>
        <w:t xml:space="preserve">(i) </w:t>
      </w:r>
      <w:r w:rsidRPr="006F18F9">
        <w:rPr>
          <w:rFonts w:ascii="Georgia" w:hAnsi="Georgia" w:cs="Arial"/>
          <w:lang w:val="es-CO"/>
        </w:rPr>
        <w:t>se confirmará la decisión confutada</w:t>
      </w:r>
      <w:r w:rsidR="007A4604" w:rsidRPr="006F18F9">
        <w:rPr>
          <w:rFonts w:ascii="Georgia" w:hAnsi="Georgia" w:cs="Arial"/>
          <w:lang w:val="es-CO"/>
        </w:rPr>
        <w:t xml:space="preserve">; </w:t>
      </w:r>
      <w:r w:rsidR="000261C8" w:rsidRPr="006F18F9">
        <w:rPr>
          <w:rFonts w:ascii="Georgia" w:hAnsi="Georgia" w:cs="Arial"/>
          <w:lang w:val="es-CO"/>
        </w:rPr>
        <w:t xml:space="preserve">y, </w:t>
      </w:r>
      <w:r w:rsidR="007A4604" w:rsidRPr="006F18F9">
        <w:rPr>
          <w:rFonts w:ascii="Georgia" w:hAnsi="Georgia" w:cs="Arial"/>
          <w:lang w:val="es-CO"/>
        </w:rPr>
        <w:t xml:space="preserve">(ii) </w:t>
      </w:r>
      <w:r w:rsidR="00031CFF" w:rsidRPr="006F18F9">
        <w:rPr>
          <w:rFonts w:ascii="Georgia" w:hAnsi="Georgia" w:cs="Arial"/>
          <w:lang w:val="es-CO"/>
        </w:rPr>
        <w:t xml:space="preserve">se </w:t>
      </w:r>
      <w:r w:rsidR="000261C8" w:rsidRPr="006F18F9">
        <w:rPr>
          <w:rFonts w:ascii="Georgia" w:hAnsi="Georgia" w:cs="Arial"/>
          <w:lang w:val="es-CO"/>
        </w:rPr>
        <w:t xml:space="preserve">adicionará un </w:t>
      </w:r>
      <w:r w:rsidR="00031CFF" w:rsidRPr="006F18F9">
        <w:rPr>
          <w:rFonts w:ascii="Georgia" w:hAnsi="Georgia" w:cs="Arial"/>
          <w:lang w:val="es-CO"/>
        </w:rPr>
        <w:t xml:space="preserve">numeral </w:t>
      </w:r>
      <w:r w:rsidR="000261C8" w:rsidRPr="006F18F9">
        <w:rPr>
          <w:rFonts w:ascii="Georgia" w:hAnsi="Georgia" w:cs="Arial"/>
          <w:lang w:val="es-CO"/>
        </w:rPr>
        <w:t xml:space="preserve">para también </w:t>
      </w:r>
      <w:r w:rsidR="007A4604" w:rsidRPr="006F18F9">
        <w:rPr>
          <w:rFonts w:ascii="Georgia" w:hAnsi="Georgia" w:cs="Arial"/>
          <w:lang w:val="es-CO"/>
        </w:rPr>
        <w:t xml:space="preserve">negar el amparo </w:t>
      </w:r>
      <w:r w:rsidR="000261C8" w:rsidRPr="006F18F9">
        <w:rPr>
          <w:rFonts w:ascii="Georgia" w:hAnsi="Georgia" w:cs="Arial"/>
          <w:lang w:val="es-CO"/>
        </w:rPr>
        <w:t xml:space="preserve">por inexistencia fáctica respecto del derecho fundamental al debido proceso presuntamente vulnerado en el trámite administrativo adelantado frente a la doctora Ana María Valencia Montoya. </w:t>
      </w:r>
    </w:p>
    <w:p w:rsidR="00CF088B" w:rsidRPr="006F18F9" w:rsidRDefault="00CF088B" w:rsidP="00CF088B">
      <w:pPr>
        <w:spacing w:line="360" w:lineRule="auto"/>
        <w:ind w:right="51"/>
        <w:jc w:val="both"/>
        <w:rPr>
          <w:rFonts w:ascii="Georgia" w:hAnsi="Georgia" w:cs="Arial"/>
        </w:rPr>
      </w:pPr>
    </w:p>
    <w:p w:rsidR="00CF088B" w:rsidRPr="006F18F9" w:rsidRDefault="00CF088B" w:rsidP="00CF088B">
      <w:pPr>
        <w:tabs>
          <w:tab w:val="left" w:pos="-720"/>
        </w:tabs>
        <w:suppressAutoHyphens/>
        <w:spacing w:line="360" w:lineRule="auto"/>
        <w:jc w:val="both"/>
        <w:rPr>
          <w:rFonts w:ascii="Georgia" w:hAnsi="Georgia" w:cs="Arial"/>
        </w:rPr>
      </w:pPr>
      <w:r w:rsidRPr="006F18F9">
        <w:rPr>
          <w:rFonts w:ascii="Georgia" w:hAnsi="Georgia" w:cs="Arial"/>
        </w:rPr>
        <w:t xml:space="preserve">En mérito de los razonamientos jurídicos hechos, el </w:t>
      </w:r>
      <w:r w:rsidRPr="006F18F9">
        <w:rPr>
          <w:rFonts w:ascii="Georgia" w:hAnsi="Georgia" w:cs="Arial"/>
          <w:bCs/>
          <w:smallCaps/>
        </w:rPr>
        <w:t>Tribunal Superior del Distrito Judicial de Pereira, en Sala decisión Civil - Familia</w:t>
      </w:r>
      <w:r w:rsidRPr="006F18F9">
        <w:rPr>
          <w:rFonts w:ascii="Georgia" w:hAnsi="Georgia" w:cs="Arial"/>
        </w:rPr>
        <w:t xml:space="preserve">, administrando Justicia, en nombre de </w:t>
      </w:r>
      <w:smartTag w:uri="urn:schemas-microsoft-com:office:smarttags" w:element="PersonName">
        <w:smartTagPr>
          <w:attr w:name="ProductID" w:val="la Rep￺blica"/>
        </w:smartTagPr>
        <w:r w:rsidRPr="006F18F9">
          <w:rPr>
            <w:rFonts w:ascii="Georgia" w:hAnsi="Georgia" w:cs="Arial"/>
          </w:rPr>
          <w:t>la República</w:t>
        </w:r>
      </w:smartTag>
      <w:r w:rsidRPr="006F18F9">
        <w:rPr>
          <w:rFonts w:ascii="Georgia" w:hAnsi="Georgia" w:cs="Arial"/>
        </w:rPr>
        <w:t xml:space="preserve"> y por autoridad de </w:t>
      </w:r>
      <w:smartTag w:uri="urn:schemas-microsoft-com:office:smarttags" w:element="PersonName">
        <w:smartTagPr>
          <w:attr w:name="ProductID" w:val="la Ley"/>
        </w:smartTagPr>
        <w:r w:rsidRPr="006F18F9">
          <w:rPr>
            <w:rFonts w:ascii="Georgia" w:hAnsi="Georgia" w:cs="Arial"/>
          </w:rPr>
          <w:t>la Ley</w:t>
        </w:r>
      </w:smartTag>
      <w:r w:rsidRPr="006F18F9">
        <w:rPr>
          <w:rFonts w:ascii="Georgia" w:hAnsi="Georgia" w:cs="Arial"/>
        </w:rPr>
        <w:t>,</w:t>
      </w:r>
    </w:p>
    <w:p w:rsidR="00CF088B" w:rsidRPr="006F18F9" w:rsidRDefault="00CF088B" w:rsidP="00CF088B">
      <w:pPr>
        <w:pStyle w:val="Textoindependiente"/>
        <w:spacing w:line="360" w:lineRule="auto"/>
        <w:jc w:val="center"/>
        <w:rPr>
          <w:rFonts w:ascii="Georgia" w:hAnsi="Georgia" w:cs="Arial"/>
          <w:bCs/>
          <w:smallCaps/>
          <w:sz w:val="2"/>
          <w:szCs w:val="24"/>
        </w:rPr>
      </w:pPr>
    </w:p>
    <w:p w:rsidR="00507F23" w:rsidRDefault="00507F23" w:rsidP="00CF088B">
      <w:pPr>
        <w:pStyle w:val="Textoindependiente"/>
        <w:spacing w:line="360" w:lineRule="auto"/>
        <w:jc w:val="center"/>
        <w:rPr>
          <w:rFonts w:ascii="Georgia" w:hAnsi="Georgia" w:cs="Arial"/>
          <w:bCs/>
          <w:smallCaps/>
          <w:sz w:val="28"/>
          <w:szCs w:val="24"/>
        </w:rPr>
      </w:pPr>
    </w:p>
    <w:p w:rsidR="00CF088B" w:rsidRDefault="00CF088B" w:rsidP="00CF088B">
      <w:pPr>
        <w:pStyle w:val="Textoindependiente"/>
        <w:spacing w:line="360" w:lineRule="auto"/>
        <w:jc w:val="center"/>
        <w:rPr>
          <w:rFonts w:ascii="Georgia" w:hAnsi="Georgia" w:cs="Arial"/>
          <w:bCs/>
          <w:smallCaps/>
          <w:sz w:val="28"/>
          <w:szCs w:val="24"/>
        </w:rPr>
      </w:pPr>
      <w:r w:rsidRPr="006F18F9">
        <w:rPr>
          <w:rFonts w:ascii="Georgia" w:hAnsi="Georgia" w:cs="Arial"/>
          <w:bCs/>
          <w:smallCaps/>
          <w:sz w:val="28"/>
          <w:szCs w:val="24"/>
        </w:rPr>
        <w:t>F a l l a:</w:t>
      </w:r>
    </w:p>
    <w:p w:rsidR="00507F23" w:rsidRPr="006F18F9" w:rsidRDefault="00507F23" w:rsidP="00CF088B">
      <w:pPr>
        <w:pStyle w:val="Textoindependiente"/>
        <w:spacing w:line="360" w:lineRule="auto"/>
        <w:jc w:val="center"/>
        <w:rPr>
          <w:rFonts w:ascii="Georgia" w:hAnsi="Georgia" w:cs="Arial"/>
          <w:bCs/>
          <w:smallCaps/>
          <w:sz w:val="28"/>
          <w:szCs w:val="24"/>
        </w:rPr>
      </w:pPr>
    </w:p>
    <w:p w:rsidR="00590D26" w:rsidRPr="006F18F9" w:rsidRDefault="00692756"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cs="Arial"/>
          <w:lang w:val="es-CO"/>
        </w:rPr>
        <w:t xml:space="preserve">CONFIRMAR la </w:t>
      </w:r>
      <w:r w:rsidRPr="006F18F9">
        <w:rPr>
          <w:rFonts w:ascii="Georgia" w:hAnsi="Georgia"/>
          <w:spacing w:val="-3"/>
          <w:lang w:val="es-ES_tradnl"/>
        </w:rPr>
        <w:t xml:space="preserve">sentencia </w:t>
      </w:r>
      <w:r w:rsidRPr="006F18F9">
        <w:rPr>
          <w:rFonts w:ascii="Georgia" w:hAnsi="Georgia" w:cs="Arial"/>
          <w:lang w:val="es-CO"/>
        </w:rPr>
        <w:t>f</w:t>
      </w:r>
      <w:r w:rsidRPr="006F18F9">
        <w:rPr>
          <w:rFonts w:ascii="Georgia" w:hAnsi="Georgia" w:cs="Arial"/>
        </w:rPr>
        <w:t xml:space="preserve">echada el </w:t>
      </w:r>
      <w:r w:rsidR="000261C8" w:rsidRPr="006F18F9">
        <w:rPr>
          <w:rFonts w:ascii="Georgia" w:hAnsi="Georgia" w:cs="Arial"/>
        </w:rPr>
        <w:t xml:space="preserve">18-08-2017 </w:t>
      </w:r>
      <w:r w:rsidRPr="006F18F9">
        <w:rPr>
          <w:rFonts w:ascii="Georgia" w:hAnsi="Georgia" w:cs="Arial"/>
        </w:rPr>
        <w:t xml:space="preserve">dictada por </w:t>
      </w:r>
      <w:r w:rsidRPr="006F18F9">
        <w:rPr>
          <w:rFonts w:ascii="Georgia" w:hAnsi="Georgia" w:cs="Arial"/>
          <w:lang w:val="es-CO"/>
        </w:rPr>
        <w:t xml:space="preserve">el Juzgado </w:t>
      </w:r>
      <w:r w:rsidR="000261C8" w:rsidRPr="006F18F9">
        <w:rPr>
          <w:rFonts w:ascii="Georgia" w:hAnsi="Georgia" w:cs="Arial"/>
          <w:lang w:val="es-CO"/>
        </w:rPr>
        <w:t>Segundo Civil del Circuito de Pereira</w:t>
      </w:r>
      <w:r w:rsidRPr="006F18F9">
        <w:rPr>
          <w:rFonts w:ascii="Georgia" w:hAnsi="Georgia" w:cs="Arial"/>
          <w:lang w:val="es-CO"/>
        </w:rPr>
        <w:t>.</w:t>
      </w:r>
    </w:p>
    <w:p w:rsidR="00590D26" w:rsidRPr="006F18F9" w:rsidRDefault="00590D26" w:rsidP="00590D26">
      <w:pPr>
        <w:widowControl/>
        <w:autoSpaceDE/>
        <w:autoSpaceDN/>
        <w:adjustRightInd/>
        <w:spacing w:line="360" w:lineRule="auto"/>
        <w:ind w:left="360"/>
        <w:jc w:val="both"/>
        <w:rPr>
          <w:rFonts w:ascii="Georgia" w:hAnsi="Georgia" w:cs="Arial"/>
          <w:lang w:val="es-CO"/>
        </w:rPr>
      </w:pPr>
    </w:p>
    <w:p w:rsidR="007A4604" w:rsidRPr="006F18F9" w:rsidRDefault="000261C8"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cs="Arial"/>
          <w:lang w:val="es-CO"/>
        </w:rPr>
        <w:t>ADICIONAR un numeral</w:t>
      </w:r>
      <w:r w:rsidR="00590D26" w:rsidRPr="006F18F9">
        <w:rPr>
          <w:rFonts w:ascii="Georgia" w:hAnsi="Georgia" w:cs="Arial"/>
          <w:lang w:val="es-CO"/>
        </w:rPr>
        <w:t xml:space="preserve">, para </w:t>
      </w:r>
      <w:r w:rsidR="007A4604" w:rsidRPr="006F18F9">
        <w:rPr>
          <w:rFonts w:ascii="Georgia" w:hAnsi="Georgia" w:cs="Arial"/>
          <w:lang w:val="es-CO"/>
        </w:rPr>
        <w:t xml:space="preserve">NEGAR el amparo del derecho fundamental </w:t>
      </w:r>
      <w:r w:rsidRPr="006F18F9">
        <w:rPr>
          <w:rFonts w:ascii="Georgia" w:hAnsi="Georgia" w:cs="Arial"/>
          <w:lang w:val="es-CO"/>
        </w:rPr>
        <w:t xml:space="preserve">al debido proceso </w:t>
      </w:r>
      <w:r w:rsidR="007A4604" w:rsidRPr="006F18F9">
        <w:rPr>
          <w:rFonts w:ascii="Georgia" w:hAnsi="Georgia" w:cs="Arial"/>
          <w:lang w:val="es-CO"/>
        </w:rPr>
        <w:t xml:space="preserve">por inexistencia </w:t>
      </w:r>
      <w:r w:rsidRPr="006F18F9">
        <w:rPr>
          <w:rFonts w:ascii="Georgia" w:hAnsi="Georgia" w:cs="Arial"/>
          <w:lang w:val="es-CO"/>
        </w:rPr>
        <w:t>fáctica</w:t>
      </w:r>
      <w:r w:rsidR="007A4604" w:rsidRPr="006F18F9">
        <w:rPr>
          <w:rFonts w:ascii="Georgia" w:hAnsi="Georgia" w:cs="Arial"/>
          <w:lang w:val="es-CO"/>
        </w:rPr>
        <w:t>.</w:t>
      </w:r>
    </w:p>
    <w:p w:rsidR="007A4604" w:rsidRPr="006F18F9" w:rsidRDefault="007A4604" w:rsidP="007A4604">
      <w:pPr>
        <w:pStyle w:val="Prrafodelista"/>
        <w:rPr>
          <w:rFonts w:ascii="Georgia" w:hAnsi="Georgia" w:cs="Arial"/>
        </w:rPr>
      </w:pPr>
    </w:p>
    <w:p w:rsidR="00590D26" w:rsidRPr="00507F23"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rPr>
        <w:t>NOTIFICAR esta decisión a todas las partes, por el medio más expedito y eficaz.</w:t>
      </w:r>
    </w:p>
    <w:p w:rsidR="00507F23" w:rsidRPr="006F18F9" w:rsidRDefault="00507F23" w:rsidP="00507F23">
      <w:pPr>
        <w:widowControl/>
        <w:autoSpaceDE/>
        <w:autoSpaceDN/>
        <w:adjustRightInd/>
        <w:spacing w:line="360" w:lineRule="auto"/>
        <w:jc w:val="both"/>
        <w:rPr>
          <w:rFonts w:ascii="Georgia" w:hAnsi="Georgia" w:cs="Arial"/>
          <w:lang w:val="es-CO"/>
        </w:rPr>
      </w:pPr>
    </w:p>
    <w:p w:rsidR="00D4466B" w:rsidRPr="006F18F9"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F18F9">
        <w:rPr>
          <w:rFonts w:ascii="Georgia" w:hAnsi="Georgia"/>
        </w:rPr>
        <w:t xml:space="preserve">REMITIR el expediente a la </w:t>
      </w:r>
      <w:r w:rsidR="00F407B5" w:rsidRPr="006F18F9">
        <w:rPr>
          <w:rFonts w:ascii="Georgia" w:hAnsi="Georgia"/>
        </w:rPr>
        <w:t>CC</w:t>
      </w:r>
      <w:r w:rsidRPr="006F18F9">
        <w:rPr>
          <w:rFonts w:ascii="Georgia" w:hAnsi="Georgia"/>
        </w:rPr>
        <w:t xml:space="preserve"> para su eventual revisión.</w:t>
      </w:r>
    </w:p>
    <w:p w:rsidR="002F2011" w:rsidRPr="006F18F9" w:rsidRDefault="002F2011" w:rsidP="002F2011">
      <w:pPr>
        <w:pStyle w:val="Textoindependiente"/>
        <w:tabs>
          <w:tab w:val="clear" w:pos="1416"/>
          <w:tab w:val="left" w:pos="426"/>
        </w:tabs>
        <w:spacing w:line="360" w:lineRule="auto"/>
        <w:ind w:left="360"/>
        <w:rPr>
          <w:rFonts w:ascii="Georgia" w:hAnsi="Georgia" w:cs="Arial"/>
          <w:szCs w:val="24"/>
        </w:rPr>
      </w:pPr>
    </w:p>
    <w:p w:rsidR="003913E3" w:rsidRPr="006F18F9" w:rsidRDefault="003913E3" w:rsidP="00F839CE">
      <w:pPr>
        <w:pStyle w:val="Textoindependiente"/>
        <w:spacing w:line="360" w:lineRule="auto"/>
        <w:jc w:val="center"/>
        <w:rPr>
          <w:rFonts w:ascii="Georgia" w:hAnsi="Georgia" w:cs="Arial"/>
          <w:smallCaps/>
          <w:sz w:val="28"/>
          <w:szCs w:val="24"/>
          <w:lang w:val="en-US"/>
        </w:rPr>
      </w:pPr>
      <w:r w:rsidRPr="006F18F9">
        <w:rPr>
          <w:rFonts w:ascii="Georgia" w:hAnsi="Georgia" w:cs="Arial"/>
          <w:smallCaps/>
          <w:sz w:val="28"/>
          <w:szCs w:val="24"/>
          <w:lang w:val="en-US"/>
        </w:rPr>
        <w:t>Notifíquese,</w:t>
      </w: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F18F9">
        <w:rPr>
          <w:rFonts w:ascii="Georgia" w:hAnsi="Georgia" w:cs="Arial"/>
          <w:i/>
          <w:spacing w:val="-3"/>
          <w:w w:val="150"/>
          <w:sz w:val="28"/>
          <w:lang w:val="en-US"/>
        </w:rPr>
        <w:t>D</w:t>
      </w:r>
      <w:r w:rsidRPr="006F18F9">
        <w:rPr>
          <w:rFonts w:ascii="Georgia" w:hAnsi="Georgia" w:cs="Arial"/>
          <w:i/>
          <w:spacing w:val="-3"/>
          <w:w w:val="150"/>
          <w:sz w:val="18"/>
          <w:szCs w:val="16"/>
          <w:lang w:val="en-US"/>
        </w:rPr>
        <w:t xml:space="preserve">UBERNEY </w:t>
      </w:r>
      <w:r w:rsidRPr="006F18F9">
        <w:rPr>
          <w:rFonts w:ascii="Georgia" w:hAnsi="Georgia" w:cs="Arial"/>
          <w:i/>
          <w:spacing w:val="-3"/>
          <w:w w:val="150"/>
          <w:sz w:val="28"/>
          <w:lang w:val="en-US"/>
        </w:rPr>
        <w:t>G</w:t>
      </w:r>
      <w:r w:rsidRPr="006F18F9">
        <w:rPr>
          <w:rFonts w:ascii="Georgia" w:hAnsi="Georgia" w:cs="Arial"/>
          <w:i/>
          <w:spacing w:val="-3"/>
          <w:w w:val="150"/>
          <w:sz w:val="18"/>
          <w:szCs w:val="16"/>
          <w:lang w:val="en-US"/>
        </w:rPr>
        <w:t xml:space="preserve">RISALES </w:t>
      </w:r>
      <w:r w:rsidRPr="006F18F9">
        <w:rPr>
          <w:rFonts w:ascii="Georgia" w:hAnsi="Georgia" w:cs="Arial"/>
          <w:i/>
          <w:spacing w:val="-3"/>
          <w:w w:val="150"/>
          <w:sz w:val="28"/>
          <w:lang w:val="en-US"/>
        </w:rPr>
        <w:t>H</w:t>
      </w:r>
      <w:r w:rsidRPr="006F18F9">
        <w:rPr>
          <w:rFonts w:ascii="Georgia" w:hAnsi="Georgia" w:cs="Arial"/>
          <w:i/>
          <w:spacing w:val="-3"/>
          <w:w w:val="150"/>
          <w:sz w:val="18"/>
          <w:szCs w:val="16"/>
          <w:lang w:val="en-US"/>
        </w:rPr>
        <w:t>ERRERA</w:t>
      </w: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F18F9">
        <w:rPr>
          <w:rFonts w:ascii="Georgia" w:hAnsi="Georgia" w:cs="Arial"/>
          <w:i/>
          <w:spacing w:val="-3"/>
          <w:w w:val="150"/>
          <w:sz w:val="28"/>
          <w:lang w:val="en-US"/>
        </w:rPr>
        <w:t>M</w:t>
      </w:r>
      <w:r w:rsidRPr="006F18F9">
        <w:rPr>
          <w:rFonts w:ascii="Georgia" w:hAnsi="Georgia" w:cs="Arial"/>
          <w:i/>
          <w:spacing w:val="-3"/>
          <w:w w:val="150"/>
          <w:lang w:val="en-US"/>
        </w:rPr>
        <w:t xml:space="preserve"> </w:t>
      </w:r>
      <w:r w:rsidRPr="006F18F9">
        <w:rPr>
          <w:rFonts w:ascii="Georgia" w:hAnsi="Georgia" w:cs="Arial"/>
          <w:i/>
          <w:spacing w:val="-3"/>
          <w:w w:val="150"/>
          <w:sz w:val="18"/>
          <w:szCs w:val="20"/>
          <w:lang w:val="en-US"/>
        </w:rPr>
        <w:t>A G I S T R A D O</w:t>
      </w: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Pr="006F18F9"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F18F9">
        <w:rPr>
          <w:rFonts w:ascii="Georgia" w:hAnsi="Georgia"/>
          <w:i/>
          <w:w w:val="150"/>
          <w:sz w:val="28"/>
          <w:szCs w:val="18"/>
          <w:lang w:val="en-US"/>
        </w:rPr>
        <w:t>E</w:t>
      </w:r>
      <w:r w:rsidRPr="006F18F9">
        <w:rPr>
          <w:rFonts w:ascii="Georgia" w:hAnsi="Georgia"/>
          <w:i/>
          <w:w w:val="150"/>
          <w:sz w:val="18"/>
          <w:szCs w:val="18"/>
          <w:lang w:val="en-US"/>
        </w:rPr>
        <w:t>DDER</w:t>
      </w:r>
      <w:r w:rsidRPr="006F18F9">
        <w:rPr>
          <w:rFonts w:ascii="Georgia" w:hAnsi="Georgia"/>
          <w:i/>
          <w:w w:val="150"/>
          <w:sz w:val="18"/>
          <w:lang w:val="en-US"/>
        </w:rPr>
        <w:t xml:space="preserve"> </w:t>
      </w:r>
      <w:r w:rsidRPr="006F18F9">
        <w:rPr>
          <w:rFonts w:ascii="Georgia" w:hAnsi="Georgia"/>
          <w:i/>
          <w:w w:val="150"/>
          <w:sz w:val="28"/>
          <w:lang w:val="en-US"/>
        </w:rPr>
        <w:t>J</w:t>
      </w:r>
      <w:r w:rsidRPr="006F18F9">
        <w:rPr>
          <w:rFonts w:ascii="Georgia" w:hAnsi="Georgia"/>
          <w:i/>
          <w:w w:val="150"/>
          <w:sz w:val="18"/>
          <w:szCs w:val="18"/>
          <w:lang w:val="en-US"/>
        </w:rPr>
        <w:t xml:space="preserve">IMMY </w:t>
      </w:r>
      <w:r w:rsidRPr="006F18F9">
        <w:rPr>
          <w:rFonts w:ascii="Georgia" w:hAnsi="Georgia"/>
          <w:i/>
          <w:w w:val="150"/>
          <w:sz w:val="28"/>
          <w:lang w:val="en-US"/>
        </w:rPr>
        <w:t>S</w:t>
      </w:r>
      <w:r w:rsidRPr="006F18F9">
        <w:rPr>
          <w:rFonts w:ascii="Georgia" w:hAnsi="Georgia"/>
          <w:i/>
          <w:w w:val="150"/>
          <w:sz w:val="18"/>
          <w:szCs w:val="18"/>
          <w:lang w:val="en-US"/>
        </w:rPr>
        <w:t xml:space="preserve">ÁNCHEZ </w:t>
      </w:r>
      <w:r w:rsidRPr="006F18F9">
        <w:rPr>
          <w:rFonts w:ascii="Georgia" w:hAnsi="Georgia"/>
          <w:i/>
          <w:w w:val="150"/>
          <w:sz w:val="28"/>
          <w:szCs w:val="18"/>
          <w:lang w:val="en-US"/>
        </w:rPr>
        <w:t>C.</w:t>
      </w:r>
      <w:r w:rsidRPr="006F18F9">
        <w:rPr>
          <w:rFonts w:ascii="Georgia" w:hAnsi="Georgia"/>
          <w:i/>
          <w:w w:val="150"/>
          <w:sz w:val="28"/>
          <w:szCs w:val="18"/>
          <w:lang w:val="en-US"/>
        </w:rPr>
        <w:tab/>
      </w:r>
      <w:r w:rsidRPr="006F18F9">
        <w:rPr>
          <w:rFonts w:ascii="Georgia" w:hAnsi="Georgia"/>
          <w:i/>
          <w:w w:val="150"/>
          <w:sz w:val="28"/>
          <w:szCs w:val="18"/>
          <w:lang w:val="en-US"/>
        </w:rPr>
        <w:tab/>
      </w:r>
      <w:r w:rsidRPr="006F18F9">
        <w:rPr>
          <w:rFonts w:ascii="Georgia" w:hAnsi="Georgia" w:cs="Arial"/>
          <w:i/>
          <w:spacing w:val="-3"/>
          <w:w w:val="150"/>
          <w:sz w:val="28"/>
          <w:szCs w:val="18"/>
          <w:lang w:val="en-US"/>
        </w:rPr>
        <w:t>J</w:t>
      </w:r>
      <w:r w:rsidRPr="006F18F9">
        <w:rPr>
          <w:rFonts w:ascii="Georgia" w:hAnsi="Georgia" w:cs="Arial"/>
          <w:i/>
          <w:spacing w:val="-3"/>
          <w:w w:val="150"/>
          <w:sz w:val="18"/>
          <w:szCs w:val="18"/>
          <w:lang w:val="en-US"/>
        </w:rPr>
        <w:t xml:space="preserve">AIME </w:t>
      </w:r>
      <w:r w:rsidRPr="006F18F9">
        <w:rPr>
          <w:rFonts w:ascii="Georgia" w:hAnsi="Georgia" w:cs="Arial"/>
          <w:i/>
          <w:spacing w:val="-3"/>
          <w:w w:val="150"/>
          <w:sz w:val="28"/>
          <w:szCs w:val="18"/>
          <w:lang w:val="en-US"/>
        </w:rPr>
        <w:t>A</w:t>
      </w:r>
      <w:r w:rsidRPr="006F18F9">
        <w:rPr>
          <w:rFonts w:ascii="Georgia" w:hAnsi="Georgia"/>
          <w:i/>
          <w:w w:val="150"/>
          <w:sz w:val="18"/>
          <w:szCs w:val="18"/>
          <w:lang w:val="en-US"/>
        </w:rPr>
        <w:t xml:space="preserve">LBERTO </w:t>
      </w:r>
      <w:r w:rsidRPr="006F18F9">
        <w:rPr>
          <w:rFonts w:ascii="Georgia" w:hAnsi="Georgia" w:cs="Arial"/>
          <w:i/>
          <w:spacing w:val="-3"/>
          <w:w w:val="150"/>
          <w:sz w:val="28"/>
          <w:szCs w:val="18"/>
          <w:lang w:val="en-US"/>
        </w:rPr>
        <w:t>S</w:t>
      </w:r>
      <w:r w:rsidRPr="006F18F9">
        <w:rPr>
          <w:rFonts w:ascii="Georgia" w:hAnsi="Georgia" w:cs="Arial"/>
          <w:i/>
          <w:spacing w:val="-3"/>
          <w:w w:val="150"/>
          <w:sz w:val="18"/>
          <w:szCs w:val="16"/>
          <w:lang w:val="en-US"/>
        </w:rPr>
        <w:t xml:space="preserve">ARAZA </w:t>
      </w:r>
      <w:r w:rsidRPr="006F18F9">
        <w:rPr>
          <w:rFonts w:ascii="Georgia" w:hAnsi="Georgia" w:cs="Arial"/>
          <w:i/>
          <w:spacing w:val="-3"/>
          <w:w w:val="150"/>
          <w:sz w:val="28"/>
          <w:szCs w:val="18"/>
          <w:lang w:val="en-US"/>
        </w:rPr>
        <w:t>N.</w:t>
      </w:r>
    </w:p>
    <w:p w:rsidR="00642128" w:rsidRPr="006F18F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F18F9">
        <w:rPr>
          <w:rFonts w:ascii="Georgia" w:hAnsi="Georgia" w:cs="Arial"/>
          <w:i/>
          <w:w w:val="150"/>
          <w:sz w:val="28"/>
          <w:lang w:val="en-US"/>
        </w:rPr>
        <w:tab/>
      </w:r>
      <w:r w:rsidRPr="006F18F9">
        <w:rPr>
          <w:rFonts w:ascii="Georgia" w:hAnsi="Georgia" w:cs="Arial"/>
          <w:i/>
          <w:w w:val="150"/>
          <w:sz w:val="28"/>
          <w:lang w:val="en-GB"/>
        </w:rPr>
        <w:t>M</w:t>
      </w:r>
      <w:r w:rsidRPr="006F18F9">
        <w:rPr>
          <w:rFonts w:ascii="Georgia" w:hAnsi="Georgia" w:cs="Arial"/>
          <w:i/>
          <w:w w:val="150"/>
          <w:sz w:val="18"/>
          <w:lang w:val="en-GB"/>
        </w:rPr>
        <w:t xml:space="preserve"> A G I S T R A D O </w:t>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18"/>
          <w:lang w:val="en-GB"/>
        </w:rPr>
        <w:tab/>
      </w:r>
      <w:r w:rsidRPr="006F18F9">
        <w:rPr>
          <w:rFonts w:ascii="Georgia" w:hAnsi="Georgia" w:cs="Arial"/>
          <w:i/>
          <w:w w:val="150"/>
          <w:sz w:val="28"/>
          <w:lang w:val="en-GB"/>
        </w:rPr>
        <w:t>M</w:t>
      </w:r>
      <w:r w:rsidRPr="006F18F9">
        <w:rPr>
          <w:rFonts w:ascii="Georgia" w:hAnsi="Georgia" w:cs="Arial"/>
          <w:i/>
          <w:w w:val="150"/>
          <w:sz w:val="18"/>
          <w:lang w:val="en-GB"/>
        </w:rPr>
        <w:t xml:space="preserve"> A G I S T R A D O  </w:t>
      </w:r>
    </w:p>
    <w:p w:rsidR="00350057" w:rsidRPr="006F18F9"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6F18F9">
        <w:rPr>
          <w:rFonts w:ascii="Georgia" w:hAnsi="Georgia" w:cs="Times New Roman"/>
          <w:i/>
          <w:smallCaps/>
          <w:spacing w:val="-3"/>
          <w:sz w:val="14"/>
          <w:szCs w:val="14"/>
          <w:lang w:val="en-US"/>
        </w:rPr>
        <w:t xml:space="preserve">DGH / </w:t>
      </w:r>
      <w:r w:rsidR="002C4FE7" w:rsidRPr="006F18F9">
        <w:rPr>
          <w:rFonts w:ascii="Georgia" w:hAnsi="Georgia" w:cs="Times New Roman"/>
          <w:i/>
          <w:smallCaps/>
          <w:spacing w:val="-3"/>
          <w:sz w:val="16"/>
          <w:szCs w:val="14"/>
          <w:lang w:val="en-US"/>
        </w:rPr>
        <w:t>odcd</w:t>
      </w:r>
      <w:r w:rsidRPr="006F18F9">
        <w:rPr>
          <w:rFonts w:ascii="Georgia" w:hAnsi="Georgia" w:cs="Times New Roman"/>
          <w:i/>
          <w:smallCaps/>
          <w:spacing w:val="-3"/>
          <w:sz w:val="14"/>
          <w:szCs w:val="14"/>
          <w:lang w:val="en-US"/>
        </w:rPr>
        <w:t xml:space="preserve">/ </w:t>
      </w:r>
      <w:r w:rsidR="002C4FE7" w:rsidRPr="006F18F9">
        <w:rPr>
          <w:rFonts w:ascii="Georgia" w:hAnsi="Georgia" w:cs="Times New Roman"/>
          <w:i/>
          <w:smallCaps/>
          <w:spacing w:val="-3"/>
          <w:sz w:val="14"/>
          <w:szCs w:val="14"/>
          <w:lang w:val="en-US"/>
        </w:rPr>
        <w:t>2017</w:t>
      </w:r>
    </w:p>
    <w:sectPr w:rsidR="00350057" w:rsidRPr="006F18F9" w:rsidSect="004374B7">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D8" w:rsidRDefault="001D2CD8" w:rsidP="002F20AB">
      <w:r>
        <w:separator/>
      </w:r>
    </w:p>
  </w:endnote>
  <w:endnote w:type="continuationSeparator" w:id="0">
    <w:p w:rsidR="001D2CD8" w:rsidRDefault="001D2CD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Default="004219A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4219A1" w:rsidRDefault="004219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F407B5" w:rsidRDefault="004219A1" w:rsidP="00A67268">
    <w:pPr>
      <w:pStyle w:val="Piedepgina"/>
      <w:pBdr>
        <w:bottom w:val="double" w:sz="6" w:space="1" w:color="auto"/>
      </w:pBdr>
      <w:spacing w:line="360" w:lineRule="auto"/>
      <w:rPr>
        <w:rFonts w:ascii="Arial" w:hAnsi="Arial" w:cs="Arial"/>
        <w:spacing w:val="20"/>
        <w:w w:val="200"/>
        <w:sz w:val="2"/>
        <w:szCs w:val="10"/>
        <w:lang w:val="es-ES"/>
      </w:rPr>
    </w:pPr>
  </w:p>
  <w:p w:rsidR="004219A1" w:rsidRPr="00642128" w:rsidRDefault="004219A1" w:rsidP="00751EE2">
    <w:pPr>
      <w:pStyle w:val="Piedepgina"/>
      <w:spacing w:line="360" w:lineRule="auto"/>
      <w:jc w:val="right"/>
      <w:rPr>
        <w:rFonts w:ascii="Georgia" w:hAnsi="Georgia" w:cs="Arial"/>
        <w:spacing w:val="20"/>
        <w:w w:val="200"/>
        <w:sz w:val="14"/>
        <w:szCs w:val="10"/>
      </w:rPr>
    </w:pPr>
  </w:p>
  <w:p w:rsidR="004219A1" w:rsidRPr="00642128" w:rsidRDefault="004219A1" w:rsidP="00751EE2">
    <w:pPr>
      <w:pStyle w:val="Piedepgina"/>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4219A1" w:rsidRPr="00642128" w:rsidRDefault="004219A1" w:rsidP="00751EE2">
    <w:pPr>
      <w:pStyle w:val="Piedepgina"/>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C53999" w:rsidRDefault="004219A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4219A1" w:rsidRPr="00213147" w:rsidRDefault="004219A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D8" w:rsidRDefault="001D2CD8" w:rsidP="002F20AB">
      <w:r>
        <w:separator/>
      </w:r>
    </w:p>
  </w:footnote>
  <w:footnote w:type="continuationSeparator" w:id="0">
    <w:p w:rsidR="001D2CD8" w:rsidRDefault="001D2CD8" w:rsidP="002F20AB">
      <w:r>
        <w:continuationSeparator/>
      </w:r>
    </w:p>
  </w:footnote>
  <w:footnote w:id="1">
    <w:p w:rsidR="004219A1" w:rsidRPr="000B5EB0" w:rsidRDefault="004219A1" w:rsidP="00076E82">
      <w:pPr>
        <w:pStyle w:val="Textonotapie"/>
        <w:jc w:val="both"/>
        <w:rPr>
          <w:lang w:val="es-CO"/>
        </w:rPr>
      </w:pPr>
      <w:r w:rsidRPr="00BF25C2">
        <w:rPr>
          <w:rStyle w:val="Refdenotaalpie"/>
        </w:rPr>
        <w:footnoteRef/>
      </w:r>
      <w:r w:rsidRPr="00BF25C2">
        <w:t xml:space="preserve"> </w:t>
      </w:r>
      <w:r w:rsidRPr="000B5EB0">
        <w:rPr>
          <w:lang w:val="es-CO"/>
        </w:rPr>
        <w:t>CC. SU-499 de 2016.</w:t>
      </w:r>
    </w:p>
  </w:footnote>
  <w:footnote w:id="2">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Ob. cit., T-162 y 034 de 2010 y T-099 de 2008.</w:t>
      </w:r>
    </w:p>
  </w:footnote>
  <w:footnote w:id="3">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T-146 de 2012.</w:t>
      </w:r>
    </w:p>
  </w:footnote>
  <w:footnote w:id="4">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T-146 de 2012.</w:t>
      </w:r>
    </w:p>
  </w:footnote>
  <w:footnote w:id="5">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w:t>
      </w:r>
      <w:r w:rsidRPr="000B5EB0">
        <w:rPr>
          <w:shd w:val="clear" w:color="auto" w:fill="FFFFFF"/>
          <w:lang w:val="es-CO"/>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w:t>
      </w:r>
      <w:r w:rsidRPr="000B5EB0">
        <w:rPr>
          <w:shd w:val="clear" w:color="auto" w:fill="FFFFFF"/>
          <w:lang w:val="es-CO"/>
        </w:rPr>
        <w:t>CC. T- 400 de 2008 “[l]a respuesta de la Administración debe resolver el asunto, no admitiéndose en consecuencia respuestas evasivas, o la simple afirmación de que el asunto se encuentra en revisión o en trámite”.</w:t>
      </w:r>
    </w:p>
  </w:footnote>
  <w:footnote w:id="7">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w:t>
      </w:r>
      <w:r w:rsidRPr="000B5EB0">
        <w:rPr>
          <w:shd w:val="clear" w:color="auto" w:fill="FFFFFF"/>
          <w:lang w:val="es-CO"/>
        </w:rPr>
        <w:t>CC. T-400 de 2008.</w:t>
      </w:r>
    </w:p>
  </w:footnote>
  <w:footnote w:id="8">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CC. T-001 de 2015.</w:t>
      </w:r>
    </w:p>
  </w:footnote>
  <w:footnote w:id="9">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w:t>
      </w:r>
      <w:r w:rsidRPr="000B5EB0">
        <w:rPr>
          <w:color w:val="2D2D2D"/>
          <w:shd w:val="clear" w:color="auto" w:fill="FFFFFF"/>
          <w:lang w:val="es-CO"/>
        </w:rPr>
        <w:t xml:space="preserve">CC. </w:t>
      </w:r>
      <w:r w:rsidRPr="000B5EB0">
        <w:rPr>
          <w:lang w:val="es-CO"/>
        </w:rPr>
        <w:t>T- 219 de 2001 reiterado en T-293 de 2015.</w:t>
      </w:r>
    </w:p>
  </w:footnote>
  <w:footnote w:id="10">
    <w:p w:rsidR="004219A1" w:rsidRPr="000B5EB0" w:rsidRDefault="004219A1" w:rsidP="00076E82">
      <w:pPr>
        <w:pStyle w:val="Textonotapie"/>
        <w:jc w:val="both"/>
        <w:rPr>
          <w:lang w:val="es-CO"/>
        </w:rPr>
      </w:pPr>
      <w:r w:rsidRPr="000B5EB0">
        <w:rPr>
          <w:rStyle w:val="Refdenotaalpie"/>
          <w:lang w:val="es-CO"/>
        </w:rPr>
        <w:footnoteRef/>
      </w:r>
      <w:r w:rsidRPr="000B5EB0">
        <w:rPr>
          <w:lang w:val="es-CO"/>
        </w:rPr>
        <w:t xml:space="preserve"> </w:t>
      </w:r>
      <w:r w:rsidRPr="000B5EB0">
        <w:rPr>
          <w:color w:val="2D2D2D"/>
          <w:shd w:val="clear" w:color="auto" w:fill="FFFFFF"/>
          <w:lang w:val="es-CO"/>
        </w:rPr>
        <w:t xml:space="preserve">CC. </w:t>
      </w:r>
      <w:r w:rsidRPr="000B5EB0">
        <w:rPr>
          <w:lang w:val="es-CO"/>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4219A1" w:rsidRPr="000B5EB0" w:rsidRDefault="004219A1" w:rsidP="00076E82">
      <w:pPr>
        <w:pStyle w:val="Textonotapie"/>
        <w:jc w:val="both"/>
        <w:rPr>
          <w:lang w:val="es-CO"/>
        </w:rPr>
      </w:pPr>
      <w:r w:rsidRPr="000B5EB0">
        <w:rPr>
          <w:vertAlign w:val="superscript"/>
          <w:lang w:val="es-CO"/>
        </w:rPr>
        <w:footnoteRef/>
      </w:r>
      <w:r w:rsidRPr="000B5EB0">
        <w:rPr>
          <w:lang w:val="es-CO"/>
        </w:rPr>
        <w:t xml:space="preserve"> CC. T-669 de 2003.</w:t>
      </w:r>
    </w:p>
  </w:footnote>
  <w:footnote w:id="12">
    <w:p w:rsidR="004219A1" w:rsidRPr="000B5EB0" w:rsidRDefault="004219A1" w:rsidP="00076E82">
      <w:pPr>
        <w:pStyle w:val="Textonotapie"/>
        <w:rPr>
          <w:lang w:val="es-CO"/>
        </w:rPr>
      </w:pPr>
      <w:r w:rsidRPr="000B5EB0">
        <w:rPr>
          <w:rStyle w:val="Refdenotaalpie"/>
          <w:lang w:val="es-CO"/>
        </w:rPr>
        <w:footnoteRef/>
      </w:r>
      <w:r w:rsidRPr="000B5EB0">
        <w:rPr>
          <w:lang w:val="es-CO"/>
        </w:rPr>
        <w:t xml:space="preserve"> CC.</w:t>
      </w:r>
      <w:r w:rsidRPr="000B5EB0">
        <w:rPr>
          <w:bCs/>
          <w:lang w:val="es-CO"/>
        </w:rPr>
        <w:t xml:space="preserve">T-094 de 2016, </w:t>
      </w:r>
      <w:r w:rsidRPr="000B5EB0">
        <w:rPr>
          <w:lang w:val="es-CO"/>
        </w:rPr>
        <w:t>T-001 de 2015, T-099 de 2014 y T-172 de 2013, entre otras</w:t>
      </w:r>
      <w:r w:rsidRPr="000B5EB0">
        <w:rPr>
          <w:bCs/>
          <w:lang w:val="es-CO"/>
        </w:rPr>
        <w:t>.</w:t>
      </w:r>
    </w:p>
  </w:footnote>
  <w:footnote w:id="13">
    <w:p w:rsidR="004219A1" w:rsidRPr="000B5EB0" w:rsidRDefault="004219A1" w:rsidP="00076E82">
      <w:pPr>
        <w:pStyle w:val="Textonotapie"/>
        <w:rPr>
          <w:lang w:val="es-CO"/>
        </w:rPr>
      </w:pPr>
      <w:r w:rsidRPr="000B5EB0">
        <w:rPr>
          <w:rStyle w:val="Refdenotaalpie"/>
          <w:lang w:val="es-CO"/>
        </w:rPr>
        <w:footnoteRef/>
      </w:r>
      <w:r w:rsidRPr="000B5EB0">
        <w:rPr>
          <w:lang w:val="es-CO"/>
        </w:rPr>
        <w:t xml:space="preserve"> CC. T-052 de 2017 y C-007 de 2017.</w:t>
      </w:r>
    </w:p>
  </w:footnote>
  <w:footnote w:id="14">
    <w:p w:rsidR="004219A1" w:rsidRPr="000B5EB0" w:rsidRDefault="004219A1">
      <w:pPr>
        <w:pStyle w:val="Textonotapie"/>
        <w:rPr>
          <w:lang w:val="es-CO"/>
        </w:rPr>
      </w:pPr>
      <w:r w:rsidRPr="000B5EB0">
        <w:rPr>
          <w:rStyle w:val="Refdenotaalpie"/>
          <w:lang w:val="es-CO"/>
        </w:rPr>
        <w:footnoteRef/>
      </w:r>
      <w:r w:rsidRPr="000B5EB0">
        <w:rPr>
          <w:lang w:val="es-CO"/>
        </w:rPr>
        <w:t xml:space="preserve"> CC. T-097 de 2016.</w:t>
      </w:r>
    </w:p>
  </w:footnote>
  <w:footnote w:id="15">
    <w:p w:rsidR="004219A1" w:rsidRPr="000B5EB0" w:rsidRDefault="004219A1">
      <w:pPr>
        <w:pStyle w:val="Textonotapie"/>
        <w:rPr>
          <w:lang w:val="es-CO"/>
        </w:rPr>
      </w:pPr>
      <w:r w:rsidRPr="000B5EB0">
        <w:rPr>
          <w:rStyle w:val="Refdenotaalpie"/>
          <w:lang w:val="es-CO"/>
        </w:rPr>
        <w:footnoteRef/>
      </w:r>
      <w:r w:rsidRPr="000B5EB0">
        <w:rPr>
          <w:lang w:val="es-CO"/>
        </w:rPr>
        <w:t xml:space="preserve"> CC. T-277 de 2016.</w:t>
      </w:r>
    </w:p>
  </w:footnote>
  <w:footnote w:id="16">
    <w:p w:rsidR="004219A1" w:rsidRPr="000B5EB0" w:rsidRDefault="004219A1">
      <w:pPr>
        <w:pStyle w:val="Textonotapie"/>
        <w:rPr>
          <w:lang w:val="es-CO"/>
        </w:rPr>
      </w:pPr>
      <w:r w:rsidRPr="000B5EB0">
        <w:rPr>
          <w:rStyle w:val="Refdenotaalpie"/>
          <w:lang w:val="es-CO"/>
        </w:rPr>
        <w:footnoteRef/>
      </w:r>
      <w:r w:rsidRPr="000B5EB0">
        <w:rPr>
          <w:lang w:val="es-CO"/>
        </w:rPr>
        <w:t xml:space="preserve"> CC. Ob. cit.</w:t>
      </w:r>
    </w:p>
  </w:footnote>
  <w:footnote w:id="17">
    <w:p w:rsidR="004219A1" w:rsidRPr="000B5EB0" w:rsidRDefault="004219A1">
      <w:pPr>
        <w:pStyle w:val="Textonotapie"/>
        <w:rPr>
          <w:lang w:val="es-CO"/>
        </w:rPr>
      </w:pPr>
      <w:r w:rsidRPr="000B5EB0">
        <w:rPr>
          <w:rStyle w:val="Refdenotaalpie"/>
          <w:lang w:val="es-CO"/>
        </w:rPr>
        <w:footnoteRef/>
      </w:r>
      <w:r w:rsidRPr="000B5EB0">
        <w:rPr>
          <w:lang w:val="es-CO"/>
        </w:rPr>
        <w:t xml:space="preserve"> CC. </w:t>
      </w:r>
      <w:r w:rsidRPr="000B5EB0">
        <w:rPr>
          <w:color w:val="2D2D2D"/>
          <w:shd w:val="clear" w:color="auto" w:fill="FFFFFF"/>
          <w:lang w:val="es-CO"/>
        </w:rPr>
        <w:t>T-310 de 1999, reiterada en la T-277 de 2016.</w:t>
      </w:r>
    </w:p>
  </w:footnote>
  <w:footnote w:id="18">
    <w:p w:rsidR="004219A1" w:rsidRPr="000B5EB0" w:rsidRDefault="004219A1">
      <w:pPr>
        <w:pStyle w:val="Textonotapie"/>
        <w:rPr>
          <w:lang w:val="es-CO"/>
        </w:rPr>
      </w:pPr>
      <w:r w:rsidRPr="000B5EB0">
        <w:rPr>
          <w:rStyle w:val="Refdenotaalpie"/>
          <w:lang w:val="es-CO"/>
        </w:rPr>
        <w:footnoteRef/>
      </w:r>
      <w:r w:rsidRPr="000B5EB0">
        <w:rPr>
          <w:lang w:val="es-CO"/>
        </w:rPr>
        <w:t xml:space="preserve"> CC. </w:t>
      </w:r>
      <w:r w:rsidRPr="000B5EB0">
        <w:rPr>
          <w:color w:val="2D2D2D"/>
          <w:shd w:val="clear" w:color="auto" w:fill="FFFFFF"/>
          <w:lang w:val="es-CO"/>
        </w:rPr>
        <w:t>C-547 de 1994.</w:t>
      </w:r>
    </w:p>
  </w:footnote>
  <w:footnote w:id="19">
    <w:p w:rsidR="004219A1" w:rsidRPr="000B5EB0" w:rsidRDefault="004219A1">
      <w:pPr>
        <w:pStyle w:val="Textonotapie"/>
        <w:rPr>
          <w:lang w:val="es-CO"/>
        </w:rPr>
      </w:pPr>
      <w:r w:rsidRPr="000B5EB0">
        <w:rPr>
          <w:rStyle w:val="Refdenotaalpie"/>
          <w:lang w:val="es-CO"/>
        </w:rPr>
        <w:footnoteRef/>
      </w:r>
      <w:r w:rsidRPr="000B5EB0">
        <w:rPr>
          <w:lang w:val="es-CO"/>
        </w:rPr>
        <w:t xml:space="preserve"> CC. </w:t>
      </w:r>
      <w:r w:rsidRPr="000B5EB0">
        <w:rPr>
          <w:color w:val="2D2D2D"/>
          <w:shd w:val="clear" w:color="auto" w:fill="FFFFFF"/>
          <w:lang w:val="es-CO"/>
        </w:rPr>
        <w:t>T-061 de 1995.</w:t>
      </w:r>
    </w:p>
  </w:footnote>
  <w:footnote w:id="20">
    <w:p w:rsidR="004219A1" w:rsidRPr="00135C55" w:rsidRDefault="004219A1">
      <w:pPr>
        <w:pStyle w:val="Textonotapie"/>
        <w:rPr>
          <w:lang w:val="es-CO"/>
        </w:rPr>
      </w:pPr>
      <w:r>
        <w:rPr>
          <w:rStyle w:val="Refdenotaalpie"/>
        </w:rPr>
        <w:footnoteRef/>
      </w:r>
      <w:r>
        <w:t xml:space="preserve"> </w:t>
      </w:r>
      <w:r>
        <w:rPr>
          <w:lang w:val="es-CO"/>
        </w:rPr>
        <w:t>CC. T-277 de 2015.</w:t>
      </w:r>
    </w:p>
  </w:footnote>
  <w:footnote w:id="21">
    <w:p w:rsidR="004219A1" w:rsidRPr="00135C55" w:rsidRDefault="004219A1">
      <w:pPr>
        <w:pStyle w:val="Textonotapie"/>
        <w:rPr>
          <w:lang w:val="es-CO"/>
        </w:rPr>
      </w:pPr>
      <w:r>
        <w:rPr>
          <w:rStyle w:val="Refdenotaalpie"/>
        </w:rPr>
        <w:footnoteRef/>
      </w:r>
      <w:r>
        <w:t xml:space="preserve"> </w:t>
      </w:r>
      <w:r>
        <w:rPr>
          <w:lang w:val="es-CO"/>
        </w:rPr>
        <w:t>CC. T-357 de 2015.</w:t>
      </w:r>
    </w:p>
  </w:footnote>
  <w:footnote w:id="22">
    <w:p w:rsidR="004219A1" w:rsidRDefault="004219A1" w:rsidP="00703FBD">
      <w:pPr>
        <w:pStyle w:val="Textonotapie"/>
        <w:rPr>
          <w:lang w:val="es-CO"/>
        </w:rPr>
      </w:pPr>
      <w:r>
        <w:rPr>
          <w:rStyle w:val="Refdenotaalpie"/>
        </w:rPr>
        <w:footnoteRef/>
      </w:r>
      <w:r>
        <w:t xml:space="preserve"> </w:t>
      </w:r>
      <w:r>
        <w:rPr>
          <w:lang w:val="es-CO"/>
        </w:rPr>
        <w:t>CC. T-196 de 2017</w:t>
      </w:r>
      <w:r w:rsidR="006F18F9">
        <w:rPr>
          <w:lang w:val="es-CO"/>
        </w:rPr>
        <w:t>.</w:t>
      </w:r>
    </w:p>
  </w:footnote>
  <w:footnote w:id="23">
    <w:p w:rsidR="00507F23" w:rsidRPr="00507F23" w:rsidRDefault="00507F23">
      <w:pPr>
        <w:pStyle w:val="Textonotapie"/>
        <w:rPr>
          <w:lang w:val="es-CO"/>
        </w:rPr>
      </w:pPr>
      <w:r>
        <w:rPr>
          <w:rStyle w:val="Refdenotaalpie"/>
        </w:rPr>
        <w:footnoteRef/>
      </w:r>
      <w:r>
        <w:t xml:space="preserve"> </w:t>
      </w:r>
      <w:r w:rsidRPr="00507F23">
        <w:t>https://www.utp.edu.co/secretaria/reglamento</w:t>
      </w:r>
      <w:r>
        <w:t>estudiantil/listar/index?page=42 y page=43.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Default="004219A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4219A1" w:rsidRDefault="004219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642128" w:rsidRDefault="004219A1">
    <w:pPr>
      <w:pStyle w:val="Encabezado"/>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E562C9">
      <w:rPr>
        <w:rFonts w:ascii="Georgia" w:hAnsi="Georgia"/>
        <w:noProof/>
        <w:sz w:val="22"/>
        <w:lang w:val="es-CO"/>
      </w:rPr>
      <w:t>11</w:t>
    </w:r>
    <w:r w:rsidRPr="00642128">
      <w:rPr>
        <w:rFonts w:ascii="Georgia" w:hAnsi="Georgia"/>
        <w:sz w:val="22"/>
        <w:lang w:val="es-CO"/>
      </w:rPr>
      <w:fldChar w:fldCharType="end"/>
    </w:r>
  </w:p>
  <w:p w:rsidR="004219A1" w:rsidRPr="00642128" w:rsidRDefault="004219A1" w:rsidP="006F562A">
    <w:pPr>
      <w:pStyle w:val="Encabezado"/>
      <w:ind w:right="360"/>
      <w:jc w:val="both"/>
      <w:rPr>
        <w:rFonts w:ascii="Georgia" w:hAnsi="Georgia" w:cs="Calibri"/>
        <w:i/>
      </w:rPr>
    </w:pPr>
    <w:r w:rsidRPr="00642128">
      <w:rPr>
        <w:rFonts w:ascii="Georgia" w:hAnsi="Georgia" w:cs="Calibri"/>
        <w:i/>
        <w:sz w:val="20"/>
        <w:szCs w:val="20"/>
        <w:lang w:val="es-CO"/>
      </w:rPr>
      <w:t>EXPEDIENTE No.2017-</w:t>
    </w:r>
    <w:r w:rsidR="00D8241A">
      <w:rPr>
        <w:rFonts w:ascii="Georgia" w:hAnsi="Georgia" w:cs="Calibri"/>
        <w:i/>
        <w:sz w:val="20"/>
        <w:szCs w:val="20"/>
        <w:lang w:val="es-CO"/>
      </w:rPr>
      <w:t>00194-02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A1" w:rsidRPr="0092089F" w:rsidRDefault="004219A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4219A1" w:rsidRDefault="004219A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EB3DC3"/>
    <w:multiLevelType w:val="multilevel"/>
    <w:tmpl w:val="389AF5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1"/>
  </w:num>
  <w:num w:numId="3">
    <w:abstractNumId w:val="15"/>
  </w:num>
  <w:num w:numId="4">
    <w:abstractNumId w:val="13"/>
  </w:num>
  <w:num w:numId="5">
    <w:abstractNumId w:val="24"/>
  </w:num>
  <w:num w:numId="6">
    <w:abstractNumId w:val="14"/>
  </w:num>
  <w:num w:numId="7">
    <w:abstractNumId w:val="3"/>
  </w:num>
  <w:num w:numId="8">
    <w:abstractNumId w:val="9"/>
  </w:num>
  <w:num w:numId="9">
    <w:abstractNumId w:val="10"/>
  </w:num>
  <w:num w:numId="10">
    <w:abstractNumId w:val="2"/>
  </w:num>
  <w:num w:numId="11">
    <w:abstractNumId w:val="20"/>
  </w:num>
  <w:num w:numId="12">
    <w:abstractNumId w:val="6"/>
  </w:num>
  <w:num w:numId="13">
    <w:abstractNumId w:val="12"/>
  </w:num>
  <w:num w:numId="14">
    <w:abstractNumId w:val="28"/>
  </w:num>
  <w:num w:numId="15">
    <w:abstractNumId w:val="17"/>
  </w:num>
  <w:num w:numId="16">
    <w:abstractNumId w:val="1"/>
  </w:num>
  <w:num w:numId="17">
    <w:abstractNumId w:val="30"/>
  </w:num>
  <w:num w:numId="18">
    <w:abstractNumId w:val="18"/>
  </w:num>
  <w:num w:numId="19">
    <w:abstractNumId w:val="26"/>
  </w:num>
  <w:num w:numId="20">
    <w:abstractNumId w:val="25"/>
  </w:num>
  <w:num w:numId="21">
    <w:abstractNumId w:val="5"/>
  </w:num>
  <w:num w:numId="22">
    <w:abstractNumId w:val="0"/>
  </w:num>
  <w:num w:numId="23">
    <w:abstractNumId w:val="32"/>
  </w:num>
  <w:num w:numId="24">
    <w:abstractNumId w:val="16"/>
  </w:num>
  <w:num w:numId="25">
    <w:abstractNumId w:val="8"/>
  </w:num>
  <w:num w:numId="26">
    <w:abstractNumId w:val="11"/>
  </w:num>
  <w:num w:numId="27">
    <w:abstractNumId w:val="4"/>
  </w:num>
  <w:num w:numId="28">
    <w:abstractNumId w:val="22"/>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669B"/>
    <w:rsid w:val="00017BC5"/>
    <w:rsid w:val="0002042C"/>
    <w:rsid w:val="000215F0"/>
    <w:rsid w:val="00022F38"/>
    <w:rsid w:val="00023886"/>
    <w:rsid w:val="00023FAD"/>
    <w:rsid w:val="00024E51"/>
    <w:rsid w:val="00025764"/>
    <w:rsid w:val="000261C8"/>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E82"/>
    <w:rsid w:val="00076F62"/>
    <w:rsid w:val="0007768D"/>
    <w:rsid w:val="0008009F"/>
    <w:rsid w:val="000818FB"/>
    <w:rsid w:val="000820F0"/>
    <w:rsid w:val="000828D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5EB0"/>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583"/>
    <w:rsid w:val="000E793D"/>
    <w:rsid w:val="000E7ABD"/>
    <w:rsid w:val="000F112D"/>
    <w:rsid w:val="000F1AC1"/>
    <w:rsid w:val="000F2CA2"/>
    <w:rsid w:val="000F3710"/>
    <w:rsid w:val="000F3FF5"/>
    <w:rsid w:val="000F45EF"/>
    <w:rsid w:val="000F6C11"/>
    <w:rsid w:val="001012AD"/>
    <w:rsid w:val="0010150F"/>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35C55"/>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2CD8"/>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5C48"/>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49FF"/>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A88"/>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2F0"/>
    <w:rsid w:val="003855C9"/>
    <w:rsid w:val="00386A25"/>
    <w:rsid w:val="003908F6"/>
    <w:rsid w:val="0039105A"/>
    <w:rsid w:val="003913E3"/>
    <w:rsid w:val="003929B3"/>
    <w:rsid w:val="00393460"/>
    <w:rsid w:val="00393A0D"/>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1496"/>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9A1"/>
    <w:rsid w:val="00421D69"/>
    <w:rsid w:val="0042362D"/>
    <w:rsid w:val="004259A6"/>
    <w:rsid w:val="00427D6B"/>
    <w:rsid w:val="00430378"/>
    <w:rsid w:val="00431AEE"/>
    <w:rsid w:val="004329D5"/>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1E2"/>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2E35"/>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3DCF"/>
    <w:rsid w:val="00505776"/>
    <w:rsid w:val="005069CE"/>
    <w:rsid w:val="00506B03"/>
    <w:rsid w:val="0050752F"/>
    <w:rsid w:val="00507F23"/>
    <w:rsid w:val="0051036C"/>
    <w:rsid w:val="00512A26"/>
    <w:rsid w:val="00512B46"/>
    <w:rsid w:val="00512B8A"/>
    <w:rsid w:val="00513E31"/>
    <w:rsid w:val="00514EA8"/>
    <w:rsid w:val="00515B43"/>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27F46"/>
    <w:rsid w:val="00530623"/>
    <w:rsid w:val="00531544"/>
    <w:rsid w:val="005331D9"/>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1D7B"/>
    <w:rsid w:val="005A2467"/>
    <w:rsid w:val="005A2595"/>
    <w:rsid w:val="005A3B1D"/>
    <w:rsid w:val="005A3C01"/>
    <w:rsid w:val="005A461E"/>
    <w:rsid w:val="005A66FC"/>
    <w:rsid w:val="005A7334"/>
    <w:rsid w:val="005A7BED"/>
    <w:rsid w:val="005B025A"/>
    <w:rsid w:val="005B1094"/>
    <w:rsid w:val="005B248B"/>
    <w:rsid w:val="005B2516"/>
    <w:rsid w:val="005B2BDE"/>
    <w:rsid w:val="005B387F"/>
    <w:rsid w:val="005B3BD2"/>
    <w:rsid w:val="005B606C"/>
    <w:rsid w:val="005B66D3"/>
    <w:rsid w:val="005B6769"/>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0DDC"/>
    <w:rsid w:val="00631D04"/>
    <w:rsid w:val="00634AD8"/>
    <w:rsid w:val="00634D8C"/>
    <w:rsid w:val="00634E55"/>
    <w:rsid w:val="006352B7"/>
    <w:rsid w:val="00635ED8"/>
    <w:rsid w:val="0063671B"/>
    <w:rsid w:val="0063767B"/>
    <w:rsid w:val="00637AB3"/>
    <w:rsid w:val="00640CA5"/>
    <w:rsid w:val="00641308"/>
    <w:rsid w:val="00642128"/>
    <w:rsid w:val="0064234D"/>
    <w:rsid w:val="00644F63"/>
    <w:rsid w:val="00645798"/>
    <w:rsid w:val="006472F2"/>
    <w:rsid w:val="00647F84"/>
    <w:rsid w:val="00650262"/>
    <w:rsid w:val="006507EA"/>
    <w:rsid w:val="006508CF"/>
    <w:rsid w:val="0065133D"/>
    <w:rsid w:val="00652D2F"/>
    <w:rsid w:val="006535FE"/>
    <w:rsid w:val="006545A0"/>
    <w:rsid w:val="00655913"/>
    <w:rsid w:val="006562FD"/>
    <w:rsid w:val="006568AE"/>
    <w:rsid w:val="00656C54"/>
    <w:rsid w:val="00660082"/>
    <w:rsid w:val="006601B8"/>
    <w:rsid w:val="00661297"/>
    <w:rsid w:val="006615CB"/>
    <w:rsid w:val="006627C2"/>
    <w:rsid w:val="00662B8C"/>
    <w:rsid w:val="006641CB"/>
    <w:rsid w:val="006642B1"/>
    <w:rsid w:val="0066436E"/>
    <w:rsid w:val="006668E1"/>
    <w:rsid w:val="006678FC"/>
    <w:rsid w:val="00667F0F"/>
    <w:rsid w:val="00671D69"/>
    <w:rsid w:val="00672F20"/>
    <w:rsid w:val="006750CC"/>
    <w:rsid w:val="00676C54"/>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8F9"/>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FBD"/>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1EED"/>
    <w:rsid w:val="00743286"/>
    <w:rsid w:val="007469AE"/>
    <w:rsid w:val="007470B5"/>
    <w:rsid w:val="00747531"/>
    <w:rsid w:val="00747ED4"/>
    <w:rsid w:val="00751EE2"/>
    <w:rsid w:val="007535D5"/>
    <w:rsid w:val="00753CF1"/>
    <w:rsid w:val="00753EFD"/>
    <w:rsid w:val="007552B7"/>
    <w:rsid w:val="00755DA9"/>
    <w:rsid w:val="00757533"/>
    <w:rsid w:val="00757715"/>
    <w:rsid w:val="007615A1"/>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F7F"/>
    <w:rsid w:val="007E269D"/>
    <w:rsid w:val="007E274B"/>
    <w:rsid w:val="007E2FA0"/>
    <w:rsid w:val="007E3CDF"/>
    <w:rsid w:val="007E4E84"/>
    <w:rsid w:val="007E62ED"/>
    <w:rsid w:val="007E7710"/>
    <w:rsid w:val="007F2158"/>
    <w:rsid w:val="007F3A65"/>
    <w:rsid w:val="007F7C5C"/>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26FC"/>
    <w:rsid w:val="009E4769"/>
    <w:rsid w:val="009E55B5"/>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04A7"/>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21"/>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5F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A6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477"/>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1756"/>
    <w:rsid w:val="00D5296C"/>
    <w:rsid w:val="00D54BF8"/>
    <w:rsid w:val="00D55820"/>
    <w:rsid w:val="00D6104D"/>
    <w:rsid w:val="00D63A32"/>
    <w:rsid w:val="00D648BB"/>
    <w:rsid w:val="00D66C88"/>
    <w:rsid w:val="00D73163"/>
    <w:rsid w:val="00D74733"/>
    <w:rsid w:val="00D7492E"/>
    <w:rsid w:val="00D75E3C"/>
    <w:rsid w:val="00D76EA3"/>
    <w:rsid w:val="00D7703E"/>
    <w:rsid w:val="00D80C4E"/>
    <w:rsid w:val="00D810D1"/>
    <w:rsid w:val="00D82363"/>
    <w:rsid w:val="00D8241A"/>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6C6A"/>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12C3"/>
    <w:rsid w:val="00E4314D"/>
    <w:rsid w:val="00E4399D"/>
    <w:rsid w:val="00E46BAA"/>
    <w:rsid w:val="00E5080E"/>
    <w:rsid w:val="00E524AE"/>
    <w:rsid w:val="00E54491"/>
    <w:rsid w:val="00E55393"/>
    <w:rsid w:val="00E55F7F"/>
    <w:rsid w:val="00E562C9"/>
    <w:rsid w:val="00E56AE7"/>
    <w:rsid w:val="00E56BC0"/>
    <w:rsid w:val="00E5717C"/>
    <w:rsid w:val="00E5762C"/>
    <w:rsid w:val="00E57C7E"/>
    <w:rsid w:val="00E609C2"/>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39F3"/>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4E2B"/>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2FC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839CE"/>
    <w:rsid w:val="00F83E14"/>
    <w:rsid w:val="00F84342"/>
    <w:rsid w:val="00F8533E"/>
    <w:rsid w:val="00F85F06"/>
    <w:rsid w:val="00F86A7A"/>
    <w:rsid w:val="00F86DCE"/>
    <w:rsid w:val="00F879E7"/>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48F5"/>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901063464">
      <w:bodyDiv w:val="1"/>
      <w:marLeft w:val="0"/>
      <w:marRight w:val="0"/>
      <w:marTop w:val="0"/>
      <w:marBottom w:val="0"/>
      <w:divBdr>
        <w:top w:val="none" w:sz="0" w:space="0" w:color="auto"/>
        <w:left w:val="none" w:sz="0" w:space="0" w:color="auto"/>
        <w:bottom w:val="none" w:sz="0" w:space="0" w:color="auto"/>
        <w:right w:val="none" w:sz="0" w:space="0" w:color="auto"/>
      </w:divBdr>
    </w:div>
    <w:div w:id="90441252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C980-16BD-4917-901D-2491E3B9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4086</Words>
  <Characters>22474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22</cp:revision>
  <cp:lastPrinted>2017-05-30T14:31:00Z</cp:lastPrinted>
  <dcterms:created xsi:type="dcterms:W3CDTF">2017-09-29T12:53:00Z</dcterms:created>
  <dcterms:modified xsi:type="dcterms:W3CDTF">2017-11-27T19:49:00Z</dcterms:modified>
</cp:coreProperties>
</file>