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D7" w:rsidRPr="00E177D7" w:rsidRDefault="00E177D7" w:rsidP="00E177D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E177D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177D7" w:rsidRPr="00E177D7" w:rsidRDefault="00E177D7" w:rsidP="00E177D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E177D7">
        <w:rPr>
          <w:rFonts w:ascii="Calibri" w:eastAsia="Calibri" w:hAnsi="Calibri" w:cs="Calibri"/>
          <w:color w:val="FF0000"/>
          <w:sz w:val="16"/>
          <w:szCs w:val="16"/>
          <w:lang w:val="es-CO" w:eastAsia="fr-FR"/>
        </w:rPr>
        <w:t>El contenido total y fiel de la decisión debe ser verificado en la Secretaría de esta Sala.</w:t>
      </w:r>
    </w:p>
    <w:p w:rsidR="00E177D7" w:rsidRPr="00E177D7" w:rsidRDefault="00E177D7" w:rsidP="00E177D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E177D7">
        <w:rPr>
          <w:rFonts w:ascii="Calibri" w:hAnsi="Calibri" w:cs="Calibri"/>
          <w:color w:val="222222"/>
          <w:sz w:val="18"/>
          <w:szCs w:val="18"/>
          <w:lang w:val="es-CO" w:eastAsia="fr-FR"/>
        </w:rPr>
        <w:t>Providencia:</w:t>
      </w:r>
      <w:r w:rsidRPr="00E177D7">
        <w:rPr>
          <w:rFonts w:ascii="Calibri" w:hAnsi="Calibri" w:cs="Calibri"/>
          <w:color w:val="222222"/>
          <w:sz w:val="18"/>
          <w:szCs w:val="18"/>
          <w:lang w:val="es-CO" w:eastAsia="fr-FR"/>
        </w:rPr>
        <w:tab/>
        <w:t>Sentencia  – 1ª instancia – 22 de noviembre de 2017</w:t>
      </w:r>
    </w:p>
    <w:p w:rsidR="00E177D7" w:rsidRPr="00E177D7" w:rsidRDefault="00E177D7" w:rsidP="00E177D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E177D7">
        <w:rPr>
          <w:rFonts w:ascii="Calibri" w:eastAsia="Calibri" w:hAnsi="Calibri" w:cs="Calibri"/>
          <w:color w:val="222222"/>
          <w:sz w:val="18"/>
          <w:szCs w:val="18"/>
          <w:lang w:val="es-CO" w:eastAsia="fr-FR"/>
        </w:rPr>
        <w:t>Proceso:    </w:t>
      </w:r>
      <w:r w:rsidRPr="00E177D7">
        <w:rPr>
          <w:rFonts w:ascii="Calibri" w:eastAsia="Calibri" w:hAnsi="Calibri" w:cs="Calibri"/>
          <w:color w:val="222222"/>
          <w:sz w:val="18"/>
          <w:szCs w:val="18"/>
          <w:lang w:val="es-CO" w:eastAsia="fr-FR"/>
        </w:rPr>
        <w:tab/>
        <w:t>Acción de Tutela – Declara improcedente la acción</w:t>
      </w:r>
    </w:p>
    <w:p w:rsidR="00E177D7" w:rsidRPr="00E177D7" w:rsidRDefault="00E177D7" w:rsidP="00E177D7">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E177D7">
        <w:rPr>
          <w:rFonts w:ascii="Calibri" w:eastAsia="Calibri" w:hAnsi="Calibri" w:cs="Calibri"/>
          <w:color w:val="222222"/>
          <w:sz w:val="18"/>
          <w:szCs w:val="18"/>
          <w:lang w:val="es-CO" w:eastAsia="fr-FR"/>
        </w:rPr>
        <w:t>Radicación Nro. :</w:t>
      </w:r>
      <w:r w:rsidRPr="00E177D7">
        <w:rPr>
          <w:rFonts w:ascii="Calibri" w:eastAsia="Calibri" w:hAnsi="Calibri" w:cs="Calibri"/>
          <w:color w:val="222222"/>
          <w:sz w:val="18"/>
          <w:szCs w:val="18"/>
          <w:lang w:val="es-CO" w:eastAsia="fr-FR"/>
        </w:rPr>
        <w:tab/>
      </w:r>
      <w:r w:rsidRPr="00E177D7">
        <w:rPr>
          <w:rFonts w:ascii="Calibri" w:eastAsia="Calibri" w:hAnsi="Calibri" w:cs="Calibri"/>
          <w:color w:val="222222"/>
          <w:sz w:val="18"/>
          <w:szCs w:val="18"/>
          <w:lang w:val="es-CO" w:eastAsia="fr-FR"/>
        </w:rPr>
        <w:tab/>
      </w:r>
      <w:r w:rsidRPr="00E177D7">
        <w:rPr>
          <w:rFonts w:ascii="Calibri" w:eastAsia="Calibri" w:hAnsi="Calibri" w:cs="Calibri"/>
          <w:color w:val="222222"/>
          <w:sz w:val="18"/>
          <w:szCs w:val="18"/>
          <w:lang w:val="es-CO" w:eastAsia="fr-FR"/>
        </w:rPr>
        <w:tab/>
      </w:r>
      <w:r w:rsidRPr="00E177D7">
        <w:rPr>
          <w:rFonts w:ascii="Calibri" w:eastAsia="Calibri" w:hAnsi="Calibri" w:cs="Calibri"/>
          <w:color w:val="222222"/>
          <w:sz w:val="18"/>
          <w:szCs w:val="18"/>
          <w:lang w:eastAsia="fr-FR"/>
        </w:rPr>
        <w:t>2017-01246-00</w:t>
      </w:r>
    </w:p>
    <w:p w:rsidR="00E177D7" w:rsidRPr="00E177D7" w:rsidRDefault="00E177D7" w:rsidP="00E177D7">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177D7">
        <w:rPr>
          <w:rFonts w:ascii="Calibri" w:eastAsia="Calibri" w:hAnsi="Calibri" w:cs="Calibri"/>
          <w:bCs/>
          <w:iCs/>
          <w:color w:val="222222"/>
          <w:sz w:val="18"/>
          <w:szCs w:val="18"/>
          <w:lang w:eastAsia="fr-FR"/>
        </w:rPr>
        <w:t xml:space="preserve">Accionante: </w:t>
      </w:r>
      <w:r w:rsidRPr="00E177D7">
        <w:rPr>
          <w:rFonts w:ascii="Calibri" w:eastAsia="Calibri" w:hAnsi="Calibri" w:cs="Calibri"/>
          <w:bCs/>
          <w:iCs/>
          <w:color w:val="222222"/>
          <w:sz w:val="18"/>
          <w:szCs w:val="18"/>
          <w:lang w:eastAsia="fr-FR"/>
        </w:rPr>
        <w:tab/>
        <w:t xml:space="preserve"> </w:t>
      </w:r>
      <w:proofErr w:type="spellStart"/>
      <w:r w:rsidRPr="00E177D7">
        <w:rPr>
          <w:rFonts w:ascii="Calibri" w:eastAsia="Calibri" w:hAnsi="Calibri" w:cs="Calibri"/>
          <w:color w:val="222222"/>
          <w:sz w:val="18"/>
          <w:szCs w:val="18"/>
          <w:lang w:eastAsia="fr-FR"/>
        </w:rPr>
        <w:t>UNER</w:t>
      </w:r>
      <w:proofErr w:type="spellEnd"/>
      <w:r w:rsidRPr="00E177D7">
        <w:rPr>
          <w:rFonts w:ascii="Calibri" w:eastAsia="Calibri" w:hAnsi="Calibri" w:cs="Calibri"/>
          <w:color w:val="222222"/>
          <w:sz w:val="18"/>
          <w:szCs w:val="18"/>
          <w:lang w:eastAsia="fr-FR"/>
        </w:rPr>
        <w:t xml:space="preserve"> AUGUSTO BECERRA LARGO</w:t>
      </w:r>
    </w:p>
    <w:p w:rsidR="00E177D7" w:rsidRPr="00E177D7" w:rsidRDefault="00E177D7" w:rsidP="00E177D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E177D7">
        <w:rPr>
          <w:rFonts w:ascii="Calibri" w:eastAsia="Calibri" w:hAnsi="Calibri" w:cs="Calibri"/>
          <w:color w:val="222222"/>
          <w:sz w:val="18"/>
          <w:szCs w:val="18"/>
          <w:lang w:val="es-CO" w:eastAsia="fr-FR"/>
        </w:rPr>
        <w:t>Accionado:</w:t>
      </w:r>
      <w:r w:rsidRPr="00E177D7">
        <w:rPr>
          <w:rFonts w:ascii="Calibri" w:eastAsia="Calibri" w:hAnsi="Calibri" w:cs="Calibri"/>
          <w:color w:val="222222"/>
          <w:sz w:val="18"/>
          <w:szCs w:val="18"/>
          <w:lang w:val="es-CO" w:eastAsia="fr-FR"/>
        </w:rPr>
        <w:tab/>
      </w:r>
      <w:r w:rsidRPr="00E177D7">
        <w:rPr>
          <w:rFonts w:ascii="Calibri" w:eastAsia="Calibri" w:hAnsi="Calibri" w:cs="Calibri"/>
          <w:color w:val="222222"/>
          <w:sz w:val="18"/>
          <w:szCs w:val="18"/>
          <w:lang w:eastAsia="fr-FR"/>
        </w:rPr>
        <w:t>JUZGADO TERCERO CIVIL DEL CIRCUITO DE PEREIRA</w:t>
      </w:r>
    </w:p>
    <w:p w:rsidR="00E177D7" w:rsidRPr="00E177D7" w:rsidRDefault="00E177D7" w:rsidP="00E177D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E177D7">
        <w:rPr>
          <w:rFonts w:ascii="Calibri" w:eastAsia="Calibri" w:hAnsi="Calibri" w:cs="Calibri"/>
          <w:color w:val="222222"/>
          <w:sz w:val="18"/>
          <w:szCs w:val="18"/>
          <w:lang w:val="es-CO" w:eastAsia="fr-FR"/>
        </w:rPr>
        <w:t>Magistrado Ponente: </w:t>
      </w:r>
      <w:r w:rsidRPr="00E177D7">
        <w:rPr>
          <w:rFonts w:ascii="Calibri" w:eastAsia="Calibri" w:hAnsi="Calibri" w:cs="Calibri"/>
          <w:color w:val="222222"/>
          <w:sz w:val="18"/>
          <w:szCs w:val="18"/>
          <w:lang w:val="es-CO" w:eastAsia="fr-FR"/>
        </w:rPr>
        <w:tab/>
      </w:r>
      <w:proofErr w:type="spellStart"/>
      <w:r w:rsidRPr="00E177D7">
        <w:rPr>
          <w:rFonts w:ascii="Calibri" w:eastAsia="Calibri" w:hAnsi="Calibri" w:cs="Calibri"/>
          <w:bCs/>
          <w:iCs/>
          <w:color w:val="222222"/>
          <w:sz w:val="18"/>
          <w:szCs w:val="18"/>
          <w:lang w:val="es-CO" w:eastAsia="fr-FR"/>
        </w:rPr>
        <w:t>DUBERNEY</w:t>
      </w:r>
      <w:proofErr w:type="spellEnd"/>
      <w:r w:rsidRPr="00E177D7">
        <w:rPr>
          <w:rFonts w:ascii="Calibri" w:eastAsia="Calibri" w:hAnsi="Calibri" w:cs="Calibri"/>
          <w:bCs/>
          <w:iCs/>
          <w:color w:val="222222"/>
          <w:sz w:val="18"/>
          <w:szCs w:val="18"/>
          <w:lang w:val="es-CO" w:eastAsia="fr-FR"/>
        </w:rPr>
        <w:t xml:space="preserve"> GRISALES HERRERA</w:t>
      </w:r>
    </w:p>
    <w:p w:rsidR="00E177D7" w:rsidRPr="00E177D7" w:rsidRDefault="00E177D7" w:rsidP="00E177D7">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E177D7" w:rsidRPr="00E177D7" w:rsidRDefault="00E177D7" w:rsidP="00E177D7">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E177D7">
        <w:rPr>
          <w:rFonts w:ascii="Calibri" w:eastAsia="Calibri" w:hAnsi="Calibri" w:cs="Calibri"/>
          <w:b/>
          <w:bCs/>
          <w:iCs/>
          <w:color w:val="222222"/>
          <w:sz w:val="18"/>
          <w:szCs w:val="18"/>
          <w:lang w:val="es-CO" w:eastAsia="fr-FR"/>
        </w:rPr>
        <w:t xml:space="preserve">Temas: </w:t>
      </w:r>
      <w:r w:rsidRPr="00E177D7">
        <w:rPr>
          <w:rFonts w:ascii="Calibri" w:eastAsia="Calibri" w:hAnsi="Calibri" w:cs="Calibri"/>
          <w:b/>
          <w:bCs/>
          <w:iCs/>
          <w:color w:val="222222"/>
          <w:sz w:val="18"/>
          <w:szCs w:val="18"/>
          <w:lang w:val="es-CO" w:eastAsia="fr-FR"/>
        </w:rPr>
        <w:tab/>
        <w:t>DEBIDO PROCESO</w:t>
      </w:r>
      <w:r w:rsidRPr="00E177D7">
        <w:rPr>
          <w:rFonts w:ascii="Calibri" w:eastAsia="Calibri" w:hAnsi="Calibri" w:cs="Calibri"/>
          <w:b/>
          <w:bCs/>
          <w:iCs/>
          <w:color w:val="222222"/>
          <w:sz w:val="18"/>
          <w:szCs w:val="18"/>
          <w:lang w:eastAsia="fr-FR"/>
        </w:rPr>
        <w:t xml:space="preserve"> / TUTELA CONTRA PROVIDENCIA JUDICIAL / CARÁCTER RESIDUAL DE LA ACCIÓN DE TUTELA / AUSENCIA DE INMEDIATEZ / IMPROCEDENCIA. </w:t>
      </w:r>
      <w:r w:rsidRPr="00E177D7">
        <w:rPr>
          <w:rFonts w:ascii="Calibri" w:eastAsia="Calibri" w:hAnsi="Calibri" w:cs="Calibri"/>
          <w:bCs/>
          <w:iCs/>
          <w:color w:val="222222"/>
          <w:sz w:val="18"/>
          <w:szCs w:val="18"/>
          <w:lang w:val="es-CO" w:eastAsia="fr-FR"/>
        </w:rPr>
        <w:t>[L]</w:t>
      </w:r>
      <w:r w:rsidRPr="00E177D7">
        <w:rPr>
          <w:rFonts w:ascii="Calibri" w:eastAsia="Calibri" w:hAnsi="Calibri" w:cs="Calibri"/>
          <w:bCs/>
          <w:iCs/>
          <w:color w:val="222222"/>
          <w:sz w:val="18"/>
          <w:szCs w:val="18"/>
          <w:lang w:eastAsia="fr-FR"/>
        </w:rPr>
        <w:t>a acción de tutela debe interponerse dentro de un término razonable y cercano a la circunstancia que ha causado la amenaza o vulneración de los derechos fundamentales respecto de los cuales se reclama la protección constitucional</w:t>
      </w:r>
      <w:r w:rsidRPr="00E177D7">
        <w:rPr>
          <w:rFonts w:ascii="Calibri" w:eastAsia="Calibri" w:hAnsi="Calibri" w:cs="Calibri"/>
          <w:bCs/>
          <w:iCs/>
          <w:color w:val="222222"/>
          <w:sz w:val="18"/>
          <w:szCs w:val="18"/>
          <w:lang w:val="es-ES_tradnl" w:eastAsia="fr-FR"/>
        </w:rPr>
        <w:t xml:space="preserve">. De  acuerdo  al  material  probatorio  el  Juzgado  Civil  del Circuito de Santa Rosa de Cabal, R., con decisión del 26-11-2015, rechazó la acción popular por carecer de competencia (Folio 2, disco compacto visible a folio 20, este cuaderno); formuladas reposiciones, se mantuvo incólume con autos del 04-12-2015 (Folio 4 (Sic), 4 y 5, disco compacto ibídem); seguidamente, fue repartida al Juzgado Tercero Civil del Circuito de Pereira que la admitió con providencia del 24-02-2016, notificada con fijación en el estado del 26-02-2016 (Folios 9 y 10, disco compacto ib.), sin ser recurrida. </w:t>
      </w:r>
      <w:r w:rsidRPr="00E177D7">
        <w:rPr>
          <w:rFonts w:ascii="Calibri" w:eastAsia="Calibri" w:hAnsi="Calibri" w:cs="Calibri"/>
          <w:bCs/>
          <w:iCs/>
          <w:color w:val="222222"/>
          <w:sz w:val="18"/>
          <w:szCs w:val="18"/>
          <w:lang w:val="es-CO" w:eastAsia="fr-FR"/>
        </w:rPr>
        <w:t>De acuerdo con lo expuesto, es e</w:t>
      </w:r>
      <w:r w:rsidRPr="00E177D7">
        <w:rPr>
          <w:rFonts w:ascii="Calibri" w:eastAsia="Calibri" w:hAnsi="Calibri" w:cs="Calibri"/>
          <w:bCs/>
          <w:iCs/>
          <w:color w:val="222222"/>
          <w:sz w:val="18"/>
          <w:szCs w:val="18"/>
          <w:lang w:eastAsia="fr-FR"/>
        </w:rPr>
        <w:t>vidente que el presente amparo carece del presupuesto de la inmediatez, en razón a que su interposición (09-11-2017) desborda el plazo fijado por la jurisprudencia</w:t>
      </w:r>
      <w:r w:rsidRPr="00E177D7">
        <w:rPr>
          <w:rFonts w:ascii="Calibri" w:eastAsia="Calibri" w:hAnsi="Calibri" w:cs="Calibri"/>
          <w:bCs/>
          <w:iCs/>
          <w:color w:val="222222"/>
          <w:sz w:val="18"/>
          <w:szCs w:val="18"/>
          <w:vertAlign w:val="superscript"/>
          <w:lang w:val="es-ES_tradnl" w:eastAsia="fr-FR"/>
        </w:rPr>
        <w:t xml:space="preserve"> </w:t>
      </w:r>
      <w:r w:rsidRPr="00E177D7">
        <w:rPr>
          <w:rFonts w:ascii="Calibri" w:eastAsia="Calibri" w:hAnsi="Calibri" w:cs="Calibri"/>
          <w:bCs/>
          <w:iCs/>
          <w:color w:val="222222"/>
          <w:sz w:val="18"/>
          <w:szCs w:val="18"/>
          <w:lang w:val="es-ES_tradnl" w:eastAsia="fr-FR"/>
        </w:rPr>
        <w:t>(Seis meses)</w:t>
      </w:r>
      <w:r w:rsidRPr="00E177D7">
        <w:rPr>
          <w:rFonts w:ascii="Calibri" w:eastAsia="Calibri" w:hAnsi="Calibri" w:cs="Calibri"/>
          <w:bCs/>
          <w:iCs/>
          <w:color w:val="222222"/>
          <w:sz w:val="18"/>
          <w:szCs w:val="18"/>
          <w:lang w:eastAsia="fr-FR"/>
        </w:rPr>
        <w:t>, como tiempo razonable, ya que han transcurrido, aproximadamente, un año (1) y nueve (9) meses, desde la última actuación reseñada. En este  asunto es inviable flexibilizar la aplicación de este principio,  puesto que el actor n</w:t>
      </w:r>
      <w:r w:rsidRPr="00E177D7">
        <w:rPr>
          <w:rFonts w:ascii="Calibri" w:eastAsia="Calibri" w:hAnsi="Calibri" w:cs="Calibri"/>
          <w:bCs/>
          <w:iCs/>
          <w:color w:val="222222"/>
          <w:sz w:val="18"/>
          <w:szCs w:val="18"/>
          <w:lang w:val="es-ES_tradnl" w:eastAsia="fr-FR"/>
        </w:rPr>
        <w:t>o alegó ni probó</w:t>
      </w:r>
      <w:r w:rsidRPr="00E177D7">
        <w:rPr>
          <w:rFonts w:ascii="Calibri" w:eastAsia="Calibri" w:hAnsi="Calibri" w:cs="Calibri"/>
          <w:bCs/>
          <w:iCs/>
          <w:color w:val="222222"/>
          <w:sz w:val="18"/>
          <w:szCs w:val="18"/>
          <w:lang w:eastAsia="fr-FR"/>
        </w:rPr>
        <w:t xml:space="preserve">, que medió causa alguna de fuerza mayor o caso fortuito que impidiera gestionar su defensa a través de esta acción con mayor celeridad sin desconocer la inmediatez. Tampoco arguyó y menos acreditó que fuera </w:t>
      </w:r>
      <w:r w:rsidRPr="00E177D7">
        <w:rPr>
          <w:rFonts w:ascii="Calibri" w:eastAsia="Calibri" w:hAnsi="Calibri" w:cs="Calibri"/>
          <w:bCs/>
          <w:iCs/>
          <w:color w:val="222222"/>
          <w:sz w:val="18"/>
          <w:szCs w:val="18"/>
          <w:lang w:val="es-CO" w:eastAsia="fr-FR"/>
        </w:rPr>
        <w:t>una persona que requiera de protección reforzada.</w:t>
      </w:r>
    </w:p>
    <w:p w:rsidR="00E177D7" w:rsidRDefault="00E177D7" w:rsidP="002403C8">
      <w:pPr>
        <w:pStyle w:val="Sansinterligne"/>
        <w:tabs>
          <w:tab w:val="left" w:pos="3579"/>
        </w:tabs>
        <w:spacing w:line="360" w:lineRule="auto"/>
        <w:jc w:val="center"/>
        <w:rPr>
          <w:rFonts w:ascii="Georgia" w:hAnsi="Georgia" w:cs="Arial"/>
          <w:w w:val="140"/>
          <w:sz w:val="14"/>
        </w:rPr>
      </w:pPr>
    </w:p>
    <w:p w:rsidR="00486062" w:rsidRPr="00AD7B0C" w:rsidRDefault="00D0509A" w:rsidP="002403C8">
      <w:pPr>
        <w:pStyle w:val="Sansinterligne"/>
        <w:tabs>
          <w:tab w:val="left" w:pos="3579"/>
        </w:tabs>
        <w:spacing w:line="360" w:lineRule="auto"/>
        <w:jc w:val="center"/>
        <w:rPr>
          <w:rFonts w:ascii="Georgia" w:hAnsi="Georgia" w:cs="Arial"/>
          <w:w w:val="140"/>
          <w:sz w:val="14"/>
        </w:rPr>
      </w:pPr>
      <w:r w:rsidRPr="00AD7B0C">
        <w:rPr>
          <w:rFonts w:ascii="Georgia" w:hAnsi="Georgia"/>
          <w:b/>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ansinterligne"/>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ansinterligne"/>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Corpsdetex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293F49">
        <w:rPr>
          <w:rFonts w:ascii="Georgia" w:hAnsi="Georgia" w:cs="Arial"/>
          <w:sz w:val="22"/>
        </w:rPr>
        <w:t>Uner</w:t>
      </w:r>
      <w:proofErr w:type="spellEnd"/>
      <w:r w:rsidR="00293F49">
        <w:rPr>
          <w:rFonts w:ascii="Georgia" w:hAnsi="Georgia" w:cs="Arial"/>
          <w:sz w:val="22"/>
        </w:rPr>
        <w:t xml:space="preserve"> </w:t>
      </w:r>
      <w:r w:rsidR="00951398">
        <w:rPr>
          <w:rFonts w:ascii="Georgia" w:hAnsi="Georgia" w:cs="Arial"/>
          <w:sz w:val="22"/>
        </w:rPr>
        <w:t>Augusto Becerra Largo</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951398">
        <w:rPr>
          <w:rFonts w:ascii="Georgia" w:hAnsi="Georgia" w:cs="Arial"/>
          <w:sz w:val="22"/>
        </w:rPr>
        <w:t xml:space="preserve">Tercero </w:t>
      </w:r>
      <w:r w:rsidR="000B4D37" w:rsidRPr="00AD7B0C">
        <w:rPr>
          <w:rFonts w:ascii="Georgia" w:hAnsi="Georgia" w:cs="Arial"/>
          <w:sz w:val="22"/>
        </w:rPr>
        <w:t xml:space="preserve">Civil del Circuito de Pereira </w:t>
      </w:r>
    </w:p>
    <w:p w:rsidR="00A00766" w:rsidRPr="00AD7B0C" w:rsidRDefault="00A00766" w:rsidP="00F109A0">
      <w:pPr>
        <w:pStyle w:val="Corpsdetex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951398">
        <w:rPr>
          <w:rFonts w:ascii="Georgia" w:hAnsi="Georgia" w:cs="Arial"/>
          <w:sz w:val="22"/>
          <w:szCs w:val="22"/>
        </w:rPr>
        <w:t>Defensoría del Pueblo, Regional Risaralda y otros</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401168" w:rsidRPr="00AD7B0C">
        <w:rPr>
          <w:rFonts w:ascii="Georgia" w:hAnsi="Georgia" w:cs="Arial"/>
          <w:sz w:val="22"/>
        </w:rPr>
        <w:t>2017-</w:t>
      </w:r>
      <w:r w:rsidR="00951398">
        <w:rPr>
          <w:rFonts w:ascii="Georgia" w:hAnsi="Georgia" w:cs="Arial"/>
          <w:sz w:val="22"/>
        </w:rPr>
        <w:t>01246</w:t>
      </w:r>
      <w:r w:rsidR="00217965" w:rsidRPr="000B3ECF">
        <w:rPr>
          <w:rFonts w:ascii="Georgia" w:hAnsi="Georgia" w:cs="Arial"/>
          <w:sz w:val="22"/>
        </w:rPr>
        <w:t>-00</w:t>
      </w:r>
      <w:r w:rsidR="00AD7B0C" w:rsidRPr="000B3ECF">
        <w:rPr>
          <w:rFonts w:ascii="Georgia" w:hAnsi="Georgia" w:cs="Arial"/>
          <w:sz w:val="22"/>
        </w:rPr>
        <w:t xml:space="preserve"> (</w:t>
      </w:r>
      <w:r w:rsidR="00055BAB" w:rsidRPr="000B3ECF">
        <w:rPr>
          <w:rFonts w:ascii="Georgia" w:hAnsi="Georgia" w:cs="Arial"/>
          <w:sz w:val="22"/>
        </w:rPr>
        <w:t>I</w:t>
      </w:r>
      <w:r w:rsidR="00AD7B0C" w:rsidRPr="000B3ECF">
        <w:rPr>
          <w:rFonts w:ascii="Georgia" w:hAnsi="Georgia" w:cs="Arial"/>
          <w:sz w:val="22"/>
        </w:rPr>
        <w:t>ntern</w:t>
      </w:r>
      <w:r w:rsidR="000B3ECF" w:rsidRPr="000B3ECF">
        <w:rPr>
          <w:rFonts w:ascii="Georgia" w:hAnsi="Georgia" w:cs="Arial"/>
          <w:sz w:val="22"/>
        </w:rPr>
        <w:t>a</w:t>
      </w:r>
      <w:r w:rsidR="00AD7B0C" w:rsidRPr="000B3ECF">
        <w:rPr>
          <w:rFonts w:ascii="Georgia" w:hAnsi="Georgia" w:cs="Arial"/>
          <w:sz w:val="22"/>
        </w:rPr>
        <w:t xml:space="preserve"> </w:t>
      </w:r>
      <w:r w:rsidR="00951398">
        <w:rPr>
          <w:rFonts w:ascii="Georgia" w:hAnsi="Georgia" w:cs="Arial"/>
          <w:sz w:val="22"/>
        </w:rPr>
        <w:t>1246</w:t>
      </w:r>
      <w:r w:rsidR="00AD7B0C" w:rsidRPr="000B3ECF">
        <w:rPr>
          <w:rFonts w:ascii="Georgia" w:hAnsi="Georgia" w:cs="Arial"/>
          <w:sz w:val="22"/>
        </w:rPr>
        <w:t>)</w:t>
      </w:r>
    </w:p>
    <w:p w:rsidR="00401168" w:rsidRPr="00AD7B0C" w:rsidRDefault="00970930" w:rsidP="008E5334">
      <w:pPr>
        <w:pStyle w:val="Corpsdetex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293F49">
        <w:rPr>
          <w:rFonts w:ascii="Georgia" w:hAnsi="Georgia" w:cs="Arial"/>
          <w:sz w:val="22"/>
          <w:szCs w:val="22"/>
        </w:rPr>
        <w:t xml:space="preserve">Procedibilidad – Inmediatez </w:t>
      </w:r>
    </w:p>
    <w:p w:rsidR="0099045D" w:rsidRPr="00AD7B0C" w:rsidRDefault="008E5334" w:rsidP="008E5334">
      <w:pPr>
        <w:pStyle w:val="Corpsdetex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906784">
        <w:rPr>
          <w:rFonts w:ascii="Georgia" w:hAnsi="Georgia"/>
          <w:sz w:val="22"/>
          <w:szCs w:val="22"/>
        </w:rPr>
        <w:t>657</w:t>
      </w:r>
      <w:r w:rsidRPr="00AD7B0C">
        <w:rPr>
          <w:rFonts w:ascii="Georgia" w:hAnsi="Georgia"/>
          <w:sz w:val="22"/>
          <w:szCs w:val="22"/>
        </w:rPr>
        <w:t xml:space="preserve"> de </w:t>
      </w:r>
      <w:r w:rsidR="00906784">
        <w:rPr>
          <w:rFonts w:ascii="Georgia" w:hAnsi="Georgia"/>
          <w:sz w:val="22"/>
          <w:szCs w:val="22"/>
        </w:rPr>
        <w:t>22</w:t>
      </w:r>
      <w:r w:rsidRPr="00AD7B0C">
        <w:rPr>
          <w:rFonts w:ascii="Georgia" w:hAnsi="Georgia"/>
          <w:sz w:val="22"/>
          <w:szCs w:val="22"/>
        </w:rPr>
        <w:t>-</w:t>
      </w:r>
      <w:r w:rsidR="00217965" w:rsidRPr="00AD7B0C">
        <w:rPr>
          <w:rFonts w:ascii="Georgia" w:hAnsi="Georgia"/>
          <w:sz w:val="22"/>
          <w:szCs w:val="22"/>
        </w:rPr>
        <w:t>11</w:t>
      </w:r>
      <w:r w:rsidRPr="00AD7B0C">
        <w:rPr>
          <w:rFonts w:ascii="Georgia" w:hAnsi="Georgia"/>
          <w:sz w:val="22"/>
          <w:szCs w:val="22"/>
        </w:rPr>
        <w:t>-2017</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971653" w:rsidP="00971653">
      <w:pPr>
        <w:spacing w:line="360" w:lineRule="auto"/>
        <w:jc w:val="center"/>
        <w:rPr>
          <w:rFonts w:ascii="Georgia" w:hAnsi="Georgia" w:cs="Arial"/>
          <w:iCs/>
          <w:lang w:val="es-CO"/>
        </w:rPr>
      </w:pPr>
      <w:r w:rsidRPr="00AD7B0C">
        <w:rPr>
          <w:rFonts w:ascii="Georgia" w:hAnsi="Georgia" w:cs="Arial"/>
          <w:iCs/>
          <w:smallCaps/>
          <w:lang w:val="es-CO"/>
        </w:rPr>
        <w:t>P</w:t>
      </w:r>
      <w:r w:rsidR="00217965" w:rsidRPr="00AD7B0C">
        <w:rPr>
          <w:rFonts w:ascii="Georgia" w:hAnsi="Georgia" w:cs="Arial"/>
          <w:iCs/>
          <w:smallCaps/>
          <w:lang w:val="es-CO"/>
        </w:rPr>
        <w:t xml:space="preserve">EREIRA, R. </w:t>
      </w:r>
      <w:r w:rsidR="00543D58">
        <w:rPr>
          <w:rFonts w:ascii="Georgia" w:hAnsi="Georgia" w:cs="Arial"/>
          <w:iCs/>
          <w:smallCaps/>
          <w:lang w:val="es-CO"/>
        </w:rPr>
        <w:t xml:space="preserve">VEINTIDÓS </w:t>
      </w:r>
      <w:r w:rsidRPr="00AD7B0C">
        <w:rPr>
          <w:rFonts w:ascii="Georgia" w:hAnsi="Georgia" w:cs="Arial"/>
          <w:iCs/>
          <w:smallCaps/>
          <w:lang w:val="es-CO"/>
        </w:rPr>
        <w:t>(</w:t>
      </w:r>
      <w:r w:rsidR="00543D58">
        <w:rPr>
          <w:rFonts w:ascii="Georgia" w:hAnsi="Georgia" w:cs="Arial"/>
          <w:iCs/>
          <w:smallCaps/>
          <w:lang w:val="es-CO"/>
        </w:rPr>
        <w:t>22</w:t>
      </w:r>
      <w:r w:rsidRPr="00AD7B0C">
        <w:rPr>
          <w:rFonts w:ascii="Georgia" w:hAnsi="Georgia" w:cs="Arial"/>
          <w:iCs/>
          <w:smallCaps/>
          <w:lang w:val="es-CO"/>
        </w:rPr>
        <w:t xml:space="preserve">) </w:t>
      </w:r>
      <w:r w:rsidR="00217965" w:rsidRPr="00AD7B0C">
        <w:rPr>
          <w:rFonts w:ascii="Georgia" w:hAnsi="Georgia" w:cs="Arial"/>
          <w:iCs/>
          <w:smallCaps/>
          <w:lang w:val="es-CO"/>
        </w:rPr>
        <w:t>DE NOVIEMBRE DE DOS MIL DICIESIETE</w:t>
      </w:r>
      <w:r w:rsidRPr="00AD7B0C">
        <w:rPr>
          <w:rFonts w:ascii="Georgia" w:hAnsi="Georgia" w:cs="Arial"/>
          <w:iCs/>
          <w:smallCaps/>
          <w:lang w:val="es-CO"/>
        </w:rPr>
        <w:t xml:space="preserve"> (2017)</w:t>
      </w:r>
      <w:r w:rsidRPr="00AD7B0C">
        <w:rPr>
          <w:rFonts w:ascii="Georgia" w:hAnsi="Georgia" w:cs="Arial"/>
          <w:iCs/>
          <w:lang w:val="es-CO"/>
        </w:rPr>
        <w:t>.</w:t>
      </w:r>
    </w:p>
    <w:p w:rsidR="000147A2" w:rsidRPr="00EB6D54" w:rsidRDefault="000147A2" w:rsidP="00971653">
      <w:pPr>
        <w:tabs>
          <w:tab w:val="left" w:pos="851"/>
          <w:tab w:val="left" w:pos="1416"/>
        </w:tabs>
        <w:spacing w:line="360" w:lineRule="auto"/>
        <w:rPr>
          <w:rFonts w:ascii="Georgia" w:hAnsi="Georgia" w:cs="Arial"/>
          <w:b/>
          <w:bCs/>
          <w:sz w:val="20"/>
          <w:lang w:val="es-CO"/>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 xml:space="preserve">EL ASUNTO </w:t>
      </w:r>
      <w:r w:rsidR="00B15B77" w:rsidRPr="00AD7B0C">
        <w:rPr>
          <w:rFonts w:ascii="Georgia" w:hAnsi="Georgia"/>
          <w:szCs w:val="24"/>
        </w:rPr>
        <w:t xml:space="preserve">POR </w:t>
      </w:r>
      <w:r w:rsidRPr="00AD7B0C">
        <w:rPr>
          <w:rFonts w:ascii="Georgia" w:hAnsi="Georgia"/>
          <w:szCs w:val="24"/>
        </w:rPr>
        <w:t>DECIDIR</w:t>
      </w:r>
    </w:p>
    <w:p w:rsidR="00AD7B0C" w:rsidRPr="00EB6D54" w:rsidRDefault="00AD7B0C" w:rsidP="00E177D7">
      <w:pPr>
        <w:pStyle w:val="Corpsdetexte"/>
        <w:spacing w:line="240" w:lineRule="auto"/>
        <w:ind w:left="360"/>
        <w:rPr>
          <w:rFonts w:ascii="Georgia" w:hAnsi="Georgia"/>
          <w:sz w:val="20"/>
          <w:szCs w:val="24"/>
        </w:rPr>
      </w:pPr>
    </w:p>
    <w:p w:rsidR="00AD7B0C" w:rsidRPr="00AD7B0C" w:rsidRDefault="00AD7B0C" w:rsidP="00AD7B0C">
      <w:pPr>
        <w:pStyle w:val="Corpsdetexte"/>
        <w:spacing w:line="360" w:lineRule="auto"/>
        <w:rPr>
          <w:rFonts w:ascii="Georgia" w:hAnsi="Georgia"/>
          <w:szCs w:val="24"/>
        </w:rPr>
      </w:pPr>
      <w:r w:rsidRPr="00AD7B0C">
        <w:rPr>
          <w:rFonts w:ascii="Georgia" w:hAnsi="Georgia"/>
          <w:szCs w:val="24"/>
        </w:rPr>
        <w:t>La acción constitucional referida, adelantadas las debidas actuaciones con el trámite preferente y sumario, sin que se evidencien causales de nulidad que la invalide.</w:t>
      </w:r>
    </w:p>
    <w:p w:rsidR="000147A2" w:rsidRPr="00EB6D54" w:rsidRDefault="000147A2" w:rsidP="0099045D">
      <w:pPr>
        <w:pStyle w:val="Corpsdetexte"/>
        <w:spacing w:line="360" w:lineRule="auto"/>
        <w:rPr>
          <w:rFonts w:ascii="Georgia" w:hAnsi="Georgia"/>
          <w:sz w:val="20"/>
          <w:szCs w:val="24"/>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EB6D54" w:rsidRDefault="0099045D" w:rsidP="00E177D7">
      <w:pPr>
        <w:pStyle w:val="Corpsdetexte"/>
        <w:spacing w:line="240" w:lineRule="auto"/>
        <w:rPr>
          <w:rFonts w:ascii="Georgia" w:hAnsi="Georgia"/>
          <w:sz w:val="20"/>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212F75">
        <w:rPr>
          <w:rFonts w:ascii="Georgia" w:hAnsi="Georgia" w:cs="Arial"/>
        </w:rPr>
        <w:t xml:space="preserve">promovió la acción popular No.2016-00018-00 ante el Juzgado Civil del Circuito de </w:t>
      </w:r>
      <w:r w:rsidR="00906784">
        <w:rPr>
          <w:rFonts w:ascii="Georgia" w:hAnsi="Georgia" w:cs="Arial"/>
        </w:rPr>
        <w:t>Santa Rosa de Cabal, R.</w:t>
      </w:r>
      <w:r w:rsidR="00212F75">
        <w:rPr>
          <w:rFonts w:ascii="Georgia" w:hAnsi="Georgia" w:cs="Arial"/>
        </w:rPr>
        <w:t xml:space="preserve">, de conformidad con el artículo 16, Ley 472, pero se declaró incompetente y remitió el expediente a los juzgados del circuito </w:t>
      </w:r>
      <w:r w:rsidR="00906784">
        <w:rPr>
          <w:rFonts w:ascii="Georgia" w:hAnsi="Georgia" w:cs="Arial"/>
        </w:rPr>
        <w:t xml:space="preserve">de esta </w:t>
      </w:r>
      <w:r w:rsidR="00906784">
        <w:rPr>
          <w:rFonts w:ascii="Georgia" w:hAnsi="Georgia" w:cs="Arial"/>
        </w:rPr>
        <w:lastRenderedPageBreak/>
        <w:t>municipalidad</w:t>
      </w:r>
      <w:r w:rsidR="00212F75">
        <w:rPr>
          <w:rFonts w:ascii="Georgia" w:hAnsi="Georgia" w:cs="Arial"/>
        </w:rPr>
        <w:t xml:space="preserve">, a pesar de que le está vedada la posibilidad de proponer conflicto de competencia porque no es parte (La anterior descripción se infiere de los hechos y pretensiones de la acción) </w:t>
      </w:r>
      <w:r w:rsidR="004B1EB8" w:rsidRPr="00AD7B0C">
        <w:rPr>
          <w:rFonts w:ascii="Georgia" w:hAnsi="Georgia" w:cs="Arial"/>
        </w:rPr>
        <w:t>(Folio</w:t>
      </w:r>
      <w:r w:rsidR="00212F75">
        <w:rPr>
          <w:rFonts w:ascii="Georgia" w:hAnsi="Georgia" w:cs="Arial"/>
        </w:rPr>
        <w:t>s</w:t>
      </w:r>
      <w:r w:rsidR="004B1EB8" w:rsidRPr="00AD7B0C">
        <w:rPr>
          <w:rFonts w:ascii="Georgia" w:hAnsi="Georgia" w:cs="Arial"/>
        </w:rPr>
        <w:t xml:space="preserve"> </w:t>
      </w:r>
      <w:r w:rsidR="00401168" w:rsidRPr="00AD7B0C">
        <w:rPr>
          <w:rFonts w:ascii="Georgia" w:hAnsi="Georgia" w:cs="Arial"/>
        </w:rPr>
        <w:t>1</w:t>
      </w:r>
      <w:r w:rsidR="00212F75">
        <w:rPr>
          <w:rFonts w:ascii="Georgia" w:hAnsi="Georgia" w:cs="Arial"/>
        </w:rPr>
        <w:t xml:space="preserve"> y 2</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EB6D54" w:rsidRDefault="002B0607" w:rsidP="0099045D">
      <w:pPr>
        <w:pStyle w:val="Corpsdetexte"/>
        <w:spacing w:line="360" w:lineRule="auto"/>
        <w:rPr>
          <w:rFonts w:ascii="Georgia" w:hAnsi="Georgia"/>
          <w:sz w:val="20"/>
          <w:szCs w:val="24"/>
          <w:lang w:val="es-ES"/>
        </w:rPr>
      </w:pPr>
    </w:p>
    <w:p w:rsidR="0099045D" w:rsidRPr="00AD7B0C" w:rsidRDefault="00265F36" w:rsidP="0099045D">
      <w:pPr>
        <w:pStyle w:val="Corpsdetex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EB6D54" w:rsidRDefault="00800EF6" w:rsidP="00730CA7">
      <w:pPr>
        <w:pStyle w:val="Corpsdetexte"/>
        <w:spacing w:line="360" w:lineRule="auto"/>
        <w:rPr>
          <w:rFonts w:ascii="Georgia" w:hAnsi="Georgia"/>
          <w:sz w:val="20"/>
          <w:szCs w:val="24"/>
        </w:rPr>
      </w:pPr>
    </w:p>
    <w:p w:rsidR="007D0ECC" w:rsidRPr="00AD7B0C" w:rsidRDefault="00212F75"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El debido proceso, las garantías procesales, Carta Iberoamericana de usuarios de justicia </w:t>
      </w:r>
      <w:r w:rsidR="00401168" w:rsidRPr="00AD7B0C">
        <w:rPr>
          <w:rFonts w:ascii="Georgia" w:hAnsi="Georgia" w:cs="Arial"/>
          <w:spacing w:val="-3"/>
          <w:lang w:val="es-ES_tradnl"/>
        </w:rPr>
        <w:t>y los artículos 13 y 83 de la CP</w:t>
      </w:r>
      <w:r w:rsidR="00952189" w:rsidRPr="00AD7B0C">
        <w:rPr>
          <w:rFonts w:ascii="Georgia" w:hAnsi="Georgia" w:cs="Arial"/>
          <w:spacing w:val="-3"/>
          <w:sz w:val="22"/>
          <w:lang w:val="es-ES_tradnl"/>
        </w:rPr>
        <w:t xml:space="preserve"> </w:t>
      </w:r>
      <w:r w:rsidR="00401168" w:rsidRPr="00AD7B0C">
        <w:rPr>
          <w:rFonts w:ascii="Georgia" w:hAnsi="Georgia" w:cs="Arial"/>
          <w:spacing w:val="-3"/>
          <w:lang w:val="es-ES_tradnl"/>
        </w:rPr>
        <w:t>(Folio 2</w:t>
      </w:r>
      <w:r w:rsidR="007D0ECC" w:rsidRPr="00AD7B0C">
        <w:rPr>
          <w:rFonts w:ascii="Georgia" w:hAnsi="Georgia" w:cs="Arial"/>
          <w:spacing w:val="-3"/>
          <w:lang w:val="es-ES_tradnl"/>
        </w:rPr>
        <w:t>, este cuaderno).</w:t>
      </w:r>
    </w:p>
    <w:p w:rsidR="003F6C16" w:rsidRPr="00EB6D54"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EB6D54" w:rsidRDefault="00303E85" w:rsidP="004B1EB8">
      <w:pPr>
        <w:pStyle w:val="Sansinterligne"/>
        <w:spacing w:line="360" w:lineRule="auto"/>
        <w:jc w:val="both"/>
        <w:rPr>
          <w:rFonts w:ascii="Georgia" w:hAnsi="Georgia" w:cs="Arial"/>
          <w:sz w:val="20"/>
          <w:szCs w:val="24"/>
        </w:rPr>
      </w:pPr>
    </w:p>
    <w:p w:rsidR="00D669DC" w:rsidRPr="00AD7B0C" w:rsidRDefault="003F7B7A" w:rsidP="001A7DE1">
      <w:pPr>
        <w:spacing w:line="360" w:lineRule="auto"/>
        <w:jc w:val="both"/>
        <w:rPr>
          <w:rFonts w:ascii="Georgia" w:hAnsi="Georgia" w:cs="Arial"/>
          <w:spacing w:val="-3"/>
          <w:lang w:val="es-ES_tradnl"/>
        </w:rPr>
      </w:pPr>
      <w:r>
        <w:rPr>
          <w:rFonts w:ascii="Georgia" w:hAnsi="Georgia" w:cs="Arial"/>
        </w:rPr>
        <w:t xml:space="preserve">Pretende que se ordene al accionado </w:t>
      </w:r>
      <w:r w:rsidR="00401168" w:rsidRPr="00AD7B0C">
        <w:rPr>
          <w:rFonts w:ascii="Georgia" w:hAnsi="Georgia" w:cs="Arial"/>
        </w:rPr>
        <w:t>(</w:t>
      </w:r>
      <w:r>
        <w:rPr>
          <w:rFonts w:ascii="Georgia" w:hAnsi="Georgia" w:cs="Arial"/>
        </w:rPr>
        <w:t>i</w:t>
      </w:r>
      <w:r w:rsidR="00401168" w:rsidRPr="00AD7B0C">
        <w:rPr>
          <w:rFonts w:ascii="Georgia" w:hAnsi="Georgia" w:cs="Arial"/>
        </w:rPr>
        <w:t xml:space="preserve">) </w:t>
      </w:r>
      <w:r w:rsidR="00212F75">
        <w:rPr>
          <w:rFonts w:ascii="Georgia" w:hAnsi="Georgia" w:cs="Arial"/>
        </w:rPr>
        <w:t>Remitir el expediente al Juzgado Civil del Circuito de Santa Rosa de Cabal, R., para que asuma su conocimiento; (ii) Brindar seguridad jurídica; y, (iii) Agregar copia de la tutela a la acción popular; adicionalmente a esta Corporación (i) Valorar la decisión de tutela radicada al No.2016-00727-00</w:t>
      </w:r>
      <w:r w:rsidR="00401168" w:rsidRPr="00AD7B0C">
        <w:rPr>
          <w:rFonts w:ascii="Georgia" w:hAnsi="Georgia" w:cs="Arial"/>
        </w:rPr>
        <w:t xml:space="preserve"> </w:t>
      </w:r>
      <w:r w:rsidR="00612C75" w:rsidRPr="00AD7B0C">
        <w:rPr>
          <w:rFonts w:ascii="Georgia" w:hAnsi="Georgia" w:cs="Arial"/>
          <w:spacing w:val="-3"/>
          <w:lang w:val="es-ES_tradnl"/>
        </w:rPr>
        <w:t>(Folio</w:t>
      </w:r>
      <w:r w:rsidR="00212F75">
        <w:rPr>
          <w:rFonts w:ascii="Georgia" w:hAnsi="Georgia" w:cs="Arial"/>
          <w:spacing w:val="-3"/>
          <w:lang w:val="es-ES_tradnl"/>
        </w:rPr>
        <w:t>s</w:t>
      </w:r>
      <w:r w:rsidR="00401168" w:rsidRPr="00AD7B0C">
        <w:rPr>
          <w:rFonts w:ascii="Georgia" w:hAnsi="Georgia" w:cs="Arial"/>
          <w:spacing w:val="-3"/>
          <w:lang w:val="es-ES_tradnl"/>
        </w:rPr>
        <w:t xml:space="preserve"> </w:t>
      </w:r>
      <w:r w:rsidR="00212F75">
        <w:rPr>
          <w:rFonts w:ascii="Georgia" w:hAnsi="Georgia" w:cs="Arial"/>
          <w:spacing w:val="-3"/>
          <w:lang w:val="es-ES_tradnl"/>
        </w:rPr>
        <w:t>1 y 2</w:t>
      </w:r>
      <w:r w:rsidR="00D669DC" w:rsidRPr="00AD7B0C">
        <w:rPr>
          <w:rFonts w:ascii="Georgia" w:hAnsi="Georgia" w:cs="Arial"/>
          <w:spacing w:val="-3"/>
          <w:lang w:val="es-ES_tradnl"/>
        </w:rPr>
        <w:t>, este cuaderno).</w:t>
      </w:r>
    </w:p>
    <w:p w:rsidR="00CE71D8" w:rsidRPr="00EB6D54" w:rsidRDefault="00CE71D8" w:rsidP="000145EA">
      <w:pPr>
        <w:pStyle w:val="Sansinterligne"/>
        <w:spacing w:line="360" w:lineRule="auto"/>
        <w:jc w:val="both"/>
        <w:rPr>
          <w:rFonts w:ascii="Georgia" w:hAnsi="Georgia" w:cs="Arial"/>
          <w:sz w:val="20"/>
          <w:szCs w:val="24"/>
        </w:rPr>
      </w:pPr>
    </w:p>
    <w:p w:rsidR="0099045D" w:rsidRDefault="00592A5D" w:rsidP="00101AE0">
      <w:pPr>
        <w:pStyle w:val="Sansinterligne"/>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12F75" w:rsidRPr="00EB6D54" w:rsidRDefault="00212F75" w:rsidP="00212F75">
      <w:pPr>
        <w:pStyle w:val="Sansinterligne"/>
        <w:spacing w:line="360" w:lineRule="auto"/>
        <w:ind w:left="360"/>
        <w:jc w:val="both"/>
        <w:rPr>
          <w:rFonts w:ascii="Georgia" w:hAnsi="Georgia"/>
          <w:sz w:val="20"/>
          <w:szCs w:val="24"/>
        </w:rPr>
      </w:pPr>
    </w:p>
    <w:p w:rsidR="004B1EB8" w:rsidRPr="00AD7B0C" w:rsidRDefault="00971166" w:rsidP="004B1EB8">
      <w:pPr>
        <w:spacing w:line="360" w:lineRule="auto"/>
        <w:jc w:val="both"/>
        <w:rPr>
          <w:rFonts w:ascii="Georgia" w:hAnsi="Georgia" w:cs="Arial"/>
        </w:rPr>
      </w:pPr>
      <w:r w:rsidRPr="00AD7B0C">
        <w:rPr>
          <w:rFonts w:ascii="Georgia" w:hAnsi="Georgia" w:cs="Arial"/>
        </w:rPr>
        <w:t xml:space="preserve">En reparto ordinario del </w:t>
      </w:r>
      <w:r w:rsidR="00212F75">
        <w:rPr>
          <w:rFonts w:ascii="Georgia" w:hAnsi="Georgia" w:cs="Arial"/>
        </w:rPr>
        <w:t xml:space="preserve">09-11-2017 </w:t>
      </w:r>
      <w:r w:rsidR="00480426" w:rsidRPr="00AD7B0C">
        <w:rPr>
          <w:rFonts w:ascii="Georgia" w:hAnsi="Georgia" w:cs="Arial"/>
        </w:rPr>
        <w:t xml:space="preserve">se </w:t>
      </w:r>
      <w:r w:rsidR="00D47A9A" w:rsidRPr="00AD7B0C">
        <w:rPr>
          <w:rFonts w:ascii="Georgia" w:hAnsi="Georgia" w:cs="Arial"/>
        </w:rPr>
        <w:t xml:space="preserve">asignó </w:t>
      </w:r>
      <w:r w:rsidRPr="00AD7B0C">
        <w:rPr>
          <w:rFonts w:ascii="Georgia" w:hAnsi="Georgia" w:cs="Arial"/>
        </w:rPr>
        <w:t>a este Despacho</w:t>
      </w:r>
      <w:r w:rsidR="00CF0ADC" w:rsidRPr="00AD7B0C">
        <w:rPr>
          <w:rFonts w:ascii="Georgia" w:hAnsi="Georgia" w:cs="Arial"/>
        </w:rPr>
        <w:t xml:space="preserve"> </w:t>
      </w:r>
      <w:r w:rsidR="00D47A9A" w:rsidRPr="00AD7B0C">
        <w:rPr>
          <w:rFonts w:ascii="Georgia" w:hAnsi="Georgia" w:cs="Arial"/>
        </w:rPr>
        <w:t xml:space="preserve">la acción </w:t>
      </w:r>
      <w:r w:rsidR="00CF0ADC" w:rsidRPr="00AD7B0C">
        <w:rPr>
          <w:rFonts w:ascii="Georgia" w:hAnsi="Georgia" w:cs="Arial"/>
        </w:rPr>
        <w:t>de tutela</w:t>
      </w:r>
      <w:r w:rsidR="004B1EB8" w:rsidRPr="00AD7B0C">
        <w:rPr>
          <w:rFonts w:ascii="Georgia" w:hAnsi="Georgia" w:cs="Arial"/>
        </w:rPr>
        <w:t xml:space="preserve">, </w:t>
      </w:r>
      <w:r w:rsidR="009E326C" w:rsidRPr="00AD7B0C">
        <w:rPr>
          <w:rFonts w:ascii="Georgia" w:hAnsi="Georgia" w:cs="Arial"/>
        </w:rPr>
        <w:t xml:space="preserve">con auto del </w:t>
      </w:r>
      <w:r w:rsidR="00212F75">
        <w:rPr>
          <w:rFonts w:ascii="Georgia" w:hAnsi="Georgia" w:cs="Arial"/>
        </w:rPr>
        <w:t>10</w:t>
      </w:r>
      <w:r w:rsidR="00D47A9A" w:rsidRPr="00AD7B0C">
        <w:rPr>
          <w:rFonts w:ascii="Georgia" w:hAnsi="Georgia" w:cs="Arial"/>
        </w:rPr>
        <w:t>-</w:t>
      </w:r>
      <w:r w:rsidR="00212F75">
        <w:rPr>
          <w:rFonts w:ascii="Georgia" w:hAnsi="Georgia" w:cs="Arial"/>
        </w:rPr>
        <w:t>11</w:t>
      </w:r>
      <w:r w:rsidR="00D47A9A" w:rsidRPr="00AD7B0C">
        <w:rPr>
          <w:rFonts w:ascii="Georgia" w:hAnsi="Georgia" w:cs="Arial"/>
        </w:rPr>
        <w:t xml:space="preserve">-2017 </w:t>
      </w:r>
      <w:r w:rsidR="0069231C" w:rsidRPr="00AD7B0C">
        <w:rPr>
          <w:rFonts w:ascii="Georgia" w:hAnsi="Georgia" w:cs="Arial"/>
        </w:rPr>
        <w:t xml:space="preserve">se </w:t>
      </w:r>
      <w:r w:rsidR="00D47A9A" w:rsidRPr="00AD7B0C">
        <w:rPr>
          <w:rFonts w:ascii="Georgia" w:hAnsi="Georgia" w:cs="Arial"/>
        </w:rPr>
        <w:t>admitió</w:t>
      </w:r>
      <w:r w:rsidR="00314889" w:rsidRPr="00AD7B0C">
        <w:rPr>
          <w:rFonts w:ascii="Georgia" w:hAnsi="Georgia" w:cs="Arial"/>
        </w:rPr>
        <w:t>, se ordenó vincular a quienes se estimó conveniente</w:t>
      </w:r>
      <w:r w:rsidR="00612C75" w:rsidRPr="00AD7B0C">
        <w:rPr>
          <w:rFonts w:ascii="Georgia" w:hAnsi="Georgia" w:cs="Arial"/>
        </w:rPr>
        <w:t xml:space="preserve"> y</w:t>
      </w:r>
      <w:r w:rsidR="00314889" w:rsidRPr="00AD7B0C">
        <w:rPr>
          <w:rFonts w:ascii="Georgia" w:hAnsi="Georgia" w:cs="Arial"/>
        </w:rPr>
        <w:t xml:space="preserve"> se dispuso notificar a la partes, entre otros ordenamientos</w:t>
      </w:r>
      <w:r w:rsidR="00EA458D" w:rsidRPr="00AD7B0C">
        <w:rPr>
          <w:rFonts w:ascii="Georgia" w:hAnsi="Georgia" w:cs="Arial"/>
        </w:rPr>
        <w:t xml:space="preserve"> (Folio</w:t>
      </w:r>
      <w:r w:rsidR="00BB4CEF" w:rsidRPr="00AD7B0C">
        <w:rPr>
          <w:rFonts w:ascii="Georgia" w:hAnsi="Georgia" w:cs="Arial"/>
        </w:rPr>
        <w:t>s</w:t>
      </w:r>
      <w:r w:rsidR="00314889" w:rsidRPr="00AD7B0C">
        <w:rPr>
          <w:rFonts w:ascii="Georgia" w:hAnsi="Georgia" w:cs="Arial"/>
        </w:rPr>
        <w:t xml:space="preserve"> </w:t>
      </w:r>
      <w:r w:rsidR="00212F75">
        <w:rPr>
          <w:rFonts w:ascii="Georgia" w:hAnsi="Georgia" w:cs="Arial"/>
        </w:rPr>
        <w:t>9</w:t>
      </w:r>
      <w:r w:rsidR="00314889" w:rsidRPr="00AD7B0C">
        <w:rPr>
          <w:rFonts w:ascii="Georgia" w:hAnsi="Georgia" w:cs="Arial"/>
        </w:rPr>
        <w:t xml:space="preserve">, ibídem). </w:t>
      </w:r>
      <w:r w:rsidR="004B1EB8" w:rsidRPr="00AD7B0C">
        <w:rPr>
          <w:rFonts w:ascii="Georgia" w:hAnsi="Georgia" w:cs="Arial"/>
        </w:rPr>
        <w:t>Fueron debidamente enterados l</w:t>
      </w:r>
      <w:r w:rsidR="00612C75" w:rsidRPr="00AD7B0C">
        <w:rPr>
          <w:rFonts w:ascii="Georgia" w:hAnsi="Georgia" w:cs="Arial"/>
        </w:rPr>
        <w:t>os extremos de la acción (Folio</w:t>
      </w:r>
      <w:r w:rsidR="00212F75">
        <w:rPr>
          <w:rFonts w:ascii="Georgia" w:hAnsi="Georgia" w:cs="Arial"/>
        </w:rPr>
        <w:t>s</w:t>
      </w:r>
      <w:r w:rsidR="00BB4CEF" w:rsidRPr="00AD7B0C">
        <w:rPr>
          <w:rFonts w:ascii="Georgia" w:hAnsi="Georgia" w:cs="Arial"/>
        </w:rPr>
        <w:t xml:space="preserve"> </w:t>
      </w:r>
      <w:r w:rsidR="00212F75">
        <w:rPr>
          <w:rFonts w:ascii="Georgia" w:hAnsi="Georgia" w:cs="Arial"/>
        </w:rPr>
        <w:t>10 a 13</w:t>
      </w:r>
      <w:r w:rsidR="00BB4CEF" w:rsidRPr="00AD7B0C">
        <w:rPr>
          <w:rFonts w:ascii="Georgia" w:hAnsi="Georgia" w:cs="Arial"/>
        </w:rPr>
        <w:t>,</w:t>
      </w:r>
      <w:r w:rsidR="004B1EB8" w:rsidRPr="00AD7B0C">
        <w:rPr>
          <w:rFonts w:ascii="Georgia" w:hAnsi="Georgia" w:cs="Arial"/>
        </w:rPr>
        <w:t xml:space="preserve"> </w:t>
      </w:r>
      <w:r w:rsidR="00F332AF" w:rsidRPr="00AD7B0C">
        <w:rPr>
          <w:rFonts w:ascii="Georgia" w:hAnsi="Georgia" w:cs="Arial"/>
        </w:rPr>
        <w:t>ib</w:t>
      </w:r>
      <w:r w:rsidR="006151B2" w:rsidRPr="00AD7B0C">
        <w:rPr>
          <w:rFonts w:ascii="Georgia" w:hAnsi="Georgia" w:cs="Arial"/>
        </w:rPr>
        <w:t>ídem</w:t>
      </w:r>
      <w:r w:rsidR="004B1EB8" w:rsidRPr="00AD7B0C">
        <w:rPr>
          <w:rFonts w:ascii="Georgia" w:hAnsi="Georgia" w:cs="Arial"/>
        </w:rPr>
        <w:t xml:space="preserve">). </w:t>
      </w:r>
      <w:r w:rsidR="00EA458D" w:rsidRPr="00AD7B0C">
        <w:rPr>
          <w:rFonts w:ascii="Georgia" w:hAnsi="Georgia" w:cs="Arial"/>
        </w:rPr>
        <w:t xml:space="preserve">Contestaron </w:t>
      </w:r>
      <w:r w:rsidR="00212F75">
        <w:rPr>
          <w:rFonts w:ascii="Georgia" w:hAnsi="Georgia" w:cs="Arial"/>
        </w:rPr>
        <w:t xml:space="preserve">el Juzgado Civil del Circuito de Santa Rosa de Cabal, R. (Folios 14 </w:t>
      </w:r>
      <w:r w:rsidR="005E7625">
        <w:rPr>
          <w:rFonts w:ascii="Georgia" w:hAnsi="Georgia" w:cs="Arial"/>
        </w:rPr>
        <w:t>a 18</w:t>
      </w:r>
      <w:r w:rsidR="00212F75">
        <w:rPr>
          <w:rFonts w:ascii="Georgia" w:hAnsi="Georgia" w:cs="Arial"/>
        </w:rPr>
        <w:t xml:space="preserve">, ibídem), </w:t>
      </w:r>
      <w:r w:rsidR="005E7625">
        <w:rPr>
          <w:rFonts w:ascii="Georgia" w:hAnsi="Georgia" w:cs="Arial"/>
        </w:rPr>
        <w:t xml:space="preserve">la Alcaldía de Pereira (Folios 21 y 22, ib.), y la </w:t>
      </w:r>
      <w:r w:rsidR="006F73AA" w:rsidRPr="00AD7B0C">
        <w:rPr>
          <w:rFonts w:ascii="Georgia" w:hAnsi="Georgia" w:cs="Arial"/>
        </w:rPr>
        <w:t>P</w:t>
      </w:r>
      <w:r w:rsidR="008C5779" w:rsidRPr="00AD7B0C">
        <w:rPr>
          <w:rFonts w:ascii="Georgia" w:hAnsi="Georgia" w:cs="Arial"/>
        </w:rPr>
        <w:t xml:space="preserve">rocuraduría General de la Nación, </w:t>
      </w:r>
      <w:r w:rsidR="006F73AA" w:rsidRPr="00AD7B0C">
        <w:rPr>
          <w:rFonts w:ascii="Georgia" w:hAnsi="Georgia" w:cs="Arial"/>
        </w:rPr>
        <w:t>Regional</w:t>
      </w:r>
      <w:r w:rsidR="003527A2">
        <w:rPr>
          <w:rFonts w:ascii="Georgia" w:hAnsi="Georgia" w:cs="Arial"/>
        </w:rPr>
        <w:t xml:space="preserve"> </w:t>
      </w:r>
      <w:r w:rsidR="005E7625">
        <w:rPr>
          <w:rFonts w:ascii="Georgia" w:hAnsi="Georgia" w:cs="Arial"/>
        </w:rPr>
        <w:t xml:space="preserve">Risaralda </w:t>
      </w:r>
      <w:r w:rsidR="00D47A9A" w:rsidRPr="00AD7B0C">
        <w:rPr>
          <w:rFonts w:ascii="Georgia" w:hAnsi="Georgia" w:cs="Arial"/>
        </w:rPr>
        <w:t xml:space="preserve">(En adelante </w:t>
      </w:r>
      <w:r w:rsidR="005E7625">
        <w:rPr>
          <w:rFonts w:ascii="Georgia" w:hAnsi="Georgia" w:cs="Arial"/>
        </w:rPr>
        <w:t>PGNR</w:t>
      </w:r>
      <w:r w:rsidR="00D47A9A" w:rsidRPr="00AD7B0C">
        <w:rPr>
          <w:rFonts w:ascii="Georgia" w:hAnsi="Georgia" w:cs="Arial"/>
        </w:rPr>
        <w:t xml:space="preserve">) </w:t>
      </w:r>
      <w:r w:rsidR="00EA458D" w:rsidRPr="00AD7B0C">
        <w:rPr>
          <w:rFonts w:ascii="Georgia" w:hAnsi="Georgia" w:cs="Arial"/>
        </w:rPr>
        <w:t>(Folio</w:t>
      </w:r>
      <w:r w:rsidR="00D47A9A" w:rsidRPr="00AD7B0C">
        <w:rPr>
          <w:rFonts w:ascii="Georgia" w:hAnsi="Georgia" w:cs="Arial"/>
        </w:rPr>
        <w:t xml:space="preserve"> </w:t>
      </w:r>
      <w:r w:rsidR="005E7625">
        <w:rPr>
          <w:rFonts w:ascii="Georgia" w:hAnsi="Georgia" w:cs="Arial"/>
        </w:rPr>
        <w:t>30</w:t>
      </w:r>
      <w:r w:rsidR="00612C75" w:rsidRPr="00AD7B0C">
        <w:rPr>
          <w:rFonts w:ascii="Georgia" w:hAnsi="Georgia" w:cs="Arial"/>
        </w:rPr>
        <w:t xml:space="preserve">, </w:t>
      </w:r>
      <w:r w:rsidR="005E7625">
        <w:rPr>
          <w:rFonts w:ascii="Georgia" w:hAnsi="Georgia" w:cs="Arial"/>
        </w:rPr>
        <w:t>Ib</w:t>
      </w:r>
      <w:r w:rsidR="00612C75" w:rsidRPr="00AD7B0C">
        <w:rPr>
          <w:rFonts w:ascii="Georgia" w:hAnsi="Georgia" w:cs="Arial"/>
        </w:rPr>
        <w:t>.)</w:t>
      </w:r>
      <w:r w:rsidR="00D47A9A" w:rsidRPr="00AD7B0C">
        <w:rPr>
          <w:rFonts w:ascii="Georgia" w:hAnsi="Georgia" w:cs="Arial"/>
        </w:rPr>
        <w:t xml:space="preserve">. El Juzgado accionado arrimó la documentación requerida (Folios </w:t>
      </w:r>
      <w:r w:rsidR="005E7625">
        <w:rPr>
          <w:rFonts w:ascii="Georgia" w:hAnsi="Georgia" w:cs="Arial"/>
        </w:rPr>
        <w:t>19 y 20</w:t>
      </w:r>
      <w:r w:rsidR="00D47A9A" w:rsidRPr="00AD7B0C">
        <w:rPr>
          <w:rFonts w:ascii="Georgia" w:hAnsi="Georgia" w:cs="Arial"/>
        </w:rPr>
        <w:t>, ib.).</w:t>
      </w:r>
    </w:p>
    <w:p w:rsidR="00B41B34" w:rsidRPr="00EB6D54" w:rsidRDefault="00B41B34" w:rsidP="00B50331">
      <w:pPr>
        <w:spacing w:line="360" w:lineRule="auto"/>
        <w:jc w:val="both"/>
        <w:rPr>
          <w:rFonts w:ascii="Georgia" w:hAnsi="Georgia" w:cs="Arial"/>
          <w:sz w:val="20"/>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EB6D54">
        <w:rPr>
          <w:rFonts w:ascii="Georgia" w:hAnsi="Georgia"/>
        </w:rPr>
        <w:t>S</w:t>
      </w:r>
      <w:r w:rsidR="00725242" w:rsidRPr="00AD7B0C">
        <w:rPr>
          <w:rFonts w:ascii="Georgia" w:hAnsi="Georgia"/>
        </w:rPr>
        <w:t xml:space="preserve"> </w:t>
      </w:r>
      <w:r w:rsidRPr="00AD7B0C">
        <w:rPr>
          <w:rFonts w:ascii="Georgia" w:hAnsi="Georgia"/>
        </w:rPr>
        <w:t>RESPUESTA</w:t>
      </w:r>
      <w:r w:rsidR="00EB6D54">
        <w:rPr>
          <w:rFonts w:ascii="Georgia" w:hAnsi="Georgia"/>
        </w:rPr>
        <w:t>S</w:t>
      </w:r>
    </w:p>
    <w:p w:rsidR="00784759" w:rsidRPr="00EB6D54" w:rsidRDefault="00784759" w:rsidP="00730CA7">
      <w:pPr>
        <w:pStyle w:val="Corpsdetexte"/>
        <w:spacing w:line="360" w:lineRule="auto"/>
        <w:rPr>
          <w:rFonts w:ascii="Georgia" w:hAnsi="Georgia"/>
          <w:sz w:val="20"/>
        </w:rPr>
      </w:pPr>
    </w:p>
    <w:p w:rsidR="003A21E6" w:rsidRDefault="005E7625" w:rsidP="00F96624">
      <w:pPr>
        <w:spacing w:line="360" w:lineRule="auto"/>
        <w:jc w:val="both"/>
        <w:rPr>
          <w:rFonts w:ascii="Georgia" w:hAnsi="Georgia"/>
        </w:rPr>
      </w:pPr>
      <w:r w:rsidRPr="00393D4A">
        <w:rPr>
          <w:rFonts w:ascii="Georgia" w:hAnsi="Georgia"/>
        </w:rPr>
        <w:t>La Alcaldía de Pereira y la</w:t>
      </w:r>
      <w:r w:rsidRPr="005E7625">
        <w:rPr>
          <w:rFonts w:ascii="Georgia" w:hAnsi="Georgia"/>
        </w:rPr>
        <w:t xml:space="preserve"> </w:t>
      </w:r>
      <w:r w:rsidRPr="00393D4A">
        <w:rPr>
          <w:rFonts w:ascii="Georgia" w:hAnsi="Georgia"/>
        </w:rPr>
        <w:t xml:space="preserve">PGNR, adujeron que la situación alegada es ajena a sus funciones, y que es al Juzgado accionado al que le corresponde tramitar la acción popular y tomar las decisiones respectivas, por lo tanto, no se les puede imputar responsabilidad alguna. Solicitaron su desvinculación (Folios </w:t>
      </w:r>
      <w:r>
        <w:rPr>
          <w:rFonts w:ascii="Georgia" w:hAnsi="Georgia"/>
        </w:rPr>
        <w:t>21, 22 y 30</w:t>
      </w:r>
      <w:r w:rsidRPr="00393D4A">
        <w:rPr>
          <w:rFonts w:ascii="Georgia" w:hAnsi="Georgia"/>
        </w:rPr>
        <w:t xml:space="preserve">, ib.); </w:t>
      </w:r>
      <w:r>
        <w:rPr>
          <w:rFonts w:ascii="Georgia" w:hAnsi="Georgia"/>
        </w:rPr>
        <w:t>El Juzgado Civil del Circuito de Santa Rosa de Cabal, R., informó que el asunto radicado al No.2016-00018-00 no es una acción popular sino una adopción (Folio 14, ib.).</w:t>
      </w:r>
    </w:p>
    <w:p w:rsidR="005E7625" w:rsidRPr="00EB6D54" w:rsidRDefault="005E7625" w:rsidP="00F96624">
      <w:pPr>
        <w:spacing w:line="360" w:lineRule="auto"/>
        <w:jc w:val="both"/>
        <w:rPr>
          <w:rFonts w:ascii="Georgia" w:hAnsi="Georgia" w:cs="Arial"/>
          <w:sz w:val="20"/>
        </w:rPr>
      </w:pPr>
    </w:p>
    <w:p w:rsidR="00CF429F" w:rsidRPr="00AD7B0C" w:rsidRDefault="005764A9" w:rsidP="00F96624">
      <w:pPr>
        <w:pStyle w:val="Corpsdetex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EB6D54" w:rsidRDefault="006232EF" w:rsidP="00F96624">
      <w:pPr>
        <w:pStyle w:val="Corpsdetexte"/>
        <w:spacing w:line="360" w:lineRule="auto"/>
        <w:ind w:left="400"/>
        <w:rPr>
          <w:rFonts w:ascii="Georgia" w:hAnsi="Georgia"/>
          <w:sz w:val="20"/>
          <w:szCs w:val="24"/>
          <w:lang w:val="es-CO"/>
        </w:rPr>
      </w:pPr>
    </w:p>
    <w:p w:rsidR="00D33789" w:rsidRPr="00AD7B0C" w:rsidRDefault="00CF429F" w:rsidP="00F96624">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AD7B0C">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5E7625">
        <w:rPr>
          <w:rFonts w:ascii="Georgia" w:hAnsi="Georgia" w:cs="Arial"/>
          <w:color w:val="000000"/>
          <w:szCs w:val="24"/>
        </w:rPr>
        <w:t>Tercero</w:t>
      </w:r>
      <w:r w:rsidR="00207A3A" w:rsidRPr="00AD7B0C">
        <w:rPr>
          <w:rFonts w:ascii="Georgia" w:hAnsi="Georgia" w:cs="Arial"/>
          <w:color w:val="000000"/>
          <w:szCs w:val="24"/>
        </w:rPr>
        <w:t xml:space="preserve"> Civil del Circuito de Pereira</w:t>
      </w:r>
      <w:r w:rsidR="00D33789" w:rsidRPr="00AD7B0C">
        <w:rPr>
          <w:rFonts w:ascii="Georgia" w:hAnsi="Georgia" w:cs="Arial"/>
          <w:color w:val="000000"/>
          <w:szCs w:val="24"/>
        </w:rPr>
        <w:t>.</w:t>
      </w:r>
    </w:p>
    <w:p w:rsidR="00D01397" w:rsidRPr="00AD7B0C" w:rsidRDefault="00D01397" w:rsidP="00F96624">
      <w:pPr>
        <w:pStyle w:val="Corpsdetexte"/>
        <w:numPr>
          <w:ilvl w:val="1"/>
          <w:numId w:val="18"/>
        </w:numPr>
        <w:spacing w:line="360" w:lineRule="auto"/>
        <w:rPr>
          <w:rFonts w:ascii="Georgia" w:hAnsi="Georgia" w:cs="Arial"/>
        </w:rPr>
      </w:pPr>
      <w:r w:rsidRPr="00AD7B0C">
        <w:rPr>
          <w:rFonts w:ascii="Georgia" w:hAnsi="Georgia"/>
          <w:smallCaps/>
          <w:szCs w:val="24"/>
        </w:rPr>
        <w:lastRenderedPageBreak/>
        <w:t xml:space="preserve">El problema jurídico a resolver. </w:t>
      </w:r>
      <w:r w:rsidRPr="00AD7B0C">
        <w:rPr>
          <w:rFonts w:ascii="Georgia" w:hAnsi="Georgia" w:cs="Arial"/>
        </w:rPr>
        <w:t xml:space="preserve">¿El Juzgado ha vulnerado o amenazado los derechos fundamentales del accionante, según lo expuesto en </w:t>
      </w:r>
      <w:r w:rsidR="003E703E" w:rsidRPr="00AD7B0C">
        <w:rPr>
          <w:rFonts w:ascii="Georgia" w:hAnsi="Georgia" w:cs="Arial"/>
        </w:rPr>
        <w:t>el escrito</w:t>
      </w:r>
      <w:r w:rsidRPr="00AD7B0C">
        <w:rPr>
          <w:rFonts w:ascii="Georgia" w:hAnsi="Georgia" w:cs="Arial"/>
        </w:rPr>
        <w:t xml:space="preserve"> de tutela?   </w:t>
      </w:r>
    </w:p>
    <w:p w:rsidR="00E13659" w:rsidRPr="00EB6D54" w:rsidRDefault="00E13659" w:rsidP="00F96624">
      <w:pPr>
        <w:pStyle w:val="Paragraphedeliste"/>
        <w:spacing w:line="360" w:lineRule="auto"/>
        <w:rPr>
          <w:rFonts w:ascii="Georgia" w:hAnsi="Georgia" w:cs="Arial"/>
          <w:sz w:val="20"/>
        </w:rPr>
      </w:pPr>
    </w:p>
    <w:p w:rsidR="00D01397" w:rsidRPr="00AD7B0C" w:rsidRDefault="00D01397" w:rsidP="00F96624">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EB6D54" w:rsidRDefault="00D01397" w:rsidP="00F96624">
      <w:pPr>
        <w:pStyle w:val="Corpsdetexte"/>
        <w:spacing w:line="360" w:lineRule="auto"/>
        <w:ind w:left="720"/>
        <w:rPr>
          <w:rFonts w:ascii="Georgia" w:hAnsi="Georgia" w:cs="Arial"/>
          <w:sz w:val="20"/>
        </w:rPr>
      </w:pPr>
    </w:p>
    <w:p w:rsidR="000666EF" w:rsidRPr="00EB6D54" w:rsidRDefault="005764A9" w:rsidP="00F96624">
      <w:pPr>
        <w:pStyle w:val="Corpsdetexte"/>
        <w:numPr>
          <w:ilvl w:val="2"/>
          <w:numId w:val="18"/>
        </w:numPr>
        <w:spacing w:line="360" w:lineRule="auto"/>
        <w:rPr>
          <w:rFonts w:ascii="Georgia" w:hAnsi="Georgia" w:cs="Arial"/>
          <w:spacing w:val="3"/>
        </w:rPr>
      </w:pPr>
      <w:r w:rsidRPr="00AD7B0C">
        <w:rPr>
          <w:rFonts w:ascii="Georgia" w:hAnsi="Georgia"/>
          <w:smallCaps/>
          <w:sz w:val="22"/>
          <w:szCs w:val="24"/>
        </w:rPr>
        <w:t xml:space="preserve">La legitimación en la causa. </w:t>
      </w:r>
      <w:r w:rsidR="000666EF" w:rsidRPr="00AD7B0C">
        <w:rPr>
          <w:rFonts w:ascii="Georgia" w:hAnsi="Georgia" w:cs="Arial"/>
          <w:szCs w:val="24"/>
        </w:rPr>
        <w:t xml:space="preserve">Se cumple la legitimación por activa dado que el accionante </w:t>
      </w:r>
      <w:r w:rsidR="00D61F60" w:rsidRPr="00AD7B0C">
        <w:rPr>
          <w:rFonts w:ascii="Georgia" w:hAnsi="Georgia" w:cs="Arial"/>
          <w:szCs w:val="24"/>
        </w:rPr>
        <w:t xml:space="preserve">promovió </w:t>
      </w:r>
      <w:r w:rsidR="003E703E" w:rsidRPr="00AD7B0C">
        <w:rPr>
          <w:rFonts w:ascii="Georgia" w:hAnsi="Georgia" w:cs="Arial"/>
          <w:szCs w:val="24"/>
        </w:rPr>
        <w:t xml:space="preserve">la acción popular </w:t>
      </w:r>
      <w:r w:rsidR="000666EF" w:rsidRPr="00AD7B0C">
        <w:rPr>
          <w:rFonts w:ascii="Georgia" w:hAnsi="Georgia" w:cs="Arial"/>
          <w:szCs w:val="24"/>
        </w:rPr>
        <w:t>en la que se reprocha la falta al debido proceso</w:t>
      </w:r>
      <w:r w:rsidR="008B6398" w:rsidRPr="00AD7B0C">
        <w:rPr>
          <w:rFonts w:ascii="Georgia" w:hAnsi="Georgia" w:cs="Arial"/>
          <w:szCs w:val="24"/>
        </w:rPr>
        <w:t xml:space="preserve">. </w:t>
      </w:r>
      <w:r w:rsidR="000666EF" w:rsidRPr="00AD7B0C">
        <w:rPr>
          <w:rFonts w:ascii="Georgia" w:hAnsi="Georgia" w:cs="Arial"/>
          <w:szCs w:val="24"/>
        </w:rPr>
        <w:t xml:space="preserve">Y por pasiva, lo es el </w:t>
      </w:r>
      <w:r w:rsidR="003E703E" w:rsidRPr="00AD7B0C">
        <w:rPr>
          <w:rFonts w:ascii="Georgia" w:hAnsi="Georgia" w:cs="Arial"/>
          <w:szCs w:val="24"/>
        </w:rPr>
        <w:t>Despacho Judicial accionado</w:t>
      </w:r>
      <w:r w:rsidR="00D61F60" w:rsidRPr="00AD7B0C">
        <w:rPr>
          <w:rFonts w:ascii="Georgia" w:hAnsi="Georgia" w:cs="Arial"/>
          <w:szCs w:val="24"/>
        </w:rPr>
        <w:t>,</w:t>
      </w:r>
      <w:r w:rsidR="000666EF" w:rsidRPr="00AD7B0C">
        <w:rPr>
          <w:rFonts w:ascii="Georgia" w:hAnsi="Georgia" w:cs="Arial"/>
          <w:szCs w:val="24"/>
        </w:rPr>
        <w:t xml:space="preserve"> al ser la autoridad judicial que conoce </w:t>
      </w:r>
      <w:r w:rsidR="003E703E" w:rsidRPr="00AD7B0C">
        <w:rPr>
          <w:rFonts w:ascii="Georgia" w:hAnsi="Georgia" w:cs="Arial"/>
          <w:szCs w:val="24"/>
        </w:rPr>
        <w:t>el juicio</w:t>
      </w:r>
      <w:r w:rsidR="000666EF" w:rsidRPr="00AD7B0C">
        <w:rPr>
          <w:rFonts w:ascii="Georgia" w:hAnsi="Georgia" w:cs="Arial"/>
          <w:szCs w:val="24"/>
        </w:rPr>
        <w:t>.</w:t>
      </w:r>
    </w:p>
    <w:p w:rsidR="00EB6D54" w:rsidRPr="00EB6D54" w:rsidRDefault="00EB6D54" w:rsidP="00EB6D54">
      <w:pPr>
        <w:pStyle w:val="Corpsdetexte"/>
        <w:spacing w:line="360" w:lineRule="auto"/>
        <w:ind w:left="720"/>
        <w:rPr>
          <w:rFonts w:ascii="Georgia" w:hAnsi="Georgia" w:cs="Arial"/>
          <w:spacing w:val="3"/>
          <w:sz w:val="20"/>
        </w:rPr>
      </w:pPr>
    </w:p>
    <w:p w:rsidR="003E703E" w:rsidRPr="00AD7B0C" w:rsidRDefault="003E703E" w:rsidP="003E703E">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AD7B0C">
        <w:rPr>
          <w:rFonts w:ascii="Georgia" w:hAnsi="Georgia" w:cs="Verdana"/>
          <w:smallCaps/>
          <w:spacing w:val="0"/>
          <w:sz w:val="22"/>
          <w:szCs w:val="24"/>
          <w:lang w:val="es-ES"/>
        </w:rPr>
        <w:t>Las sub-reglas de análisis en la procedibilidad frente a decisiones judiciales</w:t>
      </w:r>
    </w:p>
    <w:p w:rsidR="003E703E" w:rsidRPr="00EB6D54" w:rsidRDefault="003E703E" w:rsidP="003E703E">
      <w:pPr>
        <w:pStyle w:val="Corpsdetexte"/>
        <w:spacing w:line="360" w:lineRule="auto"/>
        <w:rPr>
          <w:rFonts w:ascii="Georgia" w:hAnsi="Georgia" w:cs="Arial"/>
          <w:sz w:val="20"/>
          <w:szCs w:val="24"/>
          <w:lang w:val="es-CO"/>
        </w:rPr>
      </w:pPr>
    </w:p>
    <w:p w:rsidR="003E703E"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D7B0C">
        <w:rPr>
          <w:rStyle w:val="Appelnotedebasdep"/>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Appelnotedebasdep"/>
          <w:rFonts w:ascii="Georgia" w:hAnsi="Georgia"/>
          <w:szCs w:val="24"/>
        </w:rPr>
        <w:footnoteReference w:id="2"/>
      </w:r>
      <w:r w:rsidRPr="00AD7B0C">
        <w:rPr>
          <w:rFonts w:ascii="Georgia" w:hAnsi="Georgia" w:cs="Arial"/>
          <w:szCs w:val="24"/>
        </w:rPr>
        <w:t>.</w:t>
      </w:r>
    </w:p>
    <w:p w:rsidR="005E7625" w:rsidRPr="00EB6D54" w:rsidRDefault="005E7625" w:rsidP="003E703E">
      <w:pPr>
        <w:pStyle w:val="Corpsdetexte"/>
        <w:shd w:val="clear" w:color="auto" w:fill="FFFFFF" w:themeFill="background1"/>
        <w:spacing w:line="360" w:lineRule="auto"/>
        <w:rPr>
          <w:rFonts w:ascii="Georgia" w:hAnsi="Georgia" w:cs="Arial"/>
          <w:sz w:val="20"/>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Appelnotedebasdep"/>
          <w:rFonts w:ascii="Georgia" w:hAnsi="Georgia" w:cs="Arial"/>
          <w:szCs w:val="24"/>
        </w:rPr>
        <w:footnoteReference w:id="3"/>
      </w:r>
      <w:r w:rsidRPr="00AD7B0C">
        <w:rPr>
          <w:rFonts w:ascii="Georgia" w:hAnsi="Georgia" w:cs="Arial"/>
          <w:szCs w:val="24"/>
        </w:rPr>
        <w:t>.</w:t>
      </w:r>
    </w:p>
    <w:p w:rsidR="003E703E" w:rsidRPr="00EB6D54" w:rsidRDefault="003E703E" w:rsidP="003E703E">
      <w:pPr>
        <w:pStyle w:val="Corpsdetexte"/>
        <w:shd w:val="clear" w:color="auto" w:fill="FFFFFF" w:themeFill="background1"/>
        <w:spacing w:line="360" w:lineRule="auto"/>
        <w:rPr>
          <w:rFonts w:ascii="Georgia" w:hAnsi="Georgia" w:cs="Arial"/>
          <w:sz w:val="20"/>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Appelnotedebasdep"/>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Appelnotedebasdep"/>
          <w:rFonts w:ascii="Georgia" w:hAnsi="Georgia" w:cs="Arial"/>
          <w:szCs w:val="24"/>
        </w:rPr>
        <w:footnoteReference w:id="5"/>
      </w:r>
      <w:r w:rsidRPr="00AD7B0C">
        <w:rPr>
          <w:rFonts w:ascii="Georgia" w:hAnsi="Georgia" w:cs="Arial"/>
          <w:szCs w:val="24"/>
        </w:rPr>
        <w:t xml:space="preserve"> (2017)</w:t>
      </w:r>
      <w:r w:rsidRPr="00AD7B0C">
        <w:rPr>
          <w:rStyle w:val="Appelnotedebasdep"/>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Appelnotedebasdep"/>
          <w:rFonts w:ascii="Georgia" w:hAnsi="Georgia"/>
          <w:szCs w:val="24"/>
        </w:rPr>
        <w:footnoteReference w:id="7"/>
      </w:r>
      <w:r w:rsidRPr="00AD7B0C">
        <w:rPr>
          <w:rFonts w:ascii="Georgia" w:hAnsi="Georgia" w:cs="Arial"/>
          <w:szCs w:val="24"/>
        </w:rPr>
        <w:t>.</w:t>
      </w:r>
    </w:p>
    <w:p w:rsidR="003E703E" w:rsidRPr="00EB6D54" w:rsidRDefault="003E703E" w:rsidP="003E703E">
      <w:pPr>
        <w:pStyle w:val="Corpsdetexte"/>
        <w:shd w:val="clear" w:color="auto" w:fill="FFFFFF" w:themeFill="background1"/>
        <w:spacing w:line="360" w:lineRule="auto"/>
        <w:rPr>
          <w:rFonts w:ascii="Georgia" w:hAnsi="Georgia" w:cs="Arial"/>
          <w:sz w:val="20"/>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Appelnotedebasdep"/>
          <w:rFonts w:ascii="Georgia" w:hAnsi="Georgia" w:cs="Arial"/>
          <w:szCs w:val="24"/>
        </w:rPr>
        <w:footnoteReference w:id="9"/>
      </w:r>
      <w:r w:rsidRPr="00AD7B0C">
        <w:rPr>
          <w:rFonts w:ascii="Georgia" w:hAnsi="Georgia" w:cs="Arial"/>
          <w:szCs w:val="24"/>
        </w:rPr>
        <w:t>.</w:t>
      </w:r>
    </w:p>
    <w:p w:rsidR="00C74846" w:rsidRPr="00EB6D54" w:rsidRDefault="00C74846" w:rsidP="00C74846">
      <w:pPr>
        <w:pStyle w:val="Corpsdetexte"/>
        <w:shd w:val="clear" w:color="auto" w:fill="FFFFFF"/>
        <w:spacing w:line="360" w:lineRule="auto"/>
        <w:rPr>
          <w:rFonts w:ascii="Georgia" w:hAnsi="Georgia" w:cs="Arial"/>
          <w:sz w:val="20"/>
          <w:szCs w:val="24"/>
        </w:rPr>
      </w:pPr>
    </w:p>
    <w:p w:rsidR="00293F49" w:rsidRPr="004E70F4" w:rsidRDefault="00293F49" w:rsidP="00293F49">
      <w:pPr>
        <w:pStyle w:val="Corpsdetex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293F49" w:rsidRPr="00EB6D54" w:rsidRDefault="00293F49" w:rsidP="00293F49">
      <w:pPr>
        <w:pStyle w:val="Corpsdetexte"/>
        <w:shd w:val="clear" w:color="auto" w:fill="FFFFFF" w:themeFill="background1"/>
        <w:spacing w:line="360" w:lineRule="auto"/>
        <w:ind w:left="720"/>
        <w:rPr>
          <w:rFonts w:ascii="Georgia" w:hAnsi="Georgia"/>
          <w:smallCaps/>
          <w:sz w:val="20"/>
          <w:szCs w:val="24"/>
        </w:rPr>
      </w:pPr>
    </w:p>
    <w:p w:rsidR="00293F49" w:rsidRDefault="00293F49" w:rsidP="00293F49">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Appelnotedebasdep"/>
          <w:rFonts w:ascii="Georgia" w:hAnsi="Georgia" w:cs="Arial"/>
        </w:rPr>
        <w:footnoteReference w:id="10"/>
      </w:r>
      <w:r w:rsidRPr="004E70F4">
        <w:rPr>
          <w:rFonts w:ascii="Georgia" w:hAnsi="Georgia" w:cs="Arial"/>
        </w:rPr>
        <w:t>, y también de la CSJ</w:t>
      </w:r>
      <w:r w:rsidRPr="004E70F4">
        <w:rPr>
          <w:rStyle w:val="Appelnotedebasdep"/>
          <w:rFonts w:ascii="Georgia" w:hAnsi="Georgia" w:cs="Arial"/>
        </w:rPr>
        <w:footnoteReference w:id="11"/>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293F49" w:rsidRPr="00EB6D54" w:rsidRDefault="00293F49" w:rsidP="00293F49">
      <w:pPr>
        <w:shd w:val="clear" w:color="auto" w:fill="FFFFFF" w:themeFill="background1"/>
        <w:spacing w:line="360" w:lineRule="auto"/>
        <w:jc w:val="both"/>
        <w:rPr>
          <w:rFonts w:ascii="Georgia" w:hAnsi="Georgia" w:cs="Arial"/>
          <w:sz w:val="20"/>
          <w:u w:val="single"/>
        </w:rPr>
      </w:pPr>
    </w:p>
    <w:p w:rsidR="00293F49" w:rsidRPr="004E70F4" w:rsidRDefault="00293F49" w:rsidP="00293F49">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es un requisito de procedibilidad esencial para el ejercicio del amparo constitucional</w:t>
      </w:r>
      <w:r w:rsidRPr="004E70F4">
        <w:rPr>
          <w:rStyle w:val="Appelnotedebasdep"/>
          <w:rFonts w:ascii="Georgia" w:hAnsi="Georgia" w:cs="Calibri"/>
        </w:rPr>
        <w:footnoteReference w:id="12"/>
      </w:r>
      <w:r w:rsidRPr="004E70F4">
        <w:rPr>
          <w:rFonts w:ascii="Georgia" w:hAnsi="Georgia" w:cs="Arial"/>
        </w:rPr>
        <w:t>. Así mismo lo ha señalado la CSJ</w:t>
      </w:r>
      <w:r w:rsidRPr="004E70F4">
        <w:rPr>
          <w:rStyle w:val="Appelnotedebasdep"/>
          <w:rFonts w:ascii="Georgia" w:hAnsi="Georgia" w:cs="Arial"/>
        </w:rPr>
        <w:footnoteReference w:id="13"/>
      </w:r>
      <w:r w:rsidRPr="004E70F4">
        <w:rPr>
          <w:rFonts w:ascii="Georgia" w:hAnsi="Georgia" w:cs="Arial"/>
        </w:rPr>
        <w:t xml:space="preserve">, que en recientes providencias reiteró: </w:t>
      </w:r>
    </w:p>
    <w:p w:rsidR="00293F49" w:rsidRPr="00910FE9" w:rsidRDefault="00293F49" w:rsidP="00293F49">
      <w:pPr>
        <w:shd w:val="clear" w:color="auto" w:fill="FFFFFF" w:themeFill="background1"/>
        <w:ind w:left="400" w:right="618"/>
        <w:jc w:val="both"/>
        <w:rPr>
          <w:rFonts w:ascii="Georgia" w:hAnsi="Georgia" w:cs="Arial"/>
          <w:iCs/>
          <w:sz w:val="28"/>
        </w:rPr>
      </w:pPr>
    </w:p>
    <w:p w:rsidR="00293F49" w:rsidRPr="004E70F4" w:rsidRDefault="00293F49" w:rsidP="00293F49">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293F49" w:rsidRPr="00910FE9" w:rsidRDefault="00293F49" w:rsidP="00293F49">
      <w:pPr>
        <w:shd w:val="clear" w:color="auto" w:fill="FFFFFF" w:themeFill="background1"/>
        <w:spacing w:line="360" w:lineRule="auto"/>
        <w:ind w:left="400" w:right="22"/>
        <w:jc w:val="both"/>
        <w:rPr>
          <w:rFonts w:ascii="Georgia" w:hAnsi="Georgia" w:cs="Arial"/>
          <w:sz w:val="32"/>
        </w:rPr>
      </w:pPr>
    </w:p>
    <w:p w:rsidR="00293F49" w:rsidRPr="004E70F4" w:rsidRDefault="00293F49" w:rsidP="00293F49">
      <w:pPr>
        <w:shd w:val="clear" w:color="auto" w:fill="FFFFFF" w:themeFill="background1"/>
        <w:spacing w:line="360" w:lineRule="auto"/>
        <w:ind w:right="22"/>
        <w:jc w:val="both"/>
        <w:rPr>
          <w:rFonts w:ascii="Georgia" w:hAnsi="Georgia" w:cs="Arial"/>
        </w:rPr>
      </w:pPr>
      <w:r w:rsidRPr="004E70F4">
        <w:rPr>
          <w:rFonts w:ascii="Georgia" w:hAnsi="Georgia" w:cs="Arial"/>
        </w:rPr>
        <w:lastRenderedPageBreak/>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293F49" w:rsidRPr="00EB6D54" w:rsidRDefault="00293F49" w:rsidP="00293F49">
      <w:pPr>
        <w:shd w:val="clear" w:color="auto" w:fill="FFFFFF" w:themeFill="background1"/>
        <w:spacing w:line="360" w:lineRule="auto"/>
        <w:ind w:left="400" w:right="22"/>
        <w:jc w:val="both"/>
        <w:rPr>
          <w:rFonts w:ascii="Georgia" w:hAnsi="Georgia" w:cs="Arial"/>
          <w:sz w:val="20"/>
        </w:rPr>
      </w:pPr>
    </w:p>
    <w:p w:rsidR="00293F49" w:rsidRDefault="00293F49" w:rsidP="00293F49">
      <w:pPr>
        <w:shd w:val="clear" w:color="auto" w:fill="FFFFFF" w:themeFill="background1"/>
        <w:spacing w:line="360" w:lineRule="auto"/>
        <w:ind w:right="22"/>
        <w:jc w:val="both"/>
        <w:rPr>
          <w:rFonts w:ascii="Georgia" w:hAnsi="Georgia" w:cs="Arial"/>
        </w:rPr>
      </w:pPr>
      <w:r w:rsidRPr="004E70F4">
        <w:rPr>
          <w:rFonts w:ascii="Georgia" w:hAnsi="Georgia" w:cs="Arial"/>
        </w:rPr>
        <w:t>Los aspectos acabados de reseñar, fueron precisados en una decisión del 2006 de la CC</w:t>
      </w:r>
      <w:r w:rsidRPr="004E70F4">
        <w:rPr>
          <w:rStyle w:val="Appelnotedebasdep"/>
          <w:rFonts w:ascii="Georgia" w:hAnsi="Georgia" w:cs="Arial"/>
        </w:rPr>
        <w:footnoteReference w:id="14"/>
      </w:r>
      <w:r w:rsidRPr="004E70F4">
        <w:rPr>
          <w:rFonts w:ascii="Georgia" w:hAnsi="Georgia" w:cs="Arial"/>
        </w:rPr>
        <w:t>, con apoyo en un precedente anterior de 2003</w:t>
      </w:r>
      <w:r w:rsidRPr="004E70F4">
        <w:rPr>
          <w:rStyle w:val="Appelnotedebasdep"/>
          <w:rFonts w:ascii="Georgia" w:hAnsi="Georgia" w:cs="Arial"/>
        </w:rPr>
        <w:footnoteReference w:id="15"/>
      </w:r>
      <w:r w:rsidRPr="004E70F4">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E70F4">
        <w:rPr>
          <w:rStyle w:val="Appelnotedebasdep"/>
          <w:rFonts w:ascii="Georgia" w:hAnsi="Georgia" w:cs="Arial"/>
        </w:rPr>
        <w:footnoteReference w:id="16"/>
      </w:r>
      <w:r w:rsidRPr="004E70F4">
        <w:rPr>
          <w:rFonts w:ascii="Georgia" w:hAnsi="Georgia" w:cs="Arial"/>
        </w:rPr>
        <w:t>.</w:t>
      </w:r>
    </w:p>
    <w:p w:rsidR="00293F49" w:rsidRPr="00EB6D54" w:rsidRDefault="00293F49" w:rsidP="00293F49">
      <w:pPr>
        <w:shd w:val="clear" w:color="auto" w:fill="FFFFFF" w:themeFill="background1"/>
        <w:spacing w:line="360" w:lineRule="auto"/>
        <w:ind w:right="22"/>
        <w:jc w:val="both"/>
        <w:rPr>
          <w:rFonts w:ascii="Georgia" w:hAnsi="Georgia" w:cs="Arial"/>
          <w:sz w:val="20"/>
        </w:rPr>
      </w:pPr>
    </w:p>
    <w:p w:rsidR="00293F49" w:rsidRPr="004E70F4" w:rsidRDefault="00293F49" w:rsidP="00293F49">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Appelnotedebasdep"/>
          <w:rFonts w:ascii="Georgia" w:hAnsi="Georgia" w:cs="Arial"/>
        </w:rPr>
        <w:footnoteReference w:id="17"/>
      </w:r>
      <w:r w:rsidRPr="004E70F4">
        <w:rPr>
          <w:rFonts w:ascii="Georgia" w:hAnsi="Georgia" w:cs="Arial"/>
          <w:lang w:val="es-ES_tradnl"/>
        </w:rPr>
        <w:t>, ratificó el pensamiento traído en su larga línea jurisprudencial, y resaltó las razones que fundamentan el factor “inmediatez” como presupuesto de procedibilidad, así explicó:</w:t>
      </w:r>
    </w:p>
    <w:p w:rsidR="00293F49" w:rsidRPr="008E357D" w:rsidRDefault="00293F49" w:rsidP="00293F49">
      <w:pPr>
        <w:shd w:val="clear" w:color="auto" w:fill="FFFFFF" w:themeFill="background1"/>
        <w:ind w:left="400" w:right="567"/>
        <w:jc w:val="both"/>
        <w:rPr>
          <w:rFonts w:ascii="Georgia" w:hAnsi="Georgia" w:cs="Arial"/>
          <w:sz w:val="28"/>
          <w:shd w:val="clear" w:color="auto" w:fill="FFFFFF"/>
        </w:rPr>
      </w:pPr>
    </w:p>
    <w:p w:rsidR="00293F49" w:rsidRPr="004E70F4" w:rsidRDefault="00293F49" w:rsidP="00293F49">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293F49" w:rsidRPr="008E357D" w:rsidRDefault="00293F49" w:rsidP="00293F49">
      <w:pPr>
        <w:pStyle w:val="Corpsdetexte"/>
        <w:shd w:val="clear" w:color="auto" w:fill="FFFFFF" w:themeFill="background1"/>
        <w:tabs>
          <w:tab w:val="clear" w:pos="708"/>
          <w:tab w:val="left" w:pos="567"/>
        </w:tabs>
        <w:spacing w:line="360" w:lineRule="auto"/>
        <w:ind w:left="400"/>
        <w:rPr>
          <w:rFonts w:ascii="Georgia" w:hAnsi="Georgia"/>
          <w:sz w:val="32"/>
          <w:szCs w:val="24"/>
        </w:rPr>
      </w:pPr>
    </w:p>
    <w:p w:rsidR="00C74846" w:rsidRPr="00B33A0F" w:rsidRDefault="00C74846" w:rsidP="00C74846">
      <w:pPr>
        <w:pStyle w:val="Corpsdetex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EB6D54" w:rsidRDefault="00C74846" w:rsidP="00C74846">
      <w:pPr>
        <w:pStyle w:val="Corpsdetexte"/>
        <w:tabs>
          <w:tab w:val="clear" w:pos="0"/>
          <w:tab w:val="clear" w:pos="1416"/>
        </w:tabs>
        <w:spacing w:line="360" w:lineRule="auto"/>
        <w:ind w:left="400"/>
        <w:rPr>
          <w:rFonts w:ascii="Georgia" w:hAnsi="Georgia"/>
          <w:sz w:val="20"/>
          <w:szCs w:val="24"/>
        </w:rPr>
      </w:pPr>
    </w:p>
    <w:p w:rsidR="00293F49" w:rsidRPr="00401168" w:rsidRDefault="00293F49" w:rsidP="00293F49">
      <w:pPr>
        <w:spacing w:line="360" w:lineRule="auto"/>
        <w:jc w:val="both"/>
        <w:rPr>
          <w:rFonts w:ascii="Georgia" w:hAnsi="Georgia" w:cs="Arial"/>
          <w:lang w:val="es-ES_tradnl"/>
        </w:rPr>
      </w:pPr>
      <w:r w:rsidRPr="00401168">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w:t>
      </w:r>
      <w:r>
        <w:rPr>
          <w:rFonts w:ascii="Georgia" w:hAnsi="Georgia" w:cs="Arial"/>
          <w:lang w:val="es-ES_tradnl"/>
        </w:rPr>
        <w:t>inmediatez</w:t>
      </w:r>
      <w:r w:rsidRPr="00401168">
        <w:rPr>
          <w:rFonts w:ascii="Georgia" w:hAnsi="Georgia" w:cs="Arial"/>
          <w:lang w:val="es-ES_tradnl"/>
        </w:rPr>
        <w:t xml:space="preserve">, porque es el elemento que se echa de menos, pues </w:t>
      </w:r>
      <w:r w:rsidRPr="00401168">
        <w:rPr>
          <w:rFonts w:ascii="Georgia" w:hAnsi="Georgia" w:cs="Arial"/>
        </w:rPr>
        <w:t xml:space="preserve">la acción de tutela </w:t>
      </w:r>
      <w:r>
        <w:rPr>
          <w:rFonts w:ascii="Georgia" w:hAnsi="Georgia" w:cs="Arial"/>
        </w:rPr>
        <w:t xml:space="preserve">debe interponerse </w:t>
      </w:r>
      <w:r w:rsidRPr="003E703E">
        <w:rPr>
          <w:rFonts w:ascii="Georgia" w:hAnsi="Georgia" w:cs="Arial"/>
          <w:shd w:val="clear" w:color="auto" w:fill="FFFFFF"/>
        </w:rPr>
        <w:t xml:space="preserve">dentro de un término razonable y cercano a la circunstancia que ha causado la amenaza o vulneración de los derechos fundamentales respecto de los cuales </w:t>
      </w:r>
      <w:r>
        <w:rPr>
          <w:rFonts w:ascii="Georgia" w:hAnsi="Georgia" w:cs="Arial"/>
          <w:shd w:val="clear" w:color="auto" w:fill="FFFFFF"/>
        </w:rPr>
        <w:t xml:space="preserve">se </w:t>
      </w:r>
      <w:r w:rsidRPr="003E703E">
        <w:rPr>
          <w:rFonts w:ascii="Georgia" w:hAnsi="Georgia" w:cs="Arial"/>
          <w:shd w:val="clear" w:color="auto" w:fill="FFFFFF"/>
        </w:rPr>
        <w:t>reclama la protección constitucional</w:t>
      </w:r>
      <w:r w:rsidRPr="003E703E">
        <w:rPr>
          <w:rStyle w:val="Appelnotedebasdep"/>
          <w:rFonts w:ascii="Georgia" w:hAnsi="Georgia" w:cs="Arial"/>
        </w:rPr>
        <w:footnoteReference w:id="18"/>
      </w:r>
      <w:r w:rsidRPr="00401168">
        <w:rPr>
          <w:rFonts w:ascii="Georgia" w:hAnsi="Georgia" w:cs="Arial"/>
          <w:lang w:val="es-ES_tradnl"/>
        </w:rPr>
        <w:t>.</w:t>
      </w:r>
    </w:p>
    <w:p w:rsidR="00293F49" w:rsidRPr="00EB6D54" w:rsidRDefault="00293F49" w:rsidP="00D62CE3">
      <w:pPr>
        <w:widowControl/>
        <w:spacing w:line="360" w:lineRule="auto"/>
        <w:jc w:val="both"/>
        <w:rPr>
          <w:rFonts w:ascii="Georgia" w:hAnsi="Georgia" w:cs="Arial"/>
          <w:sz w:val="20"/>
          <w:lang w:val="es-ES_tradnl"/>
        </w:rPr>
      </w:pPr>
    </w:p>
    <w:p w:rsidR="00B844CA" w:rsidRPr="00D62CE3" w:rsidRDefault="009032A2" w:rsidP="00D62CE3">
      <w:pPr>
        <w:widowControl/>
        <w:spacing w:line="360" w:lineRule="auto"/>
        <w:jc w:val="both"/>
        <w:rPr>
          <w:rFonts w:ascii="Georgia" w:hAnsi="Georgia"/>
          <w:lang w:val="es-CO"/>
        </w:rPr>
      </w:pPr>
      <w:r>
        <w:rPr>
          <w:rFonts w:ascii="Georgia" w:hAnsi="Georgia" w:cs="Arial"/>
          <w:lang w:val="es-ES_tradnl"/>
        </w:rPr>
        <w:lastRenderedPageBreak/>
        <w:t xml:space="preserve">De </w:t>
      </w:r>
      <w:r w:rsidR="00293F49">
        <w:rPr>
          <w:rFonts w:ascii="Georgia" w:hAnsi="Georgia" w:cs="Arial"/>
          <w:lang w:val="es-ES_tradnl"/>
        </w:rPr>
        <w:t xml:space="preserve"> </w:t>
      </w:r>
      <w:r>
        <w:rPr>
          <w:rFonts w:ascii="Georgia" w:hAnsi="Georgia" w:cs="Arial"/>
          <w:lang w:val="es-ES_tradnl"/>
        </w:rPr>
        <w:t xml:space="preserve">acuerdo </w:t>
      </w:r>
      <w:r w:rsidR="00293F49">
        <w:rPr>
          <w:rFonts w:ascii="Georgia" w:hAnsi="Georgia" w:cs="Arial"/>
          <w:lang w:val="es-ES_tradnl"/>
        </w:rPr>
        <w:t xml:space="preserve"> </w:t>
      </w:r>
      <w:r w:rsidR="005E7625">
        <w:rPr>
          <w:rFonts w:ascii="Georgia" w:hAnsi="Georgia" w:cs="Arial"/>
          <w:lang w:val="es-ES_tradnl"/>
        </w:rPr>
        <w:t xml:space="preserve">al </w:t>
      </w:r>
      <w:r w:rsidR="00293F49">
        <w:rPr>
          <w:rFonts w:ascii="Georgia" w:hAnsi="Georgia" w:cs="Arial"/>
          <w:lang w:val="es-ES_tradnl"/>
        </w:rPr>
        <w:t xml:space="preserve"> </w:t>
      </w:r>
      <w:r w:rsidR="005E7625">
        <w:rPr>
          <w:rFonts w:ascii="Georgia" w:hAnsi="Georgia" w:cs="Arial"/>
          <w:lang w:val="es-ES_tradnl"/>
        </w:rPr>
        <w:t xml:space="preserve">material </w:t>
      </w:r>
      <w:r w:rsidR="00293F49">
        <w:rPr>
          <w:rFonts w:ascii="Georgia" w:hAnsi="Georgia" w:cs="Arial"/>
          <w:lang w:val="es-ES_tradnl"/>
        </w:rPr>
        <w:t xml:space="preserve"> </w:t>
      </w:r>
      <w:r w:rsidR="005E7625">
        <w:rPr>
          <w:rFonts w:ascii="Georgia" w:hAnsi="Georgia" w:cs="Arial"/>
          <w:lang w:val="es-ES_tradnl"/>
        </w:rPr>
        <w:t xml:space="preserve">probatorio </w:t>
      </w:r>
      <w:r w:rsidR="00293F49">
        <w:rPr>
          <w:rFonts w:ascii="Georgia" w:hAnsi="Georgia" w:cs="Arial"/>
          <w:lang w:val="es-ES_tradnl"/>
        </w:rPr>
        <w:t xml:space="preserve"> </w:t>
      </w:r>
      <w:r w:rsidR="005E7625">
        <w:rPr>
          <w:rFonts w:ascii="Georgia" w:hAnsi="Georgia" w:cs="Arial"/>
          <w:lang w:val="es-ES_tradnl"/>
        </w:rPr>
        <w:t xml:space="preserve">el </w:t>
      </w:r>
      <w:r w:rsidR="00293F49">
        <w:rPr>
          <w:rFonts w:ascii="Georgia" w:hAnsi="Georgia" w:cs="Arial"/>
          <w:lang w:val="es-ES_tradnl"/>
        </w:rPr>
        <w:t xml:space="preserve"> </w:t>
      </w:r>
      <w:r w:rsidR="005E7625">
        <w:rPr>
          <w:rFonts w:ascii="Georgia" w:hAnsi="Georgia" w:cs="Arial"/>
          <w:lang w:val="es-ES_tradnl"/>
        </w:rPr>
        <w:t xml:space="preserve">Juzgado </w:t>
      </w:r>
      <w:r w:rsidR="00293F49">
        <w:rPr>
          <w:rFonts w:ascii="Georgia" w:hAnsi="Georgia" w:cs="Arial"/>
          <w:lang w:val="es-ES_tradnl"/>
        </w:rPr>
        <w:t xml:space="preserve"> </w:t>
      </w:r>
      <w:r w:rsidR="005E7625">
        <w:rPr>
          <w:rFonts w:ascii="Georgia" w:hAnsi="Georgia" w:cs="Arial"/>
          <w:lang w:val="es-ES_tradnl"/>
        </w:rPr>
        <w:t xml:space="preserve">Civil </w:t>
      </w:r>
      <w:r w:rsidR="00293F49">
        <w:rPr>
          <w:rFonts w:ascii="Georgia" w:hAnsi="Georgia" w:cs="Arial"/>
          <w:lang w:val="es-ES_tradnl"/>
        </w:rPr>
        <w:t xml:space="preserve"> </w:t>
      </w:r>
      <w:r w:rsidR="005E7625">
        <w:rPr>
          <w:rFonts w:ascii="Georgia" w:hAnsi="Georgia" w:cs="Arial"/>
          <w:lang w:val="es-ES_tradnl"/>
        </w:rPr>
        <w:t>del Circuito de Santa Rosa de Cabal, R., con decisión del 26-11-2015</w:t>
      </w:r>
      <w:r w:rsidR="00293F49">
        <w:rPr>
          <w:rFonts w:ascii="Georgia" w:hAnsi="Georgia" w:cs="Arial"/>
          <w:lang w:val="es-ES_tradnl"/>
        </w:rPr>
        <w:t>,</w:t>
      </w:r>
      <w:r w:rsidR="005E7625">
        <w:rPr>
          <w:rFonts w:ascii="Georgia" w:hAnsi="Georgia" w:cs="Arial"/>
          <w:lang w:val="es-ES_tradnl"/>
        </w:rPr>
        <w:t xml:space="preserve"> rechazó la acción popular por carecer de competencia (Folio 2</w:t>
      </w:r>
      <w:r w:rsidR="00293F49">
        <w:rPr>
          <w:rFonts w:ascii="Georgia" w:hAnsi="Georgia" w:cs="Arial"/>
          <w:lang w:val="es-ES_tradnl"/>
        </w:rPr>
        <w:t>, disco compacto visible a folio 20, este cuaderno)</w:t>
      </w:r>
      <w:r w:rsidR="00D62CE3">
        <w:rPr>
          <w:rFonts w:ascii="Georgia" w:hAnsi="Georgia" w:cs="Arial"/>
          <w:lang w:val="es-ES_tradnl"/>
        </w:rPr>
        <w:t>; formulada</w:t>
      </w:r>
      <w:r w:rsidR="00293F49">
        <w:rPr>
          <w:rFonts w:ascii="Georgia" w:hAnsi="Georgia" w:cs="Arial"/>
          <w:lang w:val="es-ES_tradnl"/>
        </w:rPr>
        <w:t>s</w:t>
      </w:r>
      <w:r w:rsidR="00D62CE3">
        <w:rPr>
          <w:rFonts w:ascii="Georgia" w:hAnsi="Georgia" w:cs="Arial"/>
          <w:lang w:val="es-ES_tradnl"/>
        </w:rPr>
        <w:t xml:space="preserve"> </w:t>
      </w:r>
      <w:r w:rsidR="00293F49">
        <w:rPr>
          <w:rFonts w:ascii="Georgia" w:hAnsi="Georgia" w:cs="Arial"/>
          <w:lang w:val="es-ES_tradnl"/>
        </w:rPr>
        <w:t>reposiciones</w:t>
      </w:r>
      <w:r w:rsidR="00D62CE3">
        <w:rPr>
          <w:rFonts w:ascii="Georgia" w:hAnsi="Georgia" w:cs="Arial"/>
          <w:lang w:val="es-ES_tradnl"/>
        </w:rPr>
        <w:t>, se mantuvo incólume con autos del 04-12-2015 (Folio 4 (Sic), 4 y 5</w:t>
      </w:r>
      <w:r w:rsidR="00293F49">
        <w:rPr>
          <w:rFonts w:ascii="Georgia" w:hAnsi="Georgia" w:cs="Arial"/>
          <w:lang w:val="es-ES_tradnl"/>
        </w:rPr>
        <w:t>, disco compacto ibídem)</w:t>
      </w:r>
      <w:r w:rsidR="00D62CE3">
        <w:rPr>
          <w:rFonts w:ascii="Georgia" w:hAnsi="Georgia" w:cs="Arial"/>
          <w:lang w:val="es-ES_tradnl"/>
        </w:rPr>
        <w:t xml:space="preserve">; </w:t>
      </w:r>
      <w:r w:rsidR="00293F49">
        <w:rPr>
          <w:rFonts w:ascii="Georgia" w:hAnsi="Georgia" w:cs="Arial"/>
          <w:lang w:val="es-ES_tradnl"/>
        </w:rPr>
        <w:t xml:space="preserve">seguidamente, fue </w:t>
      </w:r>
      <w:r w:rsidR="00D62CE3">
        <w:rPr>
          <w:rFonts w:ascii="Georgia" w:hAnsi="Georgia" w:cs="Arial"/>
          <w:lang w:val="es-ES_tradnl"/>
        </w:rPr>
        <w:t xml:space="preserve">repartida al Juzgado Tercero Civil del Circuito de Pereira </w:t>
      </w:r>
      <w:r w:rsidR="00293F49">
        <w:rPr>
          <w:rFonts w:ascii="Georgia" w:hAnsi="Georgia" w:cs="Arial"/>
          <w:lang w:val="es-ES_tradnl"/>
        </w:rPr>
        <w:t xml:space="preserve">que </w:t>
      </w:r>
      <w:r w:rsidR="00D62CE3">
        <w:rPr>
          <w:rFonts w:ascii="Georgia" w:hAnsi="Georgia" w:cs="Arial"/>
          <w:lang w:val="es-ES_tradnl"/>
        </w:rPr>
        <w:t>la admitió con providencia del 24-02-2016</w:t>
      </w:r>
      <w:r w:rsidR="00293F49">
        <w:rPr>
          <w:rFonts w:ascii="Georgia" w:hAnsi="Georgia" w:cs="Arial"/>
          <w:lang w:val="es-ES_tradnl"/>
        </w:rPr>
        <w:t xml:space="preserve">, </w:t>
      </w:r>
      <w:r w:rsidR="00D62CE3">
        <w:rPr>
          <w:rFonts w:ascii="Georgia" w:hAnsi="Georgia" w:cs="Arial"/>
          <w:lang w:val="es-ES_tradnl"/>
        </w:rPr>
        <w:t xml:space="preserve">notificada con fijación en el estado del 26-02-2016 </w:t>
      </w:r>
      <w:r w:rsidR="00293F49">
        <w:rPr>
          <w:rFonts w:ascii="Georgia" w:hAnsi="Georgia" w:cs="Arial"/>
          <w:lang w:val="es-ES_tradnl"/>
        </w:rPr>
        <w:t>(Folios 9 y 10, disco compacto ib.), si</w:t>
      </w:r>
      <w:r w:rsidR="00906784">
        <w:rPr>
          <w:rFonts w:ascii="Georgia" w:hAnsi="Georgia" w:cs="Arial"/>
          <w:lang w:val="es-ES_tradnl"/>
        </w:rPr>
        <w:t>n</w:t>
      </w:r>
      <w:r w:rsidR="00293F49">
        <w:rPr>
          <w:rFonts w:ascii="Georgia" w:hAnsi="Georgia" w:cs="Arial"/>
          <w:lang w:val="es-ES_tradnl"/>
        </w:rPr>
        <w:t xml:space="preserve"> ser </w:t>
      </w:r>
      <w:r w:rsidR="00D62CE3">
        <w:rPr>
          <w:rFonts w:ascii="Georgia" w:hAnsi="Georgia" w:cs="Arial"/>
          <w:lang w:val="es-ES_tradnl"/>
        </w:rPr>
        <w:t>recurrida</w:t>
      </w:r>
      <w:r w:rsidR="00293F49">
        <w:rPr>
          <w:rFonts w:ascii="Georgia" w:hAnsi="Georgia" w:cs="Arial"/>
          <w:lang w:val="es-ES_tradnl"/>
        </w:rPr>
        <w:t>.</w:t>
      </w:r>
      <w:r w:rsidR="00D62CE3">
        <w:rPr>
          <w:rFonts w:ascii="Georgia" w:hAnsi="Georgia" w:cs="Arial"/>
          <w:lang w:val="es-ES_tradnl"/>
        </w:rPr>
        <w:t xml:space="preserve"> </w:t>
      </w:r>
    </w:p>
    <w:p w:rsidR="00B844CA" w:rsidRPr="00EB6D54" w:rsidRDefault="00B844CA" w:rsidP="00447C7B">
      <w:pPr>
        <w:widowControl/>
        <w:spacing w:line="360" w:lineRule="auto"/>
        <w:jc w:val="both"/>
        <w:rPr>
          <w:rFonts w:ascii="Georgia" w:hAnsi="Georgia"/>
          <w:sz w:val="20"/>
          <w:lang w:val="es-CO"/>
        </w:rPr>
      </w:pPr>
    </w:p>
    <w:p w:rsidR="00293F49" w:rsidRDefault="00293F49" w:rsidP="00293F49">
      <w:pPr>
        <w:widowControl/>
        <w:spacing w:line="360" w:lineRule="auto"/>
        <w:jc w:val="both"/>
        <w:rPr>
          <w:rFonts w:ascii="Georgia" w:hAnsi="Georgia" w:cs="Arial"/>
        </w:rPr>
      </w:pPr>
      <w:r>
        <w:rPr>
          <w:rFonts w:ascii="Georgia" w:hAnsi="Georgia"/>
          <w:lang w:val="es-CO"/>
        </w:rPr>
        <w:t>De acuerdo con lo expuesto, es e</w:t>
      </w:r>
      <w:r w:rsidRPr="00910FE9">
        <w:rPr>
          <w:rFonts w:ascii="Georgia" w:hAnsi="Georgia" w:cs="Arial"/>
        </w:rPr>
        <w:t xml:space="preserve">vidente </w:t>
      </w:r>
      <w:r>
        <w:rPr>
          <w:rFonts w:ascii="Georgia" w:hAnsi="Georgia" w:cs="Arial"/>
        </w:rPr>
        <w:t>que el presente</w:t>
      </w:r>
      <w:r w:rsidRPr="00910FE9">
        <w:rPr>
          <w:rFonts w:ascii="Georgia" w:hAnsi="Georgia" w:cs="Arial"/>
        </w:rPr>
        <w:t xml:space="preserve"> </w:t>
      </w:r>
      <w:r>
        <w:rPr>
          <w:rFonts w:ascii="Georgia" w:hAnsi="Georgia" w:cs="Arial"/>
        </w:rPr>
        <w:t>amparo carece</w:t>
      </w:r>
      <w:r w:rsidRPr="00910FE9">
        <w:rPr>
          <w:rFonts w:ascii="Georgia" w:hAnsi="Georgia" w:cs="Arial"/>
        </w:rPr>
        <w:t xml:space="preserve"> </w:t>
      </w:r>
      <w:r>
        <w:rPr>
          <w:rFonts w:ascii="Georgia" w:hAnsi="Georgia" w:cs="Arial"/>
        </w:rPr>
        <w:t xml:space="preserve">del presupuesto de la </w:t>
      </w:r>
      <w:r w:rsidRPr="00910FE9">
        <w:rPr>
          <w:rFonts w:ascii="Georgia" w:hAnsi="Georgia" w:cs="Arial"/>
        </w:rPr>
        <w:t xml:space="preserve">inmediatez, </w:t>
      </w:r>
      <w:r>
        <w:rPr>
          <w:rFonts w:ascii="Georgia" w:hAnsi="Georgia" w:cs="Arial"/>
        </w:rPr>
        <w:t xml:space="preserve">en razón a que su </w:t>
      </w:r>
      <w:r w:rsidRPr="00910FE9">
        <w:rPr>
          <w:rFonts w:ascii="Georgia" w:hAnsi="Georgia" w:cs="Arial"/>
        </w:rPr>
        <w:t>interposición (</w:t>
      </w:r>
      <w:r>
        <w:rPr>
          <w:rFonts w:ascii="Georgia" w:hAnsi="Georgia" w:cs="Arial"/>
        </w:rPr>
        <w:t>09-11-2017) desborda</w:t>
      </w:r>
      <w:r w:rsidRPr="00910FE9">
        <w:rPr>
          <w:rFonts w:ascii="Georgia" w:hAnsi="Georgia" w:cs="Arial"/>
        </w:rPr>
        <w:t xml:space="preserve"> el plazo fijado por la jurisprudencia</w:t>
      </w:r>
      <w:r w:rsidRPr="00910FE9">
        <w:rPr>
          <w:rStyle w:val="Appelnotedebasdep"/>
          <w:rFonts w:ascii="Georgia" w:hAnsi="Georgia" w:cs="Arial"/>
        </w:rPr>
        <w:footnoteReference w:id="19"/>
      </w:r>
      <w:r w:rsidRPr="00910FE9">
        <w:rPr>
          <w:rFonts w:ascii="Georgia" w:hAnsi="Georgia" w:cs="Arial"/>
          <w:vertAlign w:val="superscript"/>
          <w:lang w:val="es-ES_tradnl"/>
        </w:rPr>
        <w:t>-</w:t>
      </w:r>
      <w:r w:rsidRPr="00910FE9">
        <w:rPr>
          <w:rStyle w:val="Appelnotedebasdep"/>
          <w:rFonts w:ascii="Georgia" w:hAnsi="Georgia"/>
          <w:lang w:val="es-ES_tradnl"/>
        </w:rPr>
        <w:footnoteReference w:id="20"/>
      </w:r>
      <w:r>
        <w:rPr>
          <w:rFonts w:ascii="Georgia" w:hAnsi="Georgia" w:cs="Arial"/>
          <w:vertAlign w:val="superscript"/>
          <w:lang w:val="es-ES_tradnl"/>
        </w:rPr>
        <w:t xml:space="preserve"> </w:t>
      </w:r>
      <w:r w:rsidRPr="00592A5D">
        <w:rPr>
          <w:rFonts w:ascii="Georgia" w:hAnsi="Georgia" w:cs="Arial"/>
          <w:lang w:val="es-ES_tradnl"/>
        </w:rPr>
        <w:t>(Seis meses)</w:t>
      </w:r>
      <w:r w:rsidRPr="00910FE9">
        <w:rPr>
          <w:rFonts w:ascii="Georgia" w:hAnsi="Georgia" w:cs="Arial"/>
        </w:rPr>
        <w:t>, como tiempo razonable, ya que han transcurrido</w:t>
      </w:r>
      <w:r>
        <w:rPr>
          <w:rFonts w:ascii="Georgia" w:hAnsi="Georgia" w:cs="Arial"/>
        </w:rPr>
        <w:t>, aproximadamente</w:t>
      </w:r>
      <w:r w:rsidR="00906784">
        <w:rPr>
          <w:rFonts w:ascii="Georgia" w:hAnsi="Georgia" w:cs="Arial"/>
        </w:rPr>
        <w:t>, un año (1) y nueve (9) meses</w:t>
      </w:r>
      <w:r>
        <w:rPr>
          <w:rFonts w:ascii="Georgia" w:hAnsi="Georgia" w:cs="Arial"/>
        </w:rPr>
        <w:t>, desde la última actuación reseñada</w:t>
      </w:r>
      <w:r w:rsidRPr="00910FE9">
        <w:rPr>
          <w:rFonts w:ascii="Georgia" w:hAnsi="Georgia" w:cs="Arial"/>
        </w:rPr>
        <w:t xml:space="preserve">. </w:t>
      </w:r>
    </w:p>
    <w:p w:rsidR="00906784" w:rsidRPr="00906784" w:rsidRDefault="00906784" w:rsidP="00293F49">
      <w:pPr>
        <w:widowControl/>
        <w:spacing w:line="360" w:lineRule="auto"/>
        <w:jc w:val="both"/>
        <w:rPr>
          <w:rFonts w:ascii="Georgia" w:hAnsi="Georgia" w:cs="Arial"/>
          <w:sz w:val="22"/>
        </w:rPr>
      </w:pPr>
    </w:p>
    <w:p w:rsidR="00906784" w:rsidRDefault="00293F49" w:rsidP="00293F49">
      <w:pPr>
        <w:spacing w:line="360" w:lineRule="auto"/>
        <w:jc w:val="both"/>
        <w:rPr>
          <w:rFonts w:ascii="Georgia" w:hAnsi="Georgia" w:cs="Arial"/>
        </w:rPr>
      </w:pPr>
      <w:r>
        <w:rPr>
          <w:rFonts w:ascii="Georgia" w:hAnsi="Georgia" w:cs="Arial"/>
        </w:rPr>
        <w:t xml:space="preserve">En este </w:t>
      </w:r>
      <w:r w:rsidR="00906784">
        <w:rPr>
          <w:rFonts w:ascii="Georgia" w:hAnsi="Georgia" w:cs="Arial"/>
        </w:rPr>
        <w:t xml:space="preserve"> </w:t>
      </w:r>
      <w:r>
        <w:rPr>
          <w:rFonts w:ascii="Georgia" w:hAnsi="Georgia" w:cs="Arial"/>
        </w:rPr>
        <w:t>asunto es inviable flexibilizar</w:t>
      </w:r>
      <w:r w:rsidRPr="00910FE9">
        <w:rPr>
          <w:rFonts w:ascii="Georgia" w:hAnsi="Georgia" w:cs="Arial"/>
        </w:rPr>
        <w:t xml:space="preserve"> la aplicación de este principio, </w:t>
      </w:r>
      <w:r w:rsidR="00906784">
        <w:rPr>
          <w:rFonts w:ascii="Georgia" w:hAnsi="Georgia" w:cs="Arial"/>
        </w:rPr>
        <w:t xml:space="preserve"> </w:t>
      </w:r>
      <w:r>
        <w:rPr>
          <w:rFonts w:ascii="Georgia" w:hAnsi="Georgia" w:cs="Arial"/>
        </w:rPr>
        <w:t xml:space="preserve">puesto que el actor </w:t>
      </w:r>
    </w:p>
    <w:p w:rsidR="00293F49" w:rsidRDefault="00293F49" w:rsidP="00293F49">
      <w:pPr>
        <w:spacing w:line="360" w:lineRule="auto"/>
        <w:jc w:val="both"/>
        <w:rPr>
          <w:rFonts w:ascii="Georgia" w:hAnsi="Georgia" w:cs="Arial"/>
          <w:bCs/>
          <w:lang w:val="es-CO"/>
        </w:rPr>
      </w:pPr>
      <w:proofErr w:type="gramStart"/>
      <w:r>
        <w:rPr>
          <w:rFonts w:ascii="Georgia" w:hAnsi="Georgia" w:cs="Arial"/>
          <w:lang w:val="es-ES_tradnl"/>
        </w:rPr>
        <w:t>no</w:t>
      </w:r>
      <w:proofErr w:type="gramEnd"/>
      <w:r>
        <w:rPr>
          <w:rFonts w:ascii="Georgia" w:hAnsi="Georgia" w:cs="Arial"/>
          <w:lang w:val="es-ES_tradnl"/>
        </w:rPr>
        <w:t xml:space="preserve"> alegó ni probó</w:t>
      </w:r>
      <w:r w:rsidRPr="00910FE9">
        <w:rPr>
          <w:rFonts w:ascii="Georgia" w:hAnsi="Georgia" w:cs="Arial"/>
        </w:rPr>
        <w:t>, que medió causa alguna de fuerza mayor o caso fortuito que impidiera gestionar su defensa a través de esta acción con mayor celeridad sin desconocer la inmediatez</w:t>
      </w:r>
      <w:r w:rsidRPr="00910FE9">
        <w:rPr>
          <w:rStyle w:val="Appelnotedebasdep"/>
          <w:rFonts w:ascii="Georgia" w:hAnsi="Georgia"/>
        </w:rPr>
        <w:footnoteReference w:id="21"/>
      </w:r>
      <w:r w:rsidRPr="00910FE9">
        <w:rPr>
          <w:rFonts w:ascii="Georgia" w:hAnsi="Georgia" w:cs="Arial"/>
        </w:rPr>
        <w:t xml:space="preserve">. </w:t>
      </w:r>
      <w:r>
        <w:rPr>
          <w:rFonts w:ascii="Georgia" w:hAnsi="Georgia" w:cs="Arial"/>
        </w:rPr>
        <w:t xml:space="preserve">Tampoco </w:t>
      </w:r>
      <w:r w:rsidRPr="00910FE9">
        <w:rPr>
          <w:rFonts w:ascii="Georgia" w:hAnsi="Georgia"/>
        </w:rPr>
        <w:t xml:space="preserve">arguyó </w:t>
      </w:r>
      <w:r>
        <w:rPr>
          <w:rFonts w:ascii="Georgia" w:hAnsi="Georgia"/>
        </w:rPr>
        <w:t xml:space="preserve">y menos </w:t>
      </w:r>
      <w:r w:rsidRPr="00910FE9">
        <w:rPr>
          <w:rFonts w:ascii="Georgia" w:hAnsi="Georgia"/>
        </w:rPr>
        <w:t xml:space="preserve">acreditó </w:t>
      </w:r>
      <w:r>
        <w:rPr>
          <w:rFonts w:ascii="Georgia" w:hAnsi="Georgia"/>
        </w:rPr>
        <w:t xml:space="preserve">que fuera </w:t>
      </w:r>
      <w:r>
        <w:rPr>
          <w:rFonts w:ascii="Georgia" w:hAnsi="Georgia" w:cs="Arial"/>
          <w:bCs/>
          <w:lang w:val="es-CO"/>
        </w:rPr>
        <w:t>una persona que requiera</w:t>
      </w:r>
      <w:r w:rsidRPr="00910FE9">
        <w:rPr>
          <w:rFonts w:ascii="Georgia" w:hAnsi="Georgia" w:cs="Arial"/>
          <w:bCs/>
          <w:lang w:val="es-CO"/>
        </w:rPr>
        <w:t xml:space="preserve"> de protección reforzada</w:t>
      </w:r>
      <w:r w:rsidRPr="00910FE9">
        <w:rPr>
          <w:rStyle w:val="Appelnotedebasdep"/>
          <w:rFonts w:ascii="Georgia" w:hAnsi="Georgia"/>
        </w:rPr>
        <w:footnoteReference w:id="22"/>
      </w:r>
      <w:r>
        <w:rPr>
          <w:rFonts w:ascii="Georgia" w:hAnsi="Georgia" w:cs="Arial"/>
          <w:bCs/>
          <w:lang w:val="es-CO"/>
        </w:rPr>
        <w:t>.</w:t>
      </w:r>
    </w:p>
    <w:p w:rsidR="00293F49" w:rsidRPr="00EB6D54" w:rsidRDefault="00293F49" w:rsidP="00293F49">
      <w:pPr>
        <w:spacing w:line="360" w:lineRule="auto"/>
        <w:jc w:val="both"/>
        <w:rPr>
          <w:rFonts w:ascii="Georgia" w:hAnsi="Georgia" w:cs="Arial"/>
          <w:bCs/>
          <w:sz w:val="20"/>
          <w:lang w:val="es-CO"/>
        </w:rPr>
      </w:pPr>
    </w:p>
    <w:p w:rsidR="00293F49" w:rsidRPr="00910FE9" w:rsidRDefault="00293F49" w:rsidP="00293F49">
      <w:pPr>
        <w:spacing w:line="360" w:lineRule="auto"/>
        <w:ind w:right="51"/>
        <w:jc w:val="both"/>
        <w:rPr>
          <w:rFonts w:ascii="Georgia" w:hAnsi="Georgia" w:cs="Arial"/>
          <w:iCs/>
          <w:bdr w:val="none" w:sz="0" w:space="0" w:color="auto" w:frame="1"/>
        </w:rPr>
      </w:pPr>
      <w:r w:rsidRPr="00910FE9">
        <w:rPr>
          <w:rFonts w:ascii="Georgia" w:hAnsi="Georgia" w:cs="Arial"/>
          <w:lang w:val="es-ES_tradnl"/>
        </w:rPr>
        <w:t xml:space="preserve">Bajo estas condiciones, </w:t>
      </w:r>
      <w:r>
        <w:rPr>
          <w:rFonts w:ascii="Georgia" w:hAnsi="Georgia" w:cs="Arial"/>
          <w:lang w:val="es-ES_tradnl"/>
        </w:rPr>
        <w:t>el presente amparo se torna</w:t>
      </w:r>
      <w:r w:rsidRPr="00910FE9">
        <w:rPr>
          <w:rFonts w:ascii="Georgia" w:hAnsi="Georgia" w:cs="Arial"/>
          <w:lang w:val="es-ES_tradnl"/>
        </w:rPr>
        <w:t xml:space="preserve"> improce</w:t>
      </w:r>
      <w:r>
        <w:rPr>
          <w:rFonts w:ascii="Georgia" w:hAnsi="Georgia" w:cs="Arial"/>
          <w:lang w:val="es-ES_tradnl"/>
        </w:rPr>
        <w:t>dente toda vez que se incumple</w:t>
      </w:r>
      <w:r w:rsidRPr="00910FE9">
        <w:rPr>
          <w:rFonts w:ascii="Georgia" w:hAnsi="Georgia" w:cs="Arial"/>
          <w:lang w:val="es-ES_tradnl"/>
        </w:rPr>
        <w:t xml:space="preserve"> </w:t>
      </w:r>
      <w:r>
        <w:rPr>
          <w:rFonts w:ascii="Georgia" w:hAnsi="Georgia" w:cs="Arial"/>
          <w:lang w:val="es-ES_tradnl"/>
        </w:rPr>
        <w:t xml:space="preserve">un </w:t>
      </w:r>
      <w:r w:rsidRPr="00910FE9">
        <w:rPr>
          <w:rFonts w:ascii="Georgia" w:hAnsi="Georgia" w:cs="Arial"/>
          <w:lang w:val="es-ES_tradnl"/>
        </w:rPr>
        <w:t>de los siete (7) requisitos generales de procedibilidad, esto es, la inmediatez</w:t>
      </w:r>
      <w:r w:rsidRPr="00910FE9">
        <w:rPr>
          <w:rFonts w:ascii="Georgia" w:hAnsi="Georgia" w:cs="Arial"/>
          <w:iCs/>
          <w:bdr w:val="none" w:sz="0" w:space="0" w:color="auto" w:frame="1"/>
        </w:rPr>
        <w:t>.</w:t>
      </w:r>
      <w:r>
        <w:rPr>
          <w:rFonts w:ascii="Georgia" w:hAnsi="Georgia" w:cs="Arial"/>
          <w:iCs/>
          <w:bdr w:val="none" w:sz="0" w:space="0" w:color="auto" w:frame="1"/>
        </w:rPr>
        <w:t xml:space="preserve"> </w:t>
      </w:r>
    </w:p>
    <w:p w:rsidR="00D62CE3" w:rsidRPr="00EB6D54" w:rsidRDefault="00D62CE3" w:rsidP="00D62CE3">
      <w:pPr>
        <w:spacing w:line="360" w:lineRule="auto"/>
        <w:ind w:right="51"/>
        <w:jc w:val="both"/>
        <w:rPr>
          <w:rFonts w:ascii="Georgia" w:hAnsi="Georgia" w:cs="Arial"/>
          <w:sz w:val="20"/>
          <w:lang w:val="es-ES_tradnl"/>
        </w:rPr>
      </w:pPr>
    </w:p>
    <w:p w:rsidR="00C74846" w:rsidRPr="00293F49" w:rsidRDefault="00C74846" w:rsidP="00293F49">
      <w:pPr>
        <w:pStyle w:val="Paragraphedeliste"/>
        <w:widowControl/>
        <w:numPr>
          <w:ilvl w:val="0"/>
          <w:numId w:val="18"/>
        </w:numPr>
        <w:spacing w:line="360" w:lineRule="auto"/>
        <w:jc w:val="both"/>
        <w:rPr>
          <w:rFonts w:ascii="Georgia" w:hAnsi="Georgia"/>
        </w:rPr>
      </w:pPr>
      <w:r w:rsidRPr="00293F49">
        <w:rPr>
          <w:rFonts w:ascii="Georgia" w:hAnsi="Georgia"/>
        </w:rPr>
        <w:t xml:space="preserve">LAS CONCLUSIONES </w:t>
      </w:r>
    </w:p>
    <w:p w:rsidR="00D61DEB" w:rsidRPr="00EB6D54" w:rsidRDefault="00D61DEB" w:rsidP="00D61DEB">
      <w:pPr>
        <w:pStyle w:val="Corpsdetexte"/>
        <w:spacing w:line="360" w:lineRule="auto"/>
        <w:ind w:left="400"/>
        <w:rPr>
          <w:rFonts w:ascii="Georgia" w:hAnsi="Georgia"/>
          <w:sz w:val="18"/>
          <w:szCs w:val="24"/>
        </w:rPr>
      </w:pPr>
    </w:p>
    <w:p w:rsidR="00C74846" w:rsidRPr="00B33A0F" w:rsidRDefault="00C74846" w:rsidP="00C74846">
      <w:pPr>
        <w:pStyle w:val="Corpsdetexte"/>
        <w:spacing w:line="360" w:lineRule="auto"/>
        <w:rPr>
          <w:rFonts w:ascii="Georgia" w:hAnsi="Georgia" w:cs="Arial"/>
          <w:szCs w:val="24"/>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 xml:space="preserve">amparo constitucional frente al Juzgado </w:t>
      </w:r>
      <w:r w:rsidR="00293F49">
        <w:rPr>
          <w:rFonts w:ascii="Georgia" w:hAnsi="Georgia" w:cs="Arial"/>
          <w:szCs w:val="24"/>
          <w:lang w:val="es-ES"/>
        </w:rPr>
        <w:t>Tercero</w:t>
      </w:r>
      <w:r>
        <w:rPr>
          <w:rFonts w:ascii="Georgia" w:hAnsi="Georgia" w:cs="Arial"/>
          <w:szCs w:val="24"/>
          <w:lang w:val="es-ES"/>
        </w:rPr>
        <w:t xml:space="preserve"> </w:t>
      </w:r>
      <w:r w:rsidRPr="00B33A0F">
        <w:rPr>
          <w:rFonts w:ascii="Georgia" w:hAnsi="Georgia" w:cs="Arial"/>
          <w:szCs w:val="24"/>
          <w:lang w:val="es-ES"/>
        </w:rPr>
        <w:t>Civil del Circuito de Pereira.</w:t>
      </w:r>
    </w:p>
    <w:p w:rsidR="00C74846" w:rsidRPr="00EB6D54" w:rsidRDefault="00C74846" w:rsidP="00C74846">
      <w:pPr>
        <w:pStyle w:val="Corpsdetexte"/>
        <w:tabs>
          <w:tab w:val="clear" w:pos="708"/>
        </w:tabs>
        <w:spacing w:line="360" w:lineRule="auto"/>
        <w:rPr>
          <w:rFonts w:ascii="Georgia" w:hAnsi="Georgia" w:cs="Arial"/>
          <w:sz w:val="18"/>
          <w:szCs w:val="24"/>
          <w:lang w:val="es-CO"/>
        </w:rPr>
      </w:pPr>
    </w:p>
    <w:p w:rsidR="00C74846" w:rsidRPr="00B33A0F" w:rsidRDefault="00C74846" w:rsidP="00C74846">
      <w:pPr>
        <w:tabs>
          <w:tab w:val="left" w:pos="-720"/>
        </w:tabs>
        <w:suppressAutoHyphens/>
        <w:spacing w:line="360" w:lineRule="auto"/>
        <w:jc w:val="both"/>
        <w:rPr>
          <w:rFonts w:ascii="Georgia" w:hAnsi="Georgia" w:cs="Arial"/>
        </w:rPr>
      </w:pPr>
      <w:r w:rsidRPr="00B33A0F">
        <w:rPr>
          <w:rFonts w:ascii="Georgia" w:hAnsi="Georgia" w:cs="Arial"/>
        </w:rPr>
        <w:t xml:space="preserve">En mérito de lo expuesto, el </w:t>
      </w:r>
      <w:r w:rsidRPr="00B33A0F">
        <w:rPr>
          <w:rFonts w:ascii="Georgia" w:hAnsi="Georgia" w:cs="Arial"/>
          <w:bCs/>
          <w:smallCaps/>
        </w:rPr>
        <w:t>Tribunal Superior del Distrito Judicial de Pereira, Risaralda, Sala de Decisión Civil - Familia</w:t>
      </w:r>
      <w:r w:rsidRPr="00B33A0F">
        <w:rPr>
          <w:rFonts w:ascii="Georgia" w:hAnsi="Georgia" w:cs="Arial"/>
        </w:rPr>
        <w:t>, administrando Justicia, en nombre de la República y por autoridad de la Ley,</w:t>
      </w:r>
    </w:p>
    <w:p w:rsidR="00C74846" w:rsidRPr="00B33A0F" w:rsidRDefault="00C74846" w:rsidP="00C74846">
      <w:pPr>
        <w:tabs>
          <w:tab w:val="left" w:pos="-720"/>
        </w:tabs>
        <w:suppressAutoHyphens/>
        <w:spacing w:line="360" w:lineRule="auto"/>
        <w:jc w:val="both"/>
        <w:rPr>
          <w:rFonts w:ascii="Georgia" w:hAnsi="Georgia" w:cs="Arial"/>
          <w:sz w:val="4"/>
        </w:rPr>
      </w:pPr>
    </w:p>
    <w:p w:rsidR="00C74846" w:rsidRDefault="00C74846" w:rsidP="00C74846">
      <w:pPr>
        <w:pStyle w:val="Corpsdetexte"/>
        <w:spacing w:line="360" w:lineRule="auto"/>
        <w:jc w:val="center"/>
        <w:rPr>
          <w:rFonts w:ascii="Georgia" w:hAnsi="Georgia" w:cs="Arial"/>
          <w:bCs/>
          <w:smallCaps/>
          <w:szCs w:val="24"/>
        </w:rPr>
      </w:pPr>
      <w:r w:rsidRPr="00B33A0F">
        <w:rPr>
          <w:rFonts w:ascii="Georgia" w:hAnsi="Georgia" w:cs="Arial"/>
          <w:bCs/>
          <w:smallCaps/>
          <w:szCs w:val="24"/>
        </w:rPr>
        <w:t xml:space="preserve">F A L </w:t>
      </w:r>
      <w:proofErr w:type="spellStart"/>
      <w:r w:rsidRPr="00B33A0F">
        <w:rPr>
          <w:rFonts w:ascii="Georgia" w:hAnsi="Georgia" w:cs="Arial"/>
          <w:bCs/>
          <w:smallCaps/>
          <w:szCs w:val="24"/>
        </w:rPr>
        <w:t>L</w:t>
      </w:r>
      <w:proofErr w:type="spellEnd"/>
      <w:r w:rsidRPr="00B33A0F">
        <w:rPr>
          <w:rFonts w:ascii="Georgia" w:hAnsi="Georgia" w:cs="Arial"/>
          <w:bCs/>
          <w:smallCaps/>
          <w:szCs w:val="24"/>
        </w:rPr>
        <w:t xml:space="preserve"> A,</w:t>
      </w:r>
    </w:p>
    <w:p w:rsidR="00EB6D54" w:rsidRPr="000E31DB" w:rsidRDefault="00EB6D54" w:rsidP="00C74846">
      <w:pPr>
        <w:pStyle w:val="Corpsdetexte"/>
        <w:spacing w:line="360" w:lineRule="auto"/>
        <w:jc w:val="center"/>
        <w:rPr>
          <w:rFonts w:ascii="Georgia" w:hAnsi="Georgia" w:cs="Arial"/>
          <w:bCs/>
          <w:smallCaps/>
          <w:sz w:val="20"/>
          <w:szCs w:val="24"/>
        </w:rPr>
      </w:pPr>
    </w:p>
    <w:p w:rsidR="00C74846" w:rsidRDefault="00C74846" w:rsidP="00C748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proofErr w:type="spellStart"/>
      <w:r w:rsidR="00293F49">
        <w:rPr>
          <w:rFonts w:ascii="Georgia" w:hAnsi="Georgia" w:cs="Arial"/>
        </w:rPr>
        <w:t>Uner</w:t>
      </w:r>
      <w:proofErr w:type="spellEnd"/>
      <w:r w:rsidR="00293F49">
        <w:rPr>
          <w:rFonts w:ascii="Georgia" w:hAnsi="Georgia" w:cs="Arial"/>
        </w:rPr>
        <w:t xml:space="preserve"> </w:t>
      </w:r>
      <w:r w:rsidR="00951398">
        <w:rPr>
          <w:rFonts w:ascii="Georgia" w:hAnsi="Georgia" w:cs="Arial"/>
        </w:rPr>
        <w:t>Augusto Becerra Largo</w:t>
      </w:r>
      <w:r w:rsidRPr="00B33A0F">
        <w:rPr>
          <w:rFonts w:ascii="Georgia" w:hAnsi="Georgia" w:cs="Arial"/>
        </w:rPr>
        <w:t xml:space="preserve"> contra el Juzgado</w:t>
      </w:r>
      <w:r>
        <w:rPr>
          <w:rFonts w:ascii="Georgia" w:hAnsi="Georgia" w:cs="Arial"/>
        </w:rPr>
        <w:t xml:space="preserve"> </w:t>
      </w:r>
      <w:r w:rsidR="00293F49">
        <w:rPr>
          <w:rFonts w:ascii="Georgia" w:hAnsi="Georgia" w:cs="Arial"/>
        </w:rPr>
        <w:t xml:space="preserve">Tercero </w:t>
      </w:r>
      <w:r w:rsidRPr="00B33A0F">
        <w:rPr>
          <w:rFonts w:ascii="Georgia" w:hAnsi="Georgia" w:cs="Arial"/>
        </w:rPr>
        <w:t>Civil del Circuito de Pereira.</w:t>
      </w:r>
    </w:p>
    <w:p w:rsidR="00EB6D54" w:rsidRPr="000E31DB" w:rsidRDefault="00EB6D54" w:rsidP="00EB6D5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lang w:val="es-CO"/>
        </w:rPr>
      </w:pPr>
    </w:p>
    <w:p w:rsidR="00C74846" w:rsidRPr="00B33A0F" w:rsidRDefault="00C74846" w:rsidP="00C748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EB6D54" w:rsidRPr="00EB6D54" w:rsidRDefault="00EB6D54" w:rsidP="00EB6D54">
      <w:pPr>
        <w:pStyle w:val="Corpsdetexte"/>
        <w:tabs>
          <w:tab w:val="clear" w:pos="708"/>
        </w:tabs>
        <w:spacing w:line="360" w:lineRule="auto"/>
        <w:ind w:left="360"/>
        <w:rPr>
          <w:rFonts w:ascii="Georgia" w:hAnsi="Georgia" w:cs="Arial"/>
          <w:sz w:val="20"/>
          <w:szCs w:val="24"/>
        </w:rPr>
      </w:pPr>
    </w:p>
    <w:p w:rsidR="00C74846" w:rsidRPr="00B33A0F" w:rsidRDefault="00C74846" w:rsidP="00C74846">
      <w:pPr>
        <w:pStyle w:val="Corpsdetex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lastRenderedPageBreak/>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EB6D54" w:rsidRPr="00EB6D54" w:rsidRDefault="00EB6D54" w:rsidP="00EB6D54">
      <w:pPr>
        <w:pStyle w:val="Paragraphedeliste"/>
        <w:widowControl/>
        <w:autoSpaceDE/>
        <w:autoSpaceDN/>
        <w:adjustRightInd/>
        <w:spacing w:line="360" w:lineRule="auto"/>
        <w:ind w:left="360" w:right="51"/>
        <w:contextualSpacing/>
        <w:jc w:val="both"/>
        <w:rPr>
          <w:rFonts w:ascii="Georgia" w:hAnsi="Georgia"/>
          <w:sz w:val="20"/>
        </w:rPr>
      </w:pPr>
    </w:p>
    <w:p w:rsidR="00C74846" w:rsidRPr="00B33A0F" w:rsidRDefault="00C74846" w:rsidP="00C748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B33A0F">
        <w:rPr>
          <w:rFonts w:ascii="Georgia" w:hAnsi="Georgia" w:cs="Arial"/>
        </w:rPr>
        <w:t>ORDENAR el archivo del expediente, surtidos los trámites anteriores.</w:t>
      </w:r>
    </w:p>
    <w:p w:rsidR="00EB6D54" w:rsidRPr="00E177D7" w:rsidRDefault="00EB6D54" w:rsidP="00417DA5">
      <w:pPr>
        <w:pStyle w:val="Corpsdetexte"/>
        <w:spacing w:line="360" w:lineRule="auto"/>
        <w:jc w:val="center"/>
        <w:rPr>
          <w:rFonts w:ascii="Georgia" w:hAnsi="Georgia"/>
          <w:smallCaps/>
          <w:sz w:val="20"/>
          <w:szCs w:val="24"/>
          <w:lang w:val="es-ES"/>
        </w:rPr>
      </w:pPr>
    </w:p>
    <w:p w:rsidR="00B30152" w:rsidRPr="00550CA7" w:rsidRDefault="00126266" w:rsidP="00417DA5">
      <w:pPr>
        <w:pStyle w:val="Corpsdetexte"/>
        <w:spacing w:line="360" w:lineRule="auto"/>
        <w:jc w:val="center"/>
        <w:rPr>
          <w:rFonts w:ascii="Georgia" w:hAnsi="Georgia"/>
          <w:smallCaps/>
          <w:szCs w:val="24"/>
          <w:lang w:val="en-US"/>
        </w:rPr>
      </w:pPr>
      <w:proofErr w:type="spellStart"/>
      <w:r w:rsidRPr="00550CA7">
        <w:rPr>
          <w:rFonts w:ascii="Georgia" w:hAnsi="Georgia"/>
          <w:smallCaps/>
          <w:szCs w:val="24"/>
          <w:lang w:val="en-US"/>
        </w:rPr>
        <w:t>Notifíquese</w:t>
      </w:r>
      <w:proofErr w:type="spellEnd"/>
      <w:r w:rsidRPr="00550CA7">
        <w:rPr>
          <w:rFonts w:ascii="Georgia" w:hAnsi="Georgia"/>
          <w:smallCaps/>
          <w:szCs w:val="24"/>
          <w:lang w:val="en-US"/>
        </w:rPr>
        <w:t>,</w:t>
      </w:r>
    </w:p>
    <w:p w:rsidR="000E31DB" w:rsidRDefault="000E31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0E31DB" w:rsidRDefault="000E31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0E31DB" w:rsidRDefault="000E31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0E31DB" w:rsidRDefault="000E31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EB6D54">
        <w:rPr>
          <w:rFonts w:ascii="Georgia" w:hAnsi="Georgia"/>
          <w:w w:val="150"/>
          <w:sz w:val="10"/>
          <w:szCs w:val="10"/>
          <w:lang w:val="en-US"/>
        </w:rPr>
        <w:t>/</w:t>
      </w:r>
      <w:r w:rsidR="00081FDD" w:rsidRPr="009110AB">
        <w:rPr>
          <w:rFonts w:ascii="Georgia" w:hAnsi="Georgia"/>
          <w:w w:val="150"/>
          <w:sz w:val="10"/>
          <w:szCs w:val="10"/>
          <w:lang w:val="en-US"/>
        </w:rPr>
        <w:t>2017</w:t>
      </w:r>
    </w:p>
    <w:sectPr w:rsidR="00E606C4" w:rsidRPr="00AD7B0C" w:rsidSect="00F96624">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80" w:rsidRDefault="00717480" w:rsidP="0099045D">
      <w:r>
        <w:separator/>
      </w:r>
    </w:p>
  </w:endnote>
  <w:endnote w:type="continuationSeparator" w:id="0">
    <w:p w:rsidR="00717480" w:rsidRDefault="0071748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592A5D"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depage"/>
      <w:spacing w:line="360" w:lineRule="auto"/>
      <w:jc w:val="right"/>
      <w:rPr>
        <w:rFonts w:ascii="Georgia" w:hAnsi="Georgia" w:cs="Arial"/>
        <w:spacing w:val="20"/>
        <w:w w:val="200"/>
        <w:sz w:val="14"/>
        <w:szCs w:val="10"/>
        <w:lang w:val="es-CO"/>
      </w:rPr>
    </w:pPr>
  </w:p>
  <w:p w:rsidR="00800180" w:rsidRPr="00401168" w:rsidRDefault="00800180" w:rsidP="0013771A">
    <w:pPr>
      <w:pStyle w:val="Pieddepage"/>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depage"/>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80" w:rsidRDefault="00717480" w:rsidP="0099045D">
      <w:r>
        <w:separator/>
      </w:r>
    </w:p>
  </w:footnote>
  <w:footnote w:type="continuationSeparator" w:id="0">
    <w:p w:rsidR="00717480" w:rsidRDefault="00717480" w:rsidP="0099045D">
      <w:r>
        <w:continuationSeparator/>
      </w:r>
    </w:p>
  </w:footnote>
  <w:footnote w:id="1">
    <w:p w:rsidR="003E703E" w:rsidRPr="002D2187" w:rsidRDefault="003E703E" w:rsidP="003E703E">
      <w:pPr>
        <w:pStyle w:val="Notedebasdepage"/>
        <w:jc w:val="both"/>
      </w:pPr>
      <w:r w:rsidRPr="002D2187">
        <w:rPr>
          <w:rStyle w:val="Appelnotedebasdep"/>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Notedebasdepage"/>
        <w:jc w:val="both"/>
      </w:pPr>
      <w:r w:rsidRPr="002D2187">
        <w:rPr>
          <w:rStyle w:val="Appelnotedebasdep"/>
        </w:rPr>
        <w:footnoteRef/>
      </w:r>
      <w:r w:rsidRPr="002D2187">
        <w:t xml:space="preserve"> QUIROGA N., Édgar A. Tutela contra decisiones judiciales, Universidad Santo Tomás y editorial Ibáñez, Bogotá DC, 2014, p.83.</w:t>
      </w:r>
    </w:p>
  </w:footnote>
  <w:footnote w:id="3">
    <w:p w:rsidR="003E703E" w:rsidRPr="00E177D7" w:rsidRDefault="003E703E" w:rsidP="003E703E">
      <w:pPr>
        <w:pStyle w:val="Notedebasdepage"/>
        <w:jc w:val="both"/>
        <w:rPr>
          <w:lang w:val="fr-FR"/>
        </w:rPr>
      </w:pPr>
      <w:r w:rsidRPr="00C74846">
        <w:rPr>
          <w:rStyle w:val="Appelnotedebasdep"/>
        </w:rPr>
        <w:footnoteRef/>
      </w:r>
      <w:r w:rsidRPr="00E177D7">
        <w:rPr>
          <w:lang w:val="fr-FR"/>
        </w:rPr>
        <w:t xml:space="preserve"> CC. T-917 de 2011.</w:t>
      </w:r>
    </w:p>
  </w:footnote>
  <w:footnote w:id="4">
    <w:p w:rsidR="003E703E" w:rsidRPr="00E177D7" w:rsidRDefault="003E703E" w:rsidP="003E703E">
      <w:pPr>
        <w:pStyle w:val="Notedebasdepage"/>
        <w:jc w:val="both"/>
        <w:rPr>
          <w:lang w:val="fr-FR"/>
        </w:rPr>
      </w:pPr>
      <w:r w:rsidRPr="00C74846">
        <w:rPr>
          <w:rStyle w:val="Appelnotedebasdep"/>
        </w:rPr>
        <w:footnoteRef/>
      </w:r>
      <w:r w:rsidRPr="00E177D7">
        <w:rPr>
          <w:lang w:val="fr-FR"/>
        </w:rPr>
        <w:t xml:space="preserve"> CC. C-590 de 2005.</w:t>
      </w:r>
    </w:p>
  </w:footnote>
  <w:footnote w:id="5">
    <w:p w:rsidR="003E703E" w:rsidRPr="00E177D7" w:rsidRDefault="003E703E" w:rsidP="003E703E">
      <w:pPr>
        <w:pStyle w:val="Notedebasdepage"/>
        <w:jc w:val="both"/>
        <w:rPr>
          <w:lang w:val="fr-FR"/>
        </w:rPr>
      </w:pPr>
      <w:r w:rsidRPr="00C74846">
        <w:rPr>
          <w:rStyle w:val="Appelnotedebasdep"/>
        </w:rPr>
        <w:footnoteRef/>
      </w:r>
      <w:r w:rsidRPr="00E177D7">
        <w:rPr>
          <w:lang w:val="fr-FR"/>
        </w:rPr>
        <w:t xml:space="preserve"> CC. </w:t>
      </w:r>
      <w:r w:rsidRPr="00E177D7">
        <w:rPr>
          <w:bCs/>
          <w:lang w:val="fr-FR"/>
        </w:rPr>
        <w:t>SU-222 de 2016</w:t>
      </w:r>
      <w:r w:rsidRPr="00E177D7">
        <w:rPr>
          <w:lang w:val="fr-FR"/>
        </w:rPr>
        <w:t>.</w:t>
      </w:r>
    </w:p>
  </w:footnote>
  <w:footnote w:id="6">
    <w:p w:rsidR="003E703E" w:rsidRPr="00E177D7" w:rsidRDefault="003E703E" w:rsidP="003E703E">
      <w:pPr>
        <w:pStyle w:val="Notedebasdepage"/>
        <w:rPr>
          <w:b/>
          <w:bCs/>
          <w:lang w:val="fr-FR"/>
        </w:rPr>
      </w:pPr>
      <w:r w:rsidRPr="00C74846">
        <w:rPr>
          <w:rStyle w:val="Appelnotedebasdep"/>
        </w:rPr>
        <w:footnoteRef/>
      </w:r>
      <w:r w:rsidRPr="00E177D7">
        <w:rPr>
          <w:lang w:val="fr-FR"/>
        </w:rPr>
        <w:t xml:space="preserve"> </w:t>
      </w:r>
      <w:r w:rsidRPr="00E177D7">
        <w:rPr>
          <w:bCs/>
          <w:lang w:val="fr-FR"/>
        </w:rPr>
        <w:t>CC. T-137 de 2017.</w:t>
      </w:r>
    </w:p>
  </w:footnote>
  <w:footnote w:id="7">
    <w:p w:rsidR="003E703E" w:rsidRPr="00C74846" w:rsidRDefault="003E703E" w:rsidP="003E703E">
      <w:pPr>
        <w:pStyle w:val="Notedebasdepage"/>
        <w:rPr>
          <w:lang w:val="es-CO"/>
        </w:rPr>
      </w:pPr>
      <w:r w:rsidRPr="00C74846">
        <w:rPr>
          <w:rStyle w:val="Appelnotedebasdep"/>
        </w:rPr>
        <w:footnoteRef/>
      </w:r>
      <w:r w:rsidRPr="00C74846">
        <w:t xml:space="preserve"> </w:t>
      </w:r>
      <w:r w:rsidRPr="00C74846">
        <w:rPr>
          <w:lang w:val="es-MX"/>
        </w:rPr>
        <w:t>CC. T-307 de 2015.</w:t>
      </w:r>
    </w:p>
  </w:footnote>
  <w:footnote w:id="8">
    <w:p w:rsidR="003E703E" w:rsidRPr="00C74846" w:rsidRDefault="003E703E" w:rsidP="003E703E">
      <w:pPr>
        <w:pStyle w:val="Notedebasdepag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Notedebasdepage"/>
        <w:jc w:val="both"/>
      </w:pPr>
      <w:r w:rsidRPr="00C74846">
        <w:rPr>
          <w:rStyle w:val="Appelnotedebasdep"/>
        </w:rPr>
        <w:footnoteRef/>
      </w:r>
      <w:r w:rsidRPr="00C74846">
        <w:t xml:space="preserve"> QUINCHE R., Manuel F. La acción de tutela, el amparo en Colombia, Bogotá DC, 2011, p.233-285.</w:t>
      </w:r>
    </w:p>
  </w:footnote>
  <w:footnote w:id="10">
    <w:p w:rsidR="00293F49" w:rsidRPr="00E177D7" w:rsidRDefault="00293F49" w:rsidP="00293F49">
      <w:pPr>
        <w:pStyle w:val="Notedebasdepage"/>
        <w:jc w:val="both"/>
        <w:rPr>
          <w:lang w:val="fr-FR"/>
        </w:rPr>
      </w:pPr>
      <w:r w:rsidRPr="00A4378F">
        <w:rPr>
          <w:rStyle w:val="Appelnotedebasdep"/>
        </w:rPr>
        <w:footnoteRef/>
      </w:r>
      <w:r w:rsidRPr="00E177D7">
        <w:rPr>
          <w:lang w:val="fr-FR"/>
        </w:rPr>
        <w:t xml:space="preserve"> CC. SU-961 de 1999, T-890 de 2006, T-548 de 2011 y T-172 de 2013.</w:t>
      </w:r>
    </w:p>
  </w:footnote>
  <w:footnote w:id="11">
    <w:p w:rsidR="00293F49" w:rsidRDefault="00293F49" w:rsidP="00293F49">
      <w:pPr>
        <w:pStyle w:val="Notedebasdepage"/>
        <w:jc w:val="both"/>
      </w:pPr>
      <w:r w:rsidRPr="00A4378F">
        <w:rPr>
          <w:rStyle w:val="Appelnotedebasdep"/>
        </w:rPr>
        <w:footnoteRef/>
      </w:r>
      <w:r w:rsidRPr="00A4378F">
        <w:rPr>
          <w:lang w:val="es-CO"/>
        </w:rPr>
        <w:t xml:space="preserve"> CSJ, Civil. Sentencia del 09-03-2011, </w:t>
      </w:r>
      <w:proofErr w:type="spellStart"/>
      <w:r w:rsidRPr="00A4378F">
        <w:rPr>
          <w:lang w:val="es-CO"/>
        </w:rPr>
        <w:t>MP</w:t>
      </w:r>
      <w:proofErr w:type="spellEnd"/>
      <w:r w:rsidRPr="00A4378F">
        <w:rPr>
          <w:lang w:val="es-CO"/>
        </w:rPr>
        <w:t xml:space="preserve">: </w:t>
      </w:r>
      <w:proofErr w:type="spellStart"/>
      <w:r w:rsidRPr="00A4378F">
        <w:rPr>
          <w:lang w:val="es-CO"/>
        </w:rPr>
        <w:t>Arrubla</w:t>
      </w:r>
      <w:proofErr w:type="spellEnd"/>
      <w:r w:rsidRPr="00A4378F">
        <w:rPr>
          <w:lang w:val="es-CO"/>
        </w:rPr>
        <w:t xml:space="preserve"> P., No.</w:t>
      </w:r>
      <w:r w:rsidRPr="00A4378F">
        <w:rPr>
          <w:w w:val="110"/>
        </w:rPr>
        <w:t>11001-02-03-000-2011-00373-00</w:t>
      </w:r>
      <w:r w:rsidRPr="00A4378F">
        <w:rPr>
          <w:lang w:val="es-CO"/>
        </w:rPr>
        <w:t>.</w:t>
      </w:r>
    </w:p>
  </w:footnote>
  <w:footnote w:id="12">
    <w:p w:rsidR="00293F49" w:rsidRPr="00E177D7" w:rsidRDefault="00293F49" w:rsidP="00293F49">
      <w:pPr>
        <w:pStyle w:val="Notedebasdepage"/>
        <w:jc w:val="both"/>
        <w:rPr>
          <w:lang w:val="fr-FR"/>
        </w:rPr>
      </w:pPr>
      <w:r w:rsidRPr="00A4378F">
        <w:rPr>
          <w:rStyle w:val="Appelnotedebasdep"/>
          <w:lang w:val="es-CO"/>
        </w:rPr>
        <w:footnoteRef/>
      </w:r>
      <w:r w:rsidRPr="00E177D7">
        <w:rPr>
          <w:lang w:val="fr-FR"/>
        </w:rPr>
        <w:t xml:space="preserve"> CC. T-1079 de 2008.</w:t>
      </w:r>
    </w:p>
  </w:footnote>
  <w:footnote w:id="13">
    <w:p w:rsidR="00293F49" w:rsidRPr="00E177D7" w:rsidRDefault="00293F49" w:rsidP="00293F49">
      <w:pPr>
        <w:pStyle w:val="Notedebasdepage"/>
        <w:jc w:val="both"/>
        <w:rPr>
          <w:lang w:val="fr-FR"/>
        </w:rPr>
      </w:pPr>
      <w:r w:rsidRPr="00A4378F">
        <w:rPr>
          <w:rStyle w:val="Appelnotedebasdep"/>
          <w:lang w:val="es-CO"/>
        </w:rPr>
        <w:footnoteRef/>
      </w:r>
      <w:r w:rsidRPr="00E177D7">
        <w:rPr>
          <w:lang w:val="fr-FR"/>
        </w:rPr>
        <w:t xml:space="preserve"> CSJ, Civil. </w:t>
      </w:r>
      <w:r w:rsidRPr="00E177D7">
        <w:rPr>
          <w:iCs/>
          <w:lang w:val="fr-FR"/>
        </w:rPr>
        <w:t>STC2154-2016 y STC10383-2016.</w:t>
      </w:r>
    </w:p>
  </w:footnote>
  <w:footnote w:id="14">
    <w:p w:rsidR="00293F49" w:rsidRPr="00E177D7" w:rsidRDefault="00293F49" w:rsidP="00293F49">
      <w:pPr>
        <w:pStyle w:val="Notedebasdepage"/>
        <w:jc w:val="both"/>
        <w:rPr>
          <w:lang w:val="fr-FR"/>
        </w:rPr>
      </w:pPr>
      <w:r w:rsidRPr="00A4378F">
        <w:rPr>
          <w:rStyle w:val="Appelnotedebasdep"/>
          <w:lang w:val="es-CO"/>
        </w:rPr>
        <w:footnoteRef/>
      </w:r>
      <w:r w:rsidRPr="00E177D7">
        <w:rPr>
          <w:lang w:val="fr-FR"/>
        </w:rPr>
        <w:t xml:space="preserve"> CC. T-016 de 2006.</w:t>
      </w:r>
    </w:p>
  </w:footnote>
  <w:footnote w:id="15">
    <w:p w:rsidR="00293F49" w:rsidRDefault="00293F49" w:rsidP="00293F49">
      <w:pPr>
        <w:pStyle w:val="Notedebasdepage"/>
        <w:jc w:val="both"/>
      </w:pPr>
      <w:r w:rsidRPr="00A4378F">
        <w:rPr>
          <w:rStyle w:val="Appelnotedebasdep"/>
          <w:lang w:val="es-CO"/>
        </w:rPr>
        <w:footnoteRef/>
      </w:r>
      <w:r w:rsidRPr="00A4378F">
        <w:rPr>
          <w:lang w:val="es-CO"/>
        </w:rPr>
        <w:t xml:space="preserve"> </w:t>
      </w:r>
      <w:r w:rsidRPr="00A4378F">
        <w:t>CC</w:t>
      </w:r>
      <w:r w:rsidRPr="00A4378F">
        <w:rPr>
          <w:lang w:val="es-CO"/>
        </w:rPr>
        <w:t>. T-684 de 2003.</w:t>
      </w:r>
    </w:p>
  </w:footnote>
  <w:footnote w:id="16">
    <w:p w:rsidR="00293F49" w:rsidRDefault="00293F49" w:rsidP="00293F49">
      <w:pPr>
        <w:pStyle w:val="Notedebasdepage"/>
        <w:jc w:val="both"/>
      </w:pPr>
      <w:r w:rsidRPr="00346B17">
        <w:rPr>
          <w:rStyle w:val="Appelnotedebasdep"/>
          <w:rFonts w:ascii="Georgia" w:hAnsi="Georgia" w:cs="Calibri"/>
          <w:lang w:val="es-CO"/>
        </w:rPr>
        <w:footnoteRef/>
      </w:r>
      <w:r w:rsidRPr="00346B17">
        <w:rPr>
          <w:rFonts w:ascii="Georgia" w:hAnsi="Georgia" w:cs="Calibri"/>
          <w:lang w:val="es-CO"/>
        </w:rPr>
        <w:t xml:space="preserve"> QUINCHE R., Manuel F. La acción de tutela, el amparo en Colombia, Temis, Bogotá DC, 2011, p.105-106.</w:t>
      </w:r>
    </w:p>
  </w:footnote>
  <w:footnote w:id="17">
    <w:p w:rsidR="00293F49" w:rsidRPr="00E177D7" w:rsidRDefault="00293F49" w:rsidP="00293F49">
      <w:pPr>
        <w:pStyle w:val="Notedebasdepage"/>
        <w:rPr>
          <w:lang w:val="fr-FR"/>
        </w:rPr>
      </w:pPr>
      <w:r w:rsidRPr="00377F29">
        <w:rPr>
          <w:rStyle w:val="Appelnotedebasdep"/>
        </w:rPr>
        <w:footnoteRef/>
      </w:r>
      <w:r w:rsidRPr="00E177D7">
        <w:rPr>
          <w:lang w:val="fr-FR"/>
        </w:rPr>
        <w:t xml:space="preserve"> CC. T-323, SU 499 de 2016 y T-137 de 2017. </w:t>
      </w:r>
    </w:p>
  </w:footnote>
  <w:footnote w:id="18">
    <w:p w:rsidR="00293F49" w:rsidRPr="00E177D7" w:rsidRDefault="00293F49" w:rsidP="00293F49">
      <w:pPr>
        <w:pStyle w:val="Notedebasdepage"/>
        <w:rPr>
          <w:lang w:val="fr-FR"/>
        </w:rPr>
      </w:pPr>
      <w:r w:rsidRPr="0097582F">
        <w:rPr>
          <w:rStyle w:val="Appelnotedebasdep"/>
        </w:rPr>
        <w:footnoteRef/>
      </w:r>
      <w:r w:rsidRPr="00E177D7">
        <w:rPr>
          <w:lang w:val="fr-FR"/>
        </w:rPr>
        <w:t xml:space="preserve"> CC. Ob. cit. </w:t>
      </w:r>
    </w:p>
  </w:footnote>
  <w:footnote w:id="19">
    <w:p w:rsidR="00293F49" w:rsidRPr="00E177D7" w:rsidRDefault="00293F49" w:rsidP="00293F49">
      <w:pPr>
        <w:pStyle w:val="Notedebasdepage"/>
        <w:rPr>
          <w:lang w:val="fr-FR"/>
        </w:rPr>
      </w:pPr>
      <w:r w:rsidRPr="0097582F">
        <w:rPr>
          <w:rStyle w:val="Appelnotedebasdep"/>
        </w:rPr>
        <w:footnoteRef/>
      </w:r>
      <w:r w:rsidRPr="00E177D7">
        <w:rPr>
          <w:lang w:val="fr-FR"/>
        </w:rPr>
        <w:t xml:space="preserve"> CC. T-323 de 2016.</w:t>
      </w:r>
    </w:p>
  </w:footnote>
  <w:footnote w:id="20">
    <w:p w:rsidR="00293F49" w:rsidRPr="0097582F" w:rsidRDefault="00293F49" w:rsidP="00293F49">
      <w:pPr>
        <w:pStyle w:val="Notedebasdepage"/>
        <w:rPr>
          <w:lang w:val="es-CO"/>
        </w:rPr>
      </w:pPr>
      <w:r w:rsidRPr="0097582F">
        <w:rPr>
          <w:rStyle w:val="Appelnotedebasdep"/>
        </w:rPr>
        <w:footnoteRef/>
      </w:r>
      <w:r w:rsidRPr="0097582F">
        <w:t xml:space="preserve"> CC. </w:t>
      </w:r>
      <w:hyperlink r:id="rId1" w:history="1">
        <w:r w:rsidRPr="0097582F">
          <w:rPr>
            <w:rStyle w:val="Lienhypertexte"/>
            <w:color w:val="auto"/>
            <w:u w:val="none"/>
          </w:rPr>
          <w:t>SU-499 de 2016</w:t>
        </w:r>
      </w:hyperlink>
      <w:r w:rsidRPr="0097582F">
        <w:rPr>
          <w:rStyle w:val="Lienhypertexte"/>
          <w:color w:val="auto"/>
          <w:u w:val="none"/>
        </w:rPr>
        <w:t>.</w:t>
      </w:r>
    </w:p>
  </w:footnote>
  <w:footnote w:id="21">
    <w:p w:rsidR="00293F49" w:rsidRPr="00E177D7" w:rsidRDefault="00293F49" w:rsidP="00293F49">
      <w:pPr>
        <w:pStyle w:val="Notedebasdepage"/>
        <w:rPr>
          <w:lang w:val="fr-FR"/>
        </w:rPr>
      </w:pPr>
      <w:r w:rsidRPr="0097582F">
        <w:rPr>
          <w:rStyle w:val="Appelnotedebasdep"/>
        </w:rPr>
        <w:footnoteRef/>
      </w:r>
      <w:r w:rsidRPr="0097582F">
        <w:t xml:space="preserve"> </w:t>
      </w:r>
      <w:r w:rsidRPr="0097582F">
        <w:rPr>
          <w:lang w:val="es-CO"/>
        </w:rPr>
        <w:t xml:space="preserve">CC. Ob. </w:t>
      </w:r>
      <w:r w:rsidRPr="00E177D7">
        <w:rPr>
          <w:lang w:val="fr-FR"/>
        </w:rPr>
        <w:t>Cit.</w:t>
      </w:r>
    </w:p>
  </w:footnote>
  <w:footnote w:id="22">
    <w:p w:rsidR="00293F49" w:rsidRPr="00E177D7" w:rsidRDefault="00293F49" w:rsidP="00293F49">
      <w:pPr>
        <w:pStyle w:val="Notedebasdepage"/>
        <w:rPr>
          <w:lang w:val="fr-FR"/>
        </w:rPr>
      </w:pPr>
      <w:r w:rsidRPr="0097582F">
        <w:rPr>
          <w:rStyle w:val="Appelnotedebasdep"/>
        </w:rPr>
        <w:footnoteRef/>
      </w:r>
      <w:r w:rsidRPr="00E177D7">
        <w:rPr>
          <w:lang w:val="fr-FR"/>
        </w:rPr>
        <w:t xml:space="preserve"> 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01168" w:rsidRDefault="00800180">
    <w:pPr>
      <w:pStyle w:val="En-tte"/>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E177D7">
      <w:rPr>
        <w:rFonts w:ascii="Georgia" w:hAnsi="Georgia" w:cs="Calibri"/>
        <w:i/>
        <w:noProof/>
        <w:sz w:val="20"/>
      </w:rPr>
      <w:t>1</w:t>
    </w:r>
    <w:r w:rsidR="00301CAF" w:rsidRPr="00401168">
      <w:rPr>
        <w:rFonts w:ascii="Georgia" w:hAnsi="Georgia" w:cs="Calibri"/>
        <w:i/>
        <w:sz w:val="20"/>
      </w:rPr>
      <w:fldChar w:fldCharType="end"/>
    </w:r>
  </w:p>
  <w:p w:rsidR="00800180" w:rsidRPr="00401168" w:rsidRDefault="00A00766" w:rsidP="009C568C">
    <w:pPr>
      <w:pStyle w:val="En-tte"/>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951398">
      <w:rPr>
        <w:rFonts w:ascii="Georgia" w:hAnsi="Georgia" w:cs="Calibri"/>
        <w:i/>
        <w:sz w:val="20"/>
        <w:szCs w:val="22"/>
      </w:rPr>
      <w:t>01246</w:t>
    </w:r>
    <w:r w:rsidR="0041111B" w:rsidRPr="00401168">
      <w:rPr>
        <w:rFonts w:ascii="Georgia" w:hAnsi="Georgia" w:cs="Calibri"/>
        <w:i/>
        <w:sz w:val="20"/>
        <w:szCs w:val="22"/>
      </w:rPr>
      <w:t>-00</w:t>
    </w:r>
    <w:r w:rsidR="00217965">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0"/>
  </w:num>
  <w:num w:numId="28">
    <w:abstractNumId w:val="7"/>
  </w:num>
  <w:num w:numId="29">
    <w:abstractNumId w:val="27"/>
  </w:num>
  <w:num w:numId="30">
    <w:abstractNumId w:val="11"/>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1DB"/>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2F75"/>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F49"/>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633"/>
    <w:rsid w:val="00346FBC"/>
    <w:rsid w:val="00347373"/>
    <w:rsid w:val="00347381"/>
    <w:rsid w:val="003473C6"/>
    <w:rsid w:val="00350667"/>
    <w:rsid w:val="00350E31"/>
    <w:rsid w:val="00350F45"/>
    <w:rsid w:val="00350FC4"/>
    <w:rsid w:val="003511F0"/>
    <w:rsid w:val="00351921"/>
    <w:rsid w:val="003519AC"/>
    <w:rsid w:val="00352556"/>
    <w:rsid w:val="00352603"/>
    <w:rsid w:val="003527A2"/>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4DF"/>
    <w:rsid w:val="00412707"/>
    <w:rsid w:val="00412781"/>
    <w:rsid w:val="004127DC"/>
    <w:rsid w:val="00413322"/>
    <w:rsid w:val="00413340"/>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D58"/>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625"/>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480"/>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784"/>
    <w:rsid w:val="009068F1"/>
    <w:rsid w:val="00906BF2"/>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398"/>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416"/>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CE3"/>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8BC"/>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7D7"/>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6D54"/>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73"/>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6A07-EA4A-4A2C-8871-664A2A93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2017-11-22T15:28:00Z</cp:lastPrinted>
  <dcterms:created xsi:type="dcterms:W3CDTF">2017-11-20T15:28:00Z</dcterms:created>
  <dcterms:modified xsi:type="dcterms:W3CDTF">2017-12-12T12:02:00Z</dcterms:modified>
</cp:coreProperties>
</file>