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3F" w:rsidRPr="00D96F3F" w:rsidRDefault="00D96F3F" w:rsidP="00D96F3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96F3F">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96F3F">
        <w:rPr>
          <w:rFonts w:ascii="Calibri" w:hAnsi="Calibri" w:cs="Calibri"/>
          <w:color w:val="222222"/>
          <w:sz w:val="16"/>
          <w:szCs w:val="16"/>
          <w:lang w:val="es-CO" w:eastAsia="fr-FR"/>
        </w:rPr>
        <w:t> </w:t>
      </w:r>
    </w:p>
    <w:p w:rsidR="00D96F3F" w:rsidRPr="00D96F3F" w:rsidRDefault="00D96F3F" w:rsidP="00D96F3F">
      <w:pPr>
        <w:shd w:val="clear" w:color="auto" w:fill="FFFFFF"/>
        <w:ind w:left="1843" w:hanging="1843"/>
        <w:jc w:val="both"/>
        <w:rPr>
          <w:rFonts w:ascii="Calibri" w:eastAsia="Times New Roman" w:hAnsi="Calibri" w:cs="Calibri"/>
          <w:color w:val="222222"/>
          <w:sz w:val="18"/>
          <w:szCs w:val="18"/>
          <w:lang w:val="es-CO" w:eastAsia="fr-FR"/>
        </w:rPr>
      </w:pPr>
      <w:r w:rsidRPr="00D96F3F">
        <w:rPr>
          <w:rFonts w:ascii="Calibri" w:eastAsia="Times New Roman" w:hAnsi="Calibri" w:cs="Calibri"/>
          <w:color w:val="222222"/>
          <w:sz w:val="18"/>
          <w:szCs w:val="18"/>
          <w:lang w:val="es-CO" w:eastAsia="fr-FR"/>
        </w:rPr>
        <w:t>Providencia:</w:t>
      </w:r>
      <w:r w:rsidRPr="00D96F3F">
        <w:rPr>
          <w:rFonts w:ascii="Calibri" w:eastAsia="Times New Roman" w:hAnsi="Calibri" w:cs="Calibri"/>
          <w:color w:val="222222"/>
          <w:sz w:val="18"/>
          <w:szCs w:val="18"/>
          <w:lang w:val="es-CO" w:eastAsia="fr-FR"/>
        </w:rPr>
        <w:tab/>
        <w:t>Sentencia -  1ª instancia – 11 de enero de 2017</w:t>
      </w:r>
    </w:p>
    <w:p w:rsidR="00D96F3F" w:rsidRPr="00D96F3F" w:rsidRDefault="00D96F3F" w:rsidP="00D96F3F">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D96F3F">
        <w:rPr>
          <w:rFonts w:ascii="Calibri" w:hAnsi="Calibri" w:cs="Calibri"/>
          <w:color w:val="222222"/>
          <w:sz w:val="18"/>
          <w:szCs w:val="18"/>
          <w:lang w:val="es-CO" w:eastAsia="fr-FR"/>
        </w:rPr>
        <w:t>Radicación Nro. :</w:t>
      </w:r>
      <w:r w:rsidRPr="00D96F3F">
        <w:rPr>
          <w:rFonts w:ascii="Calibri" w:hAnsi="Calibri" w:cs="Calibri"/>
          <w:color w:val="222222"/>
          <w:sz w:val="18"/>
          <w:szCs w:val="18"/>
          <w:lang w:val="es-CO" w:eastAsia="fr-FR"/>
        </w:rPr>
        <w:tab/>
      </w:r>
      <w:r w:rsidRPr="00D96F3F">
        <w:rPr>
          <w:rFonts w:ascii="Calibri" w:hAnsi="Calibri" w:cs="Calibri"/>
          <w:iCs/>
          <w:color w:val="222222"/>
          <w:sz w:val="18"/>
          <w:szCs w:val="18"/>
          <w:lang w:eastAsia="fr-FR"/>
        </w:rPr>
        <w:t>66001-22-13-000-2016-01125-00</w:t>
      </w:r>
    </w:p>
    <w:p w:rsidR="00D96F3F" w:rsidRPr="00D96F3F" w:rsidRDefault="00D96F3F" w:rsidP="00D96F3F">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D96F3F">
        <w:rPr>
          <w:rFonts w:ascii="Calibri" w:hAnsi="Calibri" w:cs="Calibri"/>
          <w:color w:val="222222"/>
          <w:sz w:val="18"/>
          <w:szCs w:val="18"/>
          <w:lang w:val="es-CO" w:eastAsia="fr-FR"/>
        </w:rPr>
        <w:t>Accionante:</w:t>
      </w:r>
      <w:r w:rsidRPr="00D96F3F">
        <w:rPr>
          <w:rFonts w:ascii="Calibri" w:hAnsi="Calibri" w:cs="Calibri"/>
          <w:color w:val="222222"/>
          <w:sz w:val="18"/>
          <w:szCs w:val="18"/>
          <w:lang w:val="es-CO" w:eastAsia="fr-FR"/>
        </w:rPr>
        <w:tab/>
      </w:r>
      <w:r w:rsidRPr="00D96F3F">
        <w:rPr>
          <w:rFonts w:ascii="Calibri" w:hAnsi="Calibri" w:cs="Calibri"/>
          <w:color w:val="222222"/>
          <w:sz w:val="18"/>
          <w:szCs w:val="18"/>
          <w:lang w:eastAsia="fr-FR"/>
        </w:rPr>
        <w:t>JAVIER ELÍAS ARIAS IDÁRRAGA</w:t>
      </w:r>
    </w:p>
    <w:p w:rsidR="00D96F3F" w:rsidRPr="00D96F3F" w:rsidRDefault="00D96F3F" w:rsidP="00D96F3F">
      <w:pPr>
        <w:shd w:val="clear" w:color="auto" w:fill="FFFFFF"/>
        <w:tabs>
          <w:tab w:val="left" w:pos="1843"/>
        </w:tabs>
        <w:ind w:left="1843" w:hanging="1843"/>
        <w:jc w:val="both"/>
        <w:rPr>
          <w:rFonts w:ascii="Calibri" w:hAnsi="Calibri" w:cs="Calibri"/>
          <w:color w:val="222222"/>
          <w:sz w:val="18"/>
          <w:szCs w:val="18"/>
          <w:lang w:val="es-CO" w:eastAsia="fr-FR"/>
        </w:rPr>
      </w:pPr>
      <w:r w:rsidRPr="00D96F3F">
        <w:rPr>
          <w:rFonts w:ascii="Calibri" w:hAnsi="Calibri" w:cs="Calibri"/>
          <w:bCs/>
          <w:color w:val="222222"/>
          <w:sz w:val="18"/>
          <w:szCs w:val="18"/>
          <w:lang w:val="es-ES_tradnl" w:eastAsia="fr-FR"/>
        </w:rPr>
        <w:t>A</w:t>
      </w:r>
      <w:proofErr w:type="spellStart"/>
      <w:r w:rsidRPr="00D96F3F">
        <w:rPr>
          <w:rFonts w:ascii="Calibri" w:hAnsi="Calibri" w:cs="Calibri"/>
          <w:color w:val="222222"/>
          <w:sz w:val="18"/>
          <w:szCs w:val="18"/>
          <w:lang w:val="es-CO" w:eastAsia="fr-FR"/>
        </w:rPr>
        <w:t>ccionado</w:t>
      </w:r>
      <w:proofErr w:type="spellEnd"/>
      <w:r w:rsidRPr="00D96F3F">
        <w:rPr>
          <w:rFonts w:ascii="Calibri" w:hAnsi="Calibri" w:cs="Calibri"/>
          <w:color w:val="222222"/>
          <w:sz w:val="18"/>
          <w:szCs w:val="18"/>
          <w:lang w:val="es-CO" w:eastAsia="fr-FR"/>
        </w:rPr>
        <w:t>:</w:t>
      </w:r>
      <w:r w:rsidRPr="00D96F3F">
        <w:rPr>
          <w:rFonts w:ascii="Calibri" w:hAnsi="Calibri" w:cs="Calibri"/>
          <w:color w:val="222222"/>
          <w:sz w:val="18"/>
          <w:szCs w:val="18"/>
          <w:lang w:val="es-CO" w:eastAsia="fr-FR"/>
        </w:rPr>
        <w:tab/>
      </w:r>
      <w:r w:rsidRPr="00D96F3F">
        <w:rPr>
          <w:rFonts w:ascii="Calibri" w:hAnsi="Calibri" w:cs="Calibri"/>
          <w:color w:val="222222"/>
          <w:sz w:val="18"/>
          <w:szCs w:val="18"/>
          <w:lang w:eastAsia="fr-FR"/>
        </w:rPr>
        <w:t>JUZGADO CUARTO CIVIL DEL CIRCUITO DE PEREIRA</w:t>
      </w:r>
    </w:p>
    <w:p w:rsidR="00D96F3F" w:rsidRPr="00D96F3F" w:rsidRDefault="00D96F3F" w:rsidP="00D96F3F">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D96F3F">
        <w:rPr>
          <w:rFonts w:ascii="Calibri" w:hAnsi="Calibri" w:cs="Calibri"/>
          <w:color w:val="222222"/>
          <w:sz w:val="18"/>
          <w:szCs w:val="18"/>
          <w:lang w:val="es-CO" w:eastAsia="fr-FR"/>
        </w:rPr>
        <w:t>Proceso:    </w:t>
      </w:r>
      <w:r w:rsidRPr="00D96F3F">
        <w:rPr>
          <w:rFonts w:ascii="Calibri" w:hAnsi="Calibri" w:cs="Calibri"/>
          <w:color w:val="222222"/>
          <w:sz w:val="18"/>
          <w:szCs w:val="18"/>
          <w:lang w:val="es-CO" w:eastAsia="fr-FR"/>
        </w:rPr>
        <w:tab/>
      </w:r>
      <w:r w:rsidRPr="00D96F3F">
        <w:rPr>
          <w:rFonts w:ascii="Calibri" w:hAnsi="Calibri" w:cs="Calibri"/>
          <w:color w:val="222222"/>
          <w:spacing w:val="-6"/>
          <w:sz w:val="18"/>
          <w:szCs w:val="18"/>
          <w:lang w:val="es-CO" w:eastAsia="fr-FR"/>
        </w:rPr>
        <w:t>Acción de Tutela – Declara improcedente el amparo</w:t>
      </w:r>
    </w:p>
    <w:p w:rsidR="00D96F3F" w:rsidRPr="00D96F3F" w:rsidRDefault="00D96F3F" w:rsidP="00D96F3F">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96F3F">
        <w:rPr>
          <w:rFonts w:ascii="Calibri" w:hAnsi="Calibri" w:cs="Calibri"/>
          <w:color w:val="222222"/>
          <w:sz w:val="18"/>
          <w:szCs w:val="18"/>
          <w:lang w:val="es-CO" w:eastAsia="fr-FR"/>
        </w:rPr>
        <w:t>Magistrado Ponente: </w:t>
      </w:r>
      <w:r w:rsidRPr="00D96F3F">
        <w:rPr>
          <w:rFonts w:ascii="Calibri" w:hAnsi="Calibri" w:cs="Calibri"/>
          <w:color w:val="222222"/>
          <w:sz w:val="18"/>
          <w:szCs w:val="18"/>
          <w:lang w:val="es-CO" w:eastAsia="fr-FR"/>
        </w:rPr>
        <w:tab/>
      </w:r>
      <w:proofErr w:type="spellStart"/>
      <w:r w:rsidRPr="00D96F3F">
        <w:rPr>
          <w:rFonts w:ascii="Calibri" w:hAnsi="Calibri" w:cs="Calibri"/>
          <w:bCs/>
          <w:color w:val="222222"/>
          <w:sz w:val="18"/>
          <w:szCs w:val="18"/>
          <w:lang w:eastAsia="fr-FR"/>
        </w:rPr>
        <w:t>EDDER</w:t>
      </w:r>
      <w:proofErr w:type="spellEnd"/>
      <w:r w:rsidRPr="00D96F3F">
        <w:rPr>
          <w:rFonts w:ascii="Calibri" w:hAnsi="Calibri" w:cs="Calibri"/>
          <w:bCs/>
          <w:color w:val="222222"/>
          <w:sz w:val="18"/>
          <w:szCs w:val="18"/>
          <w:lang w:eastAsia="fr-FR"/>
        </w:rPr>
        <w:t xml:space="preserve"> JIMMY SÁNCHEZ </w:t>
      </w:r>
      <w:proofErr w:type="spellStart"/>
      <w:r w:rsidRPr="00D96F3F">
        <w:rPr>
          <w:rFonts w:ascii="Calibri" w:hAnsi="Calibri" w:cs="Calibri"/>
          <w:bCs/>
          <w:color w:val="222222"/>
          <w:sz w:val="18"/>
          <w:szCs w:val="18"/>
          <w:lang w:eastAsia="fr-FR"/>
        </w:rPr>
        <w:t>CALAMBÁS</w:t>
      </w:r>
      <w:proofErr w:type="spellEnd"/>
    </w:p>
    <w:p w:rsidR="00D96F3F" w:rsidRPr="00D96F3F" w:rsidRDefault="00D96F3F" w:rsidP="00D96F3F">
      <w:pPr>
        <w:shd w:val="clear" w:color="auto" w:fill="FFFFFF"/>
        <w:tabs>
          <w:tab w:val="left" w:pos="1843"/>
        </w:tabs>
        <w:ind w:left="2124" w:hanging="2124"/>
        <w:jc w:val="both"/>
        <w:rPr>
          <w:rFonts w:ascii="Calibri" w:hAnsi="Calibri" w:cs="Calibri"/>
          <w:bCs/>
          <w:iCs/>
          <w:color w:val="222222"/>
          <w:sz w:val="18"/>
          <w:szCs w:val="18"/>
          <w:lang w:val="es-CO" w:eastAsia="fr-FR"/>
        </w:rPr>
      </w:pPr>
      <w:r w:rsidRPr="00D96F3F">
        <w:rPr>
          <w:rFonts w:ascii="Calibri" w:hAnsi="Calibri" w:cs="Calibri"/>
          <w:bCs/>
          <w:iCs/>
          <w:color w:val="222222"/>
          <w:sz w:val="18"/>
          <w:szCs w:val="18"/>
          <w:lang w:val="es-CO" w:eastAsia="fr-FR"/>
        </w:rPr>
        <w:tab/>
        <w:t xml:space="preserve"> </w:t>
      </w:r>
    </w:p>
    <w:p w:rsidR="00D96F3F" w:rsidRPr="00D96F3F" w:rsidRDefault="00D96F3F" w:rsidP="00D96F3F">
      <w:pPr>
        <w:tabs>
          <w:tab w:val="left" w:pos="1843"/>
        </w:tabs>
        <w:spacing w:after="200"/>
        <w:jc w:val="both"/>
        <w:rPr>
          <w:rFonts w:ascii="Calibri" w:hAnsi="Calibri" w:cs="Calibri"/>
          <w:bCs/>
          <w:iCs/>
          <w:color w:val="222222"/>
          <w:sz w:val="18"/>
          <w:szCs w:val="18"/>
          <w:lang w:val="es-CO" w:eastAsia="fr-FR"/>
        </w:rPr>
      </w:pPr>
      <w:r w:rsidRPr="00D96F3F">
        <w:rPr>
          <w:rFonts w:ascii="Calibri" w:hAnsi="Calibri" w:cs="Calibri"/>
          <w:b/>
          <w:bCs/>
          <w:iCs/>
          <w:color w:val="222222"/>
          <w:sz w:val="18"/>
          <w:szCs w:val="18"/>
          <w:lang w:eastAsia="fr-FR"/>
        </w:rPr>
        <w:t xml:space="preserve">Temas:   </w:t>
      </w:r>
      <w:r w:rsidRPr="00D96F3F">
        <w:rPr>
          <w:rFonts w:ascii="Calibri" w:hAnsi="Calibri" w:cs="Calibri"/>
          <w:b/>
          <w:bCs/>
          <w:iCs/>
          <w:color w:val="222222"/>
          <w:sz w:val="18"/>
          <w:szCs w:val="18"/>
          <w:lang w:eastAsia="fr-FR"/>
        </w:rPr>
        <w:tab/>
        <w:t>D</w:t>
      </w:r>
      <w:proofErr w:type="spellStart"/>
      <w:r w:rsidRPr="00D96F3F">
        <w:rPr>
          <w:rFonts w:ascii="Calibri" w:hAnsi="Calibri" w:cs="Calibri"/>
          <w:b/>
          <w:bCs/>
          <w:iCs/>
          <w:color w:val="222222"/>
          <w:sz w:val="18"/>
          <w:szCs w:val="18"/>
          <w:lang w:val="es-CO" w:eastAsia="fr-FR"/>
        </w:rPr>
        <w:t>EBIDO</w:t>
      </w:r>
      <w:proofErr w:type="spellEnd"/>
      <w:r w:rsidRPr="00D96F3F">
        <w:rPr>
          <w:rFonts w:ascii="Calibri" w:hAnsi="Calibri" w:cs="Calibri"/>
          <w:b/>
          <w:bCs/>
          <w:iCs/>
          <w:color w:val="222222"/>
          <w:sz w:val="18"/>
          <w:szCs w:val="18"/>
          <w:lang w:val="es-CO" w:eastAsia="fr-FR"/>
        </w:rPr>
        <w:t xml:space="preserve"> PROCESO / TUTELA CONTRA ACTUACIÓN JUDICIAL / INADMISIÓN Y RECHAZO DE ACCIÓN POPULAR / CARÁCTER RESIDUAL DE LA ACCIÓN DE TUTELA / IMPROCEDENCIA. </w:t>
      </w:r>
      <w:r w:rsidRPr="00D96F3F">
        <w:rPr>
          <w:rFonts w:ascii="Calibri" w:hAnsi="Calibri" w:cs="Calibri"/>
          <w:bCs/>
          <w:iCs/>
          <w:color w:val="222222"/>
          <w:sz w:val="18"/>
          <w:szCs w:val="18"/>
          <w:lang w:val="es-CO" w:eastAsia="fr-FR"/>
        </w:rPr>
        <w:t>“[S]e advierte la improcedencia del amparo constitucional, por ausencia del requisito de subsidiariedad, toda vez que, como se pudo constatar, el juzgado inicialmente dispuso la inadmisión de la demanda popular y luego el rechazo de la misma, al no ser subsanada la falencia que resaltó el despacho judicial. No hubo pronunciamiento alguno por parte del actor popular; esto es, ninguna inconformidad comunicó al juzgado y si la hubiese,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w:t>
      </w:r>
    </w:p>
    <w:p w:rsidR="00D96F3F" w:rsidRPr="000905F6" w:rsidRDefault="00D96F3F" w:rsidP="00AE243A">
      <w:pPr>
        <w:spacing w:line="360" w:lineRule="auto"/>
        <w:rPr>
          <w:rFonts w:ascii="Arial" w:hAnsi="Arial" w:cs="Arial"/>
          <w:bCs/>
          <w:sz w:val="26"/>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once (11</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5F26B0">
        <w:rPr>
          <w:rFonts w:ascii="Arial" w:hAnsi="Arial" w:cs="Arial"/>
          <w:sz w:val="24"/>
          <w:szCs w:val="24"/>
        </w:rPr>
        <w:t>001</w:t>
      </w:r>
      <w:r>
        <w:rPr>
          <w:rFonts w:ascii="Arial" w:hAnsi="Arial" w:cs="Arial"/>
          <w:sz w:val="24"/>
          <w:szCs w:val="24"/>
        </w:rPr>
        <w:t xml:space="preserve"> de 11-01-2017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66001-22-13-000-2016-01125</w:t>
      </w:r>
      <w:r w:rsidRPr="00984F63">
        <w:rPr>
          <w:rFonts w:ascii="Arial" w:hAnsi="Arial" w:cs="Arial"/>
          <w:sz w:val="24"/>
          <w:szCs w:val="24"/>
        </w:rPr>
        <w:t>-00</w:t>
      </w:r>
    </w:p>
    <w:p w:rsidR="00AE243A" w:rsidRPr="000905F6" w:rsidRDefault="00AE243A" w:rsidP="00D96F3F">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D96F3F">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Pr>
          <w:rFonts w:ascii="Arial" w:hAnsi="Arial" w:cs="Arial"/>
          <w:szCs w:val="28"/>
          <w:lang w:val="es-ES" w:eastAsia="es-ES"/>
        </w:rPr>
        <w:t xml:space="preserve">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AE243A" w:rsidRPr="00DD0DA6" w:rsidRDefault="00AE243A" w:rsidP="00D96F3F">
      <w:pPr>
        <w:pStyle w:val="Sinespaciado1"/>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D96F3F" w:rsidRDefault="00D96F3F" w:rsidP="00D96F3F">
      <w:pPr>
        <w:pStyle w:val="Sinespaciado1"/>
        <w:ind w:firstLine="2835"/>
        <w:jc w:val="both"/>
        <w:rPr>
          <w:rFonts w:ascii="Arial" w:hAnsi="Arial" w:cs="Arial"/>
          <w:sz w:val="26"/>
          <w:szCs w:val="26"/>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2016-</w:t>
      </w:r>
      <w:r>
        <w:rPr>
          <w:rFonts w:ascii="Arial" w:hAnsi="Arial" w:cs="Arial"/>
          <w:sz w:val="24"/>
          <w:szCs w:val="26"/>
        </w:rPr>
        <w:t>391</w:t>
      </w:r>
      <w:r w:rsidRPr="00244EF2">
        <w:rPr>
          <w:rFonts w:ascii="Arial" w:hAnsi="Arial" w:cs="Arial"/>
          <w:spacing w:val="-3"/>
          <w:sz w:val="24"/>
          <w:szCs w:val="26"/>
        </w:rPr>
        <w:t>.</w:t>
      </w: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 Adujo</w:t>
      </w:r>
      <w:r>
        <w:rPr>
          <w:rFonts w:ascii="Arial" w:hAnsi="Arial" w:cs="Arial"/>
          <w:sz w:val="26"/>
          <w:szCs w:val="26"/>
        </w:rPr>
        <w:t xml:space="preserve"> como hechos relevantes los que en seguida se </w:t>
      </w:r>
      <w:r w:rsidR="00B96AD1">
        <w:rPr>
          <w:rFonts w:ascii="Arial" w:hAnsi="Arial" w:cs="Arial"/>
          <w:sz w:val="26"/>
          <w:szCs w:val="26"/>
        </w:rPr>
        <w:t>enuncian</w:t>
      </w:r>
      <w:r>
        <w:rPr>
          <w:rFonts w:ascii="Arial" w:hAnsi="Arial" w:cs="Arial"/>
          <w:sz w:val="26"/>
          <w:szCs w:val="26"/>
        </w:rPr>
        <w:t>:</w:t>
      </w:r>
    </w:p>
    <w:p w:rsidR="00AE243A" w:rsidRPr="00913C0F"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2.1. Que presentó la referida acción popular en la cual la juez le exigió que aportara el certificado de existencia y representación legal de la entidad accionada, pese a que en la demanda manifestó que el domicilio de la misma está en la ciudad de Pereira.</w:t>
      </w:r>
    </w:p>
    <w:p w:rsidR="00AE243A" w:rsidRPr="00AE243A" w:rsidRDefault="00AE243A" w:rsidP="00AE243A">
      <w:pPr>
        <w:pStyle w:val="Sinespaciado1"/>
        <w:spacing w:line="360" w:lineRule="auto"/>
        <w:ind w:firstLine="2832"/>
        <w:jc w:val="both"/>
        <w:rPr>
          <w:rFonts w:ascii="Arial" w:hAnsi="Arial" w:cs="Arial"/>
          <w:sz w:val="16"/>
          <w:szCs w:val="26"/>
        </w:rPr>
      </w:pPr>
    </w:p>
    <w:p w:rsidR="00AE243A" w:rsidRP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2.2. La acción popular le fue rechazada, aduciendo la funcionaria judicial que no cumplió con el requisito de aportar el mencionado certificado, exigencia no contemplada en el artículo 18 de la Ley 472 de 1998.</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B96AD1">
        <w:rPr>
          <w:rFonts w:ascii="Arial" w:hAnsi="Arial" w:cs="Arial"/>
          <w:sz w:val="26"/>
          <w:szCs w:val="26"/>
        </w:rPr>
        <w:t>admitir</w:t>
      </w:r>
      <w:r>
        <w:rPr>
          <w:rFonts w:ascii="Arial" w:hAnsi="Arial" w:cs="Arial"/>
          <w:sz w:val="26"/>
          <w:szCs w:val="26"/>
        </w:rPr>
        <w:t xml:space="preserve"> inmediatamente su acción popular y que la autoridad encartada aporte un listado completo de todas las acciones populares donde ha exigido requisitos inexistentes en el artículo 18 de la ley 472.</w:t>
      </w:r>
    </w:p>
    <w:p w:rsidR="00AE243A" w:rsidRPr="00B576FA" w:rsidRDefault="00AE243A" w:rsidP="00AE243A">
      <w:pPr>
        <w:pStyle w:val="Sinespaciado1"/>
        <w:spacing w:line="360" w:lineRule="auto"/>
        <w:ind w:firstLine="2832"/>
        <w:jc w:val="both"/>
        <w:rPr>
          <w:rFonts w:ascii="Arial" w:hAnsi="Arial" w:cs="Arial"/>
          <w:sz w:val="16"/>
          <w:szCs w:val="2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vinculación de la Alcaldía de Pereira y la Defensoría del Pueblo de la Regional Risaralda, ordenándose la notificación y traslado, además la remisión por parte del juzgado de copias de las </w:t>
      </w:r>
      <w:r>
        <w:rPr>
          <w:rFonts w:ascii="Arial" w:hAnsi="Arial" w:cs="Arial"/>
          <w:sz w:val="26"/>
          <w:szCs w:val="26"/>
          <w:lang w:val="es-ES"/>
        </w:rPr>
        <w:t>actuaciones en la referida demanda popular</w:t>
      </w:r>
      <w:r w:rsidR="00AE24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185EFF" w:rsidRDefault="00AE243A" w:rsidP="00AE243A">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w:t>
      </w:r>
      <w:r w:rsidR="00B96AD1">
        <w:rPr>
          <w:rFonts w:ascii="Arial" w:hAnsi="Arial" w:cs="Arial"/>
          <w:sz w:val="26"/>
          <w:szCs w:val="26"/>
          <w:lang w:val="es-ES"/>
        </w:rPr>
        <w:t>trol está orientada a verificar</w:t>
      </w:r>
      <w:r>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D5894">
        <w:rPr>
          <w:rFonts w:ascii="Arial" w:hAnsi="Arial" w:cs="Arial"/>
          <w:sz w:val="24"/>
          <w:szCs w:val="24"/>
          <w:lang w:val="es-ES"/>
        </w:rPr>
        <w:t>fl</w:t>
      </w:r>
      <w:proofErr w:type="spellEnd"/>
      <w:r w:rsidR="007D5894">
        <w:rPr>
          <w:rFonts w:ascii="Arial" w:hAnsi="Arial" w:cs="Arial"/>
          <w:sz w:val="24"/>
          <w:szCs w:val="24"/>
          <w:lang w:val="es-ES"/>
        </w:rPr>
        <w:t>. 15</w:t>
      </w:r>
      <w:r w:rsidRPr="000905F6">
        <w:rPr>
          <w:rFonts w:ascii="Arial" w:hAnsi="Arial" w:cs="Arial"/>
          <w:sz w:val="28"/>
          <w:szCs w:val="28"/>
          <w:lang w:val="es-ES"/>
        </w:rPr>
        <w:t>).</w:t>
      </w:r>
    </w:p>
    <w:p w:rsidR="00AE243A" w:rsidRPr="002B47D0" w:rsidRDefault="00AE243A" w:rsidP="00AE243A">
      <w:pPr>
        <w:pStyle w:val="Sinespaciado1"/>
        <w:spacing w:line="360" w:lineRule="auto"/>
        <w:ind w:firstLine="2832"/>
        <w:jc w:val="both"/>
        <w:rPr>
          <w:rFonts w:ascii="Arial" w:hAnsi="Arial" w:cs="Arial"/>
          <w:sz w:val="16"/>
          <w:szCs w:val="26"/>
          <w:lang w:val="es-ES"/>
        </w:rPr>
      </w:pPr>
    </w:p>
    <w:p w:rsidR="00AE243A" w:rsidRPr="00F0613A"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expuso que frente al rechazo de las demandas populares no tiene injerencia alguna, en razón al principio de independencia judicial y, de otro lado, que el accionante no acreditó la interposición de </w:t>
      </w:r>
      <w:r>
        <w:rPr>
          <w:rFonts w:ascii="Arial" w:hAnsi="Arial" w:cs="Arial"/>
          <w:sz w:val="26"/>
          <w:szCs w:val="26"/>
          <w:lang w:val="es-ES"/>
        </w:rPr>
        <w:lastRenderedPageBreak/>
        <w:t>recursos frente al auto lesivo para él, de manera que no se configura el requisito de subsidiariedad. Pidió que no se tutelaran los derechos invocados, la desvinculación de dicha entidad</w:t>
      </w:r>
      <w:r w:rsidRPr="00F0613A">
        <w:rPr>
          <w:rFonts w:ascii="Arial" w:hAnsi="Arial" w:cs="Arial"/>
          <w:sz w:val="26"/>
          <w:szCs w:val="26"/>
          <w:lang w:val="es-ES"/>
        </w:rPr>
        <w:t xml:space="preserve"> y </w:t>
      </w:r>
      <w:r>
        <w:rPr>
          <w:rFonts w:ascii="Arial" w:hAnsi="Arial" w:cs="Arial"/>
          <w:sz w:val="26"/>
          <w:szCs w:val="26"/>
          <w:lang w:val="es-ES"/>
        </w:rPr>
        <w:t>en caso de configurarse mala fe o temeridad del actor, imponer las sancio</w:t>
      </w:r>
      <w:r w:rsidR="007D5894">
        <w:rPr>
          <w:rFonts w:ascii="Arial" w:hAnsi="Arial" w:cs="Arial"/>
          <w:sz w:val="26"/>
          <w:szCs w:val="26"/>
          <w:lang w:val="es-ES"/>
        </w:rPr>
        <w:t>nes a que haya lugar (</w:t>
      </w:r>
      <w:proofErr w:type="spellStart"/>
      <w:r w:rsidR="007D5894">
        <w:rPr>
          <w:rFonts w:ascii="Arial" w:hAnsi="Arial" w:cs="Arial"/>
          <w:sz w:val="26"/>
          <w:szCs w:val="26"/>
          <w:lang w:val="es-ES"/>
        </w:rPr>
        <w:t>fls</w:t>
      </w:r>
      <w:proofErr w:type="spellEnd"/>
      <w:r w:rsidR="007D5894">
        <w:rPr>
          <w:rFonts w:ascii="Arial" w:hAnsi="Arial" w:cs="Arial"/>
          <w:sz w:val="26"/>
          <w:szCs w:val="26"/>
          <w:lang w:val="es-ES"/>
        </w:rPr>
        <w:t>. 18-21</w:t>
      </w:r>
      <w:r w:rsidRPr="00F0613A">
        <w:rPr>
          <w:rFonts w:ascii="Arial" w:hAnsi="Arial" w:cs="Arial"/>
          <w:sz w:val="26"/>
          <w:szCs w:val="26"/>
          <w:lang w:val="es-ES"/>
        </w:rPr>
        <w:t>).</w:t>
      </w: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7D5894">
        <w:rPr>
          <w:rFonts w:ascii="Arial" w:hAnsi="Arial" w:cs="Arial"/>
          <w:sz w:val="26"/>
          <w:szCs w:val="26"/>
          <w:lang w:val="es-ES"/>
        </w:rPr>
        <w:t>. 6-14</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Pr="000905F6">
        <w:rPr>
          <w:rFonts w:ascii="Arial" w:hAnsi="Arial" w:cs="Arial"/>
          <w:sz w:val="26"/>
          <w:szCs w:val="26"/>
          <w:lang w:val="es-ES"/>
        </w:rPr>
        <w:t>. La Defensoría del Pueblo Regional Risaralda guardó silencio.</w:t>
      </w:r>
    </w:p>
    <w:p w:rsidR="00AE243A" w:rsidRPr="000905F6" w:rsidRDefault="00AE243A"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Pr="000905F6"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las tutelas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E243A" w:rsidRPr="000905F6"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2016-</w:t>
      </w:r>
      <w:r w:rsidR="007D5894">
        <w:rPr>
          <w:rFonts w:ascii="Arial" w:hAnsi="Arial" w:cs="Arial"/>
          <w:sz w:val="24"/>
          <w:szCs w:val="26"/>
        </w:rPr>
        <w:t>1125</w:t>
      </w:r>
      <w:r>
        <w:rPr>
          <w:rFonts w:ascii="Arial" w:hAnsi="Arial" w:cs="Arial"/>
          <w:sz w:val="26"/>
          <w:szCs w:val="26"/>
        </w:rPr>
        <w:t xml:space="preserve">, que amerite la injerencia del juez Constitucional, al </w:t>
      </w:r>
      <w:r w:rsidR="007D5894">
        <w:rPr>
          <w:rFonts w:ascii="Arial" w:hAnsi="Arial" w:cs="Arial"/>
          <w:sz w:val="26"/>
          <w:szCs w:val="26"/>
        </w:rPr>
        <w:t>rechazar la misma.</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7 al 14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7D5894">
        <w:rPr>
          <w:rFonts w:ascii="Arial" w:hAnsi="Arial" w:cs="Arial"/>
          <w:sz w:val="26"/>
          <w:szCs w:val="26"/>
        </w:rPr>
        <w:t>En la</w:t>
      </w:r>
      <w:r>
        <w:rPr>
          <w:rFonts w:ascii="Arial" w:hAnsi="Arial" w:cs="Arial"/>
          <w:sz w:val="26"/>
          <w:szCs w:val="26"/>
        </w:rPr>
        <w:t xml:space="preserve"> </w:t>
      </w:r>
      <w:r w:rsidR="007D5894">
        <w:rPr>
          <w:rFonts w:ascii="Arial" w:hAnsi="Arial" w:cs="Arial"/>
          <w:sz w:val="26"/>
          <w:szCs w:val="26"/>
        </w:rPr>
        <w:t xml:space="preserve">acción </w:t>
      </w:r>
      <w:r w:rsidRPr="009E0AFC">
        <w:rPr>
          <w:rFonts w:ascii="Arial" w:hAnsi="Arial" w:cs="Arial"/>
          <w:sz w:val="26"/>
          <w:szCs w:val="26"/>
          <w:lang w:val="es-ES_tradnl"/>
        </w:rPr>
        <w:t>popular</w:t>
      </w:r>
      <w:r w:rsidR="007D5894">
        <w:rPr>
          <w:rFonts w:ascii="Arial" w:hAnsi="Arial" w:cs="Arial"/>
          <w:sz w:val="26"/>
          <w:szCs w:val="26"/>
          <w:lang w:val="es-ES_tradnl"/>
        </w:rPr>
        <w:t xml:space="preserve"> referida</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y demandado</w:t>
      </w:r>
      <w:r w:rsidR="007D5894">
        <w:rPr>
          <w:rFonts w:ascii="Arial" w:hAnsi="Arial" w:cs="Arial"/>
          <w:sz w:val="26"/>
          <w:szCs w:val="26"/>
          <w:lang w:val="es-ES_tradnl"/>
        </w:rPr>
        <w:t xml:space="preserve"> el</w:t>
      </w:r>
      <w:r w:rsidRPr="009E0AFC">
        <w:rPr>
          <w:rFonts w:ascii="Arial" w:hAnsi="Arial" w:cs="Arial"/>
          <w:sz w:val="26"/>
          <w:szCs w:val="26"/>
          <w:lang w:val="es-ES_tradnl"/>
        </w:rPr>
        <w:t xml:space="preserve"> </w:t>
      </w:r>
      <w:r w:rsidR="007D5894">
        <w:rPr>
          <w:rFonts w:ascii="Arial" w:hAnsi="Arial" w:cs="Arial"/>
          <w:szCs w:val="26"/>
        </w:rPr>
        <w:t xml:space="preserve">CENTRO DE SERVICIOS CREDITICIOS,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7D5894">
        <w:rPr>
          <w:rFonts w:ascii="Arial" w:hAnsi="Arial" w:cs="Arial"/>
          <w:sz w:val="26"/>
          <w:szCs w:val="26"/>
        </w:rPr>
        <w:t xml:space="preserve"> de 25</w:t>
      </w:r>
      <w:r>
        <w:rPr>
          <w:rFonts w:ascii="Arial" w:hAnsi="Arial" w:cs="Arial"/>
          <w:sz w:val="26"/>
          <w:szCs w:val="26"/>
        </w:rPr>
        <w:t xml:space="preserve"> de </w:t>
      </w:r>
      <w:r w:rsidR="007D5894">
        <w:rPr>
          <w:rFonts w:ascii="Arial" w:hAnsi="Arial" w:cs="Arial"/>
          <w:sz w:val="26"/>
          <w:szCs w:val="26"/>
        </w:rPr>
        <w:t xml:space="preserve">octubre </w:t>
      </w:r>
      <w:r w:rsidRPr="009E0AFC">
        <w:rPr>
          <w:rFonts w:ascii="Arial" w:hAnsi="Arial" w:cs="Arial"/>
          <w:sz w:val="26"/>
          <w:szCs w:val="26"/>
        </w:rPr>
        <w:t xml:space="preserve">de 2016,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aportara el certificado de existencia y representación legal de la entidad demandada, con el objeto de establecer la competencia; providencia notificada</w:t>
      </w:r>
      <w:r w:rsidR="007D5894">
        <w:rPr>
          <w:rFonts w:ascii="Arial" w:hAnsi="Arial" w:cs="Arial"/>
          <w:sz w:val="26"/>
          <w:szCs w:val="26"/>
        </w:rPr>
        <w:t xml:space="preserve"> por estado del 26</w:t>
      </w:r>
      <w:r>
        <w:rPr>
          <w:rFonts w:ascii="Arial" w:hAnsi="Arial" w:cs="Arial"/>
          <w:sz w:val="26"/>
          <w:szCs w:val="26"/>
        </w:rPr>
        <w:t xml:space="preserve"> de </w:t>
      </w:r>
      <w:r w:rsidR="007D5894">
        <w:rPr>
          <w:rFonts w:ascii="Arial" w:hAnsi="Arial" w:cs="Arial"/>
          <w:sz w:val="26"/>
          <w:szCs w:val="26"/>
        </w:rPr>
        <w:t xml:space="preserve">octubre </w:t>
      </w:r>
      <w:r>
        <w:rPr>
          <w:rFonts w:ascii="Arial" w:hAnsi="Arial" w:cs="Arial"/>
          <w:sz w:val="26"/>
          <w:szCs w:val="26"/>
        </w:rPr>
        <w:t xml:space="preserve">siguiente </w:t>
      </w:r>
      <w:r w:rsidR="007D5894">
        <w:rPr>
          <w:rFonts w:ascii="Arial" w:hAnsi="Arial" w:cs="Arial"/>
          <w:sz w:val="26"/>
          <w:szCs w:val="26"/>
        </w:rPr>
        <w:t>(</w:t>
      </w:r>
      <w:proofErr w:type="spellStart"/>
      <w:r w:rsidR="007D5894">
        <w:rPr>
          <w:rFonts w:ascii="Arial" w:hAnsi="Arial" w:cs="Arial"/>
          <w:sz w:val="26"/>
          <w:szCs w:val="26"/>
        </w:rPr>
        <w:t>fls</w:t>
      </w:r>
      <w:proofErr w:type="spellEnd"/>
      <w:r w:rsidR="007D5894">
        <w:rPr>
          <w:rFonts w:ascii="Arial" w:hAnsi="Arial" w:cs="Arial"/>
          <w:sz w:val="26"/>
          <w:szCs w:val="26"/>
        </w:rPr>
        <w:t>. 8-9</w:t>
      </w:r>
      <w:r>
        <w:rPr>
          <w:rFonts w:ascii="Arial" w:hAnsi="Arial" w:cs="Arial"/>
          <w:sz w:val="26"/>
          <w:szCs w:val="26"/>
        </w:rPr>
        <w:t xml:space="preserve">). </w:t>
      </w:r>
      <w:r w:rsidR="007D5894">
        <w:rPr>
          <w:rFonts w:ascii="Arial" w:hAnsi="Arial" w:cs="Arial"/>
          <w:sz w:val="26"/>
          <w:szCs w:val="26"/>
        </w:rPr>
        <w:t xml:space="preserve">Al siguiente </w:t>
      </w:r>
      <w:r>
        <w:rPr>
          <w:rFonts w:ascii="Arial" w:hAnsi="Arial" w:cs="Arial"/>
          <w:sz w:val="26"/>
          <w:szCs w:val="26"/>
        </w:rPr>
        <w:t>día el demandante presentó reposición y en subsidio apelación frente a dicha decisi</w:t>
      </w:r>
      <w:r w:rsidR="007D5894">
        <w:rPr>
          <w:rFonts w:ascii="Arial" w:hAnsi="Arial" w:cs="Arial"/>
          <w:sz w:val="26"/>
          <w:szCs w:val="26"/>
        </w:rPr>
        <w:t>ón (</w:t>
      </w:r>
      <w:proofErr w:type="spellStart"/>
      <w:r w:rsidR="007D5894">
        <w:rPr>
          <w:rFonts w:ascii="Arial" w:hAnsi="Arial" w:cs="Arial"/>
          <w:sz w:val="26"/>
          <w:szCs w:val="26"/>
        </w:rPr>
        <w:t>fl</w:t>
      </w:r>
      <w:proofErr w:type="spellEnd"/>
      <w:r w:rsidR="007D5894">
        <w:rPr>
          <w:rFonts w:ascii="Arial" w:hAnsi="Arial" w:cs="Arial"/>
          <w:sz w:val="26"/>
          <w:szCs w:val="26"/>
        </w:rPr>
        <w:t>. 10</w:t>
      </w:r>
      <w:r>
        <w:rPr>
          <w:rFonts w:ascii="Arial" w:hAnsi="Arial" w:cs="Arial"/>
          <w:sz w:val="26"/>
          <w:szCs w:val="26"/>
        </w:rPr>
        <w:t>).</w:t>
      </w:r>
    </w:p>
    <w:p w:rsidR="00AE243A" w:rsidRPr="006F247E" w:rsidRDefault="00AE243A" w:rsidP="00AE243A">
      <w:pPr>
        <w:pStyle w:val="Sinespaciado1"/>
        <w:spacing w:line="360" w:lineRule="auto"/>
        <w:ind w:firstLine="2832"/>
        <w:jc w:val="both"/>
        <w:rPr>
          <w:rFonts w:ascii="Arial" w:hAnsi="Arial" w:cs="Arial"/>
          <w:sz w:val="16"/>
          <w:szCs w:val="26"/>
        </w:rPr>
      </w:pPr>
    </w:p>
    <w:p w:rsidR="00972E98"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(ii) Por auto</w:t>
      </w:r>
      <w:r w:rsidR="007D5894">
        <w:rPr>
          <w:rFonts w:ascii="Arial" w:hAnsi="Arial" w:cs="Arial"/>
          <w:sz w:val="26"/>
          <w:szCs w:val="26"/>
        </w:rPr>
        <w:t xml:space="preserve"> del 2</w:t>
      </w:r>
      <w:r>
        <w:rPr>
          <w:rFonts w:ascii="Arial" w:hAnsi="Arial" w:cs="Arial"/>
          <w:sz w:val="26"/>
          <w:szCs w:val="26"/>
        </w:rPr>
        <w:t xml:space="preserve"> de </w:t>
      </w:r>
      <w:r w:rsidR="007D5894">
        <w:rPr>
          <w:rFonts w:ascii="Arial" w:hAnsi="Arial" w:cs="Arial"/>
          <w:sz w:val="26"/>
          <w:szCs w:val="26"/>
        </w:rPr>
        <w:t xml:space="preserve">noviembre </w:t>
      </w:r>
      <w:r>
        <w:rPr>
          <w:rFonts w:ascii="Arial" w:hAnsi="Arial" w:cs="Arial"/>
          <w:sz w:val="26"/>
          <w:szCs w:val="26"/>
        </w:rPr>
        <w:t xml:space="preserve">de 2016 el juzgado </w:t>
      </w:r>
      <w:r w:rsidR="00972E98">
        <w:rPr>
          <w:rFonts w:ascii="Arial" w:hAnsi="Arial" w:cs="Arial"/>
          <w:sz w:val="26"/>
          <w:szCs w:val="26"/>
        </w:rPr>
        <w:t>no reponer dicho auto y no concedió la apelación (</w:t>
      </w:r>
      <w:proofErr w:type="spellStart"/>
      <w:r w:rsidR="00972E98">
        <w:rPr>
          <w:rFonts w:ascii="Arial" w:hAnsi="Arial" w:cs="Arial"/>
          <w:sz w:val="26"/>
          <w:szCs w:val="26"/>
        </w:rPr>
        <w:t>fl</w:t>
      </w:r>
      <w:proofErr w:type="spellEnd"/>
      <w:r w:rsidR="00972E98">
        <w:rPr>
          <w:rFonts w:ascii="Arial" w:hAnsi="Arial" w:cs="Arial"/>
          <w:sz w:val="26"/>
          <w:szCs w:val="26"/>
        </w:rPr>
        <w:t>. 11).</w:t>
      </w:r>
    </w:p>
    <w:p w:rsidR="00972E98" w:rsidRPr="00972E98" w:rsidRDefault="00972E98" w:rsidP="00AE243A">
      <w:pPr>
        <w:pStyle w:val="Sinespaciado1"/>
        <w:spacing w:line="360" w:lineRule="auto"/>
        <w:ind w:firstLine="2832"/>
        <w:jc w:val="both"/>
        <w:rPr>
          <w:rFonts w:ascii="Arial" w:hAnsi="Arial" w:cs="Arial"/>
          <w:sz w:val="16"/>
          <w:szCs w:val="26"/>
        </w:rPr>
      </w:pPr>
    </w:p>
    <w:p w:rsidR="00AE243A" w:rsidRPr="001E5F68" w:rsidRDefault="00972E98"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(iii) Mediante auto del 17 de noviembre de 2016 el </w:t>
      </w:r>
      <w:r w:rsidR="00B96AD1">
        <w:rPr>
          <w:rFonts w:ascii="Arial" w:hAnsi="Arial" w:cs="Arial"/>
          <w:sz w:val="26"/>
          <w:szCs w:val="26"/>
        </w:rPr>
        <w:t xml:space="preserve">despacho judicial </w:t>
      </w:r>
      <w:r w:rsidR="00AE243A">
        <w:rPr>
          <w:rFonts w:ascii="Arial" w:hAnsi="Arial" w:cs="Arial"/>
          <w:sz w:val="26"/>
          <w:szCs w:val="26"/>
        </w:rPr>
        <w:t>rechazó la demanda</w:t>
      </w:r>
      <w:r>
        <w:rPr>
          <w:rFonts w:ascii="Arial" w:hAnsi="Arial" w:cs="Arial"/>
          <w:sz w:val="26"/>
          <w:szCs w:val="26"/>
        </w:rPr>
        <w:t xml:space="preserve"> popular</w:t>
      </w:r>
      <w:r w:rsidR="00AE243A">
        <w:rPr>
          <w:rFonts w:ascii="Arial" w:hAnsi="Arial" w:cs="Arial"/>
          <w:sz w:val="26"/>
          <w:szCs w:val="26"/>
        </w:rPr>
        <w:t>, por no haber sido subsanada</w:t>
      </w:r>
      <w:r>
        <w:rPr>
          <w:rFonts w:ascii="Arial" w:hAnsi="Arial" w:cs="Arial"/>
          <w:sz w:val="26"/>
          <w:szCs w:val="26"/>
        </w:rPr>
        <w:t xml:space="preserve"> dentro del término de ley; decisión notificada en estado del 18</w:t>
      </w:r>
      <w:r w:rsidR="00AE243A">
        <w:rPr>
          <w:rFonts w:ascii="Arial" w:hAnsi="Arial" w:cs="Arial"/>
          <w:sz w:val="26"/>
          <w:szCs w:val="26"/>
        </w:rPr>
        <w:t xml:space="preserve"> de </w:t>
      </w:r>
      <w:r>
        <w:rPr>
          <w:rFonts w:ascii="Arial" w:hAnsi="Arial" w:cs="Arial"/>
          <w:sz w:val="26"/>
          <w:szCs w:val="26"/>
        </w:rPr>
        <w:t>noviembre siguiente (</w:t>
      </w:r>
      <w:proofErr w:type="spellStart"/>
      <w:r>
        <w:rPr>
          <w:rFonts w:ascii="Arial" w:hAnsi="Arial" w:cs="Arial"/>
          <w:sz w:val="26"/>
          <w:szCs w:val="26"/>
        </w:rPr>
        <w:t>fls</w:t>
      </w:r>
      <w:proofErr w:type="spellEnd"/>
      <w:r>
        <w:rPr>
          <w:rFonts w:ascii="Arial" w:hAnsi="Arial" w:cs="Arial"/>
          <w:sz w:val="26"/>
          <w:szCs w:val="26"/>
        </w:rPr>
        <w:t>. 13-14</w:t>
      </w:r>
      <w:r w:rsidR="00AE243A">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16"/>
          <w:szCs w:val="26"/>
        </w:rPr>
      </w:pPr>
    </w:p>
    <w:p w:rsidR="00AE243A" w:rsidRPr="00835861" w:rsidRDefault="00972E98"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(iv</w:t>
      </w:r>
      <w:r w:rsidR="00AE243A">
        <w:rPr>
          <w:rFonts w:ascii="Arial" w:hAnsi="Arial" w:cs="Arial"/>
          <w:sz w:val="26"/>
          <w:szCs w:val="26"/>
        </w:rPr>
        <w:t>) En oficio remisorio de las copias</w:t>
      </w:r>
      <w:r>
        <w:rPr>
          <w:rFonts w:ascii="Arial" w:hAnsi="Arial" w:cs="Arial"/>
          <w:sz w:val="26"/>
          <w:szCs w:val="26"/>
        </w:rPr>
        <w:t xml:space="preserve"> de fecha 7</w:t>
      </w:r>
      <w:r w:rsidR="00AE243A">
        <w:rPr>
          <w:rFonts w:ascii="Arial" w:hAnsi="Arial" w:cs="Arial"/>
          <w:sz w:val="26"/>
          <w:szCs w:val="26"/>
        </w:rPr>
        <w:t xml:space="preserve"> de diciembre de 2016, el juzgado accionado informa que </w:t>
      </w:r>
      <w:r>
        <w:rPr>
          <w:rFonts w:ascii="Arial" w:hAnsi="Arial" w:cs="Arial"/>
          <w:sz w:val="26"/>
          <w:szCs w:val="26"/>
        </w:rPr>
        <w:t>el proceso se encuentra archivado (</w:t>
      </w:r>
      <w:proofErr w:type="spellStart"/>
      <w:r>
        <w:rPr>
          <w:rFonts w:ascii="Arial" w:hAnsi="Arial" w:cs="Arial"/>
          <w:sz w:val="26"/>
          <w:szCs w:val="26"/>
        </w:rPr>
        <w:t>fl</w:t>
      </w:r>
      <w:proofErr w:type="spellEnd"/>
      <w:r>
        <w:rPr>
          <w:rFonts w:ascii="Arial" w:hAnsi="Arial" w:cs="Arial"/>
          <w:sz w:val="26"/>
          <w:szCs w:val="26"/>
        </w:rPr>
        <w:t>. 6</w:t>
      </w:r>
      <w:r w:rsidR="00AE243A">
        <w:rPr>
          <w:rFonts w:ascii="Arial" w:hAnsi="Arial" w:cs="Arial"/>
          <w:sz w:val="26"/>
          <w:szCs w:val="26"/>
        </w:rPr>
        <w:t>).</w:t>
      </w:r>
    </w:p>
    <w:p w:rsidR="00AE243A" w:rsidRPr="000905F6" w:rsidRDefault="00AE243A" w:rsidP="00AE243A">
      <w:pPr>
        <w:pStyle w:val="Sinespaciado2"/>
        <w:spacing w:line="360" w:lineRule="auto"/>
        <w:ind w:firstLine="2835"/>
        <w:jc w:val="both"/>
        <w:rPr>
          <w:rFonts w:ascii="Arial" w:hAnsi="Arial" w:cs="Arial"/>
          <w:sz w:val="16"/>
          <w:szCs w:val="26"/>
          <w:lang w:val="es-CO"/>
        </w:rPr>
      </w:pPr>
    </w:p>
    <w:p w:rsidR="00AE243A" w:rsidRDefault="00AE243A" w:rsidP="00AE243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2. Vistas así las cosas, pronto se advierte la improcedencia de</w:t>
      </w:r>
      <w:r w:rsidR="00972E98">
        <w:rPr>
          <w:rFonts w:ascii="Arial" w:hAnsi="Arial" w:cs="Arial"/>
          <w:sz w:val="26"/>
          <w:szCs w:val="26"/>
          <w:lang w:val="es-CO"/>
        </w:rPr>
        <w:t>l</w:t>
      </w:r>
      <w:r>
        <w:rPr>
          <w:rFonts w:ascii="Arial" w:hAnsi="Arial" w:cs="Arial"/>
          <w:sz w:val="26"/>
          <w:szCs w:val="26"/>
          <w:lang w:val="es-CO"/>
        </w:rPr>
        <w:t xml:space="preserve"> amparo</w:t>
      </w:r>
      <w:r w:rsidR="00972E98">
        <w:rPr>
          <w:rFonts w:ascii="Arial" w:hAnsi="Arial" w:cs="Arial"/>
          <w:sz w:val="26"/>
          <w:szCs w:val="26"/>
          <w:lang w:val="es-CO"/>
        </w:rPr>
        <w:t xml:space="preserve"> constitucional</w:t>
      </w:r>
      <w:r>
        <w:rPr>
          <w:rFonts w:ascii="Arial" w:hAnsi="Arial" w:cs="Arial"/>
          <w:sz w:val="26"/>
          <w:szCs w:val="26"/>
          <w:lang w:val="es-CO"/>
        </w:rPr>
        <w:t xml:space="preserve">, por ausencia del requisito de subsidiariedad, toda vez que, como se pudo constatar, el juzgado </w:t>
      </w:r>
      <w:r w:rsidR="00972E98">
        <w:rPr>
          <w:rFonts w:ascii="Arial" w:hAnsi="Arial" w:cs="Arial"/>
          <w:sz w:val="26"/>
          <w:szCs w:val="26"/>
          <w:lang w:val="es-CO"/>
        </w:rPr>
        <w:t>inicialmente dispuso la inadmisión de la demanda popular y luego el rechazo de la misma, al no ser subsanada la falencia que resaltó el despacho judicial. No hubo pronunciamiento alguno por parte del actor popular; esto es, ninguna inconformidad comunicó al juzgado</w:t>
      </w:r>
      <w:r w:rsidR="00B96AD1">
        <w:rPr>
          <w:rFonts w:ascii="Arial" w:hAnsi="Arial" w:cs="Arial"/>
          <w:sz w:val="26"/>
          <w:szCs w:val="26"/>
          <w:lang w:val="es-CO"/>
        </w:rPr>
        <w:t xml:space="preserve"> y si la hubiese, e</w:t>
      </w:r>
      <w:r>
        <w:rPr>
          <w:rFonts w:ascii="Arial" w:hAnsi="Arial" w:cs="Arial"/>
          <w:sz w:val="26"/>
          <w:szCs w:val="26"/>
          <w:lang w:val="es-CO"/>
        </w:rPr>
        <w:t>l actor popular debió hacer uso de los mecanismos legales ordinarios que el ordenamiento ju</w:t>
      </w:r>
      <w:r w:rsidR="00B96AD1">
        <w:rPr>
          <w:rFonts w:ascii="Arial" w:hAnsi="Arial" w:cs="Arial"/>
          <w:sz w:val="26"/>
          <w:szCs w:val="26"/>
          <w:lang w:val="es-CO"/>
        </w:rPr>
        <w:t>rídico consagra, para atacar la providencia que considera le vulnera</w:t>
      </w:r>
      <w:r>
        <w:rPr>
          <w:rFonts w:ascii="Arial" w:hAnsi="Arial" w:cs="Arial"/>
          <w:sz w:val="26"/>
          <w:szCs w:val="26"/>
          <w:lang w:val="es-CO"/>
        </w:rPr>
        <w:t xml:space="preserve"> sus garantías procesales y no acudir directamente a la acción de tutela, incumpliendo así el requisito de subsidiariedad que contempla la Carta Política y el Decreto 2591 de 1991.</w:t>
      </w:r>
    </w:p>
    <w:p w:rsidR="00AE243A" w:rsidRPr="00B253C8" w:rsidRDefault="00AE243A" w:rsidP="00AE243A">
      <w:pPr>
        <w:pStyle w:val="Sinespaciado2"/>
        <w:spacing w:line="360" w:lineRule="auto"/>
        <w:ind w:firstLine="2835"/>
        <w:jc w:val="both"/>
        <w:rPr>
          <w:rFonts w:ascii="Arial" w:hAnsi="Arial" w:cs="Arial"/>
          <w:sz w:val="16"/>
          <w:szCs w:val="26"/>
          <w:lang w:val="es-CO"/>
        </w:rPr>
      </w:pPr>
    </w:p>
    <w:p w:rsidR="00AE243A" w:rsidRPr="00CC7DCF" w:rsidRDefault="00B96AD1" w:rsidP="00AE243A">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00AE243A">
        <w:rPr>
          <w:rFonts w:ascii="Arial" w:hAnsi="Arial" w:cs="Arial"/>
          <w:sz w:val="26"/>
          <w:szCs w:val="26"/>
        </w:rPr>
        <w:t>.  Y es que l</w:t>
      </w:r>
      <w:r w:rsidR="00AE243A" w:rsidRPr="00C1307D">
        <w:rPr>
          <w:rFonts w:ascii="Arial" w:hAnsi="Arial" w:cs="Arial"/>
          <w:sz w:val="26"/>
          <w:szCs w:val="26"/>
        </w:rPr>
        <w:t>a Corte Constitucional ha señalado que “</w:t>
      </w:r>
      <w:r w:rsidR="00AE243A"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AE243A" w:rsidRPr="00C1307D">
        <w:rPr>
          <w:rFonts w:ascii="Arial" w:hAnsi="Arial" w:cs="Arial"/>
          <w:i/>
          <w:sz w:val="24"/>
          <w:szCs w:val="26"/>
        </w:rPr>
        <w:t>CP</w:t>
      </w:r>
      <w:proofErr w:type="spellEnd"/>
      <w:r w:rsidR="00AE243A" w:rsidRPr="00C1307D">
        <w:rPr>
          <w:rFonts w:ascii="Arial" w:hAnsi="Arial" w:cs="Arial"/>
          <w:i/>
          <w:sz w:val="24"/>
          <w:szCs w:val="26"/>
        </w:rPr>
        <w:t>), hipótesis en la cual el amparo opera en principio como mecanismo transitorio de protección</w:t>
      </w:r>
      <w:r w:rsidR="00AE243A">
        <w:rPr>
          <w:rFonts w:ascii="Arial" w:hAnsi="Arial" w:cs="Arial"/>
          <w:i/>
          <w:sz w:val="24"/>
          <w:szCs w:val="26"/>
        </w:rPr>
        <w:t xml:space="preserve">. (…) </w:t>
      </w:r>
      <w:r w:rsidR="00AE243A" w:rsidRPr="00C1307D">
        <w:rPr>
          <w:rFonts w:ascii="Arial" w:hAnsi="Arial" w:cs="Arial"/>
          <w:i/>
          <w:sz w:val="24"/>
          <w:szCs w:val="26"/>
        </w:rPr>
        <w:t>La subsidiariedad establece que la acción c</w:t>
      </w:r>
      <w:r w:rsidR="00AE243A">
        <w:rPr>
          <w:rFonts w:ascii="Arial" w:hAnsi="Arial" w:cs="Arial"/>
          <w:i/>
          <w:sz w:val="24"/>
          <w:szCs w:val="26"/>
        </w:rPr>
        <w:t xml:space="preserve">onstitucional es improcedente, </w:t>
      </w:r>
      <w:r w:rsidR="00AE243A" w:rsidRPr="00C1307D">
        <w:rPr>
          <w:rFonts w:ascii="Arial" w:hAnsi="Arial" w:cs="Arial"/>
          <w:i/>
          <w:sz w:val="24"/>
          <w:szCs w:val="26"/>
        </w:rPr>
        <w:t>si quien ha tenido a su disposición las vías judiciales ordinarias de defensa, no las utiliza ni oportuna ni adecuadamente, acudiendo en su luga</w:t>
      </w:r>
      <w:r w:rsidR="00AE243A">
        <w:rPr>
          <w:rFonts w:ascii="Arial" w:hAnsi="Arial" w:cs="Arial"/>
          <w:i/>
          <w:sz w:val="24"/>
          <w:szCs w:val="26"/>
        </w:rPr>
        <w:t xml:space="preserve">r a la acción constitucional, </w:t>
      </w:r>
      <w:r w:rsidR="00AE243A" w:rsidRPr="00C1307D">
        <w:rPr>
          <w:rFonts w:ascii="Arial" w:hAnsi="Arial" w:cs="Arial"/>
          <w:i/>
          <w:sz w:val="24"/>
          <w:szCs w:val="26"/>
        </w:rPr>
        <w:t xml:space="preserve">pues los medios de control ordinarios son verdaderas herramientas de protección dispuestas en el ordenamiento jurídico, a los </w:t>
      </w:r>
      <w:r w:rsidR="00AE243A" w:rsidRPr="003641B6">
        <w:rPr>
          <w:rFonts w:ascii="Arial" w:hAnsi="Arial" w:cs="Arial"/>
          <w:i/>
          <w:sz w:val="24"/>
          <w:szCs w:val="26"/>
        </w:rPr>
        <w:t>cuales debe acudirse oportunamente si no se pretende evitar algún perjuicio irremediable.</w:t>
      </w:r>
      <w:r w:rsidR="00AE243A">
        <w:rPr>
          <w:rFonts w:ascii="Arial" w:hAnsi="Arial" w:cs="Arial"/>
          <w:i/>
          <w:sz w:val="24"/>
          <w:szCs w:val="26"/>
        </w:rPr>
        <w:t>”</w:t>
      </w:r>
      <w:r w:rsidR="00AE243A">
        <w:rPr>
          <w:rStyle w:val="Appelnotedebasdep"/>
          <w:rFonts w:ascii="Arial" w:hAnsi="Arial"/>
          <w:i/>
          <w:sz w:val="24"/>
          <w:szCs w:val="26"/>
        </w:rPr>
        <w:footnoteReference w:id="2"/>
      </w: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Así las cosas, </w:t>
      </w:r>
      <w:r w:rsidR="00B96AD1">
        <w:rPr>
          <w:rFonts w:ascii="Arial" w:hAnsi="Arial" w:cs="Arial"/>
          <w:sz w:val="26"/>
          <w:szCs w:val="26"/>
        </w:rPr>
        <w:t xml:space="preserve">con fundamento en lo dicho </w:t>
      </w:r>
      <w:r w:rsidR="00BA20C9">
        <w:rPr>
          <w:rFonts w:ascii="Arial" w:hAnsi="Arial" w:cs="Arial"/>
          <w:sz w:val="26"/>
          <w:szCs w:val="26"/>
        </w:rPr>
        <w:t xml:space="preserve">se </w:t>
      </w:r>
      <w:proofErr w:type="gramStart"/>
      <w:r w:rsidR="00972E98">
        <w:rPr>
          <w:rFonts w:ascii="Arial" w:hAnsi="Arial" w:cs="Arial"/>
          <w:sz w:val="26"/>
          <w:szCs w:val="26"/>
        </w:rPr>
        <w:t>declarará</w:t>
      </w:r>
      <w:proofErr w:type="gramEnd"/>
      <w:r w:rsidR="00972E98">
        <w:rPr>
          <w:rFonts w:ascii="Arial" w:hAnsi="Arial" w:cs="Arial"/>
          <w:sz w:val="26"/>
          <w:szCs w:val="26"/>
        </w:rPr>
        <w:t xml:space="preserve"> improcedente la referida acción</w:t>
      </w:r>
      <w:r>
        <w:rPr>
          <w:rFonts w:ascii="Arial" w:hAnsi="Arial" w:cs="Arial"/>
          <w:sz w:val="26"/>
          <w:szCs w:val="26"/>
        </w:rPr>
        <w:t xml:space="preserve"> de tutela frente al Juzgado Cuarto Civil del Circuito de Pereira y se ordenará la desvinculación de las demás entidades convocadas a este trámite.</w:t>
      </w:r>
    </w:p>
    <w:p w:rsidR="00AE243A" w:rsidRPr="00276FCF" w:rsidRDefault="00AE243A"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Default="00AE243A"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07352B" w:rsidRDefault="00AE243A"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bookmarkStart w:id="0" w:name="_GoBack"/>
      <w:bookmarkEnd w:id="0"/>
    </w:p>
    <w:p w:rsidR="00AE243A" w:rsidRDefault="00AE243A" w:rsidP="00AE243A">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AE243A" w:rsidRDefault="00AE243A" w:rsidP="00AE243A">
      <w:pPr>
        <w:pStyle w:val="Sinespaciado1"/>
        <w:spacing w:line="360" w:lineRule="auto"/>
        <w:ind w:firstLine="2835"/>
        <w:jc w:val="both"/>
        <w:rPr>
          <w:rFonts w:ascii="Arial" w:hAnsi="Arial" w:cs="Arial"/>
          <w:b/>
          <w:spacing w:val="-3"/>
        </w:rPr>
      </w:pPr>
    </w:p>
    <w:p w:rsidR="00AE243A" w:rsidRDefault="00AE243A" w:rsidP="00AE243A">
      <w:pPr>
        <w:pStyle w:val="Sinespaciado1"/>
        <w:spacing w:line="360" w:lineRule="auto"/>
        <w:ind w:firstLine="2835"/>
        <w:jc w:val="both"/>
        <w:rPr>
          <w:rFonts w:ascii="Arial" w:hAnsi="Arial" w:cs="Arial"/>
          <w:b/>
          <w:spacing w:val="-3"/>
        </w:rPr>
      </w:pPr>
    </w:p>
    <w:p w:rsidR="00AE243A" w:rsidRDefault="00AE243A" w:rsidP="00AE243A">
      <w:pPr>
        <w:pStyle w:val="Sinespaciado1"/>
        <w:spacing w:line="360" w:lineRule="auto"/>
        <w:ind w:firstLine="2835"/>
        <w:jc w:val="both"/>
        <w:rPr>
          <w:rFonts w:ascii="Arial" w:hAnsi="Arial" w:cs="Arial"/>
          <w:b/>
          <w:spacing w:val="-3"/>
        </w:rPr>
      </w:pPr>
    </w:p>
    <w:p w:rsidR="00367510" w:rsidRPr="00BA20C9" w:rsidRDefault="00AE243A" w:rsidP="00BA20C9">
      <w:pPr>
        <w:pStyle w:val="Sinespaciado1"/>
        <w:spacing w:line="360" w:lineRule="auto"/>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r w:rsidRPr="000905F6">
        <w:rPr>
          <w:rFonts w:ascii="Arial" w:hAnsi="Arial" w:cs="Arial"/>
          <w:b/>
        </w:rPr>
        <w:t>CLAUDIA MARÍA ARCILA RÍOS</w:t>
      </w:r>
    </w:p>
    <w:sectPr w:rsidR="00367510" w:rsidRPr="00BA20C9"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0D" w:rsidRDefault="00C9230D" w:rsidP="00AE243A">
      <w:r>
        <w:separator/>
      </w:r>
    </w:p>
  </w:endnote>
  <w:endnote w:type="continuationSeparator" w:id="0">
    <w:p w:rsidR="00C9230D" w:rsidRDefault="00C9230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00634">
      <w:rPr>
        <w:rFonts w:ascii="Arial" w:hAnsi="Arial" w:cs="Arial"/>
        <w:noProof/>
        <w:sz w:val="22"/>
        <w:szCs w:val="22"/>
      </w:rPr>
      <w:t>7</w:t>
    </w:r>
    <w:r w:rsidRPr="00B97631">
      <w:rPr>
        <w:rFonts w:ascii="Arial" w:hAnsi="Arial" w:cs="Arial"/>
        <w:sz w:val="22"/>
        <w:szCs w:val="22"/>
      </w:rPr>
      <w:fldChar w:fldCharType="end"/>
    </w:r>
  </w:p>
  <w:p w:rsidR="0081398C" w:rsidRDefault="00C923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0D" w:rsidRDefault="00C9230D" w:rsidP="00AE243A">
      <w:r>
        <w:separator/>
      </w:r>
    </w:p>
  </w:footnote>
  <w:footnote w:type="continuationSeparator" w:id="0">
    <w:p w:rsidR="00C9230D" w:rsidRDefault="00C9230D"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AE243A" w:rsidRPr="00C1307D" w:rsidRDefault="00AE243A" w:rsidP="00AE243A">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C9230D" w:rsidP="002C5601">
    <w:pPr>
      <w:pStyle w:val="Sinespaciado1"/>
      <w:rPr>
        <w:rFonts w:ascii="Arial" w:hAnsi="Arial" w:cs="Arial"/>
        <w:sz w:val="16"/>
        <w:szCs w:val="16"/>
      </w:rPr>
    </w:pPr>
  </w:p>
  <w:p w:rsidR="0081398C" w:rsidRPr="005643A9" w:rsidRDefault="00C9230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 66001-22-13-000-2016-01125</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357698"/>
    <w:rsid w:val="00367510"/>
    <w:rsid w:val="005305C1"/>
    <w:rsid w:val="005F26B0"/>
    <w:rsid w:val="0060339E"/>
    <w:rsid w:val="007D5894"/>
    <w:rsid w:val="00972E98"/>
    <w:rsid w:val="00AE243A"/>
    <w:rsid w:val="00B00634"/>
    <w:rsid w:val="00B96AD1"/>
    <w:rsid w:val="00BA20C9"/>
    <w:rsid w:val="00C9230D"/>
    <w:rsid w:val="00D96F3F"/>
    <w:rsid w:val="00EF56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8</cp:revision>
  <cp:lastPrinted>2017-01-11T19:29:00Z</cp:lastPrinted>
  <dcterms:created xsi:type="dcterms:W3CDTF">2017-01-10T02:45:00Z</dcterms:created>
  <dcterms:modified xsi:type="dcterms:W3CDTF">2017-05-04T20:56:00Z</dcterms:modified>
</cp:coreProperties>
</file>