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8C" w:rsidRPr="00780E8C" w:rsidRDefault="00780E8C" w:rsidP="00780E8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780E8C">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80E8C">
        <w:rPr>
          <w:rFonts w:ascii="Calibri" w:hAnsi="Calibri" w:cs="Calibri"/>
          <w:color w:val="222222"/>
          <w:sz w:val="16"/>
          <w:szCs w:val="16"/>
          <w:lang w:val="es-CO" w:eastAsia="fr-FR"/>
        </w:rPr>
        <w:t> </w:t>
      </w:r>
    </w:p>
    <w:p w:rsidR="00780E8C" w:rsidRPr="00780E8C" w:rsidRDefault="00780E8C" w:rsidP="00780E8C">
      <w:pPr>
        <w:shd w:val="clear" w:color="auto" w:fill="FFFFFF"/>
        <w:ind w:left="1843" w:hanging="1843"/>
        <w:jc w:val="both"/>
        <w:rPr>
          <w:rFonts w:ascii="Calibri" w:eastAsia="Times New Roman" w:hAnsi="Calibri" w:cs="Calibri"/>
          <w:color w:val="222222"/>
          <w:sz w:val="18"/>
          <w:szCs w:val="18"/>
          <w:lang w:val="es-CO" w:eastAsia="fr-FR"/>
        </w:rPr>
      </w:pPr>
      <w:r w:rsidRPr="00780E8C">
        <w:rPr>
          <w:rFonts w:ascii="Calibri" w:eastAsia="Times New Roman" w:hAnsi="Calibri" w:cs="Calibri"/>
          <w:color w:val="222222"/>
          <w:sz w:val="18"/>
          <w:szCs w:val="18"/>
          <w:lang w:val="es-CO" w:eastAsia="fr-FR"/>
        </w:rPr>
        <w:t>Providencia:</w:t>
      </w:r>
      <w:r w:rsidRPr="00780E8C">
        <w:rPr>
          <w:rFonts w:ascii="Calibri" w:eastAsia="Times New Roman" w:hAnsi="Calibri" w:cs="Calibri"/>
          <w:color w:val="222222"/>
          <w:sz w:val="18"/>
          <w:szCs w:val="18"/>
          <w:lang w:val="es-CO" w:eastAsia="fr-FR"/>
        </w:rPr>
        <w:tab/>
        <w:t xml:space="preserve">Sentencia - </w:t>
      </w:r>
      <w:proofErr w:type="spellStart"/>
      <w:r w:rsidRPr="00780E8C">
        <w:rPr>
          <w:rFonts w:ascii="Calibri" w:eastAsia="Times New Roman" w:hAnsi="Calibri" w:cs="Calibri"/>
          <w:color w:val="222222"/>
          <w:sz w:val="18"/>
          <w:szCs w:val="18"/>
          <w:lang w:val="es-CO" w:eastAsia="fr-FR"/>
        </w:rPr>
        <w:t>1</w:t>
      </w:r>
      <w:r w:rsidRPr="00780E8C">
        <w:rPr>
          <w:rFonts w:ascii="Calibri" w:eastAsia="Times New Roman" w:hAnsi="Calibri" w:cs="Calibri"/>
          <w:color w:val="222222"/>
          <w:sz w:val="18"/>
          <w:szCs w:val="18"/>
          <w:vertAlign w:val="superscript"/>
          <w:lang w:val="es-CO" w:eastAsia="fr-FR"/>
        </w:rPr>
        <w:t>a</w:t>
      </w:r>
      <w:proofErr w:type="spellEnd"/>
      <w:r w:rsidRPr="00780E8C">
        <w:rPr>
          <w:rFonts w:ascii="Calibri" w:eastAsia="Times New Roman" w:hAnsi="Calibri" w:cs="Calibri"/>
          <w:color w:val="222222"/>
          <w:sz w:val="18"/>
          <w:szCs w:val="18"/>
          <w:lang w:val="es-CO" w:eastAsia="fr-FR"/>
        </w:rPr>
        <w:t xml:space="preserve"> Instancia - 09 de marzo de 2017</w:t>
      </w:r>
    </w:p>
    <w:p w:rsidR="00780E8C" w:rsidRPr="00780E8C" w:rsidRDefault="00780E8C" w:rsidP="00780E8C">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780E8C">
        <w:rPr>
          <w:rFonts w:ascii="Calibri" w:hAnsi="Calibri" w:cs="Calibri"/>
          <w:color w:val="222222"/>
          <w:sz w:val="18"/>
          <w:szCs w:val="18"/>
          <w:lang w:val="es-CO" w:eastAsia="fr-FR"/>
        </w:rPr>
        <w:t>Radicación Nro. :</w:t>
      </w:r>
      <w:r w:rsidRPr="00780E8C">
        <w:rPr>
          <w:rFonts w:ascii="Calibri" w:hAnsi="Calibri" w:cs="Calibri"/>
          <w:color w:val="222222"/>
          <w:sz w:val="18"/>
          <w:szCs w:val="18"/>
          <w:lang w:val="es-CO" w:eastAsia="fr-FR"/>
        </w:rPr>
        <w:tab/>
        <w:t xml:space="preserve">  </w:t>
      </w:r>
      <w:r w:rsidRPr="00780E8C">
        <w:rPr>
          <w:rFonts w:ascii="Calibri" w:hAnsi="Calibri" w:cs="Calibri"/>
          <w:color w:val="222222"/>
          <w:sz w:val="18"/>
          <w:szCs w:val="18"/>
          <w:lang w:val="es-CO" w:eastAsia="fr-FR"/>
        </w:rPr>
        <w:tab/>
      </w:r>
      <w:r w:rsidRPr="00780E8C">
        <w:rPr>
          <w:rFonts w:ascii="Calibri" w:hAnsi="Calibri" w:cs="Calibri"/>
          <w:color w:val="222222"/>
          <w:sz w:val="18"/>
          <w:szCs w:val="18"/>
          <w:lang w:eastAsia="fr-FR"/>
        </w:rPr>
        <w:t>66001-22-13-000-2017-00149-00</w:t>
      </w:r>
    </w:p>
    <w:p w:rsidR="00780E8C" w:rsidRPr="00780E8C" w:rsidRDefault="00780E8C" w:rsidP="00780E8C">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780E8C">
        <w:rPr>
          <w:rFonts w:ascii="Calibri" w:hAnsi="Calibri" w:cs="Calibri"/>
          <w:color w:val="222222"/>
          <w:sz w:val="18"/>
          <w:szCs w:val="18"/>
          <w:lang w:val="es-CO" w:eastAsia="fr-FR"/>
        </w:rPr>
        <w:t>Accionante:</w:t>
      </w:r>
      <w:r w:rsidRPr="00780E8C">
        <w:rPr>
          <w:rFonts w:ascii="Calibri" w:hAnsi="Calibri" w:cs="Calibri"/>
          <w:color w:val="222222"/>
          <w:sz w:val="18"/>
          <w:szCs w:val="18"/>
          <w:lang w:val="es-CO" w:eastAsia="fr-FR"/>
        </w:rPr>
        <w:tab/>
      </w:r>
      <w:r w:rsidRPr="00780E8C">
        <w:rPr>
          <w:rFonts w:ascii="Calibri" w:hAnsi="Calibri" w:cs="Calibri"/>
          <w:color w:val="222222"/>
          <w:sz w:val="18"/>
          <w:szCs w:val="18"/>
          <w:lang w:val="es-CO" w:eastAsia="fr-FR"/>
        </w:rPr>
        <w:tab/>
      </w:r>
      <w:r w:rsidRPr="00780E8C">
        <w:rPr>
          <w:rFonts w:ascii="Calibri" w:hAnsi="Calibri" w:cs="Calibri"/>
          <w:color w:val="222222"/>
          <w:sz w:val="18"/>
          <w:szCs w:val="18"/>
          <w:lang w:eastAsia="fr-FR"/>
        </w:rPr>
        <w:t xml:space="preserve">JAVIER ELÍAS ARIAS </w:t>
      </w:r>
      <w:proofErr w:type="spellStart"/>
      <w:r w:rsidRPr="00780E8C">
        <w:rPr>
          <w:rFonts w:ascii="Calibri" w:hAnsi="Calibri" w:cs="Calibri"/>
          <w:color w:val="222222"/>
          <w:sz w:val="18"/>
          <w:szCs w:val="18"/>
          <w:lang w:eastAsia="fr-FR"/>
        </w:rPr>
        <w:t>IDÁRRAGA</w:t>
      </w:r>
      <w:proofErr w:type="spellEnd"/>
    </w:p>
    <w:p w:rsidR="00780E8C" w:rsidRPr="00780E8C" w:rsidRDefault="00780E8C" w:rsidP="00780E8C">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780E8C">
        <w:rPr>
          <w:rFonts w:ascii="Calibri" w:hAnsi="Calibri" w:cs="Calibri"/>
          <w:bCs/>
          <w:color w:val="222222"/>
          <w:sz w:val="18"/>
          <w:szCs w:val="18"/>
          <w:lang w:val="es-ES_tradnl" w:eastAsia="fr-FR"/>
        </w:rPr>
        <w:t>A</w:t>
      </w:r>
      <w:proofErr w:type="spellStart"/>
      <w:r w:rsidRPr="00780E8C">
        <w:rPr>
          <w:rFonts w:ascii="Calibri" w:hAnsi="Calibri" w:cs="Calibri"/>
          <w:color w:val="222222"/>
          <w:sz w:val="18"/>
          <w:szCs w:val="18"/>
          <w:lang w:val="es-CO" w:eastAsia="fr-FR"/>
        </w:rPr>
        <w:t>ccionado</w:t>
      </w:r>
      <w:proofErr w:type="spellEnd"/>
      <w:r w:rsidRPr="00780E8C">
        <w:rPr>
          <w:rFonts w:ascii="Calibri" w:hAnsi="Calibri" w:cs="Calibri"/>
          <w:color w:val="222222"/>
          <w:sz w:val="18"/>
          <w:szCs w:val="18"/>
          <w:lang w:val="es-CO" w:eastAsia="fr-FR"/>
        </w:rPr>
        <w:t>:</w:t>
      </w:r>
      <w:r w:rsidRPr="00780E8C">
        <w:rPr>
          <w:rFonts w:ascii="Calibri" w:hAnsi="Calibri" w:cs="Calibri"/>
          <w:color w:val="222222"/>
          <w:sz w:val="18"/>
          <w:szCs w:val="18"/>
          <w:lang w:val="es-CO" w:eastAsia="fr-FR"/>
        </w:rPr>
        <w:tab/>
        <w:t xml:space="preserve">      </w:t>
      </w:r>
      <w:r w:rsidRPr="00780E8C">
        <w:rPr>
          <w:rFonts w:ascii="Calibri" w:hAnsi="Calibri" w:cs="Calibri"/>
          <w:color w:val="222222"/>
          <w:sz w:val="18"/>
          <w:szCs w:val="18"/>
          <w:lang w:val="es-CO" w:eastAsia="fr-FR"/>
        </w:rPr>
        <w:tab/>
      </w:r>
      <w:r w:rsidRPr="00780E8C">
        <w:rPr>
          <w:rFonts w:ascii="Calibri" w:hAnsi="Calibri" w:cs="Calibri"/>
          <w:color w:val="222222"/>
          <w:sz w:val="18"/>
          <w:szCs w:val="18"/>
          <w:lang w:val="es-CO" w:eastAsia="fr-FR"/>
        </w:rPr>
        <w:tab/>
      </w:r>
      <w:r w:rsidRPr="00780E8C">
        <w:rPr>
          <w:rFonts w:ascii="Calibri" w:hAnsi="Calibri" w:cs="Calibri"/>
          <w:color w:val="222222"/>
          <w:sz w:val="18"/>
          <w:szCs w:val="18"/>
          <w:lang w:eastAsia="fr-FR"/>
        </w:rPr>
        <w:t>JUZGADO CUARTO CIVIL DEL CIRCUITO DE PEREIRA</w:t>
      </w:r>
    </w:p>
    <w:p w:rsidR="00780E8C" w:rsidRPr="00780E8C" w:rsidRDefault="00780E8C" w:rsidP="00780E8C">
      <w:pPr>
        <w:shd w:val="clear" w:color="auto" w:fill="FFFFFF"/>
        <w:tabs>
          <w:tab w:val="left" w:pos="1843"/>
        </w:tabs>
        <w:ind w:left="1843" w:hanging="1843"/>
        <w:jc w:val="both"/>
        <w:rPr>
          <w:rFonts w:ascii="Calibri" w:hAnsi="Calibri" w:cs="Calibri"/>
          <w:color w:val="222222"/>
          <w:sz w:val="18"/>
          <w:szCs w:val="18"/>
          <w:lang w:val="es-CO" w:eastAsia="fr-FR"/>
        </w:rPr>
      </w:pPr>
      <w:r w:rsidRPr="00780E8C">
        <w:rPr>
          <w:rFonts w:ascii="Calibri" w:hAnsi="Calibri" w:cs="Calibri"/>
          <w:color w:val="222222"/>
          <w:sz w:val="18"/>
          <w:szCs w:val="18"/>
          <w:lang w:val="es-CO" w:eastAsia="fr-FR"/>
        </w:rPr>
        <w:t>Proceso:            </w:t>
      </w:r>
      <w:r w:rsidRPr="00780E8C">
        <w:rPr>
          <w:rFonts w:ascii="Calibri" w:hAnsi="Calibri" w:cs="Calibri"/>
          <w:color w:val="222222"/>
          <w:sz w:val="18"/>
          <w:szCs w:val="18"/>
          <w:lang w:val="es-CO" w:eastAsia="fr-FR"/>
        </w:rPr>
        <w:tab/>
        <w:t xml:space="preserve">Acción de Tutela – </w:t>
      </w:r>
      <w:r w:rsidRPr="00780E8C">
        <w:rPr>
          <w:rFonts w:ascii="Calibri" w:hAnsi="Calibri" w:cs="Calibri"/>
          <w:color w:val="222222"/>
          <w:spacing w:val="-6"/>
          <w:sz w:val="18"/>
          <w:szCs w:val="18"/>
          <w:lang w:val="es-CO" w:eastAsia="fr-FR"/>
        </w:rPr>
        <w:t>Declara improcedentes el amparo solicitado</w:t>
      </w:r>
    </w:p>
    <w:p w:rsidR="00780E8C" w:rsidRPr="00780E8C" w:rsidRDefault="00780E8C" w:rsidP="00780E8C">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780E8C">
        <w:rPr>
          <w:rFonts w:ascii="Calibri" w:hAnsi="Calibri" w:cs="Calibri"/>
          <w:color w:val="222222"/>
          <w:sz w:val="18"/>
          <w:szCs w:val="18"/>
          <w:lang w:val="es-CO" w:eastAsia="fr-FR"/>
        </w:rPr>
        <w:t>Magistrado Ponente: </w:t>
      </w:r>
      <w:r w:rsidRPr="00780E8C">
        <w:rPr>
          <w:rFonts w:ascii="Calibri" w:hAnsi="Calibri" w:cs="Calibri"/>
          <w:color w:val="222222"/>
          <w:sz w:val="18"/>
          <w:szCs w:val="18"/>
          <w:lang w:val="es-CO" w:eastAsia="fr-FR"/>
        </w:rPr>
        <w:tab/>
      </w:r>
      <w:proofErr w:type="spellStart"/>
      <w:r w:rsidRPr="00780E8C">
        <w:rPr>
          <w:rFonts w:ascii="Calibri" w:hAnsi="Calibri" w:cs="Calibri"/>
          <w:bCs/>
          <w:color w:val="222222"/>
          <w:sz w:val="18"/>
          <w:szCs w:val="18"/>
          <w:lang w:eastAsia="fr-FR"/>
        </w:rPr>
        <w:t>EDDER</w:t>
      </w:r>
      <w:proofErr w:type="spellEnd"/>
      <w:r w:rsidRPr="00780E8C">
        <w:rPr>
          <w:rFonts w:ascii="Calibri" w:hAnsi="Calibri" w:cs="Calibri"/>
          <w:bCs/>
          <w:color w:val="222222"/>
          <w:sz w:val="18"/>
          <w:szCs w:val="18"/>
          <w:lang w:eastAsia="fr-FR"/>
        </w:rPr>
        <w:t xml:space="preserve"> JIMMY SÁNCHEZ </w:t>
      </w:r>
      <w:proofErr w:type="spellStart"/>
      <w:r w:rsidRPr="00780E8C">
        <w:rPr>
          <w:rFonts w:ascii="Calibri" w:hAnsi="Calibri" w:cs="Calibri"/>
          <w:bCs/>
          <w:color w:val="222222"/>
          <w:sz w:val="18"/>
          <w:szCs w:val="18"/>
          <w:lang w:eastAsia="fr-FR"/>
        </w:rPr>
        <w:t>CALAMBÁS</w:t>
      </w:r>
      <w:proofErr w:type="spellEnd"/>
    </w:p>
    <w:p w:rsidR="00780E8C" w:rsidRPr="00780E8C" w:rsidRDefault="00780E8C" w:rsidP="00780E8C">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780E8C" w:rsidRPr="00780E8C" w:rsidRDefault="00780E8C" w:rsidP="00780E8C">
      <w:pPr>
        <w:tabs>
          <w:tab w:val="left" w:pos="1843"/>
        </w:tabs>
        <w:spacing w:after="200"/>
        <w:jc w:val="both"/>
        <w:rPr>
          <w:rFonts w:ascii="Calibri" w:hAnsi="Calibri" w:cs="Calibri"/>
          <w:b/>
          <w:bCs/>
          <w:iCs/>
          <w:color w:val="222222"/>
          <w:sz w:val="18"/>
          <w:szCs w:val="18"/>
          <w:lang w:val="es-CO" w:eastAsia="fr-FR"/>
        </w:rPr>
      </w:pPr>
      <w:r w:rsidRPr="00780E8C">
        <w:rPr>
          <w:rFonts w:ascii="Calibri" w:hAnsi="Calibri" w:cs="Calibri"/>
          <w:b/>
          <w:bCs/>
          <w:iCs/>
          <w:color w:val="222222"/>
          <w:sz w:val="18"/>
          <w:szCs w:val="18"/>
          <w:lang w:eastAsia="fr-FR"/>
        </w:rPr>
        <w:t xml:space="preserve">Temas:   </w:t>
      </w:r>
      <w:r w:rsidRPr="00780E8C">
        <w:rPr>
          <w:rFonts w:ascii="Calibri" w:hAnsi="Calibri" w:cs="Calibri"/>
          <w:b/>
          <w:bCs/>
          <w:iCs/>
          <w:color w:val="222222"/>
          <w:sz w:val="18"/>
          <w:szCs w:val="18"/>
          <w:lang w:eastAsia="fr-FR"/>
        </w:rPr>
        <w:tab/>
      </w:r>
      <w:r w:rsidRPr="00780E8C">
        <w:rPr>
          <w:rFonts w:ascii="Calibri" w:hAnsi="Calibri" w:cs="Calibri"/>
          <w:b/>
          <w:bCs/>
          <w:iCs/>
          <w:color w:val="222222"/>
          <w:sz w:val="18"/>
          <w:szCs w:val="18"/>
          <w:lang w:val="es-CO" w:eastAsia="fr-FR"/>
        </w:rPr>
        <w:t xml:space="preserve"> </w:t>
      </w:r>
      <w:r w:rsidRPr="00780E8C">
        <w:rPr>
          <w:rFonts w:ascii="Calibri" w:hAnsi="Calibri" w:cs="Calibri"/>
          <w:b/>
          <w:bCs/>
          <w:color w:val="222222"/>
          <w:sz w:val="18"/>
          <w:szCs w:val="18"/>
          <w:lang w:val="es-CO" w:eastAsia="fr-FR"/>
        </w:rPr>
        <w:t>DEBIDO PROCESO / TUTELA CONTRA ACTUACIÓN JUDICIAL / CARÁCTER RESIDUAL DE LA ACCIÓN DE TUTELA / IMPROCEDENCIA</w:t>
      </w:r>
      <w:r w:rsidRPr="00780E8C">
        <w:rPr>
          <w:rFonts w:ascii="Calibri" w:hAnsi="Calibri" w:cs="Calibri"/>
          <w:b/>
          <w:bCs/>
          <w:iCs/>
          <w:color w:val="222222"/>
          <w:sz w:val="18"/>
          <w:szCs w:val="18"/>
          <w:lang w:eastAsia="fr-FR"/>
        </w:rPr>
        <w:t>.</w:t>
      </w:r>
      <w:r w:rsidRPr="00780E8C">
        <w:rPr>
          <w:rFonts w:ascii="Calibri" w:hAnsi="Calibri" w:cs="Calibri"/>
          <w:b/>
          <w:bCs/>
          <w:color w:val="222222"/>
          <w:sz w:val="18"/>
          <w:szCs w:val="18"/>
          <w:lang w:val="es-CO" w:eastAsia="fr-FR"/>
        </w:rPr>
        <w:t xml:space="preserve"> </w:t>
      </w:r>
      <w:r w:rsidRPr="00780E8C">
        <w:rPr>
          <w:rFonts w:ascii="Calibri" w:hAnsi="Calibri" w:cs="Calibri"/>
          <w:bCs/>
          <w:iCs/>
          <w:color w:val="222222"/>
          <w:sz w:val="18"/>
          <w:szCs w:val="18"/>
          <w:lang w:val="es-CO" w:eastAsia="fr-FR"/>
        </w:rPr>
        <w:t xml:space="preserve">“Pretende el actor, por este mecanismo subsidiario, se ordene al </w:t>
      </w:r>
      <w:r w:rsidRPr="00780E8C">
        <w:rPr>
          <w:rFonts w:ascii="Calibri" w:hAnsi="Calibri" w:cs="Calibri"/>
          <w:bCs/>
          <w:iCs/>
          <w:color w:val="222222"/>
          <w:sz w:val="18"/>
          <w:szCs w:val="18"/>
          <w:lang w:eastAsia="fr-FR"/>
        </w:rPr>
        <w:t>JUZGADO CUARTO CIVIL DEL CIRCUITO DE PEREIRA</w:t>
      </w:r>
      <w:r w:rsidRPr="00780E8C">
        <w:rPr>
          <w:rFonts w:ascii="Calibri" w:hAnsi="Calibri" w:cs="Calibri"/>
          <w:bCs/>
          <w:iCs/>
          <w:color w:val="222222"/>
          <w:sz w:val="18"/>
          <w:szCs w:val="18"/>
          <w:lang w:val="es-CO" w:eastAsia="fr-FR"/>
        </w:rPr>
        <w:t>, cumplir lo ordenado por la Corte Suprema de Justicia en la acción de tutela radicada bajo el número 66001-22-13-000-2016-01126-01.</w:t>
      </w:r>
      <w:r w:rsidRPr="00780E8C">
        <w:rPr>
          <w:rFonts w:ascii="Arial" w:hAnsi="Arial" w:cs="Arial"/>
          <w:sz w:val="26"/>
          <w:szCs w:val="26"/>
          <w:lang w:val="es-CO" w:eastAsia="en-US"/>
        </w:rPr>
        <w:t xml:space="preserve"> </w:t>
      </w:r>
      <w:r w:rsidRPr="00780E8C">
        <w:rPr>
          <w:rFonts w:ascii="Calibri" w:hAnsi="Calibri" w:cs="Calibri"/>
          <w:bCs/>
          <w:iCs/>
          <w:color w:val="222222"/>
          <w:sz w:val="18"/>
          <w:szCs w:val="18"/>
          <w:lang w:val="es-CO" w:eastAsia="fr-FR"/>
        </w:rPr>
        <w:t>De entrada se advierte que dicho reclamo está llamado al fracaso, teniendo en cuenta que, como lo afirma el propio accionante, la Sala de Casación Civil de la Corte Suprema de Justicia, en segunda instancia, luego de revocar la sentencia proferida por esta Sala en sede de tutela</w:t>
      </w:r>
      <w:r w:rsidRPr="00780E8C">
        <w:rPr>
          <w:rFonts w:ascii="Calibri" w:hAnsi="Calibri" w:cs="Calibri"/>
          <w:bCs/>
          <w:iCs/>
          <w:color w:val="222222"/>
          <w:sz w:val="18"/>
          <w:szCs w:val="18"/>
          <w:vertAlign w:val="superscript"/>
          <w:lang w:val="es-CO" w:eastAsia="fr-FR"/>
        </w:rPr>
        <w:footnoteReference w:id="1"/>
      </w:r>
      <w:r w:rsidRPr="00780E8C">
        <w:rPr>
          <w:rFonts w:ascii="Calibri" w:hAnsi="Calibri" w:cs="Calibri"/>
          <w:bCs/>
          <w:iCs/>
          <w:color w:val="222222"/>
          <w:sz w:val="18"/>
          <w:szCs w:val="18"/>
          <w:lang w:val="es-CO" w:eastAsia="fr-FR"/>
        </w:rPr>
        <w:t xml:space="preserve">, le concedió la protección constitucional invocada y ordenó </w:t>
      </w:r>
      <w:r w:rsidRPr="00780E8C">
        <w:rPr>
          <w:rFonts w:ascii="Calibri" w:hAnsi="Calibri" w:cs="Calibri"/>
          <w:bCs/>
          <w:i/>
          <w:iCs/>
          <w:color w:val="222222"/>
          <w:sz w:val="18"/>
          <w:szCs w:val="18"/>
          <w:lang w:val="es-CO" w:eastAsia="fr-FR"/>
        </w:rPr>
        <w:t xml:space="preserve">“al Juzgado 4º Civil del Circuito de Pereira que en el término máximo de cuarenta y ocho (48) horas contadas a partir de la notificación de esta providencia, deje sin efectos la actuación objeto de la queja a partir del auto </w:t>
      </w:r>
      <w:proofErr w:type="spellStart"/>
      <w:r w:rsidRPr="00780E8C">
        <w:rPr>
          <w:rFonts w:ascii="Calibri" w:hAnsi="Calibri" w:cs="Calibri"/>
          <w:bCs/>
          <w:i/>
          <w:iCs/>
          <w:color w:val="222222"/>
          <w:sz w:val="18"/>
          <w:szCs w:val="18"/>
          <w:lang w:val="es-CO" w:eastAsia="fr-FR"/>
        </w:rPr>
        <w:t>inadmisorio</w:t>
      </w:r>
      <w:proofErr w:type="spellEnd"/>
      <w:r w:rsidRPr="00780E8C">
        <w:rPr>
          <w:rFonts w:ascii="Calibri" w:hAnsi="Calibri" w:cs="Calibri"/>
          <w:bCs/>
          <w:i/>
          <w:iCs/>
          <w:color w:val="222222"/>
          <w:sz w:val="18"/>
          <w:szCs w:val="18"/>
          <w:lang w:val="es-CO" w:eastAsia="fr-FR"/>
        </w:rPr>
        <w:t xml:space="preserve"> de la demanda, inclusive, y en su lugar le dé el trámite de rigor.”</w:t>
      </w:r>
      <w:r w:rsidRPr="00780E8C">
        <w:rPr>
          <w:rFonts w:ascii="Calibri" w:hAnsi="Calibri" w:cs="Calibri"/>
          <w:bCs/>
          <w:iCs/>
          <w:color w:val="222222"/>
          <w:sz w:val="18"/>
          <w:szCs w:val="18"/>
          <w:lang w:val="es-CO" w:eastAsia="fr-FR"/>
        </w:rPr>
        <w:t xml:space="preserve">. </w:t>
      </w:r>
      <w:r w:rsidRPr="00780E8C">
        <w:rPr>
          <w:rFonts w:ascii="Calibri" w:hAnsi="Calibri" w:cs="Calibri"/>
          <w:bCs/>
          <w:iCs/>
          <w:color w:val="222222"/>
          <w:sz w:val="18"/>
          <w:szCs w:val="18"/>
          <w:lang w:eastAsia="fr-FR"/>
        </w:rPr>
        <w:t xml:space="preserve">Así las cosas, el amparo se torna improcedente por cuanto es claro que existe otro mecanismo judicial idóneo para dirimir la situación planteada por el actor, en tanto la tutela no está llamada a prosperar cuando se cuenta con otros medios de defensa como lo es, formular el respectivo incidente de desacato (…)”. </w:t>
      </w:r>
    </w:p>
    <w:p w:rsidR="001448E6" w:rsidRPr="00780E8C" w:rsidRDefault="001448E6" w:rsidP="00950D8F">
      <w:pPr>
        <w:spacing w:line="360" w:lineRule="auto"/>
        <w:rPr>
          <w:rFonts w:ascii="Arial" w:hAnsi="Arial" w:cs="Arial"/>
          <w:b/>
          <w:bCs/>
          <w:sz w:val="24"/>
          <w:szCs w:val="26"/>
          <w:lang w:val="es-CO"/>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6E72AA" w:rsidP="00AE243A">
      <w:pPr>
        <w:spacing w:line="360" w:lineRule="auto"/>
        <w:jc w:val="center"/>
        <w:rPr>
          <w:rFonts w:ascii="Arial" w:hAnsi="Arial" w:cs="Arial"/>
          <w:bCs/>
          <w:sz w:val="24"/>
          <w:szCs w:val="24"/>
        </w:rPr>
      </w:pPr>
      <w:r>
        <w:rPr>
          <w:rFonts w:ascii="Arial" w:hAnsi="Arial" w:cs="Arial"/>
          <w:bCs/>
          <w:sz w:val="24"/>
          <w:szCs w:val="24"/>
        </w:rPr>
        <w:t>Pereira, nueve</w:t>
      </w:r>
      <w:r w:rsidR="00B50912">
        <w:rPr>
          <w:rFonts w:ascii="Arial" w:hAnsi="Arial" w:cs="Arial"/>
          <w:bCs/>
          <w:sz w:val="24"/>
          <w:szCs w:val="24"/>
        </w:rPr>
        <w:t xml:space="preserve"> (</w:t>
      </w:r>
      <w:r>
        <w:rPr>
          <w:rFonts w:ascii="Arial" w:hAnsi="Arial" w:cs="Arial"/>
          <w:bCs/>
          <w:sz w:val="24"/>
          <w:szCs w:val="24"/>
        </w:rPr>
        <w:t>9</w:t>
      </w:r>
      <w:r w:rsidR="00AE243A" w:rsidRPr="0090313C">
        <w:rPr>
          <w:rFonts w:ascii="Arial" w:hAnsi="Arial" w:cs="Arial"/>
          <w:bCs/>
          <w:sz w:val="24"/>
          <w:szCs w:val="24"/>
        </w:rPr>
        <w:t xml:space="preserve">) de </w:t>
      </w:r>
      <w:r w:rsidR="003C0E14">
        <w:rPr>
          <w:rFonts w:ascii="Arial" w:hAnsi="Arial" w:cs="Arial"/>
          <w:bCs/>
          <w:sz w:val="24"/>
          <w:szCs w:val="24"/>
        </w:rPr>
        <w:t>marz</w:t>
      </w:r>
      <w:r w:rsidR="00C278EA">
        <w:rPr>
          <w:rFonts w:ascii="Arial" w:hAnsi="Arial" w:cs="Arial"/>
          <w:bCs/>
          <w:sz w:val="24"/>
          <w:szCs w:val="24"/>
        </w:rPr>
        <w:t>o</w:t>
      </w:r>
      <w:r w:rsidR="003C49B7">
        <w:rPr>
          <w:rFonts w:ascii="Arial" w:hAnsi="Arial" w:cs="Arial"/>
          <w:bCs/>
          <w:sz w:val="24"/>
          <w:szCs w:val="24"/>
        </w:rPr>
        <w:t xml:space="preserve"> </w:t>
      </w:r>
      <w:r w:rsidR="00AE243A" w:rsidRPr="0090313C">
        <w:rPr>
          <w:rFonts w:ascii="Arial" w:hAnsi="Arial" w:cs="Arial"/>
          <w:bCs/>
          <w:sz w:val="24"/>
          <w:szCs w:val="24"/>
        </w:rPr>
        <w:t>de dos mil diecis</w:t>
      </w:r>
      <w:r w:rsidR="00AE243A">
        <w:rPr>
          <w:rFonts w:ascii="Arial" w:hAnsi="Arial" w:cs="Arial"/>
          <w:bCs/>
          <w:sz w:val="24"/>
          <w:szCs w:val="24"/>
        </w:rPr>
        <w:t>iete (2017</w:t>
      </w:r>
      <w:r w:rsidR="00AE243A"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6E72AA">
        <w:rPr>
          <w:rFonts w:ascii="Arial" w:hAnsi="Arial" w:cs="Arial"/>
          <w:sz w:val="24"/>
          <w:szCs w:val="24"/>
        </w:rPr>
        <w:t>122</w:t>
      </w:r>
      <w:r w:rsidR="003E27A5">
        <w:rPr>
          <w:rFonts w:ascii="Arial" w:hAnsi="Arial" w:cs="Arial"/>
          <w:sz w:val="24"/>
          <w:szCs w:val="24"/>
        </w:rPr>
        <w:t xml:space="preserve"> de </w:t>
      </w:r>
      <w:r w:rsidR="006E72AA">
        <w:rPr>
          <w:rFonts w:ascii="Arial" w:hAnsi="Arial" w:cs="Arial"/>
          <w:sz w:val="24"/>
          <w:szCs w:val="24"/>
        </w:rPr>
        <w:t>09</w:t>
      </w:r>
      <w:r w:rsidR="00C278EA">
        <w:rPr>
          <w:rFonts w:ascii="Arial" w:hAnsi="Arial" w:cs="Arial"/>
          <w:sz w:val="24"/>
          <w:szCs w:val="24"/>
        </w:rPr>
        <w:t>-0</w:t>
      </w:r>
      <w:r w:rsidR="003C0E14">
        <w:rPr>
          <w:rFonts w:ascii="Arial" w:hAnsi="Arial" w:cs="Arial"/>
          <w:sz w:val="24"/>
          <w:szCs w:val="24"/>
        </w:rPr>
        <w:t>3</w:t>
      </w:r>
      <w:r>
        <w:rPr>
          <w:rFonts w:ascii="Arial" w:hAnsi="Arial" w:cs="Arial"/>
          <w:sz w:val="24"/>
          <w:szCs w:val="24"/>
        </w:rPr>
        <w:t>-2017</w:t>
      </w:r>
    </w:p>
    <w:p w:rsidR="009E7BBC" w:rsidRDefault="00C278EA" w:rsidP="004558C7">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4558C7">
        <w:rPr>
          <w:rFonts w:ascii="Arial" w:hAnsi="Arial" w:cs="Arial"/>
          <w:b/>
          <w:sz w:val="24"/>
          <w:szCs w:val="24"/>
        </w:rPr>
        <w:t>1</w:t>
      </w:r>
      <w:r w:rsidR="00B32E13">
        <w:rPr>
          <w:rFonts w:ascii="Arial" w:hAnsi="Arial" w:cs="Arial"/>
          <w:b/>
          <w:sz w:val="24"/>
          <w:szCs w:val="24"/>
        </w:rPr>
        <w:t>49</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BE3502">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8A5C8B">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008A5C8B">
        <w:rPr>
          <w:rFonts w:ascii="Arial" w:hAnsi="Arial" w:cs="Arial"/>
          <w:sz w:val="26"/>
          <w:szCs w:val="26"/>
          <w:lang w:val="es-ES" w:eastAsia="es-ES"/>
        </w:rPr>
        <w:t xml:space="preserve"> </w:t>
      </w:r>
      <w:r w:rsidRPr="002C32B0">
        <w:rPr>
          <w:rFonts w:ascii="Arial" w:hAnsi="Arial" w:cs="Arial"/>
          <w:sz w:val="26"/>
          <w:szCs w:val="26"/>
          <w:lang w:val="es-ES" w:eastAsia="es-ES"/>
        </w:rPr>
        <w:t>la</w:t>
      </w:r>
      <w:r w:rsidR="008A5C8B">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sidR="008A5C8B">
        <w:rPr>
          <w:rFonts w:ascii="Arial" w:hAnsi="Arial" w:cs="Arial"/>
          <w:sz w:val="26"/>
          <w:szCs w:val="26"/>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8A5C8B">
        <w:rPr>
          <w:rFonts w:ascii="Arial" w:hAnsi="Arial" w:cs="Arial"/>
          <w:sz w:val="26"/>
          <w:szCs w:val="26"/>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276958" w:rsidRPr="00E75165" w:rsidRDefault="00AE243A" w:rsidP="00276958">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276958" w:rsidRPr="000905F6">
        <w:rPr>
          <w:rFonts w:ascii="Arial" w:hAnsi="Arial" w:cs="Arial"/>
          <w:sz w:val="26"/>
          <w:szCs w:val="26"/>
        </w:rPr>
        <w:t>Manifiesta el</w:t>
      </w:r>
      <w:r w:rsidR="00276958">
        <w:rPr>
          <w:rFonts w:ascii="Arial" w:hAnsi="Arial" w:cs="Arial"/>
          <w:sz w:val="26"/>
          <w:szCs w:val="26"/>
        </w:rPr>
        <w:t xml:space="preserve"> actor que</w:t>
      </w:r>
      <w:r w:rsidR="00276958" w:rsidRPr="000905F6">
        <w:rPr>
          <w:rFonts w:ascii="Arial" w:hAnsi="Arial" w:cs="Arial"/>
          <w:sz w:val="26"/>
          <w:szCs w:val="26"/>
        </w:rPr>
        <w:t xml:space="preserve"> la autoridad judicial encartada vulnera sus </w:t>
      </w:r>
      <w:r w:rsidR="00276958">
        <w:rPr>
          <w:rFonts w:ascii="Arial" w:hAnsi="Arial" w:cs="Arial"/>
          <w:sz w:val="26"/>
          <w:szCs w:val="26"/>
        </w:rPr>
        <w:t xml:space="preserve">“garantías procesales”, </w:t>
      </w:r>
      <w:r w:rsidR="00C6241B">
        <w:rPr>
          <w:rFonts w:ascii="Arial" w:hAnsi="Arial" w:cs="Arial"/>
          <w:sz w:val="26"/>
          <w:szCs w:val="26"/>
        </w:rPr>
        <w:t xml:space="preserve">pues se niega a cumplir lo que le ordenó la Corte Suprema de Justicia en </w:t>
      </w:r>
      <w:r w:rsidR="00276958">
        <w:rPr>
          <w:rFonts w:ascii="Arial" w:hAnsi="Arial" w:cs="Arial"/>
          <w:sz w:val="26"/>
          <w:szCs w:val="26"/>
        </w:rPr>
        <w:t xml:space="preserve">la acción </w:t>
      </w:r>
      <w:r w:rsidR="00C6241B">
        <w:rPr>
          <w:rFonts w:ascii="Arial" w:hAnsi="Arial" w:cs="Arial"/>
          <w:sz w:val="26"/>
          <w:szCs w:val="26"/>
        </w:rPr>
        <w:t xml:space="preserve">de tutela </w:t>
      </w:r>
      <w:r w:rsidR="00276958" w:rsidRPr="000905F6">
        <w:rPr>
          <w:rFonts w:ascii="Arial" w:hAnsi="Arial" w:cs="Arial"/>
          <w:sz w:val="26"/>
          <w:szCs w:val="26"/>
        </w:rPr>
        <w:t xml:space="preserve">radicada bajo </w:t>
      </w:r>
      <w:r w:rsidR="00276958">
        <w:rPr>
          <w:rFonts w:ascii="Arial" w:hAnsi="Arial" w:cs="Arial"/>
          <w:sz w:val="26"/>
          <w:szCs w:val="26"/>
        </w:rPr>
        <w:t xml:space="preserve">el número </w:t>
      </w:r>
      <w:r w:rsidR="00C6241B">
        <w:rPr>
          <w:rFonts w:ascii="Arial" w:hAnsi="Arial" w:cs="Arial"/>
          <w:sz w:val="24"/>
          <w:szCs w:val="24"/>
        </w:rPr>
        <w:t>66001-22-13-000-2016-0</w:t>
      </w:r>
      <w:r w:rsidR="00C6241B">
        <w:rPr>
          <w:rFonts w:ascii="Arial" w:hAnsi="Arial" w:cs="Arial"/>
          <w:b/>
          <w:sz w:val="24"/>
          <w:szCs w:val="24"/>
        </w:rPr>
        <w:t>1126</w:t>
      </w:r>
      <w:r w:rsidR="00C6241B">
        <w:rPr>
          <w:rFonts w:ascii="Arial" w:hAnsi="Arial" w:cs="Arial"/>
          <w:sz w:val="24"/>
          <w:szCs w:val="24"/>
        </w:rPr>
        <w:t>-01,</w:t>
      </w:r>
      <w:r w:rsidR="00C6241B" w:rsidRPr="00950D8F">
        <w:rPr>
          <w:rFonts w:ascii="Arial" w:hAnsi="Arial" w:cs="Arial"/>
          <w:sz w:val="26"/>
          <w:szCs w:val="26"/>
        </w:rPr>
        <w:t xml:space="preserve"> Magistrado Ponente Ariel Salazar Ramírez, del 16 de febrero de 2017, notificada telegráficamente a la accionada</w:t>
      </w:r>
      <w:r w:rsidR="00276958" w:rsidRPr="00950D8F">
        <w:rPr>
          <w:rFonts w:ascii="Arial" w:hAnsi="Arial" w:cs="Arial"/>
          <w:spacing w:val="-3"/>
          <w:sz w:val="26"/>
          <w:szCs w:val="26"/>
        </w:rPr>
        <w:t>.</w:t>
      </w:r>
    </w:p>
    <w:p w:rsidR="00276958" w:rsidRPr="000905F6" w:rsidRDefault="00276958" w:rsidP="00276958">
      <w:pPr>
        <w:pStyle w:val="Sinespaciado1"/>
        <w:spacing w:line="360" w:lineRule="auto"/>
        <w:ind w:firstLine="2832"/>
        <w:jc w:val="both"/>
        <w:rPr>
          <w:rFonts w:ascii="Arial" w:hAnsi="Arial" w:cs="Arial"/>
          <w:sz w:val="16"/>
          <w:szCs w:val="26"/>
          <w:lang w:val="es-ES" w:eastAsia="es-ES"/>
        </w:rPr>
      </w:pPr>
    </w:p>
    <w:p w:rsidR="00AE243A" w:rsidRPr="00BE3502" w:rsidRDefault="00276958" w:rsidP="00153CC0">
      <w:pPr>
        <w:pStyle w:val="Sinespaciado1"/>
        <w:spacing w:line="360" w:lineRule="auto"/>
        <w:ind w:firstLine="2832"/>
        <w:jc w:val="both"/>
        <w:rPr>
          <w:rFonts w:ascii="Arial" w:hAnsi="Arial" w:cs="Arial"/>
          <w:sz w:val="16"/>
          <w:szCs w:val="26"/>
        </w:rPr>
      </w:pPr>
      <w:r w:rsidRPr="000905F6">
        <w:rPr>
          <w:rFonts w:ascii="Arial" w:hAnsi="Arial" w:cs="Arial"/>
          <w:sz w:val="26"/>
          <w:szCs w:val="26"/>
        </w:rPr>
        <w:t xml:space="preserve">2. </w:t>
      </w:r>
      <w:r>
        <w:rPr>
          <w:rFonts w:ascii="Arial" w:hAnsi="Arial" w:cs="Arial"/>
          <w:sz w:val="26"/>
          <w:szCs w:val="26"/>
        </w:rPr>
        <w:t xml:space="preserve">Con fundamento en lo relatado, solicita se </w:t>
      </w:r>
      <w:r w:rsidR="00BE3502">
        <w:rPr>
          <w:rFonts w:ascii="Arial" w:hAnsi="Arial" w:cs="Arial"/>
          <w:sz w:val="26"/>
          <w:szCs w:val="26"/>
        </w:rPr>
        <w:t xml:space="preserve">ordene a la autoridad judicial accionada, </w:t>
      </w:r>
      <w:r w:rsidR="008F70AC">
        <w:rPr>
          <w:rFonts w:ascii="Arial" w:hAnsi="Arial" w:cs="Arial"/>
          <w:sz w:val="26"/>
          <w:szCs w:val="26"/>
        </w:rPr>
        <w:t>no continuar desconociendo lo decidido por la Corte Suprema de Justicia en sede de tutela y aportar un listado completo de todas las acciones populares donde ha exigido requisitos inexistentes en el artículo 18 de la ley 472 de 1998</w:t>
      </w:r>
      <w:r w:rsidR="00103EF6">
        <w:rPr>
          <w:rFonts w:ascii="Arial" w:hAnsi="Arial" w:cs="Arial"/>
          <w:sz w:val="26"/>
          <w:szCs w:val="26"/>
        </w:rPr>
        <w:t>, para “tutelarla” (sic)</w:t>
      </w:r>
      <w:r>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6948DF"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3</w:t>
      </w:r>
      <w:r w:rsidR="00B96AD1">
        <w:rPr>
          <w:rFonts w:ascii="Arial" w:hAnsi="Arial" w:cs="Arial"/>
          <w:sz w:val="26"/>
          <w:szCs w:val="26"/>
          <w:lang w:val="es-ES"/>
        </w:rPr>
        <w:t>. Admitida la</w:t>
      </w:r>
      <w:r w:rsidR="00BE3502">
        <w:rPr>
          <w:rFonts w:ascii="Arial" w:hAnsi="Arial" w:cs="Arial"/>
          <w:sz w:val="26"/>
          <w:szCs w:val="26"/>
          <w:lang w:val="es-ES"/>
        </w:rPr>
        <w:t xml:space="preserve"> 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sidR="00B96AD1">
        <w:rPr>
          <w:rFonts w:ascii="Arial" w:hAnsi="Arial" w:cs="Arial"/>
          <w:sz w:val="26"/>
          <w:szCs w:val="26"/>
          <w:lang w:val="es-ES"/>
        </w:rPr>
        <w:t xml:space="preserve">actuaciones </w:t>
      </w:r>
      <w:r>
        <w:rPr>
          <w:rFonts w:ascii="Arial" w:hAnsi="Arial" w:cs="Arial"/>
          <w:sz w:val="26"/>
          <w:szCs w:val="26"/>
          <w:lang w:val="es-ES"/>
        </w:rPr>
        <w:t xml:space="preserve">surtidas con ocasión del fallo proferido por la </w:t>
      </w:r>
      <w:r>
        <w:rPr>
          <w:rFonts w:ascii="Arial" w:hAnsi="Arial" w:cs="Arial"/>
          <w:sz w:val="26"/>
          <w:szCs w:val="26"/>
        </w:rPr>
        <w:t xml:space="preserve">Corte Suprema de Justicia en la acción de tutela </w:t>
      </w:r>
      <w:r w:rsidRPr="000905F6">
        <w:rPr>
          <w:rFonts w:ascii="Arial" w:hAnsi="Arial" w:cs="Arial"/>
          <w:sz w:val="26"/>
          <w:szCs w:val="26"/>
        </w:rPr>
        <w:t xml:space="preserve">radicada bajo </w:t>
      </w:r>
      <w:r>
        <w:rPr>
          <w:rFonts w:ascii="Arial" w:hAnsi="Arial" w:cs="Arial"/>
          <w:sz w:val="26"/>
          <w:szCs w:val="26"/>
        </w:rPr>
        <w:t xml:space="preserve">el número </w:t>
      </w:r>
      <w:r>
        <w:rPr>
          <w:rFonts w:ascii="Arial" w:hAnsi="Arial" w:cs="Arial"/>
          <w:sz w:val="24"/>
          <w:szCs w:val="24"/>
        </w:rPr>
        <w:t>66001-22-13-000-2016-0</w:t>
      </w:r>
      <w:r>
        <w:rPr>
          <w:rFonts w:ascii="Arial" w:hAnsi="Arial" w:cs="Arial"/>
          <w:b/>
          <w:sz w:val="24"/>
          <w:szCs w:val="24"/>
        </w:rPr>
        <w:t>1126</w:t>
      </w:r>
      <w:r>
        <w:rPr>
          <w:rFonts w:ascii="Arial" w:hAnsi="Arial" w:cs="Arial"/>
          <w:sz w:val="24"/>
          <w:szCs w:val="24"/>
        </w:rPr>
        <w:t>-01</w:t>
      </w:r>
      <w:r w:rsidR="00AE243A">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6948DF"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3</w:t>
      </w:r>
      <w:r w:rsidR="00977C00">
        <w:rPr>
          <w:rFonts w:ascii="Arial" w:hAnsi="Arial" w:cs="Arial"/>
          <w:sz w:val="26"/>
          <w:szCs w:val="26"/>
          <w:lang w:val="es-ES"/>
        </w:rPr>
        <w:t>.1</w:t>
      </w:r>
      <w:r w:rsidR="00977C00" w:rsidRPr="00AF5C8C">
        <w:rPr>
          <w:rFonts w:ascii="Arial" w:hAnsi="Arial" w:cs="Arial"/>
          <w:sz w:val="26"/>
          <w:szCs w:val="26"/>
          <w:lang w:val="es-ES"/>
        </w:rPr>
        <w:t xml:space="preserve">. </w:t>
      </w:r>
      <w:r w:rsidR="00977C00" w:rsidRPr="000905F6">
        <w:rPr>
          <w:rFonts w:ascii="Arial" w:hAnsi="Arial" w:cs="Arial"/>
          <w:sz w:val="26"/>
          <w:szCs w:val="26"/>
          <w:lang w:val="es-ES"/>
        </w:rPr>
        <w:t>La Pro</w:t>
      </w:r>
      <w:r w:rsidR="00977C00">
        <w:rPr>
          <w:rFonts w:ascii="Arial" w:hAnsi="Arial" w:cs="Arial"/>
          <w:sz w:val="26"/>
          <w:szCs w:val="26"/>
          <w:lang w:val="es-ES"/>
        </w:rPr>
        <w:t xml:space="preserve">curaduría Regional de Risaralda señaló </w:t>
      </w:r>
      <w:r w:rsidR="00977C00" w:rsidRPr="000905F6">
        <w:rPr>
          <w:rFonts w:ascii="Arial" w:hAnsi="Arial" w:cs="Arial"/>
          <w:sz w:val="26"/>
          <w:szCs w:val="26"/>
          <w:lang w:val="es-ES"/>
        </w:rPr>
        <w:t>que</w:t>
      </w:r>
      <w:r w:rsidR="00977C00">
        <w:rPr>
          <w:rFonts w:ascii="Arial" w:hAnsi="Arial" w:cs="Arial"/>
          <w:sz w:val="26"/>
          <w:szCs w:val="26"/>
          <w:lang w:val="es-ES"/>
        </w:rPr>
        <w:t xml:space="preserve"> la situación planteada por el señor </w:t>
      </w:r>
      <w:r w:rsidR="00977C00" w:rsidRPr="00AE243A">
        <w:rPr>
          <w:rFonts w:ascii="Arial" w:hAnsi="Arial" w:cs="Arial"/>
          <w:szCs w:val="26"/>
          <w:lang w:val="es-ES"/>
        </w:rPr>
        <w:t>ARIAS IDÁRRAGA</w:t>
      </w:r>
      <w:r w:rsidR="00977C00">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00977C00" w:rsidRPr="000905F6">
        <w:rPr>
          <w:rFonts w:ascii="Arial" w:hAnsi="Arial" w:cs="Arial"/>
          <w:sz w:val="26"/>
          <w:szCs w:val="26"/>
          <w:lang w:val="es-ES"/>
        </w:rPr>
        <w:t>.</w:t>
      </w:r>
      <w:r w:rsidR="00977C00" w:rsidRPr="000905F6">
        <w:rPr>
          <w:rFonts w:ascii="Arial" w:hAnsi="Arial" w:cs="Arial"/>
          <w:sz w:val="28"/>
          <w:szCs w:val="28"/>
          <w:lang w:val="es-ES"/>
        </w:rPr>
        <w:t xml:space="preserve"> (</w:t>
      </w:r>
      <w:r w:rsidR="00977C00">
        <w:rPr>
          <w:rFonts w:ascii="Arial" w:hAnsi="Arial" w:cs="Arial"/>
          <w:sz w:val="24"/>
          <w:szCs w:val="24"/>
          <w:lang w:val="es-ES"/>
        </w:rPr>
        <w:t xml:space="preserve">fl. </w:t>
      </w:r>
      <w:r>
        <w:rPr>
          <w:rFonts w:ascii="Arial" w:hAnsi="Arial" w:cs="Arial"/>
          <w:sz w:val="24"/>
          <w:szCs w:val="24"/>
          <w:lang w:val="es-ES"/>
        </w:rPr>
        <w:t>7</w:t>
      </w:r>
      <w:r w:rsidR="00977C00"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977C00" w:rsidRPr="00F0613A" w:rsidRDefault="006948DF"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3</w:t>
      </w:r>
      <w:r w:rsidR="00977C00">
        <w:rPr>
          <w:rFonts w:ascii="Arial" w:hAnsi="Arial" w:cs="Arial"/>
          <w:sz w:val="26"/>
          <w:szCs w:val="26"/>
          <w:lang w:val="es-ES"/>
        </w:rPr>
        <w:t>.2. La Alcaldía de Pereira, por intermedio de apoderada judicial</w:t>
      </w:r>
      <w:r w:rsidR="00977C00" w:rsidRPr="00F0613A">
        <w:rPr>
          <w:rFonts w:ascii="Arial" w:hAnsi="Arial" w:cs="Arial"/>
          <w:sz w:val="26"/>
          <w:szCs w:val="26"/>
          <w:lang w:val="es-ES"/>
        </w:rPr>
        <w:t>,</w:t>
      </w:r>
      <w:r w:rsidR="00825E6F">
        <w:rPr>
          <w:rFonts w:ascii="Arial" w:hAnsi="Arial" w:cs="Arial"/>
          <w:sz w:val="26"/>
          <w:szCs w:val="26"/>
          <w:lang w:val="es-ES"/>
        </w:rPr>
        <w:t xml:space="preserve"> </w:t>
      </w:r>
      <w:r w:rsidR="00977C00" w:rsidRPr="00273CD0">
        <w:rPr>
          <w:rFonts w:ascii="Arial" w:hAnsi="Arial" w:cs="Arial"/>
          <w:sz w:val="26"/>
          <w:szCs w:val="26"/>
          <w:lang w:val="es-ES"/>
        </w:rPr>
        <w:t xml:space="preserve">invoca </w:t>
      </w:r>
      <w:r w:rsidR="00977C00">
        <w:rPr>
          <w:rFonts w:ascii="Arial" w:hAnsi="Arial" w:cs="Arial"/>
          <w:sz w:val="26"/>
          <w:szCs w:val="26"/>
          <w:lang w:val="es-ES"/>
        </w:rPr>
        <w:t xml:space="preserve">como excepción </w:t>
      </w:r>
      <w:r w:rsidR="00977C00" w:rsidRPr="00273CD0">
        <w:rPr>
          <w:rFonts w:ascii="Arial" w:hAnsi="Arial" w:cs="Arial"/>
          <w:sz w:val="26"/>
          <w:szCs w:val="26"/>
          <w:lang w:val="es-ES"/>
        </w:rPr>
        <w:t>la falta de legitimación en la causa por pasiva</w:t>
      </w:r>
      <w:r w:rsidR="00977C00">
        <w:rPr>
          <w:rFonts w:ascii="Arial" w:hAnsi="Arial" w:cs="Arial"/>
          <w:sz w:val="26"/>
          <w:szCs w:val="26"/>
          <w:lang w:val="es-ES"/>
        </w:rPr>
        <w:t xml:space="preserve">. Pidió no tutelar las pretensiones del accionante, </w:t>
      </w:r>
      <w:r w:rsidR="00977C00">
        <w:rPr>
          <w:rFonts w:ascii="Arial" w:hAnsi="Arial" w:cs="Arial"/>
          <w:sz w:val="26"/>
          <w:szCs w:val="26"/>
          <w:lang w:val="es-ES"/>
        </w:rPr>
        <w:lastRenderedPageBreak/>
        <w:t>desvincular a</w:t>
      </w:r>
      <w:r w:rsidR="00977C00" w:rsidRPr="00273CD0">
        <w:rPr>
          <w:rFonts w:ascii="Arial" w:hAnsi="Arial" w:cs="Arial"/>
          <w:sz w:val="26"/>
          <w:szCs w:val="26"/>
          <w:lang w:val="es-ES"/>
        </w:rPr>
        <w:t>l ente territorial</w:t>
      </w:r>
      <w:r w:rsidR="00977C00">
        <w:rPr>
          <w:rFonts w:ascii="Arial" w:hAnsi="Arial" w:cs="Arial"/>
          <w:sz w:val="26"/>
          <w:szCs w:val="26"/>
          <w:lang w:val="es-ES"/>
        </w:rPr>
        <w:t xml:space="preserve"> de la acción de tutela </w:t>
      </w:r>
      <w:r w:rsidR="00977C00" w:rsidRPr="00F0613A">
        <w:rPr>
          <w:rFonts w:ascii="Arial" w:hAnsi="Arial" w:cs="Arial"/>
          <w:sz w:val="26"/>
          <w:szCs w:val="26"/>
          <w:lang w:val="es-ES"/>
        </w:rPr>
        <w:t xml:space="preserve">y </w:t>
      </w:r>
      <w:r w:rsidR="00977C00">
        <w:rPr>
          <w:rFonts w:ascii="Arial" w:hAnsi="Arial" w:cs="Arial"/>
          <w:sz w:val="26"/>
          <w:szCs w:val="26"/>
          <w:lang w:val="es-ES"/>
        </w:rPr>
        <w:t xml:space="preserve">en caso de configurarse mala fe o temeridad del actor, imponer las sanciones a que haya lugar. (fls. </w:t>
      </w:r>
      <w:r>
        <w:rPr>
          <w:rFonts w:ascii="Arial" w:hAnsi="Arial" w:cs="Arial"/>
          <w:sz w:val="26"/>
          <w:szCs w:val="26"/>
          <w:lang w:val="es-ES"/>
        </w:rPr>
        <w:t>37</w:t>
      </w:r>
      <w:r w:rsidR="00977C00">
        <w:rPr>
          <w:rFonts w:ascii="Arial" w:hAnsi="Arial" w:cs="Arial"/>
          <w:sz w:val="26"/>
          <w:szCs w:val="26"/>
          <w:lang w:val="es-ES"/>
        </w:rPr>
        <w:t>-</w:t>
      </w:r>
      <w:r>
        <w:rPr>
          <w:rFonts w:ascii="Arial" w:hAnsi="Arial" w:cs="Arial"/>
          <w:sz w:val="26"/>
          <w:szCs w:val="26"/>
          <w:lang w:val="es-ES"/>
        </w:rPr>
        <w:t>38</w:t>
      </w:r>
      <w:r w:rsidR="00977C00"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977C00" w:rsidRDefault="006948DF"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00977C00">
        <w:rPr>
          <w:rFonts w:ascii="Arial" w:hAnsi="Arial" w:cs="Arial"/>
          <w:sz w:val="26"/>
          <w:szCs w:val="26"/>
          <w:lang w:val="es-ES"/>
        </w:rPr>
        <w:t>.</w:t>
      </w:r>
      <w:r w:rsidR="00825E6F">
        <w:rPr>
          <w:rFonts w:ascii="Arial" w:hAnsi="Arial" w:cs="Arial"/>
          <w:sz w:val="26"/>
          <w:szCs w:val="26"/>
          <w:lang w:val="es-ES"/>
        </w:rPr>
        <w:t>3</w:t>
      </w:r>
      <w:r w:rsidR="00977C00">
        <w:rPr>
          <w:rFonts w:ascii="Arial" w:hAnsi="Arial" w:cs="Arial"/>
          <w:sz w:val="26"/>
          <w:szCs w:val="26"/>
          <w:lang w:val="es-ES"/>
        </w:rPr>
        <w:t xml:space="preserve">. Por su parte, el Juzgado Cuarto </w:t>
      </w:r>
      <w:r w:rsidR="00977C00" w:rsidRPr="00AF5C8C">
        <w:rPr>
          <w:rFonts w:ascii="Arial" w:hAnsi="Arial" w:cs="Arial"/>
          <w:sz w:val="26"/>
          <w:szCs w:val="26"/>
          <w:lang w:val="es-ES"/>
        </w:rPr>
        <w:t>Civil</w:t>
      </w:r>
      <w:r w:rsidR="00977C00">
        <w:rPr>
          <w:rFonts w:ascii="Arial" w:hAnsi="Arial" w:cs="Arial"/>
          <w:sz w:val="26"/>
          <w:szCs w:val="26"/>
          <w:lang w:val="es-ES"/>
        </w:rPr>
        <w:t xml:space="preserve"> del Circuito de Pereira, se limitó a remitir copia de las actuaciones en la</w:t>
      </w:r>
      <w:r w:rsidR="00752E46">
        <w:rPr>
          <w:rFonts w:ascii="Arial" w:hAnsi="Arial" w:cs="Arial"/>
          <w:sz w:val="26"/>
          <w:szCs w:val="26"/>
          <w:lang w:val="es-ES"/>
        </w:rPr>
        <w:t>s</w:t>
      </w:r>
      <w:r w:rsidR="00977C00">
        <w:rPr>
          <w:rFonts w:ascii="Arial" w:hAnsi="Arial" w:cs="Arial"/>
          <w:sz w:val="26"/>
          <w:szCs w:val="26"/>
          <w:lang w:val="es-ES"/>
        </w:rPr>
        <w:t xml:space="preserve"> </w:t>
      </w:r>
      <w:r w:rsidR="00ED6C4C">
        <w:rPr>
          <w:rFonts w:ascii="Arial" w:hAnsi="Arial" w:cs="Arial"/>
          <w:sz w:val="26"/>
          <w:szCs w:val="26"/>
          <w:lang w:val="es-ES"/>
        </w:rPr>
        <w:t>acciones populares objeto de la acción de tutela</w:t>
      </w:r>
      <w:r>
        <w:rPr>
          <w:rFonts w:ascii="Arial" w:hAnsi="Arial" w:cs="Arial"/>
          <w:sz w:val="26"/>
          <w:szCs w:val="26"/>
          <w:lang w:val="es-ES"/>
        </w:rPr>
        <w:t xml:space="preserve"> </w:t>
      </w:r>
      <w:r w:rsidR="00ED6C4C">
        <w:rPr>
          <w:rFonts w:ascii="Arial" w:hAnsi="Arial" w:cs="Arial"/>
          <w:sz w:val="24"/>
          <w:szCs w:val="24"/>
        </w:rPr>
        <w:t>66001-22-13-000-2016-0</w:t>
      </w:r>
      <w:r w:rsidR="00ED6C4C">
        <w:rPr>
          <w:rFonts w:ascii="Arial" w:hAnsi="Arial" w:cs="Arial"/>
          <w:b/>
          <w:sz w:val="24"/>
          <w:szCs w:val="24"/>
        </w:rPr>
        <w:t>1126</w:t>
      </w:r>
      <w:r w:rsidR="00ED6C4C">
        <w:rPr>
          <w:rFonts w:ascii="Arial" w:hAnsi="Arial" w:cs="Arial"/>
          <w:sz w:val="24"/>
          <w:szCs w:val="24"/>
        </w:rPr>
        <w:t>-01</w:t>
      </w:r>
      <w:r w:rsidR="00977C00">
        <w:rPr>
          <w:rFonts w:ascii="Arial" w:hAnsi="Arial" w:cs="Arial"/>
          <w:sz w:val="26"/>
          <w:szCs w:val="26"/>
          <w:lang w:val="es-ES"/>
        </w:rPr>
        <w:t xml:space="preserve">. </w:t>
      </w:r>
    </w:p>
    <w:p w:rsidR="00977C00" w:rsidRPr="00D631D5" w:rsidRDefault="00ED6C4C"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00977C00">
        <w:rPr>
          <w:rFonts w:ascii="Arial" w:hAnsi="Arial" w:cs="Arial"/>
          <w:sz w:val="26"/>
          <w:szCs w:val="26"/>
          <w:lang w:val="es-ES"/>
        </w:rPr>
        <w:t>.</w:t>
      </w:r>
      <w:r w:rsidR="00825E6F">
        <w:rPr>
          <w:rFonts w:ascii="Arial" w:hAnsi="Arial" w:cs="Arial"/>
          <w:sz w:val="26"/>
          <w:szCs w:val="26"/>
          <w:lang w:val="es-ES"/>
        </w:rPr>
        <w:t>4</w:t>
      </w:r>
      <w:r w:rsidR="00977C00">
        <w:rPr>
          <w:rFonts w:ascii="Arial" w:hAnsi="Arial" w:cs="Arial"/>
          <w:sz w:val="26"/>
          <w:szCs w:val="26"/>
          <w:lang w:val="es-ES"/>
        </w:rPr>
        <w:t>. Los demás vinculados guardaron</w:t>
      </w:r>
      <w:r w:rsidR="00977C00" w:rsidRPr="000905F6">
        <w:rPr>
          <w:rFonts w:ascii="Arial" w:hAnsi="Arial" w:cs="Arial"/>
          <w:sz w:val="26"/>
          <w:szCs w:val="26"/>
          <w:lang w:val="es-ES"/>
        </w:rPr>
        <w:t xml:space="preserve"> silencio.</w:t>
      </w:r>
    </w:p>
    <w:p w:rsidR="00977C00" w:rsidRPr="00780E8C" w:rsidRDefault="00977C00" w:rsidP="00780E8C">
      <w:pPr>
        <w:pStyle w:val="Sinespaciado1"/>
        <w:spacing w:line="600" w:lineRule="auto"/>
        <w:ind w:firstLine="2835"/>
        <w:rPr>
          <w:rFonts w:ascii="Arial" w:hAnsi="Arial" w:cs="Arial"/>
          <w:b/>
          <w:spacing w:val="-3"/>
          <w:sz w:val="24"/>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E85B41" w:rsidRDefault="00AE243A" w:rsidP="00950D8F">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780E8C" w:rsidRPr="00950D8F" w:rsidRDefault="00780E8C" w:rsidP="00950D8F">
      <w:pPr>
        <w:pStyle w:val="Sinespaciado1"/>
        <w:spacing w:line="360" w:lineRule="auto"/>
        <w:ind w:firstLine="2832"/>
        <w:jc w:val="both"/>
        <w:rPr>
          <w:rFonts w:ascii="Arial" w:hAnsi="Arial" w:cs="Arial"/>
          <w:sz w:val="26"/>
          <w:szCs w:val="26"/>
        </w:rPr>
      </w:pPr>
    </w:p>
    <w:p w:rsidR="0071202F" w:rsidRDefault="0024569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71202F">
        <w:rPr>
          <w:rFonts w:ascii="Arial" w:hAnsi="Arial" w:cs="Arial"/>
          <w:sz w:val="26"/>
          <w:szCs w:val="26"/>
        </w:rPr>
        <w:t xml:space="preserve">La controversia consiste en dilucidar si el </w:t>
      </w:r>
      <w:r w:rsidR="0071202F" w:rsidRPr="00541D87">
        <w:rPr>
          <w:rFonts w:ascii="Arial" w:hAnsi="Arial" w:cs="Arial"/>
          <w:szCs w:val="26"/>
          <w:lang w:val="es-ES" w:eastAsia="es-ES"/>
        </w:rPr>
        <w:t xml:space="preserve">JUZGADO </w:t>
      </w:r>
      <w:r w:rsidR="0071202F">
        <w:rPr>
          <w:rFonts w:ascii="Arial" w:hAnsi="Arial" w:cs="Arial"/>
          <w:szCs w:val="26"/>
          <w:lang w:val="es-ES" w:eastAsia="es-ES"/>
        </w:rPr>
        <w:t xml:space="preserve">CUARTO </w:t>
      </w:r>
      <w:r w:rsidR="0071202F" w:rsidRPr="00541D87">
        <w:rPr>
          <w:rFonts w:ascii="Arial" w:hAnsi="Arial" w:cs="Arial"/>
          <w:szCs w:val="26"/>
          <w:lang w:val="es-ES" w:eastAsia="es-ES"/>
        </w:rPr>
        <w:t>CIVIL DEL CIRCUITO DE PEREIRA</w:t>
      </w:r>
      <w:r w:rsidR="0071202F">
        <w:rPr>
          <w:rFonts w:ascii="Arial" w:hAnsi="Arial" w:cs="Arial"/>
          <w:sz w:val="26"/>
          <w:szCs w:val="26"/>
        </w:rPr>
        <w:t xml:space="preserve">, vulneró las “garantías procesales” del actor, al no cumplir lo que le ordenó la Corte Suprema de Justicia en la acción de tutela </w:t>
      </w:r>
      <w:r w:rsidR="0071202F" w:rsidRPr="000905F6">
        <w:rPr>
          <w:rFonts w:ascii="Arial" w:hAnsi="Arial" w:cs="Arial"/>
          <w:sz w:val="26"/>
          <w:szCs w:val="26"/>
        </w:rPr>
        <w:t xml:space="preserve">radicada bajo </w:t>
      </w:r>
      <w:r w:rsidR="0071202F">
        <w:rPr>
          <w:rFonts w:ascii="Arial" w:hAnsi="Arial" w:cs="Arial"/>
          <w:sz w:val="26"/>
          <w:szCs w:val="26"/>
        </w:rPr>
        <w:t xml:space="preserve">el número </w:t>
      </w:r>
      <w:r w:rsidR="0071202F">
        <w:rPr>
          <w:rFonts w:ascii="Arial" w:hAnsi="Arial" w:cs="Arial"/>
          <w:sz w:val="24"/>
          <w:szCs w:val="24"/>
        </w:rPr>
        <w:t>66001-22-13-000-2016-0</w:t>
      </w:r>
      <w:r w:rsidR="0071202F">
        <w:rPr>
          <w:rFonts w:ascii="Arial" w:hAnsi="Arial" w:cs="Arial"/>
          <w:b/>
          <w:sz w:val="24"/>
          <w:szCs w:val="24"/>
        </w:rPr>
        <w:t>1126</w:t>
      </w:r>
      <w:r w:rsidR="0071202F">
        <w:rPr>
          <w:rFonts w:ascii="Arial" w:hAnsi="Arial" w:cs="Arial"/>
          <w:sz w:val="24"/>
          <w:szCs w:val="24"/>
        </w:rPr>
        <w:t>-01</w:t>
      </w:r>
      <w:r w:rsidR="0071202F">
        <w:rPr>
          <w:rFonts w:ascii="Arial" w:hAnsi="Arial" w:cs="Arial"/>
          <w:sz w:val="26"/>
          <w:szCs w:val="26"/>
        </w:rPr>
        <w:t>, como se afirma en la demanda, que amerite la injerencia del juez Constitucional.</w:t>
      </w:r>
    </w:p>
    <w:p w:rsidR="0071202F" w:rsidRPr="008553CE" w:rsidRDefault="0071202F" w:rsidP="0071202F">
      <w:pPr>
        <w:pStyle w:val="Sinespaciado1"/>
        <w:spacing w:line="360" w:lineRule="auto"/>
        <w:ind w:firstLine="2832"/>
        <w:jc w:val="both"/>
        <w:rPr>
          <w:rFonts w:ascii="Arial" w:hAnsi="Arial" w:cs="Arial"/>
          <w:sz w:val="16"/>
          <w:szCs w:val="26"/>
        </w:rPr>
      </w:pPr>
    </w:p>
    <w:p w:rsidR="0071202F" w:rsidRDefault="0071202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71202F" w:rsidRPr="00EB6F90" w:rsidRDefault="0071202F" w:rsidP="0071202F">
      <w:pPr>
        <w:spacing w:line="360" w:lineRule="auto"/>
        <w:ind w:firstLine="2835"/>
        <w:jc w:val="both"/>
        <w:rPr>
          <w:rFonts w:ascii="Arial" w:hAnsi="Arial" w:cs="Arial"/>
          <w:sz w:val="16"/>
          <w:szCs w:val="26"/>
        </w:rPr>
      </w:pPr>
    </w:p>
    <w:p w:rsidR="0071202F" w:rsidRPr="00414233" w:rsidRDefault="0071202F" w:rsidP="0071202F">
      <w:pPr>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24569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2"/>
      </w:r>
      <w:r w:rsidRPr="00414233">
        <w:rPr>
          <w:rFonts w:ascii="Arial" w:hAnsi="Arial" w:cs="Arial"/>
          <w:sz w:val="26"/>
          <w:szCs w:val="26"/>
        </w:rPr>
        <w:t>.</w:t>
      </w:r>
    </w:p>
    <w:p w:rsidR="0071202F" w:rsidRPr="000905F6" w:rsidRDefault="0071202F" w:rsidP="0071202F">
      <w:pPr>
        <w:pStyle w:val="Sinespaciado1"/>
        <w:spacing w:line="360" w:lineRule="auto"/>
        <w:ind w:firstLine="2832"/>
        <w:jc w:val="both"/>
        <w:rPr>
          <w:rFonts w:ascii="Arial" w:hAnsi="Arial" w:cs="Arial"/>
          <w:sz w:val="24"/>
          <w:szCs w:val="26"/>
          <w:lang w:val="es-ES"/>
        </w:rPr>
      </w:pPr>
    </w:p>
    <w:p w:rsidR="0071202F" w:rsidRPr="000905F6" w:rsidRDefault="0071202F" w:rsidP="0071202F">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71202F" w:rsidRPr="000905F6" w:rsidRDefault="0071202F" w:rsidP="0071202F">
      <w:pPr>
        <w:pStyle w:val="Sinespaciado1"/>
        <w:spacing w:line="360" w:lineRule="auto"/>
        <w:ind w:firstLine="2832"/>
        <w:jc w:val="both"/>
        <w:rPr>
          <w:rFonts w:ascii="Arial" w:hAnsi="Arial" w:cs="Arial"/>
          <w:spacing w:val="-3"/>
          <w:sz w:val="24"/>
          <w:szCs w:val="26"/>
        </w:rPr>
      </w:pPr>
    </w:p>
    <w:p w:rsidR="0071202F" w:rsidRDefault="0071202F" w:rsidP="0071202F">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Pretende el actor, por este mecanismo subsidiario, </w:t>
      </w:r>
      <w:r w:rsidRPr="005D6367">
        <w:rPr>
          <w:rFonts w:ascii="Arial" w:hAnsi="Arial" w:cs="Arial"/>
          <w:sz w:val="26"/>
          <w:szCs w:val="26"/>
        </w:rPr>
        <w:t xml:space="preserve">se </w:t>
      </w:r>
      <w:r>
        <w:rPr>
          <w:rFonts w:ascii="Arial" w:hAnsi="Arial" w:cs="Arial"/>
          <w:sz w:val="26"/>
          <w:szCs w:val="26"/>
        </w:rPr>
        <w:t xml:space="preserve">ordene al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cumplir lo ordenado por la Corte Suprema de Justicia en la acción de tutela </w:t>
      </w:r>
      <w:r w:rsidRPr="000905F6">
        <w:rPr>
          <w:rFonts w:ascii="Arial" w:hAnsi="Arial" w:cs="Arial"/>
          <w:sz w:val="26"/>
          <w:szCs w:val="26"/>
        </w:rPr>
        <w:t xml:space="preserve">radicada bajo </w:t>
      </w:r>
      <w:r>
        <w:rPr>
          <w:rFonts w:ascii="Arial" w:hAnsi="Arial" w:cs="Arial"/>
          <w:sz w:val="26"/>
          <w:szCs w:val="26"/>
        </w:rPr>
        <w:t xml:space="preserve">el número </w:t>
      </w:r>
      <w:r>
        <w:rPr>
          <w:rFonts w:ascii="Arial" w:hAnsi="Arial" w:cs="Arial"/>
          <w:sz w:val="24"/>
          <w:szCs w:val="24"/>
        </w:rPr>
        <w:t>66001-22-13-000-2016-0</w:t>
      </w:r>
      <w:r>
        <w:rPr>
          <w:rFonts w:ascii="Arial" w:hAnsi="Arial" w:cs="Arial"/>
          <w:b/>
          <w:sz w:val="24"/>
          <w:szCs w:val="24"/>
        </w:rPr>
        <w:t>1126</w:t>
      </w:r>
      <w:r>
        <w:rPr>
          <w:rFonts w:ascii="Arial" w:hAnsi="Arial" w:cs="Arial"/>
          <w:sz w:val="24"/>
          <w:szCs w:val="24"/>
        </w:rPr>
        <w:t>-01</w:t>
      </w:r>
      <w:r>
        <w:rPr>
          <w:rFonts w:ascii="Arial" w:hAnsi="Arial" w:cs="Arial"/>
          <w:sz w:val="26"/>
          <w:szCs w:val="26"/>
        </w:rPr>
        <w:t>.</w:t>
      </w:r>
    </w:p>
    <w:p w:rsidR="0071202F" w:rsidRPr="00915BDE" w:rsidRDefault="0071202F" w:rsidP="0071202F">
      <w:pPr>
        <w:pStyle w:val="Sinespaciado1"/>
        <w:spacing w:line="360" w:lineRule="auto"/>
        <w:ind w:firstLine="2832"/>
        <w:jc w:val="both"/>
        <w:rPr>
          <w:rFonts w:ascii="Arial" w:hAnsi="Arial" w:cs="Arial"/>
          <w:sz w:val="16"/>
          <w:szCs w:val="26"/>
        </w:rPr>
      </w:pPr>
    </w:p>
    <w:p w:rsidR="0071202F" w:rsidRDefault="0071202F" w:rsidP="00AA4B1F">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447B65">
        <w:rPr>
          <w:rFonts w:ascii="Arial" w:hAnsi="Arial" w:cs="Arial"/>
          <w:sz w:val="26"/>
          <w:szCs w:val="26"/>
        </w:rPr>
        <w:t xml:space="preserve">De </w:t>
      </w:r>
      <w:r w:rsidRPr="00C669B6">
        <w:rPr>
          <w:rFonts w:ascii="Arial" w:hAnsi="Arial" w:cs="Arial"/>
          <w:sz w:val="26"/>
          <w:szCs w:val="26"/>
        </w:rPr>
        <w:t>entrada se advierte que dicho reclamo está llamado al f</w:t>
      </w:r>
      <w:r>
        <w:rPr>
          <w:rFonts w:ascii="Arial" w:hAnsi="Arial" w:cs="Arial"/>
          <w:sz w:val="26"/>
          <w:szCs w:val="26"/>
        </w:rPr>
        <w:t>racaso, teniendo en cuenta que</w:t>
      </w:r>
      <w:r w:rsidR="007930D3">
        <w:rPr>
          <w:rFonts w:ascii="Arial" w:hAnsi="Arial" w:cs="Arial"/>
          <w:sz w:val="26"/>
          <w:szCs w:val="26"/>
        </w:rPr>
        <w:t>, como lo afirma el propio</w:t>
      </w:r>
      <w:r>
        <w:rPr>
          <w:rFonts w:ascii="Arial" w:hAnsi="Arial" w:cs="Arial"/>
          <w:sz w:val="26"/>
          <w:szCs w:val="26"/>
        </w:rPr>
        <w:t xml:space="preserve"> </w:t>
      </w:r>
      <w:r w:rsidRPr="00C669B6">
        <w:rPr>
          <w:rFonts w:ascii="Arial" w:hAnsi="Arial" w:cs="Arial"/>
          <w:sz w:val="26"/>
          <w:szCs w:val="26"/>
        </w:rPr>
        <w:t>accionante</w:t>
      </w:r>
      <w:r w:rsidR="007930D3">
        <w:rPr>
          <w:rFonts w:ascii="Arial" w:hAnsi="Arial" w:cs="Arial"/>
          <w:sz w:val="26"/>
          <w:szCs w:val="26"/>
        </w:rPr>
        <w:t>,</w:t>
      </w:r>
      <w:r w:rsidRPr="00C669B6">
        <w:rPr>
          <w:rFonts w:ascii="Arial" w:hAnsi="Arial" w:cs="Arial"/>
          <w:sz w:val="26"/>
          <w:szCs w:val="26"/>
        </w:rPr>
        <w:t xml:space="preserve"> </w:t>
      </w:r>
      <w:r>
        <w:rPr>
          <w:rFonts w:ascii="Arial" w:hAnsi="Arial" w:cs="Arial"/>
          <w:sz w:val="26"/>
          <w:szCs w:val="26"/>
        </w:rPr>
        <w:t>la Sala de Casación Civil de la Corte Suprema de Justicia, en segunda instancia, luego de revocar</w:t>
      </w:r>
      <w:r w:rsidR="00330FAE">
        <w:rPr>
          <w:rFonts w:ascii="Arial" w:hAnsi="Arial" w:cs="Arial"/>
          <w:sz w:val="26"/>
          <w:szCs w:val="26"/>
        </w:rPr>
        <w:t xml:space="preserve"> la sentencia proferida</w:t>
      </w:r>
      <w:r>
        <w:rPr>
          <w:rFonts w:ascii="Arial" w:hAnsi="Arial" w:cs="Arial"/>
          <w:sz w:val="26"/>
          <w:szCs w:val="26"/>
        </w:rPr>
        <w:t xml:space="preserve"> por esta Sala en sede de tutela</w:t>
      </w:r>
      <w:r>
        <w:rPr>
          <w:rStyle w:val="Appelnotedebasdep"/>
          <w:rFonts w:ascii="Arial" w:hAnsi="Arial"/>
          <w:sz w:val="26"/>
          <w:szCs w:val="26"/>
        </w:rPr>
        <w:footnoteReference w:id="3"/>
      </w:r>
      <w:r>
        <w:rPr>
          <w:rFonts w:ascii="Arial" w:hAnsi="Arial" w:cs="Arial"/>
          <w:sz w:val="26"/>
          <w:szCs w:val="26"/>
        </w:rPr>
        <w:t xml:space="preserve">, </w:t>
      </w:r>
      <w:r w:rsidR="00330FAE">
        <w:rPr>
          <w:rFonts w:ascii="Arial" w:hAnsi="Arial" w:cs="Arial"/>
          <w:sz w:val="26"/>
          <w:szCs w:val="26"/>
        </w:rPr>
        <w:t xml:space="preserve">le </w:t>
      </w:r>
      <w:r w:rsidRPr="00AA4B1F">
        <w:rPr>
          <w:rFonts w:ascii="Arial" w:hAnsi="Arial" w:cs="Arial"/>
          <w:sz w:val="26"/>
          <w:szCs w:val="26"/>
        </w:rPr>
        <w:t>concedió</w:t>
      </w:r>
      <w:r w:rsidR="00AA4B1F" w:rsidRPr="00AA4B1F">
        <w:rPr>
          <w:rFonts w:ascii="Arial" w:hAnsi="Arial" w:cs="Arial"/>
          <w:sz w:val="26"/>
          <w:szCs w:val="26"/>
        </w:rPr>
        <w:t xml:space="preserve"> la protección constitucional invocada</w:t>
      </w:r>
      <w:r w:rsidRPr="00AA4B1F">
        <w:rPr>
          <w:rFonts w:ascii="Arial" w:hAnsi="Arial" w:cs="Arial"/>
          <w:sz w:val="26"/>
          <w:szCs w:val="26"/>
        </w:rPr>
        <w:t xml:space="preserve"> y ordenó </w:t>
      </w:r>
      <w:r w:rsidRPr="00AA4B1F">
        <w:rPr>
          <w:rFonts w:ascii="Arial" w:hAnsi="Arial" w:cs="Arial"/>
          <w:i/>
          <w:sz w:val="24"/>
          <w:szCs w:val="26"/>
        </w:rPr>
        <w:t>“</w:t>
      </w:r>
      <w:r w:rsidR="00AA4B1F" w:rsidRPr="00330FAE">
        <w:rPr>
          <w:rFonts w:ascii="Arial" w:hAnsi="Arial" w:cs="Arial"/>
          <w:i/>
          <w:sz w:val="24"/>
          <w:szCs w:val="24"/>
        </w:rPr>
        <w:t>al Juzgado 4º Civil del Circuito de Pereira que en el término máximo de cuarenta y ocho (48) horas contadas a partir de la notificación de esta providencia, deje sin efectos la actuación objeto de la queja a partir del auto inadmisorio de la demanda, inclusive, y en su lugar le dé el trámite de rigor</w:t>
      </w:r>
      <w:r w:rsidRPr="00330FAE">
        <w:rPr>
          <w:rFonts w:ascii="Arial" w:hAnsi="Arial" w:cs="Arial"/>
          <w:i/>
          <w:sz w:val="24"/>
          <w:szCs w:val="24"/>
        </w:rPr>
        <w:t>.</w:t>
      </w:r>
      <w:r w:rsidRPr="00AA4B1F">
        <w:rPr>
          <w:rFonts w:ascii="Arial" w:hAnsi="Arial" w:cs="Arial"/>
          <w:i/>
          <w:sz w:val="24"/>
          <w:szCs w:val="26"/>
        </w:rPr>
        <w:t>”</w:t>
      </w:r>
      <w:r w:rsidR="007930D3">
        <w:rPr>
          <w:rStyle w:val="Appelnotedebasdep"/>
          <w:rFonts w:ascii="Arial" w:hAnsi="Arial"/>
          <w:i/>
          <w:sz w:val="24"/>
          <w:szCs w:val="26"/>
        </w:rPr>
        <w:footnoteReference w:id="4"/>
      </w:r>
      <w:r w:rsidRPr="00AA4B1F">
        <w:rPr>
          <w:rFonts w:ascii="Arial" w:hAnsi="Arial" w:cs="Arial"/>
          <w:sz w:val="26"/>
          <w:szCs w:val="26"/>
        </w:rPr>
        <w:t>.</w:t>
      </w:r>
    </w:p>
    <w:p w:rsidR="0071202F" w:rsidRPr="005817D9" w:rsidRDefault="0071202F" w:rsidP="0071202F">
      <w:pPr>
        <w:pStyle w:val="Sinespaciado1"/>
        <w:spacing w:line="360" w:lineRule="auto"/>
        <w:ind w:firstLine="2835"/>
        <w:jc w:val="both"/>
        <w:rPr>
          <w:rFonts w:ascii="Arial" w:hAnsi="Arial" w:cs="Arial"/>
          <w:sz w:val="16"/>
          <w:szCs w:val="16"/>
        </w:rPr>
      </w:pPr>
    </w:p>
    <w:p w:rsidR="0071202F" w:rsidRPr="008D3941" w:rsidRDefault="0071202F" w:rsidP="0071202F">
      <w:pPr>
        <w:pStyle w:val="Sinespaciado1"/>
        <w:spacing w:line="360" w:lineRule="auto"/>
        <w:ind w:firstLine="2835"/>
        <w:jc w:val="both"/>
        <w:rPr>
          <w:rFonts w:ascii="Arial" w:hAnsi="Arial" w:cs="Arial"/>
          <w:sz w:val="26"/>
          <w:szCs w:val="26"/>
          <w:lang w:val="es-ES"/>
        </w:rPr>
      </w:pPr>
      <w:r>
        <w:rPr>
          <w:rFonts w:ascii="Arial" w:hAnsi="Arial" w:cs="Arial"/>
          <w:sz w:val="26"/>
          <w:szCs w:val="26"/>
        </w:rPr>
        <w:t>Así las cosas, el amparo se torna improcedente por</w:t>
      </w:r>
      <w:r w:rsidRPr="00393304">
        <w:rPr>
          <w:rFonts w:ascii="Arial" w:hAnsi="Arial" w:cs="Arial"/>
          <w:sz w:val="26"/>
          <w:szCs w:val="26"/>
        </w:rPr>
        <w:t xml:space="preserve"> cuanto es claro que existe </w:t>
      </w:r>
      <w:r>
        <w:rPr>
          <w:rFonts w:ascii="Arial" w:hAnsi="Arial" w:cs="Arial"/>
          <w:sz w:val="26"/>
          <w:szCs w:val="26"/>
        </w:rPr>
        <w:t xml:space="preserve">otro mecanismo judicial idóneo </w:t>
      </w:r>
      <w:r w:rsidRPr="00393304">
        <w:rPr>
          <w:rFonts w:ascii="Arial" w:hAnsi="Arial" w:cs="Arial"/>
          <w:sz w:val="26"/>
          <w:szCs w:val="26"/>
        </w:rPr>
        <w:t xml:space="preserve">para dirimir </w:t>
      </w:r>
      <w:r>
        <w:rPr>
          <w:rFonts w:ascii="Arial" w:hAnsi="Arial" w:cs="Arial"/>
          <w:sz w:val="26"/>
          <w:szCs w:val="26"/>
        </w:rPr>
        <w:t>la situación planteada</w:t>
      </w:r>
      <w:r w:rsidRPr="00393304">
        <w:rPr>
          <w:rFonts w:ascii="Arial" w:hAnsi="Arial" w:cs="Arial"/>
          <w:sz w:val="26"/>
          <w:szCs w:val="26"/>
        </w:rPr>
        <w:t xml:space="preserve"> por el actor, en tanto la tutela no está llamada a prosperar cuando se cuenta con otros medios de defensa</w:t>
      </w:r>
      <w:r>
        <w:rPr>
          <w:rFonts w:ascii="Arial" w:hAnsi="Arial" w:cs="Arial"/>
          <w:sz w:val="26"/>
          <w:szCs w:val="26"/>
        </w:rPr>
        <w:t xml:space="preserve"> </w:t>
      </w:r>
      <w:r w:rsidRPr="00287868">
        <w:rPr>
          <w:rFonts w:ascii="Arial" w:hAnsi="Arial" w:cs="Arial"/>
          <w:sz w:val="26"/>
          <w:szCs w:val="26"/>
        </w:rPr>
        <w:t xml:space="preserve">como </w:t>
      </w:r>
      <w:r>
        <w:rPr>
          <w:rFonts w:ascii="Arial" w:hAnsi="Arial" w:cs="Arial"/>
          <w:sz w:val="26"/>
          <w:szCs w:val="26"/>
        </w:rPr>
        <w:t xml:space="preserve">lo </w:t>
      </w:r>
      <w:r w:rsidRPr="00287868">
        <w:rPr>
          <w:rFonts w:ascii="Arial" w:hAnsi="Arial" w:cs="Arial"/>
          <w:sz w:val="26"/>
          <w:szCs w:val="26"/>
        </w:rPr>
        <w:t>es</w:t>
      </w:r>
      <w:r>
        <w:rPr>
          <w:rFonts w:ascii="Arial" w:hAnsi="Arial" w:cs="Arial"/>
          <w:sz w:val="26"/>
          <w:szCs w:val="26"/>
        </w:rPr>
        <w:t>,</w:t>
      </w:r>
      <w:r w:rsidRPr="00287868">
        <w:rPr>
          <w:rFonts w:ascii="Arial" w:hAnsi="Arial" w:cs="Arial"/>
          <w:sz w:val="26"/>
          <w:szCs w:val="26"/>
        </w:rPr>
        <w:t xml:space="preserve"> </w:t>
      </w:r>
      <w:r>
        <w:rPr>
          <w:rFonts w:ascii="Arial" w:hAnsi="Arial" w:cs="Arial"/>
          <w:sz w:val="26"/>
          <w:szCs w:val="26"/>
        </w:rPr>
        <w:t>formular el respectivo incidente de desacato,</w:t>
      </w:r>
      <w:r w:rsidRPr="00393304">
        <w:rPr>
          <w:rFonts w:ascii="Arial" w:hAnsi="Arial" w:cs="Arial"/>
          <w:sz w:val="26"/>
          <w:szCs w:val="26"/>
        </w:rPr>
        <w:t xml:space="preserve"> escenario propicio para </w:t>
      </w:r>
      <w:r w:rsidRPr="00393304">
        <w:rPr>
          <w:rFonts w:ascii="Arial" w:hAnsi="Arial" w:cs="Arial"/>
          <w:sz w:val="26"/>
          <w:szCs w:val="26"/>
        </w:rPr>
        <w:lastRenderedPageBreak/>
        <w:t>resolver la</w:t>
      </w:r>
      <w:r>
        <w:rPr>
          <w:rFonts w:ascii="Arial" w:hAnsi="Arial" w:cs="Arial"/>
          <w:sz w:val="26"/>
          <w:szCs w:val="26"/>
        </w:rPr>
        <w:t xml:space="preserve"> inconformidad del actor</w:t>
      </w:r>
      <w:r w:rsidRPr="00393304">
        <w:rPr>
          <w:rFonts w:ascii="Arial" w:hAnsi="Arial" w:cs="Arial"/>
          <w:sz w:val="26"/>
          <w:szCs w:val="26"/>
        </w:rPr>
        <w:t xml:space="preserve"> suscitada</w:t>
      </w:r>
      <w:r>
        <w:rPr>
          <w:rFonts w:ascii="Arial" w:hAnsi="Arial" w:cs="Arial"/>
          <w:sz w:val="26"/>
          <w:szCs w:val="26"/>
        </w:rPr>
        <w:t xml:space="preserve"> </w:t>
      </w:r>
      <w:r w:rsidRPr="00D743A4">
        <w:rPr>
          <w:rFonts w:ascii="Arial" w:hAnsi="Arial" w:cs="Arial"/>
          <w:sz w:val="26"/>
          <w:szCs w:val="26"/>
        </w:rPr>
        <w:t xml:space="preserve">en </w:t>
      </w:r>
      <w:r>
        <w:rPr>
          <w:rFonts w:ascii="Arial" w:hAnsi="Arial" w:cs="Arial"/>
          <w:sz w:val="26"/>
          <w:szCs w:val="26"/>
        </w:rPr>
        <w:t>torno al supuesto incumplimiento</w:t>
      </w:r>
      <w:r w:rsidRPr="001158CC">
        <w:rPr>
          <w:rFonts w:ascii="Arial" w:hAnsi="Arial" w:cs="Arial"/>
          <w:sz w:val="26"/>
          <w:szCs w:val="26"/>
        </w:rPr>
        <w:t xml:space="preserve"> de lo ordenado en la sentencia</w:t>
      </w:r>
      <w:r>
        <w:rPr>
          <w:rFonts w:ascii="Arial" w:hAnsi="Arial" w:cs="Arial"/>
          <w:sz w:val="26"/>
          <w:szCs w:val="26"/>
        </w:rPr>
        <w:t xml:space="preserve"> proferida por la Sala de Casación Civil de la Corte Suprema de Justicia, en segunda instancia, </w:t>
      </w:r>
      <w:r w:rsidRPr="00FA2CD5">
        <w:rPr>
          <w:rFonts w:ascii="Arial" w:hAnsi="Arial" w:cs="Arial"/>
          <w:sz w:val="26"/>
          <w:szCs w:val="26"/>
        </w:rPr>
        <w:t>para</w:t>
      </w:r>
      <w:r>
        <w:rPr>
          <w:rFonts w:ascii="Arial" w:hAnsi="Arial" w:cs="Arial"/>
          <w:sz w:val="26"/>
          <w:szCs w:val="26"/>
        </w:rPr>
        <w:t xml:space="preserve"> </w:t>
      </w:r>
      <w:r w:rsidR="002D3A12">
        <w:rPr>
          <w:rFonts w:ascii="Arial" w:hAnsi="Arial" w:cs="Arial"/>
          <w:sz w:val="26"/>
          <w:szCs w:val="26"/>
        </w:rPr>
        <w:t>determinar</w:t>
      </w:r>
      <w:r w:rsidRPr="00FA2CD5">
        <w:rPr>
          <w:rFonts w:ascii="Arial" w:hAnsi="Arial" w:cs="Arial"/>
          <w:sz w:val="26"/>
          <w:szCs w:val="26"/>
        </w:rPr>
        <w:t xml:space="preserve"> si la orden fue cumplida o si </w:t>
      </w:r>
      <w:r>
        <w:rPr>
          <w:rFonts w:ascii="Arial" w:hAnsi="Arial" w:cs="Arial"/>
          <w:sz w:val="26"/>
          <w:szCs w:val="26"/>
        </w:rPr>
        <w:t>dicho</w:t>
      </w:r>
      <w:r w:rsidRPr="00FA2CD5">
        <w:rPr>
          <w:rFonts w:ascii="Arial" w:hAnsi="Arial" w:cs="Arial"/>
          <w:sz w:val="26"/>
          <w:szCs w:val="26"/>
        </w:rPr>
        <w:t xml:space="preserve"> incumplimiento</w:t>
      </w:r>
      <w:r>
        <w:rPr>
          <w:rFonts w:ascii="Arial" w:hAnsi="Arial" w:cs="Arial"/>
          <w:sz w:val="26"/>
          <w:szCs w:val="26"/>
        </w:rPr>
        <w:t xml:space="preserve"> fue</w:t>
      </w:r>
      <w:r w:rsidRPr="00FA2CD5">
        <w:rPr>
          <w:rFonts w:ascii="Arial" w:hAnsi="Arial" w:cs="Arial"/>
          <w:sz w:val="26"/>
          <w:szCs w:val="26"/>
        </w:rPr>
        <w:t xml:space="preserve"> total o parcial y las razones que </w:t>
      </w:r>
      <w:r>
        <w:rPr>
          <w:rFonts w:ascii="Arial" w:hAnsi="Arial" w:cs="Arial"/>
          <w:sz w:val="26"/>
          <w:szCs w:val="26"/>
        </w:rPr>
        <w:t xml:space="preserve">lo </w:t>
      </w:r>
      <w:r w:rsidRPr="00FA2CD5">
        <w:rPr>
          <w:rFonts w:ascii="Arial" w:hAnsi="Arial" w:cs="Arial"/>
          <w:sz w:val="26"/>
          <w:szCs w:val="26"/>
        </w:rPr>
        <w:t>motivaron</w:t>
      </w:r>
      <w:r>
        <w:rPr>
          <w:rFonts w:ascii="Arial" w:hAnsi="Arial" w:cs="Arial"/>
          <w:sz w:val="26"/>
          <w:szCs w:val="26"/>
        </w:rPr>
        <w:t>.</w:t>
      </w:r>
    </w:p>
    <w:p w:rsidR="0071202F" w:rsidRPr="00AD78FF" w:rsidRDefault="0071202F" w:rsidP="0071202F">
      <w:pPr>
        <w:pStyle w:val="Sinespaciado1"/>
        <w:spacing w:line="360" w:lineRule="auto"/>
        <w:ind w:firstLine="2835"/>
        <w:jc w:val="both"/>
        <w:rPr>
          <w:rFonts w:ascii="Arial" w:hAnsi="Arial" w:cs="Arial"/>
          <w:sz w:val="16"/>
          <w:szCs w:val="16"/>
          <w:highlight w:val="yellow"/>
          <w:lang w:val="es-ES"/>
        </w:rPr>
      </w:pPr>
    </w:p>
    <w:p w:rsidR="0071202F" w:rsidRPr="008D3941" w:rsidRDefault="0071202F" w:rsidP="0071202F">
      <w:pPr>
        <w:pStyle w:val="Sinespaciado1"/>
        <w:spacing w:line="360" w:lineRule="auto"/>
        <w:ind w:firstLine="2835"/>
        <w:jc w:val="both"/>
        <w:rPr>
          <w:rFonts w:ascii="Arial" w:hAnsi="Arial" w:cs="Arial"/>
          <w:sz w:val="26"/>
          <w:szCs w:val="26"/>
          <w:highlight w:val="yellow"/>
          <w:lang w:val="es-ES"/>
        </w:rPr>
      </w:pPr>
      <w:r>
        <w:rPr>
          <w:rFonts w:ascii="Arial" w:hAnsi="Arial" w:cs="Arial"/>
          <w:sz w:val="26"/>
          <w:szCs w:val="26"/>
        </w:rPr>
        <w:t>La Corte Constitucional desde tiempo atrás, refiriéndose a las f</w:t>
      </w:r>
      <w:r w:rsidRPr="00CD26FD">
        <w:rPr>
          <w:rFonts w:ascii="Arial" w:hAnsi="Arial" w:cs="Arial"/>
          <w:sz w:val="26"/>
          <w:szCs w:val="26"/>
        </w:rPr>
        <w:t>acultades del juez constitucional frente a la ma</w:t>
      </w:r>
      <w:r>
        <w:rPr>
          <w:rFonts w:ascii="Arial" w:hAnsi="Arial" w:cs="Arial"/>
          <w:sz w:val="26"/>
          <w:szCs w:val="26"/>
        </w:rPr>
        <w:t>terialización de sus decisiones, contempladas en el decreto 2591 de 1991, por medio de</w:t>
      </w:r>
      <w:r w:rsidRPr="00CD26FD">
        <w:rPr>
          <w:rFonts w:ascii="Arial" w:hAnsi="Arial" w:cs="Arial"/>
          <w:sz w:val="26"/>
          <w:szCs w:val="26"/>
        </w:rPr>
        <w:t>l trámite de cumplimiento</w:t>
      </w:r>
      <w:r>
        <w:rPr>
          <w:rFonts w:ascii="Arial" w:hAnsi="Arial" w:cs="Arial"/>
          <w:sz w:val="26"/>
          <w:szCs w:val="26"/>
        </w:rPr>
        <w:t xml:space="preserve"> </w:t>
      </w:r>
      <w:r w:rsidRPr="00CD26FD">
        <w:rPr>
          <w:rFonts w:ascii="Arial" w:hAnsi="Arial" w:cs="Arial"/>
          <w:sz w:val="26"/>
          <w:szCs w:val="26"/>
        </w:rPr>
        <w:t>y el incidente de desacato de las sentencias de tutela</w:t>
      </w:r>
      <w:r>
        <w:rPr>
          <w:rFonts w:ascii="Arial" w:hAnsi="Arial" w:cs="Arial"/>
          <w:sz w:val="26"/>
          <w:szCs w:val="26"/>
        </w:rPr>
        <w:t>, y reiterado en sentencia T-226 de 2016, expuso:</w:t>
      </w:r>
    </w:p>
    <w:p w:rsidR="0071202F" w:rsidRPr="008D3941" w:rsidRDefault="0071202F" w:rsidP="0071202F">
      <w:pPr>
        <w:pStyle w:val="Sinespaciado1"/>
        <w:spacing w:line="360" w:lineRule="auto"/>
        <w:ind w:firstLine="2835"/>
        <w:jc w:val="both"/>
        <w:rPr>
          <w:rFonts w:ascii="Arial" w:hAnsi="Arial" w:cs="Arial"/>
          <w:sz w:val="16"/>
          <w:szCs w:val="26"/>
          <w:highlight w:val="yellow"/>
          <w:lang w:val="es-ES"/>
        </w:rPr>
      </w:pPr>
    </w:p>
    <w:p w:rsidR="0071202F" w:rsidRPr="009E7203" w:rsidRDefault="0071202F" w:rsidP="0071202F">
      <w:pPr>
        <w:widowControl w:val="0"/>
        <w:ind w:left="567" w:right="567"/>
        <w:jc w:val="both"/>
        <w:rPr>
          <w:rFonts w:ascii="Arial" w:hAnsi="Arial" w:cs="Arial"/>
          <w:i/>
          <w:sz w:val="24"/>
          <w:szCs w:val="24"/>
          <w:shd w:val="clear" w:color="auto" w:fill="FFFFFF"/>
        </w:rPr>
      </w:pPr>
      <w:r w:rsidRPr="009E7203">
        <w:rPr>
          <w:rFonts w:ascii="Arial" w:hAnsi="Arial" w:cs="Arial"/>
          <w:i/>
          <w:sz w:val="24"/>
          <w:szCs w:val="24"/>
        </w:rPr>
        <w:t>“</w:t>
      </w:r>
      <w:r w:rsidRPr="009E7203">
        <w:rPr>
          <w:rFonts w:ascii="Arial" w:hAnsi="Arial" w:cs="Arial"/>
          <w:i/>
          <w:sz w:val="24"/>
          <w:szCs w:val="24"/>
          <w:shd w:val="clear" w:color="auto" w:fill="FFFFFF"/>
        </w:rPr>
        <w:t>(…)</w:t>
      </w:r>
    </w:p>
    <w:p w:rsidR="0071202F" w:rsidRPr="009D0824" w:rsidRDefault="0071202F" w:rsidP="0071202F">
      <w:pPr>
        <w:widowControl w:val="0"/>
        <w:ind w:left="567" w:right="567"/>
        <w:jc w:val="both"/>
        <w:rPr>
          <w:rFonts w:ascii="Arial" w:hAnsi="Arial" w:cs="Arial"/>
          <w:i/>
          <w:sz w:val="16"/>
          <w:szCs w:val="16"/>
          <w:shd w:val="clear" w:color="auto" w:fill="FFFFFF"/>
        </w:rPr>
      </w:pPr>
    </w:p>
    <w:p w:rsidR="0071202F" w:rsidRPr="009E7203" w:rsidRDefault="0071202F" w:rsidP="0071202F">
      <w:pPr>
        <w:widowControl w:val="0"/>
        <w:ind w:left="567" w:right="567"/>
        <w:jc w:val="both"/>
        <w:rPr>
          <w:rFonts w:ascii="Arial" w:hAnsi="Arial" w:cs="Arial"/>
          <w:i/>
          <w:sz w:val="24"/>
          <w:szCs w:val="24"/>
        </w:rPr>
      </w:pPr>
      <w:r w:rsidRPr="009E7203">
        <w:rPr>
          <w:rFonts w:ascii="Arial" w:hAnsi="Arial" w:cs="Arial"/>
          <w:i/>
          <w:sz w:val="24"/>
          <w:szCs w:val="24"/>
          <w:shd w:val="clear" w:color="auto" w:fill="FFFFFF"/>
        </w:rPr>
        <w:t xml:space="preserve">La norma precisa que las órdenes consignadas en los fallos de tutela estimatorios deben asegurar </w:t>
      </w:r>
      <w:r w:rsidRPr="009E7203">
        <w:rPr>
          <w:rFonts w:ascii="Arial" w:hAnsi="Arial" w:cs="Arial"/>
          <w:i/>
          <w:sz w:val="24"/>
          <w:szCs w:val="24"/>
          <w:lang w:val="es-CO"/>
        </w:rPr>
        <w:t xml:space="preserve">que quien formuló la acción goce plenamente de los derechos fundamentales que le fueron vulnerados y que, si es posible, retorne a la situación en la que se encontraba antes del momento de su lesión. Si la infracción denunciada se presentó a raíz de una omisión, el fallo debe asegurar que la conducta omitida se realice. Si, en cambio, la tutela se promovió ante la amenaza de un derecho fundamental, el juez debe ordenar que cese e impartir las medidas necesarias para </w:t>
      </w:r>
      <w:r w:rsidRPr="009E7203">
        <w:rPr>
          <w:rFonts w:ascii="Arial" w:hAnsi="Arial" w:cs="Arial"/>
          <w:i/>
          <w:sz w:val="24"/>
          <w:szCs w:val="24"/>
        </w:rPr>
        <w:t xml:space="preserve">evitar que el derecho comprometido vuelva a ser violado, perturbado o restringido. </w:t>
      </w:r>
    </w:p>
    <w:p w:rsidR="0071202F" w:rsidRPr="009D0824" w:rsidRDefault="0071202F" w:rsidP="0071202F">
      <w:pPr>
        <w:widowControl w:val="0"/>
        <w:ind w:left="567" w:right="567"/>
        <w:jc w:val="both"/>
        <w:rPr>
          <w:rFonts w:ascii="Arial" w:hAnsi="Arial" w:cs="Arial"/>
          <w:i/>
          <w:sz w:val="16"/>
          <w:szCs w:val="16"/>
          <w:shd w:val="clear" w:color="auto" w:fill="FFFFFF"/>
        </w:rPr>
      </w:pPr>
    </w:p>
    <w:p w:rsidR="0071202F" w:rsidRPr="009E7203" w:rsidRDefault="0071202F" w:rsidP="0071202F">
      <w:pPr>
        <w:widowControl w:val="0"/>
        <w:ind w:left="567" w:right="567"/>
        <w:jc w:val="both"/>
        <w:rPr>
          <w:rFonts w:ascii="Arial" w:hAnsi="Arial" w:cs="Arial"/>
          <w:i/>
          <w:sz w:val="24"/>
          <w:szCs w:val="24"/>
          <w:shd w:val="clear" w:color="auto" w:fill="FFFFFF"/>
        </w:rPr>
      </w:pPr>
      <w:r w:rsidRPr="009E7203">
        <w:rPr>
          <w:rFonts w:ascii="Arial" w:hAnsi="Arial" w:cs="Arial"/>
          <w:i/>
          <w:sz w:val="24"/>
          <w:szCs w:val="24"/>
          <w:shd w:val="clear" w:color="auto" w:fill="FFFFFF"/>
        </w:rPr>
        <w:t xml:space="preserve">34. Desde ese punto, el juez de tutela debe centrar su atención en la ejecución de lo ordenado en la sentencia. Y lo debe hacer valiéndose de los dos mecanismos procesales que el Decreto 2591 ideó para ello: el trámite de cumplimiento y el incidente de desacato. </w:t>
      </w:r>
    </w:p>
    <w:p w:rsidR="0071202F" w:rsidRPr="009D0824" w:rsidRDefault="0071202F" w:rsidP="0071202F">
      <w:pPr>
        <w:widowControl w:val="0"/>
        <w:ind w:left="567" w:right="567"/>
        <w:jc w:val="both"/>
        <w:rPr>
          <w:rFonts w:ascii="Arial" w:hAnsi="Arial" w:cs="Arial"/>
          <w:i/>
          <w:sz w:val="16"/>
          <w:szCs w:val="16"/>
          <w:shd w:val="clear" w:color="auto" w:fill="FFFFFF"/>
        </w:rPr>
      </w:pPr>
    </w:p>
    <w:p w:rsidR="0071202F" w:rsidRPr="009E7203" w:rsidRDefault="0071202F" w:rsidP="0071202F">
      <w:pPr>
        <w:pStyle w:val="Corpsdetexte"/>
        <w:tabs>
          <w:tab w:val="left" w:pos="9360"/>
        </w:tabs>
        <w:ind w:left="567" w:right="567"/>
        <w:rPr>
          <w:rFonts w:ascii="Arial" w:hAnsi="Arial" w:cs="Arial"/>
          <w:i/>
          <w:szCs w:val="24"/>
          <w:lang w:val="es-CO"/>
        </w:rPr>
      </w:pPr>
      <w:r w:rsidRPr="009E7203">
        <w:rPr>
          <w:rFonts w:ascii="Arial" w:hAnsi="Arial" w:cs="Arial"/>
          <w:i/>
          <w:szCs w:val="24"/>
          <w:lang w:val="es-CO"/>
        </w:rPr>
        <w:t>(…)</w:t>
      </w:r>
    </w:p>
    <w:p w:rsidR="0071202F" w:rsidRPr="009D0824" w:rsidRDefault="0071202F" w:rsidP="0071202F">
      <w:pPr>
        <w:pStyle w:val="Corpsdetexte"/>
        <w:tabs>
          <w:tab w:val="left" w:pos="9360"/>
        </w:tabs>
        <w:ind w:left="567" w:right="567"/>
        <w:rPr>
          <w:rFonts w:ascii="Arial" w:hAnsi="Arial" w:cs="Arial"/>
          <w:i/>
          <w:sz w:val="16"/>
          <w:szCs w:val="16"/>
          <w:lang w:val="es-CO"/>
        </w:rPr>
      </w:pPr>
    </w:p>
    <w:p w:rsidR="0071202F" w:rsidRPr="009E7203" w:rsidRDefault="0071202F" w:rsidP="0071202F">
      <w:pPr>
        <w:pStyle w:val="Corpsdetexte"/>
        <w:tabs>
          <w:tab w:val="left" w:pos="9360"/>
        </w:tabs>
        <w:ind w:left="567" w:right="567"/>
        <w:rPr>
          <w:rFonts w:ascii="Arial" w:hAnsi="Arial" w:cs="Arial"/>
          <w:i/>
          <w:szCs w:val="24"/>
          <w:lang w:val="es-CO"/>
        </w:rPr>
      </w:pPr>
      <w:r w:rsidRPr="009E7203">
        <w:rPr>
          <w:rFonts w:ascii="Arial" w:hAnsi="Arial" w:cs="Arial"/>
          <w:i/>
          <w:szCs w:val="24"/>
          <w:lang w:val="es-CO"/>
        </w:rPr>
        <w:t>La razón de ser de ambos mecanismos es, en últimas, lograr que la orden de tutela se ejecute. De ahí que puedan tramitarse simultánea o sucesivamente. Lo importante, ha dicho la jurisprudencia, es que el juez de tutela logre sortear las dificultades prácticas y formales que impiden que el ciudadano disfrute de su derecho en las condiciones contempladas en la decisión que lo protegió</w:t>
      </w:r>
      <w:r w:rsidRPr="009E7203">
        <w:rPr>
          <w:rFonts w:ascii="Arial" w:hAnsi="Arial" w:cs="Arial"/>
          <w:i/>
          <w:szCs w:val="24"/>
          <w:vertAlign w:val="superscript"/>
          <w:lang w:val="es-CO"/>
        </w:rPr>
        <w:footnoteReference w:id="5"/>
      </w:r>
      <w:r w:rsidRPr="009E7203">
        <w:rPr>
          <w:rFonts w:ascii="Arial" w:hAnsi="Arial" w:cs="Arial"/>
          <w:i/>
          <w:szCs w:val="24"/>
          <w:lang w:val="es-CO"/>
        </w:rPr>
        <w:t xml:space="preserve">.  </w:t>
      </w:r>
    </w:p>
    <w:p w:rsidR="0071202F" w:rsidRPr="009D0824" w:rsidRDefault="0071202F" w:rsidP="0071202F">
      <w:pPr>
        <w:pStyle w:val="Corpsdetexte"/>
        <w:tabs>
          <w:tab w:val="left" w:pos="9360"/>
        </w:tabs>
        <w:ind w:left="567" w:right="567"/>
        <w:rPr>
          <w:rFonts w:ascii="Arial" w:hAnsi="Arial" w:cs="Arial"/>
          <w:i/>
          <w:sz w:val="16"/>
          <w:szCs w:val="16"/>
          <w:lang w:val="es-CO"/>
        </w:rPr>
      </w:pPr>
    </w:p>
    <w:p w:rsidR="0071202F" w:rsidRPr="009E7203" w:rsidRDefault="0071202F" w:rsidP="0071202F">
      <w:pPr>
        <w:pStyle w:val="Corpsdetexte"/>
        <w:tabs>
          <w:tab w:val="left" w:pos="9360"/>
        </w:tabs>
        <w:ind w:left="567" w:right="567"/>
        <w:rPr>
          <w:rFonts w:ascii="Arial" w:hAnsi="Arial" w:cs="Arial"/>
          <w:i/>
          <w:szCs w:val="24"/>
          <w:lang w:val="es-CO"/>
        </w:rPr>
      </w:pPr>
      <w:r>
        <w:rPr>
          <w:rFonts w:ascii="Arial" w:hAnsi="Arial" w:cs="Arial"/>
          <w:i/>
          <w:szCs w:val="24"/>
          <w:lang w:val="es-CO"/>
        </w:rPr>
        <w:t>(…)</w:t>
      </w:r>
    </w:p>
    <w:p w:rsidR="0071202F" w:rsidRPr="009D0824" w:rsidRDefault="0071202F" w:rsidP="0071202F">
      <w:pPr>
        <w:pStyle w:val="Corpsdetexte"/>
        <w:tabs>
          <w:tab w:val="left" w:pos="9360"/>
        </w:tabs>
        <w:ind w:left="567" w:right="567"/>
        <w:rPr>
          <w:rFonts w:ascii="Arial" w:hAnsi="Arial" w:cs="Arial"/>
          <w:i/>
          <w:sz w:val="16"/>
          <w:szCs w:val="16"/>
          <w:lang w:val="es-CO"/>
        </w:rPr>
      </w:pPr>
    </w:p>
    <w:p w:rsidR="0071202F" w:rsidRPr="009E7203" w:rsidRDefault="0071202F" w:rsidP="0071202F">
      <w:pPr>
        <w:pStyle w:val="NormalWeb"/>
        <w:spacing w:before="0" w:beforeAutospacing="0" w:after="0" w:afterAutospacing="0"/>
        <w:ind w:left="567" w:right="567"/>
        <w:jc w:val="both"/>
        <w:textAlignment w:val="baseline"/>
        <w:rPr>
          <w:rFonts w:ascii="Arial" w:hAnsi="Arial" w:cs="Arial"/>
          <w:i/>
        </w:rPr>
      </w:pPr>
      <w:r w:rsidRPr="009E7203">
        <w:rPr>
          <w:rFonts w:ascii="Arial" w:hAnsi="Arial" w:cs="Arial"/>
          <w:i/>
          <w:lang w:val="es-CO"/>
        </w:rPr>
        <w:lastRenderedPageBreak/>
        <w:t>40. El Decreto 2591 de 1991 compromete al juez de tutela con el pronto acatamiento de sus sentencias estimatorias. En aras de la materialización de ese propósito, lo habilita para requerir al responsable del cumplimiento, cuando hayan transcurrido 48 horas sin que las órdenes de amparo se hayan satisfecho.</w:t>
      </w:r>
      <w:r w:rsidRPr="009E7203">
        <w:rPr>
          <w:rFonts w:ascii="Arial" w:hAnsi="Arial" w:cs="Arial"/>
          <w:i/>
          <w:vertAlign w:val="superscript"/>
          <w:lang w:val="es-CO"/>
        </w:rPr>
        <w:footnoteReference w:id="6"/>
      </w:r>
      <w:r w:rsidRPr="009E7203">
        <w:rPr>
          <w:rFonts w:ascii="Arial" w:hAnsi="Arial" w:cs="Arial"/>
          <w:i/>
          <w:lang w:val="es-CO"/>
        </w:rPr>
        <w:t xml:space="preserve"> Si el requerimiento no conduce al cumplimiento del fallo, el juez adquiere competencia para</w:t>
      </w:r>
      <w:r w:rsidRPr="009E7203">
        <w:rPr>
          <w:rFonts w:ascii="Arial" w:hAnsi="Arial" w:cs="Arial"/>
          <w:i/>
        </w:rPr>
        <w:t xml:space="preserve"> adoptar, directamente, “todas las medidas” para el restablecimiento del derecho o a eliminación de las conductas que lo amenazan.</w:t>
      </w:r>
    </w:p>
    <w:p w:rsidR="0071202F" w:rsidRPr="009D0824" w:rsidRDefault="0071202F" w:rsidP="0071202F">
      <w:pPr>
        <w:pStyle w:val="NormalWeb"/>
        <w:spacing w:before="0" w:beforeAutospacing="0" w:after="0" w:afterAutospacing="0"/>
        <w:ind w:left="567" w:right="567"/>
        <w:jc w:val="both"/>
        <w:textAlignment w:val="baseline"/>
        <w:rPr>
          <w:rFonts w:ascii="Arial" w:hAnsi="Arial" w:cs="Arial"/>
          <w:i/>
          <w:sz w:val="16"/>
          <w:szCs w:val="16"/>
        </w:rPr>
      </w:pPr>
    </w:p>
    <w:p w:rsidR="0071202F" w:rsidRPr="009E7203" w:rsidRDefault="0071202F" w:rsidP="0071202F">
      <w:pPr>
        <w:pStyle w:val="NormalWeb"/>
        <w:spacing w:before="0" w:beforeAutospacing="0" w:after="0" w:afterAutospacing="0"/>
        <w:ind w:left="567" w:right="567"/>
        <w:jc w:val="both"/>
        <w:textAlignment w:val="baseline"/>
        <w:rPr>
          <w:rFonts w:ascii="Arial" w:hAnsi="Arial" w:cs="Arial"/>
          <w:i/>
          <w:lang w:eastAsia="zh-CN"/>
        </w:rPr>
      </w:pPr>
      <w:r w:rsidRPr="009E7203">
        <w:rPr>
          <w:rFonts w:ascii="Arial" w:hAnsi="Arial" w:cs="Arial"/>
          <w:i/>
        </w:rPr>
        <w:t>Eso involucra la facultad de realizar nuevos requerimientos, de practicar pruebas y, en fin, de tomar los correctivos que en su criterio puedan impulsar la materialización de lo ordenado</w:t>
      </w:r>
      <w:r w:rsidRPr="009E7203">
        <w:rPr>
          <w:rFonts w:ascii="Arial" w:hAnsi="Arial" w:cs="Arial"/>
          <w:i/>
          <w:vertAlign w:val="superscript"/>
        </w:rPr>
        <w:footnoteReference w:id="7"/>
      </w:r>
      <w:r w:rsidRPr="009E7203">
        <w:rPr>
          <w:rFonts w:ascii="Arial" w:hAnsi="Arial" w:cs="Arial"/>
          <w:i/>
        </w:rPr>
        <w:t>. También comprende, como se ha dicho, la obligación de iniciar el incidente de desacato, cuando las medidas de impulso procesal no hayan propiciado el cumplimiento</w:t>
      </w:r>
      <w:r w:rsidRPr="009E7203">
        <w:rPr>
          <w:rFonts w:ascii="Arial" w:hAnsi="Arial" w:cs="Arial"/>
          <w:i/>
          <w:vertAlign w:val="superscript"/>
          <w:lang w:eastAsia="zh-CN"/>
        </w:rPr>
        <w:footnoteReference w:id="8"/>
      </w:r>
      <w:r w:rsidRPr="009E7203">
        <w:rPr>
          <w:rFonts w:ascii="Arial" w:hAnsi="Arial" w:cs="Arial"/>
          <w:i/>
        </w:rPr>
        <w:t>.</w:t>
      </w:r>
    </w:p>
    <w:p w:rsidR="0071202F" w:rsidRPr="009D0824" w:rsidRDefault="0071202F" w:rsidP="0071202F">
      <w:pPr>
        <w:pStyle w:val="NormalWeb"/>
        <w:spacing w:before="0" w:beforeAutospacing="0" w:after="0" w:afterAutospacing="0"/>
        <w:ind w:left="567" w:right="567"/>
        <w:jc w:val="both"/>
        <w:textAlignment w:val="baseline"/>
        <w:rPr>
          <w:rFonts w:ascii="Arial" w:hAnsi="Arial" w:cs="Arial"/>
          <w:i/>
          <w:sz w:val="16"/>
          <w:szCs w:val="16"/>
          <w:lang w:eastAsia="zh-CN"/>
        </w:rPr>
      </w:pPr>
    </w:p>
    <w:p w:rsidR="0071202F" w:rsidRPr="009E7203" w:rsidRDefault="0071202F" w:rsidP="0071202F">
      <w:pPr>
        <w:pStyle w:val="NormalWeb"/>
        <w:spacing w:before="0" w:beforeAutospacing="0" w:after="0" w:afterAutospacing="0"/>
        <w:ind w:left="567" w:right="567"/>
        <w:jc w:val="both"/>
        <w:textAlignment w:val="baseline"/>
        <w:rPr>
          <w:rFonts w:ascii="Arial" w:hAnsi="Arial" w:cs="Arial"/>
          <w:i/>
          <w:shd w:val="clear" w:color="auto" w:fill="FFFFFF"/>
        </w:rPr>
      </w:pPr>
      <w:r w:rsidRPr="009E7203">
        <w:rPr>
          <w:rFonts w:ascii="Arial" w:hAnsi="Arial" w:cs="Arial"/>
          <w:i/>
          <w:lang w:eastAsia="zh-CN"/>
        </w:rPr>
        <w:t xml:space="preserve">41. En el ámbito del incidente de desacato, la </w:t>
      </w:r>
      <w:r w:rsidRPr="009E7203">
        <w:rPr>
          <w:rFonts w:ascii="Arial" w:hAnsi="Arial" w:cs="Arial"/>
          <w:i/>
          <w:shd w:val="clear" w:color="auto" w:fill="FFFFFF"/>
        </w:rPr>
        <w:t>labor del juez constitucional consiste en verificar</w:t>
      </w:r>
      <w:r w:rsidRPr="009E7203">
        <w:rPr>
          <w:rFonts w:ascii="Arial" w:hAnsi="Arial" w:cs="Arial"/>
          <w:i/>
          <w:bdr w:val="none" w:sz="0" w:space="0" w:color="auto" w:frame="1"/>
          <w:shd w:val="clear" w:color="auto" w:fill="FFFFFF"/>
        </w:rPr>
        <w:t xml:space="preserve">: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Pr="009E7203">
        <w:rPr>
          <w:rFonts w:ascii="Arial" w:hAnsi="Arial" w:cs="Arial"/>
          <w:i/>
          <w:shd w:val="clear" w:color="auto" w:fill="FFFFFF"/>
        </w:rPr>
        <w:t>examinar la responsabilidad subjetiva del obligado</w:t>
      </w:r>
      <w:r w:rsidRPr="009E7203">
        <w:rPr>
          <w:rFonts w:ascii="Arial" w:hAnsi="Arial" w:cs="Arial"/>
          <w:i/>
          <w:shd w:val="clear" w:color="auto" w:fill="FFFFFF"/>
          <w:vertAlign w:val="superscript"/>
        </w:rPr>
        <w:footnoteReference w:id="9"/>
      </w:r>
      <w:r w:rsidRPr="009E7203">
        <w:rPr>
          <w:rFonts w:ascii="Arial" w:hAnsi="Arial" w:cs="Arial"/>
          <w:i/>
          <w:shd w:val="clear" w:color="auto" w:fill="FFFFFF"/>
        </w:rPr>
        <w:t>, para, finalmente, imponer las sanciones del caso, si verifica un ánimo de evadir la orden impartida en el fallo de tutela.</w:t>
      </w:r>
    </w:p>
    <w:p w:rsidR="0071202F" w:rsidRPr="009D0824" w:rsidRDefault="0071202F" w:rsidP="0071202F">
      <w:pPr>
        <w:pStyle w:val="NormalWeb"/>
        <w:spacing w:before="0" w:beforeAutospacing="0" w:after="0" w:afterAutospacing="0"/>
        <w:ind w:left="567" w:right="567"/>
        <w:jc w:val="both"/>
        <w:textAlignment w:val="baseline"/>
        <w:rPr>
          <w:rFonts w:ascii="Arial" w:hAnsi="Arial" w:cs="Arial"/>
          <w:i/>
          <w:sz w:val="16"/>
          <w:szCs w:val="16"/>
          <w:shd w:val="clear" w:color="auto" w:fill="FFFFFF"/>
        </w:rPr>
      </w:pPr>
    </w:p>
    <w:p w:rsidR="0071202F" w:rsidRPr="009E7203" w:rsidRDefault="0071202F" w:rsidP="0071202F">
      <w:pPr>
        <w:pStyle w:val="NormalWeb"/>
        <w:spacing w:before="0" w:beforeAutospacing="0" w:after="0" w:afterAutospacing="0"/>
        <w:ind w:left="567" w:right="567"/>
        <w:jc w:val="both"/>
        <w:textAlignment w:val="baseline"/>
        <w:rPr>
          <w:rFonts w:ascii="Arial" w:hAnsi="Arial" w:cs="Arial"/>
          <w:i/>
          <w:lang w:eastAsia="zh-CN"/>
        </w:rPr>
      </w:pPr>
      <w:r w:rsidRPr="009E7203">
        <w:rPr>
          <w:rFonts w:ascii="Arial" w:hAnsi="Arial" w:cs="Arial"/>
          <w:i/>
          <w:shd w:val="clear" w:color="auto" w:fill="FFFFFF"/>
        </w:rPr>
        <w:lastRenderedPageBreak/>
        <w:t xml:space="preserve">No puede perderse de vista, sin embargo, que </w:t>
      </w:r>
      <w:r w:rsidRPr="009E7203">
        <w:rPr>
          <w:rFonts w:ascii="Arial" w:hAnsi="Arial" w:cs="Arial"/>
          <w:i/>
          <w:lang w:eastAsia="zh-CN"/>
        </w:rPr>
        <w:t xml:space="preserve">la finalidad del incidente va más allá de la imposición de una sanción al particular o a la autoridad responsable del incumplimiento. El acatamiento del fallo no puede resignarse, por eso, al efecto persuasivo que la inminente imposición de la sanción pueda generarle al obligado. Mientras el trámite incidental avanza, el juez sigue habilitado para adoptar las medidas de impulso procesal que conduzcan a acelerar el pleno acatamiento de las órdenes de amparo. </w:t>
      </w:r>
    </w:p>
    <w:p w:rsidR="0071202F" w:rsidRPr="009D0824" w:rsidRDefault="0071202F" w:rsidP="0071202F">
      <w:pPr>
        <w:pStyle w:val="Paragraphedeliste"/>
        <w:shd w:val="clear" w:color="auto" w:fill="FFFFFF"/>
        <w:ind w:left="567" w:right="567"/>
        <w:jc w:val="both"/>
        <w:textAlignment w:val="baseline"/>
        <w:rPr>
          <w:rFonts w:ascii="Arial" w:hAnsi="Arial" w:cs="Arial"/>
          <w:i/>
          <w:sz w:val="16"/>
          <w:szCs w:val="16"/>
        </w:rPr>
      </w:pPr>
    </w:p>
    <w:p w:rsidR="0071202F" w:rsidRPr="009E7203" w:rsidRDefault="0071202F" w:rsidP="0071202F">
      <w:pPr>
        <w:pStyle w:val="Paragraphedeliste"/>
        <w:shd w:val="clear" w:color="auto" w:fill="FFFFFF"/>
        <w:ind w:left="567" w:right="567"/>
        <w:jc w:val="both"/>
        <w:textAlignment w:val="baseline"/>
        <w:rPr>
          <w:rFonts w:ascii="Arial" w:hAnsi="Arial" w:cs="Arial"/>
          <w:i/>
          <w:sz w:val="24"/>
          <w:szCs w:val="24"/>
        </w:rPr>
      </w:pPr>
      <w:r w:rsidRPr="009E7203">
        <w:rPr>
          <w:rFonts w:ascii="Arial" w:hAnsi="Arial" w:cs="Arial"/>
          <w:i/>
          <w:sz w:val="24"/>
          <w:szCs w:val="24"/>
        </w:rPr>
        <w:t>(…)</w:t>
      </w:r>
    </w:p>
    <w:p w:rsidR="0071202F" w:rsidRPr="009D0824" w:rsidRDefault="0071202F" w:rsidP="0071202F">
      <w:pPr>
        <w:pStyle w:val="Paragraphedeliste"/>
        <w:shd w:val="clear" w:color="auto" w:fill="FFFFFF"/>
        <w:ind w:left="567" w:right="567"/>
        <w:jc w:val="both"/>
        <w:textAlignment w:val="baseline"/>
        <w:rPr>
          <w:rFonts w:ascii="Arial" w:hAnsi="Arial" w:cs="Arial"/>
          <w:i/>
          <w:sz w:val="16"/>
          <w:szCs w:val="16"/>
        </w:rPr>
      </w:pPr>
    </w:p>
    <w:p w:rsidR="0071202F" w:rsidRPr="00413A6D" w:rsidRDefault="0071202F" w:rsidP="0071202F">
      <w:pPr>
        <w:pStyle w:val="Sinespaciado2"/>
        <w:ind w:left="567" w:right="567"/>
        <w:jc w:val="both"/>
        <w:rPr>
          <w:rFonts w:ascii="Arial" w:hAnsi="Arial" w:cs="Arial"/>
          <w:sz w:val="16"/>
          <w:szCs w:val="26"/>
        </w:rPr>
      </w:pPr>
      <w:r w:rsidRPr="009E7203">
        <w:rPr>
          <w:rFonts w:ascii="Arial" w:hAnsi="Arial" w:cs="Arial"/>
          <w:i/>
          <w:sz w:val="24"/>
          <w:szCs w:val="24"/>
          <w:lang w:val="es-CO"/>
        </w:rPr>
        <w:t>44. Establecido así cuáles son los alcances y los límites de las herramientas de las que pueden valerse los jueces de tutela para lograr la concreción de la protección que conceden sus providencias, la Sala concluirá este acápite precisando, solamente, que es el juez de primera instancia el funcionario competente para adoptar las medidas descritas. Es a él, en efecto, a quien le incumbe hacer cumplir las órdenes de amparo impartidas en las sentencias de tutela, incluso si se trata de decisiones de segunda instancia o de las que profiere esta corporación en sede de revisión.</w:t>
      </w:r>
      <w:r w:rsidRPr="009E7203">
        <w:rPr>
          <w:rFonts w:ascii="Arial" w:hAnsi="Arial" w:cs="Arial"/>
          <w:i/>
          <w:sz w:val="24"/>
          <w:szCs w:val="24"/>
        </w:rPr>
        <w:t>”</w:t>
      </w:r>
    </w:p>
    <w:p w:rsidR="00780E8C" w:rsidRPr="00780E8C" w:rsidRDefault="00780E8C" w:rsidP="00780E8C">
      <w:pPr>
        <w:pStyle w:val="Sinespaciado2"/>
        <w:spacing w:line="480" w:lineRule="auto"/>
        <w:ind w:firstLine="2835"/>
        <w:jc w:val="both"/>
        <w:rPr>
          <w:rFonts w:ascii="Arial" w:hAnsi="Arial" w:cs="Arial"/>
          <w:sz w:val="24"/>
          <w:szCs w:val="24"/>
        </w:rPr>
      </w:pPr>
    </w:p>
    <w:p w:rsidR="0071202F" w:rsidRDefault="0071202F" w:rsidP="0071202F">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dicho se declarará improcedente la referida acción de tutela frente al Juzgado Cuarto Civil del Circuito de Pereira y se ordenará la desvinculación de las demás entidades convocadas a este trámite.</w:t>
      </w:r>
    </w:p>
    <w:p w:rsidR="0071202F" w:rsidRPr="00780E8C" w:rsidRDefault="0071202F" w:rsidP="0071202F">
      <w:pPr>
        <w:pStyle w:val="Sinespaciado1"/>
        <w:spacing w:line="360" w:lineRule="auto"/>
        <w:ind w:firstLine="2832"/>
        <w:jc w:val="both"/>
        <w:rPr>
          <w:rFonts w:ascii="Arial" w:hAnsi="Arial" w:cs="Arial"/>
          <w:sz w:val="24"/>
          <w:szCs w:val="24"/>
        </w:rPr>
      </w:pPr>
    </w:p>
    <w:p w:rsidR="0071202F" w:rsidRPr="008613D5" w:rsidRDefault="0071202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4. </w:t>
      </w:r>
      <w:r w:rsidRPr="00ED277C">
        <w:rPr>
          <w:rFonts w:ascii="Arial" w:hAnsi="Arial" w:cs="Arial"/>
          <w:sz w:val="26"/>
          <w:szCs w:val="26"/>
        </w:rPr>
        <w:t xml:space="preserve">No se accederá a la </w:t>
      </w:r>
      <w:r>
        <w:rPr>
          <w:rFonts w:ascii="Arial" w:hAnsi="Arial" w:cs="Arial"/>
          <w:sz w:val="26"/>
          <w:szCs w:val="26"/>
        </w:rPr>
        <w:t xml:space="preserve">pretensión del accionante relacionada con que se ordene a la autoridad judicial accionada aportar un listado completo de todas las acciones populares donde ha exigido requisitos inexistentes en el artículo 18 de la ley 472 de 1998,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71202F" w:rsidRPr="00276FCF" w:rsidRDefault="0071202F" w:rsidP="00780E8C">
      <w:pPr>
        <w:pStyle w:val="Sinespaciado1"/>
        <w:spacing w:line="480" w:lineRule="auto"/>
        <w:ind w:firstLine="2832"/>
        <w:jc w:val="both"/>
        <w:rPr>
          <w:rFonts w:ascii="Arial" w:hAnsi="Arial" w:cs="Arial"/>
          <w:sz w:val="24"/>
          <w:szCs w:val="26"/>
        </w:rPr>
      </w:pPr>
    </w:p>
    <w:p w:rsidR="0071202F" w:rsidRPr="000905F6" w:rsidRDefault="0071202F" w:rsidP="0071202F">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71202F" w:rsidRPr="000905F6" w:rsidRDefault="0071202F" w:rsidP="0071202F">
      <w:pPr>
        <w:pStyle w:val="Sinespaciado1"/>
        <w:spacing w:line="360" w:lineRule="auto"/>
        <w:ind w:firstLine="2835"/>
        <w:jc w:val="both"/>
        <w:rPr>
          <w:rFonts w:ascii="Arial" w:hAnsi="Arial" w:cs="Arial"/>
          <w:bCs/>
          <w:sz w:val="24"/>
          <w:szCs w:val="26"/>
        </w:rPr>
      </w:pPr>
    </w:p>
    <w:p w:rsidR="0071202F" w:rsidRPr="003E5138" w:rsidRDefault="0071202F" w:rsidP="0071202F">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1202F" w:rsidRDefault="0071202F" w:rsidP="0071202F">
      <w:pPr>
        <w:pStyle w:val="Sinespaciado1"/>
        <w:spacing w:line="360" w:lineRule="auto"/>
        <w:ind w:firstLine="2835"/>
        <w:jc w:val="both"/>
        <w:rPr>
          <w:rFonts w:ascii="Arial" w:hAnsi="Arial" w:cs="Arial"/>
          <w:sz w:val="24"/>
          <w:szCs w:val="26"/>
        </w:rPr>
      </w:pPr>
    </w:p>
    <w:p w:rsidR="00780E8C" w:rsidRDefault="00780E8C" w:rsidP="0071202F">
      <w:pPr>
        <w:pStyle w:val="Sinespaciado1"/>
        <w:spacing w:line="360" w:lineRule="auto"/>
        <w:ind w:firstLine="2835"/>
        <w:jc w:val="both"/>
        <w:rPr>
          <w:rFonts w:ascii="Arial" w:hAnsi="Arial" w:cs="Arial"/>
          <w:sz w:val="24"/>
          <w:szCs w:val="26"/>
        </w:rPr>
      </w:pPr>
    </w:p>
    <w:p w:rsidR="0071202F" w:rsidRPr="00984F63" w:rsidRDefault="0071202F" w:rsidP="0071202F">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71202F" w:rsidRPr="000905F6" w:rsidRDefault="0071202F" w:rsidP="0071202F">
      <w:pPr>
        <w:pStyle w:val="Sinespaciado1"/>
        <w:spacing w:line="360" w:lineRule="auto"/>
        <w:ind w:firstLine="2835"/>
        <w:jc w:val="both"/>
        <w:rPr>
          <w:rFonts w:ascii="Arial" w:hAnsi="Arial" w:cs="Arial"/>
          <w:spacing w:val="-3"/>
          <w:sz w:val="24"/>
          <w:szCs w:val="26"/>
          <w:lang w:val="es-ES"/>
        </w:rPr>
      </w:pPr>
    </w:p>
    <w:p w:rsidR="0071202F" w:rsidRPr="000905F6" w:rsidRDefault="0071202F" w:rsidP="0071202F">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b/>
          <w:spacing w:val="-3"/>
          <w:sz w:val="24"/>
        </w:rPr>
        <w:t xml:space="preserve"> </w:t>
      </w:r>
      <w:r>
        <w:rPr>
          <w:rFonts w:ascii="Arial" w:hAnsi="Arial" w:cs="Arial"/>
          <w:spacing w:val="-3"/>
        </w:rPr>
        <w:t>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CIVIL DEL CIRCUITO DE PEREIRA</w:t>
      </w:r>
      <w:r w:rsidRPr="000905F6">
        <w:rPr>
          <w:rFonts w:ascii="Arial" w:hAnsi="Arial" w:cs="Arial"/>
          <w:sz w:val="26"/>
          <w:szCs w:val="26"/>
        </w:rPr>
        <w:t>.</w:t>
      </w:r>
    </w:p>
    <w:p w:rsidR="0071202F" w:rsidRPr="000905F6" w:rsidRDefault="0071202F" w:rsidP="0071202F">
      <w:pPr>
        <w:pStyle w:val="Sinespaciado1"/>
        <w:spacing w:line="360" w:lineRule="auto"/>
        <w:ind w:firstLine="2835"/>
        <w:jc w:val="both"/>
        <w:rPr>
          <w:rFonts w:ascii="Arial" w:hAnsi="Arial" w:cs="Arial"/>
          <w:sz w:val="16"/>
          <w:szCs w:val="28"/>
          <w:highlight w:val="green"/>
        </w:rPr>
      </w:pPr>
    </w:p>
    <w:p w:rsidR="0071202F" w:rsidRPr="000905F6" w:rsidRDefault="0071202F" w:rsidP="0071202F">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71202F" w:rsidRPr="000905F6" w:rsidRDefault="0071202F" w:rsidP="0071202F">
      <w:pPr>
        <w:tabs>
          <w:tab w:val="left" w:pos="-720"/>
        </w:tabs>
        <w:suppressAutoHyphens/>
        <w:spacing w:line="360" w:lineRule="auto"/>
        <w:ind w:firstLine="2835"/>
        <w:jc w:val="both"/>
        <w:rPr>
          <w:rFonts w:ascii="Arial" w:hAnsi="Arial" w:cs="Arial"/>
          <w:spacing w:val="3"/>
          <w:sz w:val="16"/>
          <w:szCs w:val="28"/>
        </w:rPr>
      </w:pPr>
    </w:p>
    <w:p w:rsidR="0071202F" w:rsidRDefault="0071202F" w:rsidP="0071202F">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71202F" w:rsidRPr="000905F6" w:rsidRDefault="0071202F" w:rsidP="0071202F">
      <w:pPr>
        <w:tabs>
          <w:tab w:val="left" w:pos="-720"/>
        </w:tabs>
        <w:suppressAutoHyphens/>
        <w:spacing w:line="360" w:lineRule="auto"/>
        <w:ind w:firstLine="2835"/>
        <w:jc w:val="both"/>
        <w:rPr>
          <w:rFonts w:ascii="Arial" w:hAnsi="Arial" w:cs="Arial"/>
          <w:spacing w:val="-3"/>
          <w:sz w:val="16"/>
          <w:szCs w:val="28"/>
        </w:rPr>
      </w:pPr>
    </w:p>
    <w:p w:rsidR="0071202F" w:rsidRPr="000905F6" w:rsidRDefault="0071202F" w:rsidP="0071202F">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71202F" w:rsidRPr="000905F6" w:rsidRDefault="0071202F" w:rsidP="0071202F">
      <w:pPr>
        <w:pStyle w:val="Sinespaciado1"/>
        <w:spacing w:line="360" w:lineRule="auto"/>
        <w:ind w:firstLine="2835"/>
        <w:jc w:val="both"/>
        <w:rPr>
          <w:rFonts w:ascii="Arial" w:hAnsi="Arial" w:cs="Arial"/>
          <w:spacing w:val="-3"/>
          <w:sz w:val="18"/>
          <w:szCs w:val="26"/>
        </w:rPr>
      </w:pPr>
    </w:p>
    <w:p w:rsidR="0071202F" w:rsidRPr="00EC2B78" w:rsidRDefault="0071202F" w:rsidP="0071202F">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71202F" w:rsidRPr="00FA5E0E" w:rsidRDefault="0071202F" w:rsidP="0071202F">
      <w:pPr>
        <w:pStyle w:val="Sinespaciado1"/>
        <w:spacing w:line="360" w:lineRule="auto"/>
        <w:ind w:firstLine="2835"/>
        <w:jc w:val="both"/>
        <w:rPr>
          <w:rFonts w:ascii="Arial" w:hAnsi="Arial" w:cs="Arial"/>
          <w:spacing w:val="-3"/>
          <w:sz w:val="16"/>
          <w:szCs w:val="26"/>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71202F" w:rsidRPr="00452F34" w:rsidRDefault="0071202F" w:rsidP="0071202F">
      <w:pPr>
        <w:pStyle w:val="Sinespaciado1"/>
        <w:ind w:firstLine="2835"/>
        <w:jc w:val="both"/>
        <w:rPr>
          <w:rFonts w:ascii="Arial" w:hAnsi="Arial" w:cs="Arial"/>
          <w:spacing w:val="-3"/>
          <w:sz w:val="24"/>
          <w:szCs w:val="24"/>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71202F" w:rsidRPr="00E722B3" w:rsidRDefault="0071202F" w:rsidP="0071202F">
      <w:pPr>
        <w:pStyle w:val="Sinespaciado1"/>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bookmarkStart w:id="0" w:name="_GoBack"/>
      <w:bookmarkEnd w:id="0"/>
    </w:p>
    <w:p w:rsidR="0071202F" w:rsidRPr="00E722B3" w:rsidRDefault="0071202F" w:rsidP="0071202F">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71202F" w:rsidRPr="00E722B3"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left="2124" w:firstLine="708"/>
        <w:jc w:val="both"/>
        <w:rPr>
          <w:rFonts w:ascii="Arial" w:hAnsi="Arial" w:cs="Arial"/>
          <w:b/>
          <w:spacing w:val="-3"/>
        </w:rPr>
      </w:pPr>
    </w:p>
    <w:p w:rsidR="002D3A12" w:rsidRDefault="0071202F" w:rsidP="002D3A12">
      <w:pPr>
        <w:pStyle w:val="Sinespaciado1"/>
        <w:ind w:left="2124" w:firstLine="708"/>
        <w:jc w:val="both"/>
        <w:rPr>
          <w:rFonts w:ascii="Arial" w:hAnsi="Arial" w:cs="Arial"/>
          <w:b/>
          <w:spacing w:val="-3"/>
        </w:rPr>
      </w:pPr>
      <w:r w:rsidRPr="00E722B3">
        <w:rPr>
          <w:rFonts w:ascii="Arial" w:hAnsi="Arial" w:cs="Arial"/>
          <w:b/>
          <w:spacing w:val="-3"/>
        </w:rPr>
        <w:t>JAIME ALBERTO SARAZA NARANJO</w:t>
      </w:r>
      <w:r>
        <w:rPr>
          <w:rFonts w:ascii="Arial" w:hAnsi="Arial" w:cs="Arial"/>
          <w:b/>
          <w:spacing w:val="-3"/>
        </w:rPr>
        <w:t xml:space="preserve">                             </w:t>
      </w: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452F34" w:rsidRPr="004C67C0" w:rsidRDefault="0071202F" w:rsidP="002D3A12">
      <w:pPr>
        <w:pStyle w:val="Sinespaciado1"/>
        <w:ind w:left="2124" w:firstLine="708"/>
        <w:jc w:val="both"/>
        <w:rPr>
          <w:rFonts w:ascii="Arial" w:hAnsi="Arial" w:cs="Arial"/>
          <w:b/>
        </w:rPr>
      </w:pPr>
      <w:r w:rsidRPr="00E722B3">
        <w:rPr>
          <w:rFonts w:ascii="Arial" w:hAnsi="Arial" w:cs="Arial"/>
          <w:b/>
        </w:rPr>
        <w:t>CLAUDIA MARÍA ARCILA RÍOS</w:t>
      </w:r>
    </w:p>
    <w:sectPr w:rsidR="00452F34" w:rsidRPr="004C67C0"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BB" w:rsidRDefault="009862BB" w:rsidP="00AE243A">
      <w:r>
        <w:separator/>
      </w:r>
    </w:p>
  </w:endnote>
  <w:endnote w:type="continuationSeparator" w:id="0">
    <w:p w:rsidR="009862BB" w:rsidRDefault="009862BB"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612F1">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80E8C">
      <w:rPr>
        <w:rFonts w:ascii="Arial" w:hAnsi="Arial" w:cs="Arial"/>
        <w:noProof/>
        <w:sz w:val="22"/>
        <w:szCs w:val="22"/>
      </w:rPr>
      <w:t>8</w:t>
    </w:r>
    <w:r w:rsidRPr="00B97631">
      <w:rPr>
        <w:rFonts w:ascii="Arial" w:hAnsi="Arial" w:cs="Arial"/>
        <w:sz w:val="22"/>
        <w:szCs w:val="22"/>
      </w:rPr>
      <w:fldChar w:fldCharType="end"/>
    </w:r>
  </w:p>
  <w:p w:rsidR="0081398C" w:rsidRDefault="009862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BB" w:rsidRDefault="009862BB" w:rsidP="00AE243A">
      <w:r>
        <w:separator/>
      </w:r>
    </w:p>
  </w:footnote>
  <w:footnote w:type="continuationSeparator" w:id="0">
    <w:p w:rsidR="009862BB" w:rsidRDefault="009862BB" w:rsidP="00AE243A">
      <w:r>
        <w:continuationSeparator/>
      </w:r>
    </w:p>
  </w:footnote>
  <w:footnote w:id="1">
    <w:p w:rsidR="00780E8C" w:rsidRPr="007930D3" w:rsidRDefault="00780E8C" w:rsidP="00780E8C">
      <w:pPr>
        <w:pStyle w:val="Notedebasdepage"/>
        <w:rPr>
          <w:rFonts w:ascii="Arial" w:hAnsi="Arial" w:cs="Arial"/>
          <w:lang w:val="es-CO"/>
        </w:rPr>
      </w:pPr>
      <w:r w:rsidRPr="007930D3">
        <w:rPr>
          <w:rStyle w:val="Appelnotedebasdep"/>
          <w:rFonts w:ascii="Arial" w:hAnsi="Arial" w:cs="Arial"/>
        </w:rPr>
        <w:footnoteRef/>
      </w:r>
      <w:r w:rsidRPr="00EA1B6C">
        <w:rPr>
          <w:rFonts w:ascii="Arial" w:hAnsi="Arial" w:cs="Arial"/>
          <w:lang w:val="es-CO"/>
        </w:rPr>
        <w:t xml:space="preserve"> Sentencia de 19 de diciembre de 2016, </w:t>
      </w:r>
      <w:proofErr w:type="spellStart"/>
      <w:r w:rsidRPr="00EA1B6C">
        <w:rPr>
          <w:rFonts w:ascii="Arial" w:hAnsi="Arial" w:cs="Arial"/>
          <w:lang w:val="es-CO"/>
        </w:rPr>
        <w:t>M.P</w:t>
      </w:r>
      <w:proofErr w:type="spellEnd"/>
      <w:r w:rsidRPr="00EA1B6C">
        <w:rPr>
          <w:rFonts w:ascii="Arial" w:hAnsi="Arial" w:cs="Arial"/>
          <w:lang w:val="es-CO"/>
        </w:rPr>
        <w:t xml:space="preserve">. Jaime Alberto Saraza Naranjo, </w:t>
      </w:r>
      <w:proofErr w:type="spellStart"/>
      <w:r w:rsidRPr="00EA1B6C">
        <w:rPr>
          <w:rFonts w:ascii="Arial" w:hAnsi="Arial" w:cs="Arial"/>
          <w:lang w:val="es-CO"/>
        </w:rPr>
        <w:t>exp</w:t>
      </w:r>
      <w:proofErr w:type="spellEnd"/>
      <w:r w:rsidRPr="00EA1B6C">
        <w:rPr>
          <w:rFonts w:ascii="Arial" w:hAnsi="Arial" w:cs="Arial"/>
          <w:lang w:val="es-CO"/>
        </w:rPr>
        <w:t>. 66001-22-13-000-2016-01126-00 y 66001-22-13-000-2016-01127-00.</w:t>
      </w:r>
    </w:p>
  </w:footnote>
  <w:footnote w:id="2">
    <w:p w:rsidR="0071202F" w:rsidRPr="00EA21EB" w:rsidRDefault="0071202F" w:rsidP="0071202F">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3">
    <w:p w:rsidR="0071202F" w:rsidRPr="007930D3" w:rsidRDefault="0071202F" w:rsidP="0071202F">
      <w:pPr>
        <w:pStyle w:val="Notedebasdepage"/>
        <w:rPr>
          <w:rFonts w:ascii="Arial" w:hAnsi="Arial" w:cs="Arial"/>
          <w:lang w:val="es-CO"/>
        </w:rPr>
      </w:pPr>
      <w:r w:rsidRPr="007930D3">
        <w:rPr>
          <w:rStyle w:val="Appelnotedebasdep"/>
          <w:rFonts w:ascii="Arial" w:hAnsi="Arial" w:cs="Arial"/>
        </w:rPr>
        <w:footnoteRef/>
      </w:r>
      <w:r w:rsidRPr="007930D3">
        <w:rPr>
          <w:rFonts w:ascii="Arial" w:hAnsi="Arial" w:cs="Arial"/>
        </w:rPr>
        <w:t xml:space="preserve"> Sentencia de </w:t>
      </w:r>
      <w:r w:rsidR="00330FAE" w:rsidRPr="007930D3">
        <w:rPr>
          <w:rFonts w:ascii="Arial" w:hAnsi="Arial" w:cs="Arial"/>
        </w:rPr>
        <w:t>19</w:t>
      </w:r>
      <w:r w:rsidRPr="007930D3">
        <w:rPr>
          <w:rFonts w:ascii="Arial" w:hAnsi="Arial" w:cs="Arial"/>
        </w:rPr>
        <w:t xml:space="preserve"> de diciembre de 2016, M.P. Jaime Alberto Saraza Naranjo, </w:t>
      </w:r>
      <w:proofErr w:type="spellStart"/>
      <w:r w:rsidRPr="007930D3">
        <w:rPr>
          <w:rFonts w:ascii="Arial" w:hAnsi="Arial" w:cs="Arial"/>
        </w:rPr>
        <w:t>e</w:t>
      </w:r>
      <w:r w:rsidR="007930D3">
        <w:rPr>
          <w:rFonts w:ascii="Arial" w:hAnsi="Arial" w:cs="Arial"/>
        </w:rPr>
        <w:t>xp</w:t>
      </w:r>
      <w:proofErr w:type="spellEnd"/>
      <w:r w:rsidR="007930D3">
        <w:rPr>
          <w:rFonts w:ascii="Arial" w:hAnsi="Arial" w:cs="Arial"/>
        </w:rPr>
        <w:t>.</w:t>
      </w:r>
      <w:r w:rsidRPr="007930D3">
        <w:rPr>
          <w:rFonts w:ascii="Arial" w:hAnsi="Arial" w:cs="Arial"/>
        </w:rPr>
        <w:t xml:space="preserve"> 66001-22-13-000-2016-01126-00</w:t>
      </w:r>
      <w:r w:rsidR="00330FAE" w:rsidRPr="007930D3">
        <w:rPr>
          <w:rFonts w:ascii="Arial" w:hAnsi="Arial" w:cs="Arial"/>
        </w:rPr>
        <w:t xml:space="preserve"> y 66001-22-13-000-2016-01127-00.</w:t>
      </w:r>
    </w:p>
  </w:footnote>
  <w:footnote w:id="4">
    <w:p w:rsidR="007930D3" w:rsidRPr="007930D3" w:rsidRDefault="007930D3">
      <w:pPr>
        <w:pStyle w:val="Notedebasdepage"/>
        <w:rPr>
          <w:rFonts w:ascii="Arial" w:hAnsi="Arial" w:cs="Arial"/>
          <w:lang w:val="es-CO"/>
        </w:rPr>
      </w:pPr>
      <w:r w:rsidRPr="007930D3">
        <w:rPr>
          <w:rStyle w:val="Appelnotedebasdep"/>
          <w:rFonts w:ascii="Arial" w:hAnsi="Arial" w:cs="Arial"/>
        </w:rPr>
        <w:footnoteRef/>
      </w:r>
      <w:r w:rsidRPr="007930D3">
        <w:rPr>
          <w:rFonts w:ascii="Arial" w:hAnsi="Arial" w:cs="Arial"/>
        </w:rPr>
        <w:t xml:space="preserve"> </w:t>
      </w:r>
      <w:r>
        <w:rPr>
          <w:rFonts w:ascii="Arial" w:hAnsi="Arial" w:cs="Arial"/>
        </w:rPr>
        <w:t xml:space="preserve">Sentencia </w:t>
      </w:r>
      <w:r w:rsidRPr="007930D3">
        <w:rPr>
          <w:rFonts w:ascii="Arial" w:hAnsi="Arial" w:cs="Arial"/>
        </w:rPr>
        <w:t>STC</w:t>
      </w:r>
      <w:r>
        <w:rPr>
          <w:rFonts w:ascii="Arial" w:hAnsi="Arial" w:cs="Arial"/>
        </w:rPr>
        <w:t xml:space="preserve"> </w:t>
      </w:r>
      <w:r w:rsidRPr="007930D3">
        <w:rPr>
          <w:rFonts w:ascii="Arial" w:hAnsi="Arial" w:cs="Arial"/>
        </w:rPr>
        <w:t>1932</w:t>
      </w:r>
      <w:r w:rsidRPr="007930D3">
        <w:rPr>
          <w:rFonts w:ascii="MS Gothic" w:hAnsi="MS Gothic" w:cs="MS Gothic"/>
        </w:rPr>
        <w:t>－</w:t>
      </w:r>
      <w:r w:rsidRPr="007930D3">
        <w:rPr>
          <w:rFonts w:ascii="Arial" w:hAnsi="Arial" w:cs="Arial"/>
        </w:rPr>
        <w:t>2017</w:t>
      </w:r>
      <w:r>
        <w:rPr>
          <w:rFonts w:ascii="Arial" w:hAnsi="Arial" w:cs="Arial"/>
        </w:rPr>
        <w:t xml:space="preserve"> de febrero 16 de 2017, M.P. Ariel Salazar Ramírez, radicación Nº </w:t>
      </w:r>
      <w:r w:rsidRPr="007930D3">
        <w:rPr>
          <w:rFonts w:ascii="Arial" w:hAnsi="Arial" w:cs="Arial"/>
        </w:rPr>
        <w:t>66001-22-13-000-2016-01126</w:t>
      </w:r>
      <w:r>
        <w:rPr>
          <w:rFonts w:ascii="Arial" w:hAnsi="Arial" w:cs="Arial"/>
        </w:rPr>
        <w:t>-01</w:t>
      </w:r>
      <w:r w:rsidR="00061FE1">
        <w:rPr>
          <w:rFonts w:ascii="Arial" w:hAnsi="Arial" w:cs="Arial"/>
        </w:rPr>
        <w:t>.</w:t>
      </w:r>
    </w:p>
  </w:footnote>
  <w:footnote w:id="5">
    <w:p w:rsidR="0071202F" w:rsidRDefault="0071202F" w:rsidP="0071202F">
      <w:pPr>
        <w:widowControl w:val="0"/>
        <w:jc w:val="both"/>
      </w:pPr>
      <w:r w:rsidRPr="001707CE">
        <w:rPr>
          <w:szCs w:val="24"/>
          <w:vertAlign w:val="superscript"/>
        </w:rPr>
        <w:footnoteRef/>
      </w:r>
      <w:r w:rsidRPr="001707CE">
        <w:rPr>
          <w:i/>
        </w:rPr>
        <w:t>“</w:t>
      </w:r>
      <w:r w:rsidRPr="001707CE">
        <w:rPr>
          <w:i/>
          <w:shd w:val="clear" w:color="auto" w:fill="FFFFFF"/>
        </w:rPr>
        <w:t xml:space="preserve">Por encima de las dificultades prácticas y trabas formales, el juez está llamado a tomar las medidas que se requieran para que, en realidad, la persona afectada pueda disfrutar de su derecho. Una sentencia de tutela no puede quedar escrita, tiene que materializarse en conductas positivas o negativas a favor de las personas cuyo derecho fue amparado”. </w:t>
      </w:r>
      <w:r w:rsidRPr="001707CE">
        <w:rPr>
          <w:shd w:val="clear" w:color="auto" w:fill="FFFFFF"/>
        </w:rPr>
        <w:t>(Sentencia T-086 de 2003, M.P. Manuel José Cepeda).</w:t>
      </w:r>
    </w:p>
  </w:footnote>
  <w:footnote w:id="6">
    <w:p w:rsidR="0071202F" w:rsidRDefault="0071202F" w:rsidP="0071202F">
      <w:pPr>
        <w:pStyle w:val="NormalWeb"/>
        <w:spacing w:before="0" w:beforeAutospacing="0" w:after="0" w:afterAutospacing="0"/>
        <w:jc w:val="both"/>
        <w:textAlignment w:val="baseline"/>
      </w:pPr>
      <w:r w:rsidRPr="001707CE">
        <w:rPr>
          <w:sz w:val="20"/>
          <w:szCs w:val="20"/>
          <w:vertAlign w:val="superscript"/>
        </w:rPr>
        <w:footnoteRef/>
      </w:r>
      <w:r w:rsidRPr="001707CE">
        <w:rPr>
          <w:sz w:val="20"/>
          <w:szCs w:val="20"/>
          <w:lang w:val="es-CO"/>
        </w:rPr>
        <w:t xml:space="preserve">Si el responsable es servidor público, el requerimiento </w:t>
      </w:r>
      <w:r w:rsidRPr="001707CE">
        <w:rPr>
          <w:sz w:val="20"/>
          <w:szCs w:val="20"/>
        </w:rPr>
        <w:t xml:space="preserve">debe dirigirse a su superior, para que haga cumplir la sentencia y lo investigue disciplinariamente. Si pasan otras 48 horas sin que el amparo concedido se haya satisfecho, el juez ordenará abrir proceso contra el superior. </w:t>
      </w:r>
    </w:p>
  </w:footnote>
  <w:footnote w:id="7">
    <w:p w:rsidR="0071202F" w:rsidRDefault="0071202F" w:rsidP="0071202F">
      <w:pPr>
        <w:pStyle w:val="NormalWeb"/>
        <w:spacing w:before="0" w:beforeAutospacing="0" w:after="0" w:afterAutospacing="0"/>
        <w:jc w:val="both"/>
        <w:textAlignment w:val="baseline"/>
      </w:pPr>
      <w:r w:rsidRPr="001707CE">
        <w:rPr>
          <w:sz w:val="20"/>
          <w:szCs w:val="20"/>
          <w:vertAlign w:val="superscript"/>
        </w:rPr>
        <w:footnoteRef/>
      </w:r>
      <w:r w:rsidRPr="001707CE">
        <w:rPr>
          <w:sz w:val="20"/>
          <w:szCs w:val="20"/>
        </w:rPr>
        <w:t xml:space="preserve"> Sobre el tema, señala la Sentencia SU-1158 de 2003 (M.P. Marco Gerardo Monroy): </w:t>
      </w:r>
      <w:r w:rsidRPr="001707CE">
        <w:rPr>
          <w:i/>
          <w:sz w:val="20"/>
          <w:szCs w:val="20"/>
        </w:rPr>
        <w:t>“</w:t>
      </w:r>
      <w:r w:rsidRPr="001707CE">
        <w:rPr>
          <w:i/>
          <w:sz w:val="20"/>
          <w:szCs w:val="20"/>
          <w:shd w:val="clear" w:color="auto" w:fill="FFFFFF"/>
        </w:rPr>
        <w:t>En consecuencia,  el juez competente debe estar permanentemente alerta para  que la orden de tutela  sea cumplida y,  aún de oficio, debe emplear todos los mecanismos necesarios para que el derecho fundamental no sea violado o no se amenace su violación. Para tal fin, el juez encargado de hacer cumplir la orden de tutela, debe aplicar no solamente el artículo 27 del decreto 2591 de 1991, sino  el artículo 23 del decreto 2591 de 1991 que lo faculta para establecer todos los efectos para el caso concreto, evitar toda nueva violación y amenaza, perturbación o restricción y disponer todo</w:t>
      </w:r>
      <w:r w:rsidRPr="001707CE">
        <w:rPr>
          <w:i/>
          <w:iCs/>
          <w:sz w:val="20"/>
          <w:szCs w:val="20"/>
          <w:bdr w:val="none" w:sz="0" w:space="0" w:color="auto" w:frame="1"/>
          <w:shd w:val="clear" w:color="auto" w:fill="FFFFFF"/>
        </w:rPr>
        <w:t xml:space="preserve"> “lo necesario para que el derecho sea libremente ejercido sin más </w:t>
      </w:r>
      <w:proofErr w:type="spellStart"/>
      <w:r w:rsidRPr="001707CE">
        <w:rPr>
          <w:i/>
          <w:iCs/>
          <w:sz w:val="20"/>
          <w:szCs w:val="20"/>
          <w:bdr w:val="none" w:sz="0" w:space="0" w:color="auto" w:frame="1"/>
          <w:shd w:val="clear" w:color="auto" w:fill="FFFFFF"/>
        </w:rPr>
        <w:t>requisitos”</w:t>
      </w:r>
      <w:r w:rsidRPr="001707CE">
        <w:rPr>
          <w:iCs/>
          <w:sz w:val="20"/>
          <w:szCs w:val="20"/>
          <w:bdr w:val="none" w:sz="0" w:space="0" w:color="auto" w:frame="1"/>
          <w:shd w:val="clear" w:color="auto" w:fill="FFFFFF"/>
        </w:rPr>
        <w:t>.</w:t>
      </w:r>
      <w:r w:rsidRPr="001707CE">
        <w:rPr>
          <w:sz w:val="20"/>
          <w:szCs w:val="20"/>
        </w:rPr>
        <w:t>La</w:t>
      </w:r>
      <w:proofErr w:type="spellEnd"/>
      <w:r w:rsidRPr="001707CE">
        <w:rPr>
          <w:sz w:val="20"/>
          <w:szCs w:val="20"/>
        </w:rPr>
        <w:t xml:space="preserve"> Sentencia T-632 de 2006 (M.P. Marco Gerardo Monroy), a su turno, indica: </w:t>
      </w:r>
      <w:r w:rsidRPr="001707CE">
        <w:rPr>
          <w:i/>
          <w:sz w:val="20"/>
          <w:szCs w:val="20"/>
        </w:rPr>
        <w:t>“</w:t>
      </w:r>
      <w:r w:rsidRPr="001707CE">
        <w:rPr>
          <w:i/>
          <w:sz w:val="20"/>
          <w:szCs w:val="20"/>
          <w:shd w:val="clear" w:color="auto" w:fill="FFFFFF"/>
        </w:rPr>
        <w:t>Entre dichas medidas se encuentran, por ejemplo, la facultad de decretar y practicar pruebas y de ajustar las órdenes dictadas para lograr la efectiva protección del derecho tutelado. Ciertamente, dado que el juez de primera instancia mantiene las facultades y obligaciones constitucionales que le son otorgadas en la etapa del juzgamiento, está facultado –incluso obligado- para ejercer su actividad probatoria a fin de establecer si se ha dado cumplimiento a la orden impartida y para asegurar la efectiva protección a los derechos fundamentales de los peticionarios”.</w:t>
      </w:r>
    </w:p>
  </w:footnote>
  <w:footnote w:id="8">
    <w:p w:rsidR="0071202F" w:rsidRDefault="0071202F" w:rsidP="00780E8C">
      <w:pPr>
        <w:pStyle w:val="Corpsdetexte"/>
        <w:tabs>
          <w:tab w:val="left" w:pos="9360"/>
        </w:tabs>
        <w:spacing w:line="240" w:lineRule="auto"/>
      </w:pPr>
      <w:r w:rsidRPr="001707CE">
        <w:rPr>
          <w:sz w:val="20"/>
          <w:vertAlign w:val="superscript"/>
        </w:rPr>
        <w:footnoteRef/>
      </w:r>
      <w:r w:rsidRPr="00780E8C">
        <w:rPr>
          <w:rFonts w:ascii="Times New Roman" w:hAnsi="Times New Roman"/>
          <w:sz w:val="20"/>
          <w:lang w:val="es-CO"/>
        </w:rPr>
        <w:t xml:space="preserve">El trámite de desacato es, en efecto, uno más de los mecanismos judiciales de los que puede disponer el juez para promover la satisfacción de su sentencia. El juez puede, por lo tanto, darle apertura al incidente cuando considere que, en los términos del Decreto 2591 de 1991, resulta necesario y apropiado para lograr que las órdenes que impartió se cumplan. Es posible que tal propósito se alcance a través de un incidente de desacato, pero puede, también, que el cumplimiento no se logre por esa vía. Ante tal escenario, el juez debe activar las demás medidas que considere pertinentes para el efecto. </w:t>
      </w:r>
    </w:p>
  </w:footnote>
  <w:footnote w:id="9">
    <w:p w:rsidR="0071202F" w:rsidRDefault="0071202F" w:rsidP="00780E8C">
      <w:pPr>
        <w:pStyle w:val="Corpsdetexte"/>
        <w:shd w:val="clear" w:color="auto" w:fill="FFFFFF"/>
        <w:spacing w:line="240" w:lineRule="auto"/>
        <w:ind w:right="-93"/>
      </w:pPr>
      <w:r w:rsidRPr="001707CE">
        <w:rPr>
          <w:sz w:val="20"/>
          <w:vertAlign w:val="superscript"/>
        </w:rPr>
        <w:footnoteRef/>
      </w:r>
      <w:r w:rsidRPr="00780E8C">
        <w:rPr>
          <w:rFonts w:ascii="Times New Roman" w:hAnsi="Times New Roman"/>
          <w:sz w:val="20"/>
          <w:bdr w:val="none" w:sz="0" w:space="0" w:color="auto" w:frame="1"/>
          <w:lang w:val="es-CO"/>
        </w:rPr>
        <w:t>El juez debe valorar el incumplimiento a la luz de las circunstancias específicas que lo motivaron en el caso concreto. En los términos de la jurisprudencia constitucional, esto supone que deba valorar si existió una imposibilidad absoluta -jurídica o fáctica- para acatar lo ordenado y considerar las medidas positivas que, de buena fe, haya realizado el obligado en aras de la materialización del amparo (Sobre este punto en particular, puede revisarse la Sentencia T-553 de 2002, M.P. Alfredo Beltrán). La Corte ha advertido, en todo caso, que se puede imponer una sanción por desacato cuando la orden impartida por el juez de tutela no fue precisa y cuando el obligado quiso cumplir la orden, pero no se le dio la oportunidad de hacerlo (</w:t>
      </w:r>
      <w:r w:rsidRPr="00780E8C">
        <w:rPr>
          <w:rFonts w:ascii="Times New Roman" w:hAnsi="Times New Roman"/>
          <w:i/>
          <w:sz w:val="20"/>
          <w:bdr w:val="none" w:sz="0" w:space="0" w:color="auto" w:frame="1"/>
          <w:lang w:val="es-CO"/>
        </w:rPr>
        <w:t xml:space="preserve">Cfr. </w:t>
      </w:r>
      <w:r w:rsidRPr="00780E8C">
        <w:rPr>
          <w:rFonts w:ascii="Times New Roman" w:hAnsi="Times New Roman"/>
          <w:sz w:val="20"/>
          <w:bdr w:val="none" w:sz="0" w:space="0" w:color="auto" w:frame="1"/>
          <w:lang w:val="es-CO"/>
        </w:rPr>
        <w:t>Sentencia T-068 de 2005 (M.P. Clara Inés Vargas).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9862BB" w:rsidP="002C5601">
    <w:pPr>
      <w:pStyle w:val="Sinespaciado1"/>
      <w:rPr>
        <w:rFonts w:ascii="Arial" w:hAnsi="Arial" w:cs="Arial"/>
        <w:sz w:val="16"/>
        <w:szCs w:val="16"/>
      </w:rPr>
    </w:pPr>
  </w:p>
  <w:p w:rsidR="0081398C" w:rsidRPr="005643A9" w:rsidRDefault="009862BB"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E7BB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8A5C8B">
      <w:rPr>
        <w:rFonts w:ascii="Arial" w:hAnsi="Arial" w:cs="Arial"/>
        <w:sz w:val="16"/>
        <w:szCs w:val="16"/>
      </w:rPr>
      <w:t>1</w:t>
    </w:r>
    <w:r w:rsidR="00B32E13">
      <w:rPr>
        <w:rFonts w:ascii="Arial" w:hAnsi="Arial" w:cs="Arial"/>
        <w:sz w:val="16"/>
        <w:szCs w:val="16"/>
      </w:rPr>
      <w:t>49</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741D"/>
    <w:rsid w:val="00056B54"/>
    <w:rsid w:val="00061490"/>
    <w:rsid w:val="00061FE1"/>
    <w:rsid w:val="000B3DC3"/>
    <w:rsid w:val="000D15E9"/>
    <w:rsid w:val="00103EF6"/>
    <w:rsid w:val="001048DC"/>
    <w:rsid w:val="00132ABC"/>
    <w:rsid w:val="00140AAD"/>
    <w:rsid w:val="00140E5B"/>
    <w:rsid w:val="001448E6"/>
    <w:rsid w:val="00153CC0"/>
    <w:rsid w:val="00164C0B"/>
    <w:rsid w:val="00193682"/>
    <w:rsid w:val="001A4168"/>
    <w:rsid w:val="001B6C8F"/>
    <w:rsid w:val="001C2400"/>
    <w:rsid w:val="001D1A27"/>
    <w:rsid w:val="00201DA3"/>
    <w:rsid w:val="00215553"/>
    <w:rsid w:val="0024569F"/>
    <w:rsid w:val="00253B1B"/>
    <w:rsid w:val="00276958"/>
    <w:rsid w:val="002802BC"/>
    <w:rsid w:val="002808BA"/>
    <w:rsid w:val="00296F99"/>
    <w:rsid w:val="002B46ED"/>
    <w:rsid w:val="002D3A12"/>
    <w:rsid w:val="002E4B4A"/>
    <w:rsid w:val="002F7C30"/>
    <w:rsid w:val="00330FAE"/>
    <w:rsid w:val="003410AC"/>
    <w:rsid w:val="00345DFF"/>
    <w:rsid w:val="00357698"/>
    <w:rsid w:val="003612F1"/>
    <w:rsid w:val="00364B1F"/>
    <w:rsid w:val="00367510"/>
    <w:rsid w:val="00395C3E"/>
    <w:rsid w:val="003C0E14"/>
    <w:rsid w:val="003C49B7"/>
    <w:rsid w:val="003D44B4"/>
    <w:rsid w:val="003E27A5"/>
    <w:rsid w:val="003F2AF4"/>
    <w:rsid w:val="00404E02"/>
    <w:rsid w:val="00423C2B"/>
    <w:rsid w:val="00432169"/>
    <w:rsid w:val="00441F42"/>
    <w:rsid w:val="0044426D"/>
    <w:rsid w:val="00452F34"/>
    <w:rsid w:val="004558C7"/>
    <w:rsid w:val="0047532A"/>
    <w:rsid w:val="00482FE3"/>
    <w:rsid w:val="004C2DE4"/>
    <w:rsid w:val="004C67C0"/>
    <w:rsid w:val="004D1C2B"/>
    <w:rsid w:val="005304C7"/>
    <w:rsid w:val="005305C1"/>
    <w:rsid w:val="00531EC7"/>
    <w:rsid w:val="00554F3A"/>
    <w:rsid w:val="00574EAA"/>
    <w:rsid w:val="00586316"/>
    <w:rsid w:val="00591466"/>
    <w:rsid w:val="005967CA"/>
    <w:rsid w:val="005A4255"/>
    <w:rsid w:val="005A5FC9"/>
    <w:rsid w:val="005D2826"/>
    <w:rsid w:val="005E12A5"/>
    <w:rsid w:val="005E694E"/>
    <w:rsid w:val="005F26B0"/>
    <w:rsid w:val="0060339E"/>
    <w:rsid w:val="00633726"/>
    <w:rsid w:val="006562DE"/>
    <w:rsid w:val="00666B7C"/>
    <w:rsid w:val="0068515E"/>
    <w:rsid w:val="006948DF"/>
    <w:rsid w:val="006B2D7C"/>
    <w:rsid w:val="006B5B90"/>
    <w:rsid w:val="006B6400"/>
    <w:rsid w:val="006E72AA"/>
    <w:rsid w:val="0071202F"/>
    <w:rsid w:val="00737390"/>
    <w:rsid w:val="00744E75"/>
    <w:rsid w:val="00752E46"/>
    <w:rsid w:val="00756653"/>
    <w:rsid w:val="00770084"/>
    <w:rsid w:val="00774E0B"/>
    <w:rsid w:val="00780E8C"/>
    <w:rsid w:val="007930D3"/>
    <w:rsid w:val="0079464E"/>
    <w:rsid w:val="007A0A55"/>
    <w:rsid w:val="007D5894"/>
    <w:rsid w:val="007F409F"/>
    <w:rsid w:val="00802D6A"/>
    <w:rsid w:val="00825E6F"/>
    <w:rsid w:val="00844384"/>
    <w:rsid w:val="008607CA"/>
    <w:rsid w:val="008613D5"/>
    <w:rsid w:val="00862F12"/>
    <w:rsid w:val="00897D29"/>
    <w:rsid w:val="008A5C8B"/>
    <w:rsid w:val="008C16ED"/>
    <w:rsid w:val="008D0AA0"/>
    <w:rsid w:val="008F0D12"/>
    <w:rsid w:val="008F70AC"/>
    <w:rsid w:val="00917879"/>
    <w:rsid w:val="00947884"/>
    <w:rsid w:val="00950336"/>
    <w:rsid w:val="00950D8F"/>
    <w:rsid w:val="009576D3"/>
    <w:rsid w:val="00963327"/>
    <w:rsid w:val="00972E98"/>
    <w:rsid w:val="00977C00"/>
    <w:rsid w:val="00982C83"/>
    <w:rsid w:val="009862BB"/>
    <w:rsid w:val="00992521"/>
    <w:rsid w:val="009A043E"/>
    <w:rsid w:val="009B42A7"/>
    <w:rsid w:val="009C2688"/>
    <w:rsid w:val="009D0824"/>
    <w:rsid w:val="009E544D"/>
    <w:rsid w:val="009E7BBC"/>
    <w:rsid w:val="009F2255"/>
    <w:rsid w:val="00A30B22"/>
    <w:rsid w:val="00A3179D"/>
    <w:rsid w:val="00A33337"/>
    <w:rsid w:val="00A64E87"/>
    <w:rsid w:val="00A64EFC"/>
    <w:rsid w:val="00A77329"/>
    <w:rsid w:val="00A81CA3"/>
    <w:rsid w:val="00A830DE"/>
    <w:rsid w:val="00A93381"/>
    <w:rsid w:val="00A96D74"/>
    <w:rsid w:val="00AA1984"/>
    <w:rsid w:val="00AA4B1F"/>
    <w:rsid w:val="00AB3444"/>
    <w:rsid w:val="00AB7BDA"/>
    <w:rsid w:val="00AC3364"/>
    <w:rsid w:val="00AD4027"/>
    <w:rsid w:val="00AE243A"/>
    <w:rsid w:val="00B003B0"/>
    <w:rsid w:val="00B32E13"/>
    <w:rsid w:val="00B33947"/>
    <w:rsid w:val="00B50912"/>
    <w:rsid w:val="00B71639"/>
    <w:rsid w:val="00B76263"/>
    <w:rsid w:val="00B96AD1"/>
    <w:rsid w:val="00BA20C9"/>
    <w:rsid w:val="00BE3502"/>
    <w:rsid w:val="00C00B52"/>
    <w:rsid w:val="00C23A1A"/>
    <w:rsid w:val="00C278EA"/>
    <w:rsid w:val="00C6241B"/>
    <w:rsid w:val="00C81EB6"/>
    <w:rsid w:val="00CB0752"/>
    <w:rsid w:val="00CC3BFA"/>
    <w:rsid w:val="00CE2DDA"/>
    <w:rsid w:val="00D56A4B"/>
    <w:rsid w:val="00D6052A"/>
    <w:rsid w:val="00D64970"/>
    <w:rsid w:val="00D82467"/>
    <w:rsid w:val="00D900B5"/>
    <w:rsid w:val="00D92822"/>
    <w:rsid w:val="00DB3464"/>
    <w:rsid w:val="00DB3753"/>
    <w:rsid w:val="00DD1E33"/>
    <w:rsid w:val="00DD2D3A"/>
    <w:rsid w:val="00DE1E7F"/>
    <w:rsid w:val="00E26563"/>
    <w:rsid w:val="00E335EB"/>
    <w:rsid w:val="00E4481C"/>
    <w:rsid w:val="00E449DC"/>
    <w:rsid w:val="00E64D68"/>
    <w:rsid w:val="00E722B3"/>
    <w:rsid w:val="00E85B41"/>
    <w:rsid w:val="00EA4CAE"/>
    <w:rsid w:val="00ED2DB5"/>
    <w:rsid w:val="00ED6C4C"/>
    <w:rsid w:val="00F0720D"/>
    <w:rsid w:val="00F333EF"/>
    <w:rsid w:val="00F73915"/>
    <w:rsid w:val="00F94421"/>
    <w:rsid w:val="00FB74BE"/>
    <w:rsid w:val="00FE12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qFormat/>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qFormat/>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BC291-130D-4C42-95DE-8FAE375D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2100</Words>
  <Characters>11554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17</cp:revision>
  <cp:lastPrinted>2017-03-09T18:49:00Z</cp:lastPrinted>
  <dcterms:created xsi:type="dcterms:W3CDTF">2017-03-08T20:18:00Z</dcterms:created>
  <dcterms:modified xsi:type="dcterms:W3CDTF">2017-04-23T13:47:00Z</dcterms:modified>
</cp:coreProperties>
</file>