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C1" w:rsidRDefault="00C72EC1" w:rsidP="00C72EC1">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C72EC1" w:rsidRDefault="00C72EC1" w:rsidP="00C72EC1">
      <w:pPr>
        <w:shd w:val="clear" w:color="auto" w:fill="FFFFFF"/>
        <w:ind w:left="2124" w:hanging="2124"/>
        <w:rPr>
          <w:rFonts w:ascii="Calibri" w:hAnsi="Calibri" w:cs="Calibri"/>
          <w:color w:val="222222"/>
          <w:sz w:val="18"/>
          <w:szCs w:val="18"/>
          <w:lang w:val="es-CO" w:eastAsia="fr-FR"/>
        </w:rPr>
      </w:pPr>
    </w:p>
    <w:p w:rsidR="00C72EC1" w:rsidRPr="00346DF6" w:rsidRDefault="00C72EC1" w:rsidP="00C72EC1">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en el grado de consulta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18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C72EC1" w:rsidRPr="00B56432" w:rsidRDefault="00C72EC1" w:rsidP="00C72EC1">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Revoca sanción</w:t>
      </w:r>
    </w:p>
    <w:p w:rsidR="00C72EC1" w:rsidRDefault="00C72EC1" w:rsidP="00C72EC1">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982FD2">
        <w:rPr>
          <w:rFonts w:ascii="Calibri" w:eastAsia="Calibri" w:hAnsi="Calibri" w:cs="Calibri"/>
          <w:bCs/>
          <w:color w:val="222222"/>
          <w:sz w:val="18"/>
          <w:szCs w:val="18"/>
          <w:lang w:eastAsia="fr-FR"/>
        </w:rPr>
        <w:t>66001-31-03-004-2014-00202-01</w:t>
      </w:r>
    </w:p>
    <w:p w:rsidR="00C72EC1" w:rsidRPr="00452F4C" w:rsidRDefault="00C72EC1" w:rsidP="00C72EC1">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sidRPr="00982FD2">
        <w:rPr>
          <w:rFonts w:asciiTheme="minorHAnsi" w:hAnsiTheme="minorHAnsi" w:cstheme="minorHAnsi"/>
          <w:bCs/>
          <w:sz w:val="18"/>
          <w:szCs w:val="18"/>
        </w:rPr>
        <w:t>GLORIA PATRICIA VELÁSQUEZ RESTREPO</w:t>
      </w:r>
    </w:p>
    <w:p w:rsidR="00C72EC1" w:rsidRDefault="00C72EC1" w:rsidP="00C72EC1">
      <w:pPr>
        <w:shd w:val="clear" w:color="auto" w:fill="FFFFFF"/>
        <w:tabs>
          <w:tab w:val="left" w:pos="1418"/>
        </w:tabs>
        <w:rPr>
          <w:rFonts w:asciiTheme="minorHAnsi" w:hAnsiTheme="minorHAnsi" w:cstheme="minorHAnsi"/>
          <w:color w:val="222222"/>
          <w:spacing w:val="-6"/>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pacing w:val="-6"/>
          <w:sz w:val="18"/>
          <w:szCs w:val="18"/>
          <w:lang w:eastAsia="fr-FR"/>
        </w:rPr>
        <w:t xml:space="preserve">NUEVA </w:t>
      </w:r>
      <w:proofErr w:type="spellStart"/>
      <w:r>
        <w:rPr>
          <w:rFonts w:asciiTheme="minorHAnsi" w:hAnsiTheme="minorHAnsi" w:cstheme="minorHAnsi"/>
          <w:color w:val="222222"/>
          <w:spacing w:val="-6"/>
          <w:sz w:val="18"/>
          <w:szCs w:val="18"/>
          <w:lang w:eastAsia="fr-FR"/>
        </w:rPr>
        <w:t>EPS</w:t>
      </w:r>
      <w:proofErr w:type="spellEnd"/>
    </w:p>
    <w:p w:rsidR="00C72EC1" w:rsidRPr="00FE08FE" w:rsidRDefault="00C72EC1" w:rsidP="00C72EC1">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C72EC1" w:rsidRPr="000B480F" w:rsidRDefault="00C72EC1" w:rsidP="00C72EC1">
      <w:pPr>
        <w:shd w:val="clear" w:color="auto" w:fill="FFFFFF"/>
        <w:rPr>
          <w:rFonts w:ascii="Calibri" w:eastAsia="Calibri" w:hAnsi="Calibri" w:cs="Calibri"/>
          <w:bCs/>
          <w:iCs/>
          <w:color w:val="222222"/>
          <w:sz w:val="18"/>
          <w:szCs w:val="18"/>
          <w:lang w:val="es-MX" w:eastAsia="fr-FR"/>
        </w:rPr>
      </w:pPr>
    </w:p>
    <w:p w:rsidR="00C72EC1" w:rsidRPr="00327A8B" w:rsidRDefault="00C72EC1" w:rsidP="00C72EC1">
      <w:pPr>
        <w:shd w:val="clear" w:color="auto" w:fill="FFFFFF"/>
        <w:spacing w:after="200"/>
        <w:jc w:val="both"/>
        <w:rPr>
          <w:rFonts w:asciiTheme="minorHAnsi" w:hAnsiTheme="minorHAnsi" w:cstheme="minorHAnsi"/>
          <w:bCs/>
          <w:i/>
          <w:iCs/>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SUMINISTRO DE MEDICAMENTOS / ORDEN CUMPLIDA. </w:t>
      </w:r>
      <w:r>
        <w:rPr>
          <w:rFonts w:asciiTheme="minorHAnsi" w:hAnsiTheme="minorHAnsi" w:cstheme="minorHAnsi"/>
          <w:bCs/>
          <w:iCs/>
          <w:color w:val="222222"/>
          <w:sz w:val="18"/>
          <w:szCs w:val="18"/>
          <w:lang w:eastAsia="fr-FR"/>
        </w:rPr>
        <w:t>[L]</w:t>
      </w:r>
      <w:r w:rsidRPr="00982FD2">
        <w:rPr>
          <w:rFonts w:asciiTheme="minorHAnsi" w:hAnsiTheme="minorHAnsi" w:cstheme="minorHAnsi"/>
          <w:bCs/>
          <w:iCs/>
          <w:color w:val="222222"/>
          <w:sz w:val="18"/>
          <w:szCs w:val="18"/>
          <w:lang w:eastAsia="fr-FR"/>
        </w:rPr>
        <w:t xml:space="preserve">a NUEVA </w:t>
      </w:r>
      <w:proofErr w:type="spellStart"/>
      <w:r w:rsidRPr="00982FD2">
        <w:rPr>
          <w:rFonts w:asciiTheme="minorHAnsi" w:hAnsiTheme="minorHAnsi" w:cstheme="minorHAnsi"/>
          <w:bCs/>
          <w:iCs/>
          <w:color w:val="222222"/>
          <w:sz w:val="18"/>
          <w:szCs w:val="18"/>
          <w:lang w:eastAsia="fr-FR"/>
        </w:rPr>
        <w:t>EPS</w:t>
      </w:r>
      <w:proofErr w:type="spellEnd"/>
      <w:r w:rsidRPr="00982FD2">
        <w:rPr>
          <w:rFonts w:asciiTheme="minorHAnsi" w:hAnsiTheme="minorHAnsi" w:cstheme="minorHAnsi"/>
          <w:bCs/>
          <w:iCs/>
          <w:color w:val="222222"/>
          <w:sz w:val="18"/>
          <w:szCs w:val="18"/>
          <w:lang w:eastAsia="fr-FR"/>
        </w:rPr>
        <w:t xml:space="preserve"> por intermedio de su apodera judicial, da cuenta de haber atendido lo reclamado por la señora Gloria Patricia, esto es aplicación del medicamento ya mencionado, situación de la que se hizo seguimiento, estableciendo comunicación con la solicitante, quien informó que efectivamente ya recibió el suministro de la medicina (</w:t>
      </w:r>
      <w:proofErr w:type="spellStart"/>
      <w:r w:rsidRPr="00982FD2">
        <w:rPr>
          <w:rFonts w:asciiTheme="minorHAnsi" w:hAnsiTheme="minorHAnsi" w:cstheme="minorHAnsi"/>
          <w:bCs/>
          <w:iCs/>
          <w:color w:val="222222"/>
          <w:sz w:val="18"/>
          <w:szCs w:val="18"/>
          <w:lang w:eastAsia="fr-FR"/>
        </w:rPr>
        <w:t>fls</w:t>
      </w:r>
      <w:proofErr w:type="spellEnd"/>
      <w:r w:rsidRPr="00982FD2">
        <w:rPr>
          <w:rFonts w:asciiTheme="minorHAnsi" w:hAnsiTheme="minorHAnsi" w:cstheme="minorHAnsi"/>
          <w:bCs/>
          <w:iCs/>
          <w:color w:val="222222"/>
          <w:sz w:val="18"/>
          <w:szCs w:val="18"/>
          <w:lang w:eastAsia="fr-FR"/>
        </w:rPr>
        <w:t xml:space="preserve">. 30-51 </w:t>
      </w:r>
      <w:proofErr w:type="spellStart"/>
      <w:r w:rsidRPr="00982FD2">
        <w:rPr>
          <w:rFonts w:asciiTheme="minorHAnsi" w:hAnsiTheme="minorHAnsi" w:cstheme="minorHAnsi"/>
          <w:bCs/>
          <w:iCs/>
          <w:color w:val="222222"/>
          <w:sz w:val="18"/>
          <w:szCs w:val="18"/>
          <w:lang w:eastAsia="fr-FR"/>
        </w:rPr>
        <w:t>íd</w:t>
      </w:r>
      <w:proofErr w:type="spellEnd"/>
      <w:r w:rsidRPr="00982FD2">
        <w:rPr>
          <w:rFonts w:asciiTheme="minorHAnsi" w:hAnsiTheme="minorHAnsi" w:cstheme="minorHAnsi"/>
          <w:bCs/>
          <w:iCs/>
          <w:color w:val="222222"/>
          <w:sz w:val="18"/>
          <w:szCs w:val="18"/>
          <w:lang w:eastAsia="fr-FR"/>
        </w:rPr>
        <w:t>).</w:t>
      </w:r>
      <w:r>
        <w:rPr>
          <w:rFonts w:asciiTheme="minorHAnsi" w:hAnsiTheme="minorHAnsi" w:cstheme="minorHAnsi"/>
          <w:bCs/>
          <w:iCs/>
          <w:color w:val="222222"/>
          <w:sz w:val="18"/>
          <w:szCs w:val="18"/>
          <w:lang w:eastAsia="fr-FR"/>
        </w:rPr>
        <w:t xml:space="preserve"> </w:t>
      </w:r>
      <w:r w:rsidRPr="00982FD2">
        <w:rPr>
          <w:rFonts w:asciiTheme="minorHAnsi" w:hAnsiTheme="minorHAnsi" w:cstheme="minorHAnsi"/>
          <w:bCs/>
          <w:iCs/>
          <w:color w:val="222222"/>
          <w:sz w:val="18"/>
          <w:szCs w:val="18"/>
          <w:lang w:eastAsia="fr-FR"/>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 14 de marzo hogaño.</w:t>
      </w:r>
      <w:r>
        <w:rPr>
          <w:rFonts w:asciiTheme="minorHAnsi" w:hAnsiTheme="minorHAnsi" w:cstheme="minorHAnsi"/>
          <w:bCs/>
          <w:iCs/>
          <w:color w:val="222222"/>
          <w:sz w:val="18"/>
          <w:szCs w:val="18"/>
          <w:lang w:eastAsia="fr-FR"/>
        </w:rPr>
        <w:t xml:space="preserve"> </w:t>
      </w:r>
      <w:r w:rsidRPr="00982FD2">
        <w:rPr>
          <w:rFonts w:asciiTheme="minorHAnsi" w:hAnsiTheme="minorHAnsi" w:cstheme="minorHAnsi"/>
          <w:bCs/>
          <w:iCs/>
          <w:color w:val="222222"/>
          <w:sz w:val="18"/>
          <w:szCs w:val="18"/>
          <w:lang w:val="es-CO" w:eastAsia="fr-FR"/>
        </w:rPr>
        <w:t>Y es que el incidente de desacato tiene como finalidad principal buscar que la autoridad vinculada cumpla la orden impartida por el juez y no la imposición de una sanción de las contempladas en el artículo 52 del decreto 2591 de 1991.</w:t>
      </w:r>
    </w:p>
    <w:p w:rsidR="00D244AA"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177D01">
        <w:rPr>
          <w:rFonts w:ascii="Arial" w:hAnsi="Arial" w:cs="Arial"/>
          <w:bCs/>
          <w:sz w:val="26"/>
          <w:szCs w:val="26"/>
        </w:rPr>
        <w:t>dieci</w:t>
      </w:r>
      <w:r w:rsidR="00CA4C30">
        <w:rPr>
          <w:rFonts w:ascii="Arial" w:hAnsi="Arial" w:cs="Arial"/>
          <w:bCs/>
          <w:sz w:val="26"/>
          <w:szCs w:val="26"/>
        </w:rPr>
        <w:t>ocho</w:t>
      </w:r>
      <w:r>
        <w:rPr>
          <w:rFonts w:ascii="Arial" w:hAnsi="Arial" w:cs="Arial"/>
          <w:bCs/>
          <w:sz w:val="26"/>
          <w:szCs w:val="26"/>
        </w:rPr>
        <w:t xml:space="preserve"> (</w:t>
      </w:r>
      <w:r w:rsidR="009A04FE">
        <w:rPr>
          <w:rFonts w:ascii="Arial" w:hAnsi="Arial" w:cs="Arial"/>
          <w:bCs/>
          <w:sz w:val="26"/>
          <w:szCs w:val="26"/>
        </w:rPr>
        <w:t>18</w:t>
      </w:r>
      <w:r w:rsidRPr="009144FD">
        <w:rPr>
          <w:rFonts w:ascii="Arial" w:hAnsi="Arial" w:cs="Arial"/>
          <w:bCs/>
          <w:sz w:val="26"/>
          <w:szCs w:val="26"/>
        </w:rPr>
        <w:t xml:space="preserve">) de </w:t>
      </w:r>
      <w:r w:rsidR="00177D01">
        <w:rPr>
          <w:rFonts w:ascii="Arial" w:hAnsi="Arial" w:cs="Arial"/>
          <w:bCs/>
          <w:sz w:val="26"/>
          <w:szCs w:val="26"/>
        </w:rPr>
        <w:t>ma</w:t>
      </w:r>
      <w:r w:rsidR="009A04FE">
        <w:rPr>
          <w:rFonts w:ascii="Arial" w:hAnsi="Arial" w:cs="Arial"/>
          <w:bCs/>
          <w:sz w:val="26"/>
          <w:szCs w:val="26"/>
        </w:rPr>
        <w:t>yo</w:t>
      </w:r>
      <w:r w:rsidRPr="009144FD">
        <w:rPr>
          <w:rFonts w:ascii="Arial" w:hAnsi="Arial" w:cs="Arial"/>
          <w:bCs/>
          <w:sz w:val="26"/>
          <w:szCs w:val="26"/>
        </w:rPr>
        <w:t xml:space="preserve"> 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66001-</w:t>
      </w:r>
      <w:r w:rsidR="006C3C04">
        <w:rPr>
          <w:rFonts w:ascii="Arial" w:hAnsi="Arial" w:cs="Arial"/>
          <w:sz w:val="26"/>
          <w:szCs w:val="26"/>
        </w:rPr>
        <w:t>31</w:t>
      </w:r>
      <w:r>
        <w:rPr>
          <w:rFonts w:ascii="Arial" w:hAnsi="Arial" w:cs="Arial"/>
          <w:sz w:val="26"/>
          <w:szCs w:val="26"/>
        </w:rPr>
        <w:t>-</w:t>
      </w:r>
      <w:r w:rsidR="006C3C04">
        <w:rPr>
          <w:rFonts w:ascii="Arial" w:hAnsi="Arial" w:cs="Arial"/>
          <w:sz w:val="26"/>
          <w:szCs w:val="26"/>
        </w:rPr>
        <w:t>03</w:t>
      </w:r>
      <w:r>
        <w:rPr>
          <w:rFonts w:ascii="Arial" w:hAnsi="Arial" w:cs="Arial"/>
          <w:sz w:val="26"/>
          <w:szCs w:val="26"/>
        </w:rPr>
        <w:t>-00</w:t>
      </w:r>
      <w:r w:rsidR="006C3C04">
        <w:rPr>
          <w:rFonts w:ascii="Arial" w:hAnsi="Arial" w:cs="Arial"/>
          <w:sz w:val="26"/>
          <w:szCs w:val="26"/>
        </w:rPr>
        <w:t>4</w:t>
      </w:r>
      <w:r>
        <w:rPr>
          <w:rFonts w:ascii="Arial" w:hAnsi="Arial" w:cs="Arial"/>
          <w:sz w:val="26"/>
          <w:szCs w:val="26"/>
        </w:rPr>
        <w:t>-201</w:t>
      </w:r>
      <w:r w:rsidR="006C3C04">
        <w:rPr>
          <w:rFonts w:ascii="Arial" w:hAnsi="Arial" w:cs="Arial"/>
          <w:sz w:val="26"/>
          <w:szCs w:val="26"/>
        </w:rPr>
        <w:t>4</w:t>
      </w:r>
      <w:r>
        <w:rPr>
          <w:rFonts w:ascii="Arial" w:hAnsi="Arial" w:cs="Arial"/>
          <w:sz w:val="26"/>
          <w:szCs w:val="26"/>
        </w:rPr>
        <w:t>-00</w:t>
      </w:r>
      <w:r w:rsidR="006C3C04">
        <w:rPr>
          <w:rFonts w:ascii="Arial" w:hAnsi="Arial" w:cs="Arial"/>
          <w:sz w:val="26"/>
          <w:szCs w:val="26"/>
        </w:rPr>
        <w:t>202</w:t>
      </w:r>
      <w:r w:rsidR="00177D01">
        <w:rPr>
          <w:rFonts w:ascii="Arial" w:hAnsi="Arial" w:cs="Arial"/>
          <w:sz w:val="26"/>
          <w:szCs w:val="26"/>
        </w:rPr>
        <w:t>-01</w:t>
      </w: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9533CE">
        <w:rPr>
          <w:rFonts w:ascii="Arial" w:hAnsi="Arial"/>
          <w:sz w:val="26"/>
          <w:szCs w:val="26"/>
        </w:rPr>
        <w:t>Cuarto Civil del Circuito de Pereira</w:t>
      </w:r>
      <w:r w:rsidRPr="00820F62">
        <w:rPr>
          <w:rFonts w:ascii="Arial" w:hAnsi="Arial"/>
          <w:sz w:val="26"/>
          <w:szCs w:val="26"/>
        </w:rPr>
        <w:t>,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r w:rsidRPr="00820F62">
        <w:rPr>
          <w:rFonts w:ascii="Arial" w:hAnsi="Arial"/>
          <w:sz w:val="22"/>
          <w:szCs w:val="26"/>
        </w:rPr>
        <w:t>MARÍA LORENA SERNA MONTOYA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Regional Eje Cafetero de la </w:t>
      </w:r>
      <w:r w:rsidRPr="00820F62">
        <w:rPr>
          <w:rFonts w:ascii="Arial" w:hAnsi="Arial"/>
          <w:sz w:val="22"/>
          <w:szCs w:val="26"/>
        </w:rPr>
        <w:t>NUEVA EPS</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E55047" w:rsidRDefault="00D244AA" w:rsidP="00E55047">
      <w:pPr>
        <w:pStyle w:val="Sinespaciado1"/>
        <w:spacing w:line="360" w:lineRule="auto"/>
        <w:ind w:firstLine="2835"/>
        <w:jc w:val="both"/>
        <w:rPr>
          <w:rFonts w:ascii="Arial" w:hAnsi="Arial" w:cs="Arial"/>
          <w:i/>
          <w:sz w:val="20"/>
          <w:szCs w:val="26"/>
        </w:rPr>
      </w:pPr>
      <w:r w:rsidRPr="00820F62">
        <w:rPr>
          <w:rFonts w:ascii="Arial" w:hAnsi="Arial" w:cs="Arial"/>
          <w:sz w:val="26"/>
          <w:szCs w:val="26"/>
        </w:rPr>
        <w:t xml:space="preserve">1. El </w:t>
      </w:r>
      <w:r w:rsidR="009533CE">
        <w:rPr>
          <w:rFonts w:ascii="Arial" w:hAnsi="Arial" w:cs="Arial"/>
          <w:sz w:val="26"/>
          <w:szCs w:val="26"/>
        </w:rPr>
        <w:t>4</w:t>
      </w:r>
      <w:r w:rsidRPr="00820F62">
        <w:rPr>
          <w:rFonts w:ascii="Arial" w:hAnsi="Arial" w:cs="Arial"/>
          <w:sz w:val="26"/>
          <w:szCs w:val="26"/>
        </w:rPr>
        <w:t xml:space="preserve"> de </w:t>
      </w:r>
      <w:r w:rsidR="009533CE">
        <w:rPr>
          <w:rFonts w:ascii="Arial" w:hAnsi="Arial" w:cs="Arial"/>
          <w:sz w:val="26"/>
          <w:szCs w:val="26"/>
        </w:rPr>
        <w:t xml:space="preserve">agosto </w:t>
      </w:r>
      <w:r w:rsidRPr="00820F62">
        <w:rPr>
          <w:rFonts w:ascii="Arial" w:hAnsi="Arial" w:cs="Arial"/>
          <w:sz w:val="26"/>
          <w:szCs w:val="26"/>
        </w:rPr>
        <w:t>de 201</w:t>
      </w:r>
      <w:r w:rsidR="009533CE">
        <w:rPr>
          <w:rFonts w:ascii="Arial" w:hAnsi="Arial" w:cs="Arial"/>
          <w:sz w:val="26"/>
          <w:szCs w:val="26"/>
        </w:rPr>
        <w:t>4</w:t>
      </w:r>
      <w:r w:rsidRPr="00820F62">
        <w:rPr>
          <w:rFonts w:ascii="Arial" w:hAnsi="Arial" w:cs="Arial"/>
          <w:sz w:val="26"/>
          <w:szCs w:val="26"/>
        </w:rPr>
        <w:t xml:space="preserve"> </w:t>
      </w:r>
      <w:r w:rsidRPr="00820F62">
        <w:rPr>
          <w:rFonts w:ascii="Arial" w:hAnsi="Arial"/>
          <w:sz w:val="26"/>
          <w:szCs w:val="26"/>
        </w:rPr>
        <w:t xml:space="preserve">el </w:t>
      </w:r>
      <w:r w:rsidR="009533CE">
        <w:rPr>
          <w:rFonts w:ascii="Arial" w:hAnsi="Arial"/>
          <w:sz w:val="26"/>
          <w:szCs w:val="26"/>
        </w:rPr>
        <w:t>mentado despacho judicial</w:t>
      </w:r>
      <w:r w:rsidRPr="00820F62">
        <w:rPr>
          <w:rFonts w:ascii="Arial" w:hAnsi="Arial"/>
          <w:sz w:val="26"/>
          <w:szCs w:val="26"/>
        </w:rPr>
        <w:t>, mediante fallo de tutela amparó los derechos fundamentales</w:t>
      </w:r>
      <w:r w:rsidR="009533CE">
        <w:rPr>
          <w:rFonts w:ascii="Arial" w:hAnsi="Arial"/>
          <w:sz w:val="26"/>
          <w:szCs w:val="26"/>
        </w:rPr>
        <w:t xml:space="preserve"> a la salud y la dignidad humana </w:t>
      </w:r>
      <w:r w:rsidRPr="00820F62">
        <w:rPr>
          <w:rFonts w:ascii="Arial" w:hAnsi="Arial"/>
          <w:sz w:val="26"/>
          <w:szCs w:val="26"/>
        </w:rPr>
        <w:t>invocados por</w:t>
      </w:r>
      <w:r w:rsidR="009533CE">
        <w:rPr>
          <w:rFonts w:ascii="Arial" w:hAnsi="Arial"/>
          <w:sz w:val="26"/>
          <w:szCs w:val="26"/>
        </w:rPr>
        <w:t xml:space="preserve"> la señora Gloria Patricia Velásquez Restrepo</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a la </w:t>
      </w:r>
      <w:r w:rsidRPr="00820F62">
        <w:rPr>
          <w:rFonts w:ascii="Arial" w:hAnsi="Arial" w:cs="Arial"/>
          <w:szCs w:val="26"/>
        </w:rPr>
        <w:t>NUEVA EPS</w:t>
      </w:r>
      <w:r w:rsidR="009533CE">
        <w:rPr>
          <w:rFonts w:ascii="Arial" w:hAnsi="Arial" w:cs="Arial"/>
          <w:szCs w:val="26"/>
        </w:rPr>
        <w:t xml:space="preserve"> </w:t>
      </w:r>
      <w:r w:rsidRPr="0013491D">
        <w:rPr>
          <w:rFonts w:ascii="Arial" w:hAnsi="Arial" w:cs="Arial"/>
          <w:i/>
          <w:sz w:val="24"/>
          <w:szCs w:val="26"/>
        </w:rPr>
        <w:t>“</w:t>
      </w:r>
      <w:r w:rsidR="009533CE">
        <w:rPr>
          <w:rFonts w:ascii="Arial" w:hAnsi="Arial" w:cs="Arial"/>
          <w:i/>
          <w:sz w:val="24"/>
          <w:szCs w:val="26"/>
        </w:rPr>
        <w:t xml:space="preserve">garantizar en adelante toda la </w:t>
      </w:r>
      <w:r w:rsidR="009533CE">
        <w:rPr>
          <w:rFonts w:ascii="Arial" w:hAnsi="Arial" w:cs="Arial"/>
          <w:i/>
          <w:sz w:val="24"/>
          <w:szCs w:val="26"/>
        </w:rPr>
        <w:lastRenderedPageBreak/>
        <w:t xml:space="preserve">atención médica integral necesaria para restablecer la salud y vida en condiciones dignas de la paciente (…) relacionada con la patología  (…) esclerosis múltiple;…” </w:t>
      </w:r>
      <w:r w:rsidR="006B6ECB" w:rsidRPr="0013491D">
        <w:rPr>
          <w:rFonts w:ascii="Arial" w:hAnsi="Arial" w:cs="Arial"/>
          <w:i/>
          <w:sz w:val="24"/>
          <w:szCs w:val="26"/>
        </w:rPr>
        <w:t xml:space="preserve"> </w:t>
      </w:r>
      <w:r w:rsidR="006B6ECB" w:rsidRPr="00E55047">
        <w:rPr>
          <w:rFonts w:ascii="Arial" w:hAnsi="Arial" w:cs="Arial"/>
          <w:szCs w:val="26"/>
        </w:rPr>
        <w:t>(</w:t>
      </w:r>
      <w:proofErr w:type="spellStart"/>
      <w:r w:rsidR="006B6ECB" w:rsidRPr="00E55047">
        <w:rPr>
          <w:rFonts w:ascii="Arial" w:hAnsi="Arial" w:cs="Arial"/>
          <w:szCs w:val="26"/>
        </w:rPr>
        <w:t>fls</w:t>
      </w:r>
      <w:proofErr w:type="spellEnd"/>
      <w:r w:rsidR="006B6ECB" w:rsidRPr="00E55047">
        <w:rPr>
          <w:rFonts w:ascii="Arial" w:hAnsi="Arial" w:cs="Arial"/>
          <w:szCs w:val="26"/>
        </w:rPr>
        <w:t xml:space="preserve">. </w:t>
      </w:r>
      <w:r w:rsidR="00E55047" w:rsidRPr="00E55047">
        <w:rPr>
          <w:rFonts w:ascii="Arial" w:hAnsi="Arial" w:cs="Arial"/>
          <w:szCs w:val="26"/>
        </w:rPr>
        <w:t>3-12</w:t>
      </w:r>
      <w:r w:rsidR="006B6ECB" w:rsidRPr="00E55047">
        <w:rPr>
          <w:rFonts w:ascii="Arial" w:hAnsi="Arial" w:cs="Arial"/>
          <w:szCs w:val="26"/>
        </w:rPr>
        <w:t xml:space="preserve"> Cd. Desacato).</w:t>
      </w:r>
      <w:r w:rsidR="006B6ECB" w:rsidRPr="00E55047">
        <w:rPr>
          <w:rFonts w:ascii="Arial" w:hAnsi="Arial" w:cs="Arial"/>
          <w:i/>
          <w:szCs w:val="26"/>
        </w:rPr>
        <w:t xml:space="preserve"> </w:t>
      </w:r>
    </w:p>
    <w:p w:rsidR="006B6ECB" w:rsidRPr="00E55047" w:rsidRDefault="006B6ECB" w:rsidP="00D244AA">
      <w:pPr>
        <w:pStyle w:val="Sinespaciado1"/>
        <w:spacing w:line="360" w:lineRule="auto"/>
        <w:ind w:firstLine="2835"/>
        <w:jc w:val="both"/>
        <w:rPr>
          <w:rFonts w:ascii="Arial" w:hAnsi="Arial" w:cs="Arial"/>
          <w:sz w:val="16"/>
          <w:szCs w:val="26"/>
        </w:rPr>
      </w:pP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t xml:space="preserve">2. El </w:t>
      </w:r>
      <w:r w:rsidR="00E55047">
        <w:rPr>
          <w:rFonts w:ascii="Arial" w:hAnsi="Arial" w:cs="Arial"/>
          <w:sz w:val="26"/>
          <w:szCs w:val="26"/>
        </w:rPr>
        <w:t>7</w:t>
      </w:r>
      <w:r w:rsidRPr="00820F62">
        <w:rPr>
          <w:rFonts w:ascii="Arial" w:hAnsi="Arial" w:cs="Arial"/>
          <w:sz w:val="26"/>
          <w:szCs w:val="26"/>
        </w:rPr>
        <w:t xml:space="preserve"> de </w:t>
      </w:r>
      <w:r w:rsidR="00E55047">
        <w:rPr>
          <w:rFonts w:ascii="Arial" w:hAnsi="Arial" w:cs="Arial"/>
          <w:sz w:val="26"/>
          <w:szCs w:val="26"/>
        </w:rPr>
        <w:t>febrero de este año</w:t>
      </w:r>
      <w:r w:rsidRPr="00820F62">
        <w:rPr>
          <w:rFonts w:ascii="Arial" w:hAnsi="Arial" w:cs="Arial"/>
          <w:sz w:val="26"/>
          <w:szCs w:val="26"/>
        </w:rPr>
        <w:t xml:space="preserve">, formuló incidente de desacato por incumplimiento de lo ordenado en el fallo de tutela, </w:t>
      </w:r>
      <w:r w:rsidR="00E55047">
        <w:rPr>
          <w:rFonts w:ascii="Arial" w:hAnsi="Arial" w:cs="Arial"/>
          <w:sz w:val="26"/>
          <w:szCs w:val="26"/>
        </w:rPr>
        <w:t xml:space="preserve">refiriendo, </w:t>
      </w:r>
      <w:r w:rsidRPr="00820F62">
        <w:rPr>
          <w:rFonts w:ascii="Arial" w:hAnsi="Arial" w:cs="Arial"/>
          <w:sz w:val="26"/>
          <w:szCs w:val="26"/>
        </w:rPr>
        <w:t xml:space="preserve"> </w:t>
      </w:r>
      <w:r w:rsidR="00DB50B1">
        <w:rPr>
          <w:rFonts w:ascii="Arial" w:hAnsi="Arial" w:cs="Arial"/>
          <w:sz w:val="26"/>
          <w:szCs w:val="26"/>
        </w:rPr>
        <w:t>“</w:t>
      </w:r>
      <w:r w:rsidR="00E55047">
        <w:rPr>
          <w:rFonts w:ascii="Arial" w:hAnsi="Arial" w:cs="Arial"/>
          <w:sz w:val="26"/>
          <w:szCs w:val="26"/>
        </w:rPr>
        <w:t xml:space="preserve">La nueva EPS no autoriza la aplicación </w:t>
      </w:r>
      <w:proofErr w:type="spellStart"/>
      <w:r w:rsidR="00E55047">
        <w:rPr>
          <w:rFonts w:ascii="Arial" w:hAnsi="Arial" w:cs="Arial"/>
          <w:sz w:val="26"/>
          <w:szCs w:val="26"/>
        </w:rPr>
        <w:t>de el</w:t>
      </w:r>
      <w:proofErr w:type="spellEnd"/>
      <w:r w:rsidR="00E55047">
        <w:rPr>
          <w:rFonts w:ascii="Arial" w:hAnsi="Arial" w:cs="Arial"/>
          <w:sz w:val="26"/>
          <w:szCs w:val="26"/>
        </w:rPr>
        <w:t xml:space="preserve"> (sic) medicamento </w:t>
      </w:r>
      <w:proofErr w:type="spellStart"/>
      <w:r w:rsidR="00E55047">
        <w:rPr>
          <w:rFonts w:ascii="Arial" w:hAnsi="Arial" w:cs="Arial"/>
          <w:sz w:val="26"/>
          <w:szCs w:val="26"/>
        </w:rPr>
        <w:t>ALENTUZUMARB</w:t>
      </w:r>
      <w:proofErr w:type="spellEnd"/>
      <w:r w:rsidR="00E55047">
        <w:rPr>
          <w:rFonts w:ascii="Arial" w:hAnsi="Arial" w:cs="Arial"/>
          <w:sz w:val="26"/>
          <w:szCs w:val="26"/>
        </w:rPr>
        <w:t xml:space="preserve"> en las condiciones que el Neurólogo describe Para salvaguardar mi vida” (sic)</w:t>
      </w:r>
      <w:r w:rsidR="005E0BC4">
        <w:rPr>
          <w:rFonts w:ascii="Arial" w:hAnsi="Arial" w:cs="Arial"/>
          <w:sz w:val="26"/>
          <w:szCs w:val="26"/>
        </w:rPr>
        <w:t>, el que dice la aplicación debe ser intrahospitalaria, pero la entidad le ofrece el servicio ambulatorio, colocando en riesgo su vida</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w:t>
      </w:r>
      <w:r w:rsidR="00E72639" w:rsidRPr="005B77D9">
        <w:rPr>
          <w:rFonts w:ascii="Arial" w:hAnsi="Arial" w:cs="Arial"/>
        </w:rPr>
        <w:t>s</w:t>
      </w:r>
      <w:proofErr w:type="spellEnd"/>
      <w:r w:rsidR="00861638" w:rsidRPr="005B77D9">
        <w:rPr>
          <w:rFonts w:ascii="Arial" w:hAnsi="Arial" w:cs="Arial"/>
        </w:rPr>
        <w:t xml:space="preserve">. </w:t>
      </w:r>
      <w:r w:rsidR="005E0BC4">
        <w:rPr>
          <w:rFonts w:ascii="Arial" w:hAnsi="Arial" w:cs="Arial"/>
        </w:rPr>
        <w:t xml:space="preserve">1 </w:t>
      </w:r>
      <w:proofErr w:type="spellStart"/>
      <w:r w:rsidR="005E0BC4">
        <w:rPr>
          <w:rFonts w:ascii="Arial" w:hAnsi="Arial" w:cs="Arial"/>
        </w:rPr>
        <w:t>íd</w:t>
      </w:r>
      <w:proofErr w:type="spellEnd"/>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w:t>
      </w:r>
      <w:r w:rsidR="008D58C7">
        <w:rPr>
          <w:rFonts w:ascii="Arial" w:hAnsi="Arial" w:cs="Arial"/>
          <w:sz w:val="26"/>
          <w:szCs w:val="26"/>
        </w:rPr>
        <w:t>14</w:t>
      </w:r>
      <w:r w:rsidRPr="00861638">
        <w:rPr>
          <w:rFonts w:ascii="Arial" w:hAnsi="Arial" w:cs="Arial"/>
          <w:sz w:val="26"/>
          <w:szCs w:val="26"/>
        </w:rPr>
        <w:t xml:space="preserve"> de </w:t>
      </w:r>
      <w:r w:rsidR="008D58C7">
        <w:rPr>
          <w:rFonts w:ascii="Arial" w:hAnsi="Arial" w:cs="Arial"/>
          <w:sz w:val="26"/>
          <w:szCs w:val="26"/>
        </w:rPr>
        <w:t>marzo</w:t>
      </w:r>
      <w:r w:rsidR="001F13E3">
        <w:rPr>
          <w:rFonts w:ascii="Arial" w:hAnsi="Arial" w:cs="Arial"/>
          <w:sz w:val="26"/>
          <w:szCs w:val="26"/>
        </w:rPr>
        <w:t xml:space="preserve"> de 201</w:t>
      </w:r>
      <w:r w:rsidR="008D58C7">
        <w:rPr>
          <w:rFonts w:ascii="Arial" w:hAnsi="Arial" w:cs="Arial"/>
          <w:sz w:val="26"/>
          <w:szCs w:val="26"/>
        </w:rPr>
        <w:t>7</w:t>
      </w:r>
      <w:r w:rsidRPr="00861638">
        <w:rPr>
          <w:rFonts w:ascii="Arial" w:hAnsi="Arial" w:cs="Arial"/>
          <w:sz w:val="26"/>
          <w:szCs w:val="26"/>
        </w:rPr>
        <w:t xml:space="preserve">, sancionó a la antes citada, con </w:t>
      </w:r>
      <w:r w:rsidR="008D58C7">
        <w:rPr>
          <w:rFonts w:ascii="Arial" w:hAnsi="Arial" w:cs="Arial"/>
          <w:sz w:val="26"/>
          <w:szCs w:val="26"/>
        </w:rPr>
        <w:t>tres</w:t>
      </w:r>
      <w:r w:rsidR="007E496A">
        <w:rPr>
          <w:rFonts w:ascii="Arial" w:hAnsi="Arial" w:cs="Arial"/>
          <w:sz w:val="26"/>
          <w:szCs w:val="26"/>
        </w:rPr>
        <w:t xml:space="preserve"> </w:t>
      </w:r>
      <w:r w:rsidRPr="00861638">
        <w:rPr>
          <w:rFonts w:ascii="Arial" w:hAnsi="Arial" w:cs="Arial"/>
          <w:sz w:val="26"/>
          <w:szCs w:val="26"/>
        </w:rPr>
        <w:t>(</w:t>
      </w:r>
      <w:r w:rsidR="008D58C7">
        <w:rPr>
          <w:rFonts w:ascii="Arial" w:hAnsi="Arial" w:cs="Arial"/>
          <w:sz w:val="26"/>
          <w:szCs w:val="26"/>
        </w:rPr>
        <w:t>3</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8D58C7">
        <w:rPr>
          <w:rFonts w:ascii="Arial" w:hAnsi="Arial" w:cs="Arial"/>
          <w:sz w:val="26"/>
          <w:szCs w:val="26"/>
        </w:rPr>
        <w:t>cinco</w:t>
      </w:r>
      <w:r w:rsidR="008738F7">
        <w:rPr>
          <w:rFonts w:ascii="Arial" w:hAnsi="Arial" w:cs="Arial"/>
          <w:sz w:val="26"/>
          <w:szCs w:val="26"/>
        </w:rPr>
        <w:t xml:space="preserve"> (</w:t>
      </w:r>
      <w:r w:rsidR="008D58C7">
        <w:rPr>
          <w:rFonts w:ascii="Arial" w:hAnsi="Arial" w:cs="Arial"/>
          <w:sz w:val="26"/>
          <w:szCs w:val="26"/>
        </w:rPr>
        <w:t>5</w:t>
      </w:r>
      <w:r w:rsidRPr="00861638">
        <w:rPr>
          <w:rFonts w:ascii="Arial" w:hAnsi="Arial" w:cs="Arial"/>
          <w:sz w:val="26"/>
          <w:szCs w:val="26"/>
        </w:rPr>
        <w:t>) salario</w:t>
      </w:r>
      <w:r w:rsidR="008D58C7">
        <w:rPr>
          <w:rFonts w:ascii="Arial" w:hAnsi="Arial" w:cs="Arial"/>
          <w:sz w:val="26"/>
          <w:szCs w:val="26"/>
        </w:rPr>
        <w:t>s</w:t>
      </w:r>
      <w:r w:rsidR="007E496A">
        <w:rPr>
          <w:rFonts w:ascii="Arial" w:hAnsi="Arial" w:cs="Arial"/>
          <w:sz w:val="26"/>
          <w:szCs w:val="26"/>
        </w:rPr>
        <w:t xml:space="preserve"> mínimo</w:t>
      </w:r>
      <w:r w:rsidR="008D58C7">
        <w:rPr>
          <w:rFonts w:ascii="Arial" w:hAnsi="Arial" w:cs="Arial"/>
          <w:sz w:val="26"/>
          <w:szCs w:val="26"/>
        </w:rPr>
        <w:t>s</w:t>
      </w:r>
      <w:r w:rsidRPr="00861638">
        <w:rPr>
          <w:rFonts w:ascii="Arial" w:hAnsi="Arial" w:cs="Arial"/>
          <w:sz w:val="26"/>
          <w:szCs w:val="26"/>
        </w:rPr>
        <w:t xml:space="preserve"> legal</w:t>
      </w:r>
      <w:r w:rsidR="008D58C7">
        <w:rPr>
          <w:rFonts w:ascii="Arial" w:hAnsi="Arial" w:cs="Arial"/>
          <w:sz w:val="26"/>
          <w:szCs w:val="26"/>
        </w:rPr>
        <w:t>es</w:t>
      </w:r>
      <w:r w:rsidRPr="00861638">
        <w:rPr>
          <w:rFonts w:ascii="Arial" w:hAnsi="Arial" w:cs="Arial"/>
          <w:sz w:val="26"/>
          <w:szCs w:val="26"/>
        </w:rPr>
        <w:t xml:space="preserve"> mensual</w:t>
      </w:r>
      <w:r w:rsidR="008D58C7">
        <w:rPr>
          <w:rFonts w:ascii="Arial" w:hAnsi="Arial" w:cs="Arial"/>
          <w:sz w:val="26"/>
          <w:szCs w:val="26"/>
        </w:rPr>
        <w:t>es</w:t>
      </w:r>
      <w:r w:rsidRPr="00861638">
        <w:rPr>
          <w:rFonts w:ascii="Arial" w:hAnsi="Arial" w:cs="Arial"/>
          <w:sz w:val="26"/>
          <w:szCs w:val="26"/>
        </w:rPr>
        <w:t xml:space="preserve"> vigente</w:t>
      </w:r>
      <w:r w:rsidR="008D58C7">
        <w:rPr>
          <w:rFonts w:ascii="Arial" w:hAnsi="Arial" w:cs="Arial"/>
          <w:sz w:val="26"/>
          <w:szCs w:val="26"/>
        </w:rPr>
        <w:t>s</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fls</w:t>
      </w:r>
      <w:proofErr w:type="spellEnd"/>
      <w:r w:rsidR="00861638" w:rsidRPr="005B77D9">
        <w:rPr>
          <w:rFonts w:ascii="Arial" w:hAnsi="Arial" w:cs="Arial"/>
        </w:rPr>
        <w:t xml:space="preserve">. </w:t>
      </w:r>
      <w:r w:rsidR="008D58C7">
        <w:rPr>
          <w:rFonts w:ascii="Arial" w:hAnsi="Arial" w:cs="Arial"/>
        </w:rPr>
        <w:t xml:space="preserve">37-39 </w:t>
      </w:r>
      <w:proofErr w:type="spellStart"/>
      <w:r w:rsidR="008D58C7">
        <w:rPr>
          <w:rFonts w:ascii="Arial" w:hAnsi="Arial" w:cs="Arial"/>
        </w:rPr>
        <w:t>íd</w:t>
      </w:r>
      <w:proofErr w:type="spellEnd"/>
      <w:r w:rsidR="00861638" w:rsidRPr="005B77D9">
        <w:rPr>
          <w:rFonts w:ascii="Arial" w:hAnsi="Arial" w:cs="Arial"/>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w:t>
      </w:r>
      <w:r w:rsidRPr="008738F7">
        <w:rPr>
          <w:rFonts w:ascii="Arial" w:hAnsi="Arial" w:cs="Arial"/>
          <w:bCs/>
          <w:sz w:val="26"/>
          <w:szCs w:val="26"/>
        </w:rPr>
        <w:lastRenderedPageBreak/>
        <w:t>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514091" w:rsidRDefault="00514091" w:rsidP="00514091">
      <w:pPr>
        <w:pStyle w:val="Sansinterligne"/>
        <w:spacing w:line="360" w:lineRule="auto"/>
        <w:ind w:firstLine="2835"/>
        <w:jc w:val="both"/>
        <w:rPr>
          <w:rFonts w:ascii="Arial" w:hAnsi="Arial" w:cs="Arial"/>
          <w:bCs/>
          <w:sz w:val="16"/>
          <w:szCs w:val="26"/>
        </w:rPr>
      </w:pPr>
      <w:bookmarkStart w:id="0" w:name="_GoBack"/>
      <w:bookmarkEnd w:id="0"/>
      <w:r>
        <w:rPr>
          <w:rFonts w:ascii="Arial" w:hAnsi="Arial" w:cs="Arial"/>
          <w:bCs/>
          <w:sz w:val="26"/>
          <w:szCs w:val="26"/>
        </w:rPr>
        <w:t xml:space="preserve">1. Aquí, el titular del juzgado dictó el auto que hoy se consulta, declarando que se ha incurrido en desacato por parte de </w:t>
      </w:r>
      <w:r w:rsidR="00596359">
        <w:rPr>
          <w:rFonts w:ascii="Arial" w:hAnsi="Arial" w:cs="Arial"/>
          <w:bCs/>
          <w:sz w:val="26"/>
          <w:szCs w:val="26"/>
        </w:rPr>
        <w:t xml:space="preserve">la </w:t>
      </w:r>
      <w:r w:rsidR="00596359">
        <w:rPr>
          <w:rFonts w:ascii="Arial" w:hAnsi="Arial" w:cs="Arial"/>
          <w:bCs/>
          <w:sz w:val="26"/>
          <w:szCs w:val="26"/>
        </w:rPr>
        <w:lastRenderedPageBreak/>
        <w:t xml:space="preserve">doctora </w:t>
      </w:r>
      <w:r w:rsidR="00596359">
        <w:rPr>
          <w:rFonts w:ascii="Arial" w:hAnsi="Arial" w:cs="Arial"/>
          <w:bCs/>
          <w:sz w:val="22"/>
          <w:szCs w:val="26"/>
        </w:rPr>
        <w:t xml:space="preserve">MARÍA LORENA SERNA MONTOYA </w:t>
      </w:r>
      <w:r>
        <w:rPr>
          <w:rFonts w:ascii="Arial" w:hAnsi="Arial" w:cs="Arial"/>
          <w:bCs/>
          <w:sz w:val="26"/>
          <w:szCs w:val="26"/>
        </w:rPr>
        <w:t>c</w:t>
      </w:r>
      <w:r w:rsidR="00596359">
        <w:rPr>
          <w:rFonts w:ascii="Arial" w:hAnsi="Arial" w:cs="Arial"/>
          <w:bCs/>
          <w:sz w:val="26"/>
          <w:szCs w:val="26"/>
        </w:rPr>
        <w:t xml:space="preserve">omo representante legal de la </w:t>
      </w:r>
      <w:r w:rsidR="00596359">
        <w:rPr>
          <w:rFonts w:ascii="Arial" w:hAnsi="Arial" w:cs="Arial"/>
          <w:bCs/>
          <w:sz w:val="22"/>
          <w:szCs w:val="26"/>
        </w:rPr>
        <w:t xml:space="preserve">NUEVA EPS </w:t>
      </w:r>
      <w:r w:rsidR="00596359">
        <w:rPr>
          <w:rFonts w:ascii="Arial" w:hAnsi="Arial" w:cs="Arial"/>
          <w:bCs/>
          <w:sz w:val="26"/>
          <w:szCs w:val="26"/>
        </w:rPr>
        <w:t xml:space="preserve">porque </w:t>
      </w:r>
      <w:r>
        <w:rPr>
          <w:rFonts w:ascii="Arial" w:hAnsi="Arial" w:cs="Arial"/>
          <w:bCs/>
          <w:sz w:val="26"/>
          <w:szCs w:val="26"/>
        </w:rPr>
        <w:t xml:space="preserve">a pesar de haberla instado para que </w:t>
      </w:r>
      <w:proofErr w:type="spellStart"/>
      <w:r>
        <w:rPr>
          <w:rFonts w:ascii="Arial" w:hAnsi="Arial" w:cs="Arial"/>
          <w:bCs/>
          <w:sz w:val="26"/>
          <w:szCs w:val="26"/>
        </w:rPr>
        <w:t>acatara</w:t>
      </w:r>
      <w:proofErr w:type="spellEnd"/>
      <w:r>
        <w:rPr>
          <w:rFonts w:ascii="Arial" w:hAnsi="Arial" w:cs="Arial"/>
          <w:bCs/>
          <w:sz w:val="26"/>
          <w:szCs w:val="26"/>
        </w:rPr>
        <w:t xml:space="preserve"> el fallo de tutela, no lo hizo; y</w:t>
      </w:r>
      <w:r w:rsidR="00596359">
        <w:rPr>
          <w:rFonts w:ascii="Arial" w:hAnsi="Arial" w:cs="Arial"/>
          <w:bCs/>
          <w:sz w:val="26"/>
          <w:szCs w:val="26"/>
        </w:rPr>
        <w:t xml:space="preserve"> le impuso a su cargo las sancio</w:t>
      </w:r>
      <w:r>
        <w:rPr>
          <w:rFonts w:ascii="Arial" w:hAnsi="Arial" w:cs="Arial"/>
          <w:bCs/>
          <w:sz w:val="26"/>
          <w:szCs w:val="26"/>
        </w:rPr>
        <w:t>nes de multa y arresto hoy objeto de consulta.</w:t>
      </w:r>
    </w:p>
    <w:p w:rsidR="00514091" w:rsidRDefault="00514091" w:rsidP="00514091">
      <w:pPr>
        <w:pStyle w:val="Sansinterligne"/>
        <w:spacing w:line="360" w:lineRule="auto"/>
        <w:ind w:firstLine="2835"/>
        <w:jc w:val="both"/>
        <w:rPr>
          <w:rFonts w:ascii="Arial" w:hAnsi="Arial" w:cs="Arial"/>
          <w:bCs/>
          <w:sz w:val="16"/>
          <w:szCs w:val="26"/>
        </w:rPr>
      </w:pPr>
    </w:p>
    <w:p w:rsidR="00514091" w:rsidRDefault="00514091" w:rsidP="00514091">
      <w:pPr>
        <w:pStyle w:val="Sansinterligne"/>
        <w:spacing w:line="360" w:lineRule="auto"/>
        <w:ind w:firstLine="2835"/>
        <w:jc w:val="both"/>
        <w:rPr>
          <w:rFonts w:ascii="Arial" w:hAnsi="Arial" w:cs="Arial"/>
          <w:sz w:val="16"/>
          <w:szCs w:val="26"/>
        </w:rPr>
      </w:pPr>
      <w:r>
        <w:rPr>
          <w:rFonts w:ascii="Arial" w:hAnsi="Arial" w:cs="Arial"/>
          <w:bCs/>
          <w:sz w:val="26"/>
          <w:szCs w:val="26"/>
        </w:rPr>
        <w:t xml:space="preserve">2. Reclama la </w:t>
      </w:r>
      <w:proofErr w:type="spellStart"/>
      <w:r>
        <w:rPr>
          <w:rFonts w:ascii="Arial" w:hAnsi="Arial" w:cs="Arial"/>
          <w:bCs/>
          <w:sz w:val="26"/>
          <w:szCs w:val="26"/>
        </w:rPr>
        <w:t>incidentista</w:t>
      </w:r>
      <w:proofErr w:type="spellEnd"/>
      <w:r>
        <w:rPr>
          <w:rFonts w:ascii="Arial" w:hAnsi="Arial" w:cs="Arial"/>
          <w:bCs/>
          <w:sz w:val="26"/>
          <w:szCs w:val="26"/>
        </w:rPr>
        <w:t xml:space="preserve"> que el fallo de tutela dispuso a </w:t>
      </w:r>
      <w:r w:rsidR="00596359">
        <w:rPr>
          <w:rFonts w:ascii="Arial" w:hAnsi="Arial" w:cs="Arial"/>
          <w:bCs/>
          <w:sz w:val="26"/>
          <w:szCs w:val="26"/>
        </w:rPr>
        <w:t xml:space="preserve"> la entidad de salud querellada </w:t>
      </w:r>
      <w:r>
        <w:rPr>
          <w:rFonts w:ascii="Arial" w:hAnsi="Arial" w:cs="Arial"/>
          <w:bCs/>
          <w:sz w:val="26"/>
          <w:szCs w:val="26"/>
        </w:rPr>
        <w:t>brindar</w:t>
      </w:r>
      <w:r w:rsidR="00596359">
        <w:rPr>
          <w:rFonts w:ascii="Arial" w:hAnsi="Arial" w:cs="Arial"/>
          <w:bCs/>
          <w:sz w:val="26"/>
          <w:szCs w:val="26"/>
        </w:rPr>
        <w:t xml:space="preserve">le el tratamiento integral que demande su patología de esclerosis múltiple, que en este caso requiere de la aplicación intrahospitalaria del medicamento </w:t>
      </w:r>
      <w:r w:rsidR="00596359" w:rsidRPr="00596359">
        <w:rPr>
          <w:rFonts w:ascii="Arial" w:hAnsi="Arial" w:cs="Arial"/>
          <w:bCs/>
          <w:sz w:val="22"/>
          <w:szCs w:val="26"/>
        </w:rPr>
        <w:t>ALENTUXIMAB</w:t>
      </w:r>
      <w:r w:rsidR="00596359">
        <w:rPr>
          <w:rFonts w:ascii="Arial" w:hAnsi="Arial" w:cs="Arial"/>
          <w:bCs/>
          <w:sz w:val="22"/>
          <w:szCs w:val="26"/>
        </w:rPr>
        <w:t xml:space="preserve">, </w:t>
      </w:r>
      <w:r w:rsidR="00596359">
        <w:rPr>
          <w:rFonts w:ascii="Arial" w:hAnsi="Arial" w:cs="Arial"/>
          <w:bCs/>
          <w:sz w:val="26"/>
          <w:szCs w:val="26"/>
        </w:rPr>
        <w:t xml:space="preserve">pero la EPS insiste en que sea de manera ambulatoria, colocando con ello en riesgo su vida.  </w:t>
      </w:r>
    </w:p>
    <w:p w:rsidR="00514091" w:rsidRDefault="00514091" w:rsidP="00514091">
      <w:pPr>
        <w:pStyle w:val="Sansinterligne"/>
        <w:spacing w:line="360" w:lineRule="auto"/>
        <w:ind w:firstLine="2835"/>
        <w:jc w:val="both"/>
        <w:rPr>
          <w:rFonts w:ascii="Arial" w:hAnsi="Arial" w:cs="Arial"/>
          <w:sz w:val="16"/>
          <w:szCs w:val="26"/>
        </w:rPr>
      </w:pPr>
    </w:p>
    <w:p w:rsidR="00514091" w:rsidRPr="00FC2CB4" w:rsidRDefault="00514091" w:rsidP="00514091">
      <w:pPr>
        <w:pStyle w:val="Sansinterligne"/>
        <w:spacing w:line="360" w:lineRule="auto"/>
        <w:ind w:firstLine="2835"/>
        <w:jc w:val="both"/>
        <w:rPr>
          <w:rFonts w:ascii="Arial" w:hAnsi="Arial" w:cs="Arial"/>
          <w:bCs/>
          <w:sz w:val="22"/>
          <w:szCs w:val="26"/>
        </w:rPr>
      </w:pPr>
      <w:r>
        <w:rPr>
          <w:rFonts w:ascii="Arial" w:hAnsi="Arial" w:cs="Arial"/>
          <w:bCs/>
          <w:sz w:val="26"/>
          <w:szCs w:val="26"/>
        </w:rPr>
        <w:t xml:space="preserve">3. </w:t>
      </w:r>
      <w:r w:rsidR="00596359">
        <w:rPr>
          <w:rFonts w:ascii="Arial" w:hAnsi="Arial" w:cs="Arial"/>
          <w:bCs/>
          <w:sz w:val="26"/>
          <w:szCs w:val="26"/>
        </w:rPr>
        <w:t>Estando el asunto en esta sede para surtir el grado de consulta</w:t>
      </w:r>
      <w:r w:rsidR="00FC2CB4">
        <w:rPr>
          <w:rFonts w:ascii="Arial" w:hAnsi="Arial" w:cs="Arial"/>
          <w:bCs/>
          <w:sz w:val="26"/>
          <w:szCs w:val="26"/>
        </w:rPr>
        <w:t xml:space="preserve"> del auto sancionatorio</w:t>
      </w:r>
      <w:r w:rsidR="00596359">
        <w:rPr>
          <w:rFonts w:ascii="Arial" w:hAnsi="Arial" w:cs="Arial"/>
          <w:bCs/>
          <w:sz w:val="26"/>
          <w:szCs w:val="26"/>
        </w:rPr>
        <w:t xml:space="preserve">, la </w:t>
      </w:r>
      <w:r w:rsidR="00FC2CB4">
        <w:rPr>
          <w:rFonts w:ascii="Arial" w:hAnsi="Arial" w:cs="Arial"/>
          <w:bCs/>
          <w:sz w:val="22"/>
          <w:szCs w:val="26"/>
        </w:rPr>
        <w:t>NUEVA EPS</w:t>
      </w:r>
      <w:r w:rsidR="00596359">
        <w:rPr>
          <w:rFonts w:ascii="Arial" w:hAnsi="Arial" w:cs="Arial"/>
          <w:bCs/>
          <w:sz w:val="22"/>
          <w:szCs w:val="26"/>
        </w:rPr>
        <w:t xml:space="preserve"> </w:t>
      </w:r>
      <w:r w:rsidR="00596359">
        <w:rPr>
          <w:rFonts w:ascii="Arial" w:hAnsi="Arial" w:cs="Arial"/>
          <w:bCs/>
          <w:sz w:val="26"/>
          <w:szCs w:val="26"/>
        </w:rPr>
        <w:t xml:space="preserve">por intermedio de su apodera judicial, da cuenta de haber atendido lo reclamado por la señora Gloria Patricia, esto es aplicación </w:t>
      </w:r>
      <w:r w:rsidR="009371B9">
        <w:rPr>
          <w:rFonts w:ascii="Arial" w:hAnsi="Arial" w:cs="Arial"/>
          <w:bCs/>
          <w:sz w:val="26"/>
          <w:szCs w:val="26"/>
        </w:rPr>
        <w:t>del medicamento</w:t>
      </w:r>
      <w:r w:rsidR="00FC2CB4">
        <w:rPr>
          <w:rFonts w:ascii="Arial" w:hAnsi="Arial" w:cs="Arial"/>
          <w:bCs/>
          <w:sz w:val="26"/>
          <w:szCs w:val="26"/>
        </w:rPr>
        <w:t xml:space="preserve"> ya mencionado</w:t>
      </w:r>
      <w:r w:rsidR="009371B9">
        <w:rPr>
          <w:rFonts w:ascii="Arial" w:hAnsi="Arial" w:cs="Arial"/>
          <w:bCs/>
          <w:sz w:val="26"/>
          <w:szCs w:val="26"/>
        </w:rPr>
        <w:t xml:space="preserve">, situación de la que se hizo seguimiento, estableciendo comunicación con la </w:t>
      </w:r>
      <w:r w:rsidR="00FC2CB4">
        <w:rPr>
          <w:rFonts w:ascii="Arial" w:hAnsi="Arial" w:cs="Arial"/>
          <w:bCs/>
          <w:sz w:val="26"/>
          <w:szCs w:val="26"/>
        </w:rPr>
        <w:t xml:space="preserve">solicitante, quien informó que efectivamente ya recibió el suministro de la medicina </w:t>
      </w:r>
      <w:r w:rsidR="00FC2CB4">
        <w:rPr>
          <w:rFonts w:ascii="Arial" w:hAnsi="Arial" w:cs="Arial"/>
          <w:bCs/>
          <w:sz w:val="22"/>
          <w:szCs w:val="26"/>
        </w:rPr>
        <w:t>(</w:t>
      </w:r>
      <w:proofErr w:type="spellStart"/>
      <w:r w:rsidR="00FC2CB4">
        <w:rPr>
          <w:rFonts w:ascii="Arial" w:hAnsi="Arial" w:cs="Arial"/>
          <w:bCs/>
          <w:sz w:val="22"/>
          <w:szCs w:val="26"/>
        </w:rPr>
        <w:t>fls</w:t>
      </w:r>
      <w:proofErr w:type="spellEnd"/>
      <w:r w:rsidR="00FC2CB4">
        <w:rPr>
          <w:rFonts w:ascii="Arial" w:hAnsi="Arial" w:cs="Arial"/>
          <w:bCs/>
          <w:sz w:val="22"/>
          <w:szCs w:val="26"/>
        </w:rPr>
        <w:t xml:space="preserve">. 30-51 </w:t>
      </w:r>
      <w:proofErr w:type="spellStart"/>
      <w:r w:rsidR="00FC2CB4">
        <w:rPr>
          <w:rFonts w:ascii="Arial" w:hAnsi="Arial" w:cs="Arial"/>
          <w:bCs/>
          <w:sz w:val="22"/>
          <w:szCs w:val="26"/>
        </w:rPr>
        <w:t>íd</w:t>
      </w:r>
      <w:proofErr w:type="spellEnd"/>
      <w:r w:rsidR="00FC2CB4">
        <w:rPr>
          <w:rFonts w:ascii="Arial" w:hAnsi="Arial" w:cs="Arial"/>
          <w:bCs/>
          <w:sz w:val="22"/>
          <w:szCs w:val="26"/>
        </w:rPr>
        <w:t>).</w:t>
      </w:r>
    </w:p>
    <w:p w:rsidR="00FC2CB4" w:rsidRDefault="00FC2CB4" w:rsidP="00514091">
      <w:pPr>
        <w:pStyle w:val="Sansinterligne"/>
        <w:spacing w:line="360" w:lineRule="auto"/>
        <w:ind w:firstLine="2835"/>
        <w:jc w:val="both"/>
        <w:rPr>
          <w:rFonts w:ascii="Arial" w:hAnsi="Arial"/>
          <w:i/>
          <w:color w:val="000000"/>
          <w:sz w:val="18"/>
          <w:szCs w:val="26"/>
        </w:rPr>
      </w:pPr>
    </w:p>
    <w:p w:rsidR="00514091" w:rsidRDefault="00514091" w:rsidP="00514091">
      <w:pPr>
        <w:pStyle w:val="Sansinterligne"/>
        <w:spacing w:line="360" w:lineRule="auto"/>
        <w:ind w:firstLine="2835"/>
        <w:jc w:val="both"/>
        <w:rPr>
          <w:rFonts w:ascii="Arial" w:hAnsi="Arial"/>
          <w:i/>
          <w:color w:val="000000"/>
          <w:sz w:val="26"/>
          <w:szCs w:val="26"/>
        </w:rPr>
      </w:pPr>
      <w:r>
        <w:rPr>
          <w:rFonts w:ascii="Arial" w:hAnsi="Arial" w:cs="Arial"/>
          <w:bCs/>
          <w:sz w:val="26"/>
          <w:szCs w:val="26"/>
        </w:rPr>
        <w:t xml:space="preserve">4.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 </w:t>
      </w:r>
      <w:r w:rsidR="001D3B90">
        <w:rPr>
          <w:rFonts w:ascii="Arial" w:hAnsi="Arial" w:cs="Arial"/>
          <w:bCs/>
          <w:sz w:val="26"/>
          <w:szCs w:val="26"/>
        </w:rPr>
        <w:t xml:space="preserve">14 </w:t>
      </w:r>
      <w:r>
        <w:rPr>
          <w:rFonts w:ascii="Arial" w:hAnsi="Arial" w:cs="Arial"/>
          <w:bCs/>
          <w:sz w:val="26"/>
          <w:szCs w:val="26"/>
        </w:rPr>
        <w:t xml:space="preserve">de </w:t>
      </w:r>
      <w:r w:rsidR="001D3B90">
        <w:rPr>
          <w:rFonts w:ascii="Arial" w:hAnsi="Arial" w:cs="Arial"/>
          <w:bCs/>
          <w:sz w:val="26"/>
          <w:szCs w:val="26"/>
        </w:rPr>
        <w:t>marzo</w:t>
      </w:r>
      <w:r>
        <w:rPr>
          <w:rFonts w:ascii="Arial" w:hAnsi="Arial" w:cs="Arial"/>
          <w:bCs/>
          <w:sz w:val="26"/>
          <w:szCs w:val="26"/>
        </w:rPr>
        <w:t xml:space="preserve"> hogaño.</w:t>
      </w:r>
    </w:p>
    <w:p w:rsidR="00514091" w:rsidRDefault="00514091" w:rsidP="00514091">
      <w:pPr>
        <w:pStyle w:val="Sansinterligne"/>
        <w:spacing w:line="360" w:lineRule="auto"/>
        <w:ind w:firstLine="2835"/>
        <w:jc w:val="both"/>
        <w:rPr>
          <w:rFonts w:ascii="Arial" w:hAnsi="Arial" w:cs="Arial"/>
          <w:sz w:val="18"/>
          <w:szCs w:val="26"/>
          <w:lang w:val="es-CO"/>
        </w:rPr>
      </w:pPr>
    </w:p>
    <w:p w:rsidR="00514091" w:rsidRDefault="00514091" w:rsidP="00514091">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5. Y es que el incidente de desacato tiene como finalidad principal buscar que la autoridad vinculada cumpla la orden impartida por el juez y no la imposición de una sanción de las contempladas en el artículo 52 del decreto 2591 de 1991.  Como lo tiene dicho</w:t>
      </w:r>
      <w:r>
        <w:rPr>
          <w:sz w:val="26"/>
          <w:szCs w:val="26"/>
          <w:lang w:val="es-CO"/>
        </w:rPr>
        <w:t xml:space="preserve"> </w:t>
      </w:r>
      <w:r>
        <w:rPr>
          <w:rFonts w:ascii="Arial" w:hAnsi="Arial" w:cs="Arial"/>
          <w:sz w:val="26"/>
          <w:szCs w:val="26"/>
          <w:lang w:val="es-CO"/>
        </w:rPr>
        <w:t>la Corte Constitucional:</w:t>
      </w:r>
      <w:r>
        <w:rPr>
          <w:rFonts w:ascii="Arial" w:hAnsi="Arial" w:cs="Arial"/>
          <w:sz w:val="28"/>
          <w:szCs w:val="28"/>
          <w:lang w:val="es-CO"/>
        </w:rPr>
        <w:t xml:space="preserve"> </w:t>
      </w:r>
      <w:r>
        <w:rPr>
          <w:rFonts w:ascii="Arial" w:hAnsi="Arial" w:cs="Arial"/>
          <w:i/>
          <w:sz w:val="24"/>
          <w:szCs w:val="24"/>
          <w:lang w:val="es-CO"/>
        </w:rPr>
        <w:t xml:space="preserve">“(…) el incidente de desacato es un mecanismo sancionatorio que </w:t>
      </w:r>
      <w:r>
        <w:rPr>
          <w:rFonts w:ascii="Arial" w:hAnsi="Arial" w:cs="Arial"/>
          <w:i/>
          <w:sz w:val="24"/>
          <w:szCs w:val="24"/>
          <w:lang w:val="es-CO"/>
        </w:rPr>
        <w:lastRenderedPageBreak/>
        <w:t>procura obtener de forma persuasiva, el cumplimiento de la orden de tutela, pero no constituye un fin en sí mismo.”</w:t>
      </w:r>
      <w:r>
        <w:rPr>
          <w:rStyle w:val="Appelnotedebasdep"/>
          <w:rFonts w:ascii="Arial" w:hAnsi="Arial" w:cs="Arial"/>
          <w:sz w:val="28"/>
          <w:szCs w:val="28"/>
          <w:lang w:val="es-CO"/>
        </w:rPr>
        <w:footnoteReference w:id="3"/>
      </w:r>
    </w:p>
    <w:p w:rsidR="005631D6" w:rsidRPr="005631D6" w:rsidRDefault="005631D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bCs/>
          <w:sz w:val="26"/>
          <w:szCs w:val="26"/>
        </w:rPr>
      </w:pPr>
      <w:r w:rsidRPr="001243C9">
        <w:rPr>
          <w:rFonts w:ascii="Arial" w:hAnsi="Arial" w:cs="Arial"/>
          <w:bCs/>
          <w:sz w:val="26"/>
          <w:szCs w:val="26"/>
        </w:rPr>
        <w:t>En mérito de lo dicho, el Tribunal Superior del Distrito Judicial de Pereira, Sala Civil Familia,</w:t>
      </w:r>
    </w:p>
    <w:p w:rsidR="005631D6" w:rsidRPr="00C72EC1" w:rsidRDefault="005631D6" w:rsidP="00D244AA">
      <w:pPr>
        <w:spacing w:line="360" w:lineRule="auto"/>
        <w:ind w:firstLine="2835"/>
        <w:jc w:val="both"/>
        <w:rPr>
          <w:rFonts w:ascii="Arial" w:hAnsi="Arial" w:cs="Arial"/>
          <w:sz w:val="26"/>
          <w:szCs w:val="26"/>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ansinterligne"/>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sidR="006C5DB5">
        <w:rPr>
          <w:rFonts w:ascii="Arial" w:hAnsi="Arial" w:cs="Arial"/>
          <w:sz w:val="26"/>
          <w:szCs w:val="26"/>
          <w:lang w:val="es-CO"/>
        </w:rPr>
        <w:t>Cuarto Civil del Circuito de la ciudad</w:t>
      </w:r>
      <w:r w:rsidRPr="001D113E">
        <w:rPr>
          <w:rFonts w:ascii="Arial" w:hAnsi="Arial"/>
          <w:sz w:val="26"/>
          <w:szCs w:val="26"/>
        </w:rPr>
        <w:t>,</w:t>
      </w:r>
      <w:r w:rsidRPr="001D113E">
        <w:rPr>
          <w:rFonts w:ascii="Arial" w:hAnsi="Arial" w:cs="Arial"/>
          <w:sz w:val="26"/>
          <w:szCs w:val="26"/>
          <w:lang w:val="es-CO"/>
        </w:rPr>
        <w:t xml:space="preserve"> en </w:t>
      </w:r>
      <w:r w:rsidR="006C5DB5">
        <w:rPr>
          <w:rFonts w:ascii="Arial" w:hAnsi="Arial" w:cs="Arial"/>
          <w:sz w:val="26"/>
          <w:szCs w:val="26"/>
          <w:lang w:val="es-CO"/>
        </w:rPr>
        <w:t xml:space="preserve">el </w:t>
      </w:r>
      <w:r w:rsidRPr="001D113E">
        <w:rPr>
          <w:rFonts w:ascii="Arial" w:hAnsi="Arial" w:cs="Arial"/>
          <w:sz w:val="26"/>
          <w:szCs w:val="26"/>
          <w:lang w:val="es-CO"/>
        </w:rPr>
        <w:t xml:space="preserve">proveído </w:t>
      </w:r>
      <w:r w:rsidR="006C5DB5">
        <w:rPr>
          <w:rFonts w:ascii="Arial" w:hAnsi="Arial" w:cs="Arial"/>
          <w:sz w:val="26"/>
          <w:szCs w:val="26"/>
          <w:lang w:val="es-CO"/>
        </w:rPr>
        <w:t>objeto de consulta</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ansinterligne"/>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D244AA" w:rsidRPr="00874E86" w:rsidRDefault="00D244AA" w:rsidP="00D244AA">
      <w:pPr>
        <w:pStyle w:val="Sansinterligne"/>
        <w:spacing w:line="360" w:lineRule="auto"/>
        <w:ind w:firstLine="2835"/>
        <w:jc w:val="both"/>
        <w:rPr>
          <w:rFonts w:ascii="Arial" w:hAnsi="Arial" w:cs="Arial"/>
          <w:bCs/>
          <w:iCs/>
          <w:sz w:val="16"/>
          <w:szCs w:val="28"/>
        </w:rPr>
      </w:pPr>
    </w:p>
    <w:p w:rsidR="00D244AA" w:rsidRDefault="00874E86" w:rsidP="00D244AA">
      <w:pPr>
        <w:pStyle w:val="Sansinterligne"/>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2"/>
          <w:szCs w:val="22"/>
        </w:rPr>
      </w:pP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1C" w:rsidRDefault="007C2E1C" w:rsidP="00D244AA">
      <w:r>
        <w:separator/>
      </w:r>
    </w:p>
  </w:endnote>
  <w:endnote w:type="continuationSeparator" w:id="0">
    <w:p w:rsidR="007C2E1C" w:rsidRDefault="007C2E1C"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72EC1">
      <w:rPr>
        <w:rFonts w:ascii="Arial" w:hAnsi="Arial" w:cs="Arial"/>
        <w:noProof/>
        <w:sz w:val="22"/>
        <w:szCs w:val="22"/>
      </w:rPr>
      <w:t>5</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1C" w:rsidRDefault="007C2E1C" w:rsidP="00D244AA">
      <w:r>
        <w:separator/>
      </w:r>
    </w:p>
  </w:footnote>
  <w:footnote w:type="continuationSeparator" w:id="0">
    <w:p w:rsidR="007C2E1C" w:rsidRDefault="007C2E1C"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514091" w:rsidRDefault="00514091" w:rsidP="00514091">
      <w:pPr>
        <w:pStyle w:val="Notedebasdepage"/>
        <w:jc w:val="both"/>
        <w:rPr>
          <w:rFonts w:ascii="Arial" w:hAnsi="Arial" w:cs="Arial"/>
          <w:sz w:val="22"/>
          <w:szCs w:val="22"/>
          <w:lang w:val="es-CO"/>
        </w:rPr>
      </w:pPr>
      <w:r>
        <w:rPr>
          <w:rStyle w:val="Appelnotedebasdep"/>
          <w:rFonts w:ascii="Arial" w:hAnsi="Arial" w:cs="Arial"/>
        </w:rPr>
        <w:footnoteRef/>
      </w:r>
      <w:r>
        <w:rPr>
          <w:rFonts w:ascii="Arial" w:hAnsi="Arial" w:cs="Arial"/>
        </w:rPr>
        <w:t xml:space="preserve"> </w:t>
      </w:r>
      <w:r>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5C77DF" w:rsidP="003D3F77">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ansinterligne"/>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ansinterligne"/>
      <w:rPr>
        <w:rFonts w:ascii="Arial" w:hAnsi="Arial" w:cs="Arial"/>
        <w:sz w:val="16"/>
        <w:szCs w:val="16"/>
        <w:lang w:val="es-CO" w:eastAsia="en-US"/>
      </w:rPr>
    </w:pPr>
  </w:p>
  <w:p w:rsidR="003D3F77" w:rsidRDefault="003D3F77" w:rsidP="005C77DF">
    <w:pPr>
      <w:pStyle w:val="Sansinterligne"/>
      <w:ind w:left="2832" w:firstLine="708"/>
      <w:rPr>
        <w:rFonts w:ascii="Arial" w:hAnsi="Arial" w:cs="Arial"/>
        <w:sz w:val="16"/>
        <w:szCs w:val="16"/>
      </w:rPr>
    </w:pPr>
    <w:r>
      <w:rPr>
        <w:rFonts w:ascii="Arial" w:hAnsi="Arial" w:cs="Arial"/>
        <w:sz w:val="16"/>
        <w:szCs w:val="16"/>
      </w:rPr>
      <w:t>EXPEDIENTE Inc. Desacato. Consulta. 66001-31-03-003-2015-00004-02</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10679"/>
    <w:rsid w:val="00047863"/>
    <w:rsid w:val="000621AD"/>
    <w:rsid w:val="000631A5"/>
    <w:rsid w:val="000A7478"/>
    <w:rsid w:val="000B33B1"/>
    <w:rsid w:val="001243C9"/>
    <w:rsid w:val="0013491D"/>
    <w:rsid w:val="00166842"/>
    <w:rsid w:val="00177602"/>
    <w:rsid w:val="00177D01"/>
    <w:rsid w:val="00195906"/>
    <w:rsid w:val="001B5B37"/>
    <w:rsid w:val="001D113E"/>
    <w:rsid w:val="001D3B90"/>
    <w:rsid w:val="001F13E3"/>
    <w:rsid w:val="001F453C"/>
    <w:rsid w:val="001F6294"/>
    <w:rsid w:val="0024274B"/>
    <w:rsid w:val="002B2148"/>
    <w:rsid w:val="002B2DC2"/>
    <w:rsid w:val="002F7A5E"/>
    <w:rsid w:val="003A658C"/>
    <w:rsid w:val="003D3F77"/>
    <w:rsid w:val="00403440"/>
    <w:rsid w:val="00481849"/>
    <w:rsid w:val="004B3210"/>
    <w:rsid w:val="004C0A30"/>
    <w:rsid w:val="00514091"/>
    <w:rsid w:val="005631D6"/>
    <w:rsid w:val="00596359"/>
    <w:rsid w:val="005A316F"/>
    <w:rsid w:val="005A4ED9"/>
    <w:rsid w:val="005B701D"/>
    <w:rsid w:val="005B77D9"/>
    <w:rsid w:val="005C77DF"/>
    <w:rsid w:val="005E0BC4"/>
    <w:rsid w:val="005E30B5"/>
    <w:rsid w:val="00617685"/>
    <w:rsid w:val="006B5820"/>
    <w:rsid w:val="006B6ECB"/>
    <w:rsid w:val="006C3C04"/>
    <w:rsid w:val="006C5DB5"/>
    <w:rsid w:val="006F24B5"/>
    <w:rsid w:val="006F3A8F"/>
    <w:rsid w:val="007036F5"/>
    <w:rsid w:val="00770F85"/>
    <w:rsid w:val="007A0089"/>
    <w:rsid w:val="007C2E1C"/>
    <w:rsid w:val="007E496A"/>
    <w:rsid w:val="007F2D22"/>
    <w:rsid w:val="00820F62"/>
    <w:rsid w:val="00861638"/>
    <w:rsid w:val="00861AF9"/>
    <w:rsid w:val="008738F7"/>
    <w:rsid w:val="00874E86"/>
    <w:rsid w:val="00876EEE"/>
    <w:rsid w:val="008D58C7"/>
    <w:rsid w:val="008F77C0"/>
    <w:rsid w:val="0090356B"/>
    <w:rsid w:val="009144FD"/>
    <w:rsid w:val="00915B1B"/>
    <w:rsid w:val="00925231"/>
    <w:rsid w:val="009371B9"/>
    <w:rsid w:val="009533CE"/>
    <w:rsid w:val="00970AC4"/>
    <w:rsid w:val="009A04FE"/>
    <w:rsid w:val="009E3559"/>
    <w:rsid w:val="009F70E4"/>
    <w:rsid w:val="00A05287"/>
    <w:rsid w:val="00A31AFD"/>
    <w:rsid w:val="00A75DEF"/>
    <w:rsid w:val="00AB63AD"/>
    <w:rsid w:val="00B24AA3"/>
    <w:rsid w:val="00B33103"/>
    <w:rsid w:val="00B62C6C"/>
    <w:rsid w:val="00BF6EF2"/>
    <w:rsid w:val="00C675F9"/>
    <w:rsid w:val="00C72EC1"/>
    <w:rsid w:val="00CA4C30"/>
    <w:rsid w:val="00CD1CB9"/>
    <w:rsid w:val="00D1477F"/>
    <w:rsid w:val="00D244AA"/>
    <w:rsid w:val="00D641ED"/>
    <w:rsid w:val="00DB50B1"/>
    <w:rsid w:val="00E55047"/>
    <w:rsid w:val="00E56E5B"/>
    <w:rsid w:val="00E72639"/>
    <w:rsid w:val="00E77B6B"/>
    <w:rsid w:val="00EC67FD"/>
    <w:rsid w:val="00EF7288"/>
    <w:rsid w:val="00F05CFA"/>
    <w:rsid w:val="00F2176B"/>
    <w:rsid w:val="00F22551"/>
    <w:rsid w:val="00F25883"/>
    <w:rsid w:val="00F42F91"/>
    <w:rsid w:val="00F5115F"/>
    <w:rsid w:val="00FA7987"/>
    <w:rsid w:val="00FC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6C5D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B5"/>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6C5D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DB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043B-B128-4C5A-B6B6-87E6E1F9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2017-05-18T16:42:00Z</cp:lastPrinted>
  <dcterms:created xsi:type="dcterms:W3CDTF">2017-05-18T15:57:00Z</dcterms:created>
  <dcterms:modified xsi:type="dcterms:W3CDTF">2017-06-26T18:52:00Z</dcterms:modified>
</cp:coreProperties>
</file>