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FE" w:rsidRPr="00A817A6" w:rsidRDefault="00CC33FE" w:rsidP="00CC33F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CC33FE" w:rsidRDefault="00CC33FE" w:rsidP="00CC33FE">
      <w:pPr>
        <w:shd w:val="clear" w:color="auto" w:fill="FFFFFF"/>
        <w:ind w:left="1843" w:hanging="1843"/>
        <w:rPr>
          <w:rFonts w:asciiTheme="minorHAnsi" w:eastAsia="Times New Roman" w:hAnsiTheme="minorHAnsi" w:cstheme="minorHAnsi"/>
          <w:color w:val="222222"/>
          <w:sz w:val="18"/>
          <w:szCs w:val="18"/>
          <w:lang w:val="es-CO" w:eastAsia="fr-FR"/>
        </w:rPr>
      </w:pPr>
    </w:p>
    <w:p w:rsidR="00CC33FE" w:rsidRPr="00A817A6" w:rsidRDefault="00CC33FE" w:rsidP="00CC33FE">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11 de mayo de 2017</w:t>
      </w:r>
    </w:p>
    <w:p w:rsidR="00CC33FE" w:rsidRPr="00710314" w:rsidRDefault="00CC33FE" w:rsidP="00CC33F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y declara improcedente la acción</w:t>
      </w:r>
    </w:p>
    <w:p w:rsidR="00CC33FE" w:rsidRDefault="00CC33FE" w:rsidP="00CC33F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710314">
        <w:rPr>
          <w:rFonts w:asciiTheme="minorHAnsi" w:hAnsiTheme="minorHAnsi" w:cstheme="minorHAnsi"/>
          <w:bCs/>
          <w:iCs/>
          <w:color w:val="222222"/>
          <w:sz w:val="18"/>
          <w:szCs w:val="18"/>
          <w:lang w:eastAsia="fr-FR"/>
        </w:rPr>
        <w:t>66001-22-13-000-2017-00</w:t>
      </w:r>
      <w:r w:rsidRPr="00710314">
        <w:rPr>
          <w:rFonts w:asciiTheme="minorHAnsi" w:hAnsiTheme="minorHAnsi" w:cstheme="minorHAnsi"/>
          <w:b/>
          <w:bCs/>
          <w:iCs/>
          <w:color w:val="222222"/>
          <w:sz w:val="18"/>
          <w:szCs w:val="18"/>
          <w:lang w:eastAsia="fr-FR"/>
        </w:rPr>
        <w:t>435</w:t>
      </w:r>
      <w:r w:rsidRPr="00710314">
        <w:rPr>
          <w:rFonts w:asciiTheme="minorHAnsi" w:hAnsiTheme="minorHAnsi" w:cstheme="minorHAnsi"/>
          <w:bCs/>
          <w:iCs/>
          <w:color w:val="222222"/>
          <w:sz w:val="18"/>
          <w:szCs w:val="18"/>
          <w:lang w:eastAsia="fr-FR"/>
        </w:rPr>
        <w:t>-00</w:t>
      </w:r>
      <w:r>
        <w:rPr>
          <w:rFonts w:asciiTheme="minorHAnsi" w:hAnsiTheme="minorHAnsi" w:cstheme="minorHAnsi"/>
          <w:bCs/>
          <w:iCs/>
          <w:color w:val="222222"/>
          <w:sz w:val="18"/>
          <w:szCs w:val="18"/>
          <w:lang w:eastAsia="fr-FR"/>
        </w:rPr>
        <w:t xml:space="preserve"> / </w:t>
      </w:r>
      <w:r w:rsidRPr="00710314">
        <w:rPr>
          <w:rFonts w:asciiTheme="minorHAnsi" w:hAnsiTheme="minorHAnsi" w:cstheme="minorHAnsi"/>
          <w:bCs/>
          <w:iCs/>
          <w:color w:val="222222"/>
          <w:sz w:val="18"/>
          <w:szCs w:val="18"/>
          <w:lang w:eastAsia="fr-FR"/>
        </w:rPr>
        <w:t>66001-22-13-000-2017-00</w:t>
      </w:r>
      <w:r w:rsidRPr="00710314">
        <w:rPr>
          <w:rFonts w:asciiTheme="minorHAnsi" w:hAnsiTheme="minorHAnsi" w:cstheme="minorHAnsi"/>
          <w:b/>
          <w:bCs/>
          <w:iCs/>
          <w:color w:val="222222"/>
          <w:sz w:val="18"/>
          <w:szCs w:val="18"/>
          <w:lang w:eastAsia="fr-FR"/>
        </w:rPr>
        <w:t>439</w:t>
      </w:r>
      <w:r w:rsidRPr="00710314">
        <w:rPr>
          <w:rFonts w:asciiTheme="minorHAnsi" w:hAnsiTheme="minorHAnsi" w:cstheme="minorHAnsi"/>
          <w:bCs/>
          <w:iCs/>
          <w:color w:val="222222"/>
          <w:sz w:val="18"/>
          <w:szCs w:val="18"/>
          <w:lang w:eastAsia="fr-FR"/>
        </w:rPr>
        <w:t>-00</w:t>
      </w:r>
    </w:p>
    <w:p w:rsidR="00CC33FE" w:rsidRDefault="00CC33FE" w:rsidP="00CC33F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CC33FE" w:rsidRDefault="00CC33FE" w:rsidP="00CC33FE">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710314">
        <w:rPr>
          <w:rFonts w:asciiTheme="minorHAnsi" w:hAnsiTheme="minorHAnsi" w:cstheme="minorHAnsi"/>
          <w:bCs/>
          <w:iCs/>
          <w:color w:val="222222"/>
          <w:spacing w:val="-6"/>
          <w:sz w:val="18"/>
          <w:szCs w:val="18"/>
          <w:lang w:eastAsia="fr-FR"/>
        </w:rPr>
        <w:t>JUZGADO CUARTO CIVIL DEL CIRCUITO DE PEREIRA</w:t>
      </w:r>
      <w:r>
        <w:rPr>
          <w:rFonts w:asciiTheme="minorHAnsi" w:hAnsiTheme="minorHAnsi" w:cstheme="minorHAnsi"/>
          <w:bCs/>
          <w:iCs/>
          <w:color w:val="222222"/>
          <w:spacing w:val="-6"/>
          <w:sz w:val="18"/>
          <w:szCs w:val="18"/>
          <w:lang w:eastAsia="fr-FR"/>
        </w:rPr>
        <w:t xml:space="preserve"> y otro</w:t>
      </w:r>
    </w:p>
    <w:p w:rsidR="00CC33FE" w:rsidRPr="006B3D70" w:rsidRDefault="00CC33FE" w:rsidP="00CC33F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CC33FE" w:rsidRPr="00E3043B" w:rsidRDefault="00CC33FE" w:rsidP="00CC33FE">
      <w:pPr>
        <w:pStyle w:val="Sansinterligne"/>
        <w:rPr>
          <w:sz w:val="16"/>
          <w:szCs w:val="16"/>
          <w:lang w:val="es-CO" w:eastAsia="fr-FR"/>
        </w:rPr>
      </w:pPr>
    </w:p>
    <w:p w:rsidR="00CC33FE" w:rsidRPr="00531263" w:rsidRDefault="00CC33FE" w:rsidP="00CC33FE">
      <w:pPr>
        <w:shd w:val="clear" w:color="auto" w:fill="FFFFFF"/>
        <w:tabs>
          <w:tab w:val="left" w:pos="1843"/>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CARÁCTER RESIDUAL DE LA ACCIÓN DE TUTELA / NO HA SOLICITADO AL JUEZ / IMPROCEDENCIA. </w:t>
      </w:r>
      <w:r>
        <w:rPr>
          <w:rFonts w:asciiTheme="minorHAnsi" w:hAnsiTheme="minorHAnsi" w:cstheme="minorHAnsi"/>
          <w:bCs/>
          <w:iCs/>
          <w:color w:val="222222"/>
          <w:sz w:val="18"/>
          <w:szCs w:val="18"/>
          <w:lang w:eastAsia="fr-FR"/>
        </w:rPr>
        <w:t>[E]</w:t>
      </w:r>
      <w:r w:rsidRPr="00710314">
        <w:rPr>
          <w:rFonts w:asciiTheme="minorHAnsi" w:hAnsiTheme="minorHAnsi" w:cstheme="minorHAnsi"/>
          <w:bCs/>
          <w:iCs/>
          <w:color w:val="222222"/>
          <w:sz w:val="18"/>
          <w:szCs w:val="18"/>
          <w:lang w:eastAsia="fr-FR"/>
        </w:rPr>
        <w:t>l Secretario del juzgado accionado, dio cuenta del estado actual del proceso y que el interesado no ha hecho petición por escrito sobre su desarchivo, pero que, en forma verbal se le ha hecho saber sobre la obligación del pago del arancel judicial (</w:t>
      </w:r>
      <w:proofErr w:type="spellStart"/>
      <w:r w:rsidRPr="00710314">
        <w:rPr>
          <w:rFonts w:asciiTheme="minorHAnsi" w:hAnsiTheme="minorHAnsi" w:cstheme="minorHAnsi"/>
          <w:bCs/>
          <w:iCs/>
          <w:color w:val="222222"/>
          <w:sz w:val="18"/>
          <w:szCs w:val="18"/>
          <w:lang w:eastAsia="fr-FR"/>
        </w:rPr>
        <w:t>fl</w:t>
      </w:r>
      <w:proofErr w:type="spellEnd"/>
      <w:r w:rsidRPr="00710314">
        <w:rPr>
          <w:rFonts w:asciiTheme="minorHAnsi" w:hAnsiTheme="minorHAnsi" w:cstheme="minorHAnsi"/>
          <w:bCs/>
          <w:iCs/>
          <w:color w:val="222222"/>
          <w:sz w:val="18"/>
          <w:szCs w:val="18"/>
          <w:lang w:eastAsia="fr-FR"/>
        </w:rPr>
        <w:t>. 14), es decir, el accionante nada le ha pedido expresamente a dicha autoridad judicial, de manera que obligue un pronunciamiento explícito de la titular del juzgado sobre el particular.</w:t>
      </w:r>
      <w:r>
        <w:rPr>
          <w:rFonts w:asciiTheme="minorHAnsi" w:hAnsiTheme="minorHAnsi" w:cstheme="minorHAnsi"/>
          <w:bCs/>
          <w:iCs/>
          <w:color w:val="222222"/>
          <w:sz w:val="18"/>
          <w:szCs w:val="18"/>
          <w:lang w:eastAsia="fr-FR"/>
        </w:rPr>
        <w:t xml:space="preserve"> </w:t>
      </w:r>
      <w:r w:rsidRPr="00710314">
        <w:rPr>
          <w:rFonts w:asciiTheme="minorHAnsi" w:hAnsiTheme="minorHAnsi" w:cstheme="minorHAnsi"/>
          <w:bCs/>
          <w:iCs/>
          <w:color w:val="222222"/>
          <w:sz w:val="18"/>
          <w:szCs w:val="18"/>
          <w:lang w:val="es-CO" w:eastAsia="fr-FR"/>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r>
        <w:rPr>
          <w:rFonts w:asciiTheme="minorHAnsi" w:hAnsiTheme="minorHAnsi" w:cstheme="minorHAnsi"/>
          <w:bCs/>
          <w:iCs/>
          <w:color w:val="222222"/>
          <w:sz w:val="18"/>
          <w:szCs w:val="18"/>
          <w:lang w:val="es-CO" w:eastAsia="fr-FR"/>
        </w:rPr>
        <w:t xml:space="preserve"> </w:t>
      </w:r>
      <w:r w:rsidRPr="00710314">
        <w:rPr>
          <w:rFonts w:asciiTheme="minorHAnsi" w:hAnsiTheme="minorHAnsi" w:cstheme="minorHAns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w:t>
      </w:r>
      <w:r>
        <w:rPr>
          <w:rFonts w:asciiTheme="minorHAnsi" w:hAnsiTheme="minorHAnsi" w:cstheme="minorHAnsi"/>
          <w:bCs/>
          <w:iCs/>
          <w:color w:val="222222"/>
          <w:sz w:val="18"/>
          <w:szCs w:val="18"/>
          <w:lang w:eastAsia="fr-FR"/>
        </w:rPr>
        <w:t xml:space="preserve"> (…).</w:t>
      </w:r>
    </w:p>
    <w:p w:rsidR="009C274F" w:rsidRDefault="009C274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03126">
        <w:rPr>
          <w:rFonts w:ascii="Arial" w:hAnsi="Arial" w:cs="Arial"/>
          <w:bCs/>
          <w:sz w:val="24"/>
          <w:szCs w:val="24"/>
        </w:rPr>
        <w:t>onc</w:t>
      </w:r>
      <w:r w:rsidR="007D7F72">
        <w:rPr>
          <w:rFonts w:ascii="Arial" w:hAnsi="Arial" w:cs="Arial"/>
          <w:bCs/>
          <w:sz w:val="24"/>
          <w:szCs w:val="24"/>
        </w:rPr>
        <w:t>e</w:t>
      </w:r>
      <w:r w:rsidR="00B61F99">
        <w:rPr>
          <w:rFonts w:ascii="Arial" w:hAnsi="Arial" w:cs="Arial"/>
          <w:bCs/>
          <w:sz w:val="24"/>
          <w:szCs w:val="24"/>
        </w:rPr>
        <w:t xml:space="preserve"> (</w:t>
      </w:r>
      <w:r w:rsidR="00203126">
        <w:rPr>
          <w:rFonts w:ascii="Arial" w:hAnsi="Arial" w:cs="Arial"/>
          <w:bCs/>
          <w:sz w:val="24"/>
          <w:szCs w:val="24"/>
        </w:rPr>
        <w:t>11</w:t>
      </w:r>
      <w:r w:rsidRPr="0090313C">
        <w:rPr>
          <w:rFonts w:ascii="Arial" w:hAnsi="Arial" w:cs="Arial"/>
          <w:bCs/>
          <w:sz w:val="24"/>
          <w:szCs w:val="24"/>
        </w:rPr>
        <w:t xml:space="preserve">) de </w:t>
      </w:r>
      <w:r w:rsidR="00203126">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967094">
        <w:rPr>
          <w:rFonts w:ascii="Arial" w:hAnsi="Arial" w:cs="Arial"/>
          <w:sz w:val="24"/>
          <w:szCs w:val="24"/>
        </w:rPr>
        <w:t>243</w:t>
      </w:r>
      <w:r w:rsidR="003E27A5">
        <w:rPr>
          <w:rFonts w:ascii="Arial" w:hAnsi="Arial" w:cs="Arial"/>
          <w:sz w:val="24"/>
          <w:szCs w:val="24"/>
        </w:rPr>
        <w:t xml:space="preserve"> de </w:t>
      </w:r>
      <w:r w:rsidR="00203126">
        <w:rPr>
          <w:rFonts w:ascii="Arial" w:hAnsi="Arial" w:cs="Arial"/>
          <w:sz w:val="24"/>
          <w:szCs w:val="24"/>
        </w:rPr>
        <w:t>11-05</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203126">
        <w:rPr>
          <w:rFonts w:ascii="Arial" w:hAnsi="Arial" w:cs="Arial"/>
          <w:sz w:val="24"/>
          <w:szCs w:val="24"/>
        </w:rPr>
        <w:t>s:</w:t>
      </w:r>
      <w:r w:rsidR="00203126">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203126" w:rsidRPr="00203126">
        <w:rPr>
          <w:rFonts w:ascii="Arial" w:hAnsi="Arial" w:cs="Arial"/>
          <w:b/>
          <w:sz w:val="24"/>
          <w:szCs w:val="24"/>
        </w:rPr>
        <w:t>4</w:t>
      </w:r>
      <w:r w:rsidR="00F325FE">
        <w:rPr>
          <w:rFonts w:ascii="Arial" w:hAnsi="Arial" w:cs="Arial"/>
          <w:b/>
          <w:sz w:val="24"/>
          <w:szCs w:val="24"/>
        </w:rPr>
        <w:t>3</w:t>
      </w:r>
      <w:r w:rsidR="007D7F72">
        <w:rPr>
          <w:rFonts w:ascii="Arial" w:hAnsi="Arial" w:cs="Arial"/>
          <w:b/>
          <w:sz w:val="24"/>
          <w:szCs w:val="24"/>
        </w:rPr>
        <w:t>5</w:t>
      </w:r>
      <w:r w:rsidRPr="00984F63">
        <w:rPr>
          <w:rFonts w:ascii="Arial" w:hAnsi="Arial" w:cs="Arial"/>
          <w:sz w:val="24"/>
          <w:szCs w:val="24"/>
        </w:rPr>
        <w:t>-00</w:t>
      </w:r>
    </w:p>
    <w:p w:rsidR="00203126" w:rsidRDefault="00203126" w:rsidP="00203126">
      <w:pPr>
        <w:spacing w:line="360" w:lineRule="auto"/>
        <w:ind w:left="708" w:firstLine="708"/>
        <w:jc w:val="center"/>
        <w:rPr>
          <w:rFonts w:ascii="Arial" w:hAnsi="Arial" w:cs="Arial"/>
          <w:sz w:val="24"/>
          <w:szCs w:val="24"/>
        </w:rPr>
      </w:pPr>
      <w:r>
        <w:rPr>
          <w:rFonts w:ascii="Arial" w:hAnsi="Arial" w:cs="Arial"/>
          <w:sz w:val="24"/>
          <w:szCs w:val="24"/>
        </w:rPr>
        <w:t>66001-22-13-000-2017-00</w:t>
      </w:r>
      <w:r w:rsidRPr="00203126">
        <w:rPr>
          <w:rFonts w:ascii="Arial" w:hAnsi="Arial" w:cs="Arial"/>
          <w:b/>
          <w:sz w:val="24"/>
          <w:szCs w:val="24"/>
        </w:rPr>
        <w:t>4</w:t>
      </w:r>
      <w:r>
        <w:rPr>
          <w:rFonts w:ascii="Arial" w:hAnsi="Arial" w:cs="Arial"/>
          <w:b/>
          <w:sz w:val="24"/>
          <w:szCs w:val="24"/>
        </w:rPr>
        <w:t>39</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203126">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203126">
        <w:rPr>
          <w:rFonts w:ascii="Arial" w:hAnsi="Arial" w:cs="Arial"/>
          <w:sz w:val="26"/>
          <w:szCs w:val="26"/>
          <w:lang w:val="es-ES" w:eastAsia="es-ES"/>
        </w:rPr>
        <w:t>s accio</w:t>
      </w:r>
      <w:r>
        <w:rPr>
          <w:rFonts w:ascii="Arial" w:hAnsi="Arial" w:cs="Arial"/>
          <w:sz w:val="26"/>
          <w:szCs w:val="26"/>
          <w:lang w:val="es-ES" w:eastAsia="es-ES"/>
        </w:rPr>
        <w:t>n</w:t>
      </w:r>
      <w:r w:rsidR="00203126">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203126">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A363D4">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A363D4">
        <w:rPr>
          <w:rFonts w:ascii="Arial" w:hAnsi="Arial" w:cs="Arial"/>
          <w:szCs w:val="26"/>
          <w:lang w:val="es-ES" w:eastAsia="es-ES"/>
        </w:rPr>
        <w:t xml:space="preserve"> </w:t>
      </w:r>
      <w:r w:rsidR="00F325FE">
        <w:rPr>
          <w:rFonts w:ascii="Arial" w:hAnsi="Arial" w:cs="Arial"/>
          <w:sz w:val="26"/>
          <w:szCs w:val="26"/>
          <w:lang w:val="es-ES" w:eastAsia="es-ES"/>
        </w:rPr>
        <w:t>y el</w:t>
      </w:r>
      <w:r w:rsidR="00A363D4">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A363D4">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w:t>
      </w:r>
      <w:r w:rsidR="00203126">
        <w:rPr>
          <w:rFonts w:ascii="Arial" w:hAnsi="Arial" w:cs="Arial"/>
          <w:sz w:val="26"/>
          <w:szCs w:val="26"/>
          <w:lang w:val="es-ES" w:eastAsia="es-ES"/>
        </w:rPr>
        <w:t>s accio</w:t>
      </w:r>
      <w:r w:rsidR="00F325FE" w:rsidRPr="00E13BB5">
        <w:rPr>
          <w:rFonts w:ascii="Arial" w:hAnsi="Arial" w:cs="Arial"/>
          <w:sz w:val="26"/>
          <w:szCs w:val="26"/>
          <w:lang w:val="es-ES" w:eastAsia="es-ES"/>
        </w:rPr>
        <w:t>n</w:t>
      </w:r>
      <w:r w:rsidR="00203126">
        <w:rPr>
          <w:rFonts w:ascii="Arial" w:hAnsi="Arial" w:cs="Arial"/>
          <w:sz w:val="26"/>
          <w:szCs w:val="26"/>
          <w:lang w:val="es-ES" w:eastAsia="es-ES"/>
        </w:rPr>
        <w:t>es</w:t>
      </w:r>
      <w:r w:rsidR="00F325FE" w:rsidRPr="00E13BB5">
        <w:rPr>
          <w:rFonts w:ascii="Arial" w:hAnsi="Arial" w:cs="Arial"/>
          <w:sz w:val="26"/>
          <w:szCs w:val="26"/>
          <w:lang w:val="es-ES" w:eastAsia="es-ES"/>
        </w:rPr>
        <w:t xml:space="preserve"> popular</w:t>
      </w:r>
      <w:r w:rsidR="00203126">
        <w:rPr>
          <w:rFonts w:ascii="Arial" w:hAnsi="Arial" w:cs="Arial"/>
          <w:sz w:val="26"/>
          <w:szCs w:val="26"/>
          <w:lang w:val="es-ES" w:eastAsia="es-ES"/>
        </w:rPr>
        <w:t>es</w:t>
      </w:r>
      <w:r w:rsidR="00F325FE" w:rsidRPr="00E13BB5">
        <w:rPr>
          <w:rFonts w:ascii="Arial" w:hAnsi="Arial" w:cs="Arial"/>
          <w:sz w:val="26"/>
          <w:szCs w:val="26"/>
          <w:lang w:val="es-ES" w:eastAsia="es-ES"/>
        </w:rPr>
        <w:t xml:space="preserve"> radicada</w:t>
      </w:r>
      <w:r w:rsidR="00203126">
        <w:rPr>
          <w:rFonts w:ascii="Arial" w:hAnsi="Arial" w:cs="Arial"/>
          <w:sz w:val="26"/>
          <w:szCs w:val="26"/>
          <w:lang w:val="es-ES" w:eastAsia="es-ES"/>
        </w:rPr>
        <w:t>s</w:t>
      </w:r>
      <w:r w:rsidR="00F325FE" w:rsidRPr="00E13BB5">
        <w:rPr>
          <w:rFonts w:ascii="Arial" w:hAnsi="Arial" w:cs="Arial"/>
          <w:sz w:val="26"/>
          <w:szCs w:val="26"/>
          <w:lang w:val="es-ES" w:eastAsia="es-ES"/>
        </w:rPr>
        <w:t xml:space="preserve"> bajo l</w:t>
      </w:r>
      <w:r w:rsidR="00203126">
        <w:rPr>
          <w:rFonts w:ascii="Arial" w:hAnsi="Arial" w:cs="Arial"/>
          <w:sz w:val="26"/>
          <w:szCs w:val="26"/>
          <w:lang w:val="es-ES" w:eastAsia="es-ES"/>
        </w:rPr>
        <w:t>os</w:t>
      </w:r>
      <w:r w:rsidR="00F325FE" w:rsidRPr="00E13BB5">
        <w:rPr>
          <w:rFonts w:ascii="Arial" w:hAnsi="Arial" w:cs="Arial"/>
          <w:sz w:val="26"/>
          <w:szCs w:val="26"/>
          <w:lang w:val="es-ES" w:eastAsia="es-ES"/>
        </w:rPr>
        <w:t xml:space="preserve"> número</w:t>
      </w:r>
      <w:r w:rsidR="00203126">
        <w:rPr>
          <w:rFonts w:ascii="Arial" w:hAnsi="Arial" w:cs="Arial"/>
          <w:sz w:val="26"/>
          <w:szCs w:val="26"/>
          <w:lang w:val="es-ES" w:eastAsia="es-ES"/>
        </w:rPr>
        <w:t>s</w:t>
      </w:r>
      <w:r w:rsidR="00F325FE" w:rsidRPr="00E13BB5">
        <w:rPr>
          <w:rFonts w:ascii="Arial" w:hAnsi="Arial" w:cs="Arial"/>
          <w:sz w:val="26"/>
          <w:szCs w:val="26"/>
          <w:lang w:val="es-ES" w:eastAsia="es-ES"/>
        </w:rPr>
        <w:t xml:space="preserve"> 201</w:t>
      </w:r>
      <w:r w:rsidR="00203126">
        <w:rPr>
          <w:rFonts w:ascii="Arial" w:hAnsi="Arial" w:cs="Arial"/>
          <w:sz w:val="26"/>
          <w:szCs w:val="26"/>
          <w:lang w:val="es-ES" w:eastAsia="es-ES"/>
        </w:rPr>
        <w:t>4</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203126">
        <w:rPr>
          <w:rFonts w:ascii="Arial" w:hAnsi="Arial" w:cs="Arial"/>
          <w:b/>
          <w:sz w:val="26"/>
          <w:szCs w:val="26"/>
          <w:lang w:val="es-ES" w:eastAsia="es-ES"/>
        </w:rPr>
        <w:t xml:space="preserve">162 </w:t>
      </w:r>
      <w:r w:rsidR="00203126" w:rsidRPr="00203126">
        <w:rPr>
          <w:rFonts w:ascii="Arial" w:hAnsi="Arial" w:cs="Arial"/>
          <w:sz w:val="26"/>
          <w:szCs w:val="26"/>
          <w:lang w:val="es-ES" w:eastAsia="es-ES"/>
        </w:rPr>
        <w:t>y</w:t>
      </w:r>
      <w:r w:rsidR="00203126">
        <w:rPr>
          <w:rFonts w:ascii="Arial" w:hAnsi="Arial" w:cs="Arial"/>
          <w:sz w:val="26"/>
          <w:szCs w:val="26"/>
          <w:lang w:val="es-ES" w:eastAsia="es-ES"/>
        </w:rPr>
        <w:t xml:space="preserve"> </w:t>
      </w:r>
      <w:r w:rsidR="00203126" w:rsidRPr="00E13BB5">
        <w:rPr>
          <w:rFonts w:ascii="Arial" w:hAnsi="Arial" w:cs="Arial"/>
          <w:sz w:val="26"/>
          <w:szCs w:val="26"/>
          <w:lang w:val="es-ES" w:eastAsia="es-ES"/>
        </w:rPr>
        <w:t>201</w:t>
      </w:r>
      <w:r w:rsidR="00203126">
        <w:rPr>
          <w:rFonts w:ascii="Arial" w:hAnsi="Arial" w:cs="Arial"/>
          <w:sz w:val="26"/>
          <w:szCs w:val="26"/>
          <w:lang w:val="es-ES" w:eastAsia="es-ES"/>
        </w:rPr>
        <w:t>4</w:t>
      </w:r>
      <w:r w:rsidR="00203126" w:rsidRPr="00E13BB5">
        <w:rPr>
          <w:rFonts w:ascii="Arial" w:hAnsi="Arial" w:cs="Arial"/>
          <w:sz w:val="26"/>
          <w:szCs w:val="26"/>
          <w:lang w:val="es-ES" w:eastAsia="es-ES"/>
        </w:rPr>
        <w:t>-0</w:t>
      </w:r>
      <w:r w:rsidR="00203126">
        <w:rPr>
          <w:rFonts w:ascii="Arial" w:hAnsi="Arial" w:cs="Arial"/>
          <w:sz w:val="26"/>
          <w:szCs w:val="26"/>
          <w:lang w:val="es-ES" w:eastAsia="es-ES"/>
        </w:rPr>
        <w:t>0</w:t>
      </w:r>
      <w:r w:rsidR="00203126">
        <w:rPr>
          <w:rFonts w:ascii="Arial" w:hAnsi="Arial" w:cs="Arial"/>
          <w:b/>
          <w:sz w:val="26"/>
          <w:szCs w:val="26"/>
          <w:lang w:val="es-ES" w:eastAsia="es-ES"/>
        </w:rPr>
        <w:t>145</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A363D4">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403DE">
        <w:rPr>
          <w:rFonts w:ascii="Arial" w:hAnsi="Arial" w:cs="Arial"/>
          <w:szCs w:val="26"/>
          <w:lang w:val="es-ES" w:eastAsia="es-ES"/>
        </w:rPr>
        <w:t>,</w:t>
      </w:r>
      <w:r w:rsidR="00F325FE">
        <w:rPr>
          <w:rFonts w:ascii="Arial" w:hAnsi="Arial" w:cs="Arial"/>
          <w:sz w:val="26"/>
          <w:szCs w:val="26"/>
          <w:lang w:val="es-ES" w:eastAsia="es-ES"/>
        </w:rPr>
        <w:t xml:space="preserve"> la</w:t>
      </w:r>
      <w:r w:rsidR="00A363D4">
        <w:rPr>
          <w:rFonts w:ascii="Arial" w:hAnsi="Arial" w:cs="Arial"/>
          <w:sz w:val="26"/>
          <w:szCs w:val="26"/>
          <w:lang w:val="es-ES" w:eastAsia="es-ES"/>
        </w:rPr>
        <w:t xml:space="preserve"> </w:t>
      </w:r>
      <w:r w:rsidR="00203126" w:rsidRPr="00541D87">
        <w:rPr>
          <w:rFonts w:ascii="Arial" w:hAnsi="Arial" w:cs="Arial"/>
          <w:szCs w:val="28"/>
          <w:lang w:val="es-ES" w:eastAsia="es-ES"/>
        </w:rPr>
        <w:t>DEFENSORÍA DEL PUEBLO</w:t>
      </w:r>
      <w:r w:rsidR="00203126" w:rsidRPr="000D15E9">
        <w:rPr>
          <w:rFonts w:ascii="Arial" w:hAnsi="Arial" w:cs="Arial"/>
          <w:sz w:val="26"/>
          <w:szCs w:val="26"/>
          <w:lang w:val="es-ES" w:eastAsia="es-ES"/>
        </w:rPr>
        <w:t xml:space="preserve"> </w:t>
      </w:r>
      <w:r w:rsidR="00203126">
        <w:rPr>
          <w:rFonts w:ascii="Arial" w:hAnsi="Arial" w:cs="Arial"/>
          <w:sz w:val="26"/>
          <w:szCs w:val="26"/>
          <w:lang w:val="es-ES" w:eastAsia="es-ES"/>
        </w:rPr>
        <w:t xml:space="preserve">y </w:t>
      </w:r>
      <w:r w:rsidR="00203126" w:rsidRPr="000D15E9">
        <w:rPr>
          <w:rFonts w:ascii="Arial" w:hAnsi="Arial" w:cs="Arial"/>
          <w:sz w:val="26"/>
          <w:szCs w:val="26"/>
          <w:lang w:val="es-ES" w:eastAsia="es-ES"/>
        </w:rPr>
        <w:t>la</w:t>
      </w:r>
      <w:r w:rsidR="00203126">
        <w:rPr>
          <w:rFonts w:ascii="Arial" w:hAnsi="Arial" w:cs="Arial"/>
          <w:szCs w:val="28"/>
          <w:lang w:val="es-ES" w:eastAsia="es-ES"/>
        </w:rPr>
        <w:t xml:space="preserve"> PROCURADURÍA GENERAL DE LA NACIÓN, </w:t>
      </w:r>
      <w:r w:rsidR="00203126">
        <w:rPr>
          <w:rFonts w:ascii="Arial" w:hAnsi="Arial" w:cs="Arial"/>
          <w:sz w:val="26"/>
          <w:szCs w:val="26"/>
          <w:lang w:val="es-ES" w:eastAsia="es-ES"/>
        </w:rPr>
        <w:t>ambas de la R</w:t>
      </w:r>
      <w:r w:rsidR="00203126" w:rsidRPr="00E96ECC">
        <w:rPr>
          <w:rFonts w:ascii="Arial" w:hAnsi="Arial" w:cs="Arial"/>
          <w:sz w:val="26"/>
          <w:szCs w:val="26"/>
          <w:lang w:val="es-ES" w:eastAsia="es-ES"/>
        </w:rPr>
        <w:t>egional Risaralda</w:t>
      </w:r>
      <w:r w:rsidR="00203126">
        <w:rPr>
          <w:rFonts w:ascii="Arial" w:hAnsi="Arial" w:cs="Arial"/>
          <w:sz w:val="26"/>
          <w:szCs w:val="26"/>
          <w:lang w:val="es-ES" w:eastAsia="es-ES"/>
        </w:rPr>
        <w:t xml:space="preserve">, </w:t>
      </w:r>
      <w:r w:rsidR="00203126" w:rsidRPr="00203126">
        <w:rPr>
          <w:rFonts w:ascii="Arial" w:hAnsi="Arial" w:cs="Arial"/>
          <w:szCs w:val="26"/>
          <w:lang w:val="es-ES" w:eastAsia="es-ES"/>
        </w:rPr>
        <w:t xml:space="preserve">SALUD TOTAL EPS SA </w:t>
      </w:r>
      <w:r w:rsidR="00203126">
        <w:rPr>
          <w:rFonts w:ascii="Arial" w:hAnsi="Arial" w:cs="Arial"/>
          <w:sz w:val="26"/>
          <w:szCs w:val="26"/>
          <w:lang w:val="es-ES" w:eastAsia="es-ES"/>
        </w:rPr>
        <w:t xml:space="preserve">y el </w:t>
      </w:r>
      <w:r w:rsidR="00203126" w:rsidRPr="009A3A85">
        <w:rPr>
          <w:rFonts w:ascii="Arial" w:hAnsi="Arial" w:cs="Arial"/>
          <w:szCs w:val="26"/>
          <w:lang w:val="es-ES" w:eastAsia="es-ES"/>
        </w:rPr>
        <w:t>BANCO DAVIVIENDA</w:t>
      </w:r>
      <w:r w:rsidR="00F403DE">
        <w:rPr>
          <w:rFonts w:ascii="Arial" w:hAnsi="Arial" w:cs="Arial"/>
          <w:szCs w:val="26"/>
          <w:lang w:val="es-ES"/>
        </w:rPr>
        <w:t>.</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A363D4">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w:t>
      </w:r>
      <w:r w:rsidR="00203126">
        <w:rPr>
          <w:rFonts w:ascii="Arial" w:hAnsi="Arial" w:cs="Arial"/>
          <w:sz w:val="26"/>
          <w:szCs w:val="26"/>
        </w:rPr>
        <w:t>s accio</w:t>
      </w:r>
      <w:r w:rsidR="00F325FE">
        <w:rPr>
          <w:rFonts w:ascii="Arial" w:hAnsi="Arial" w:cs="Arial"/>
          <w:sz w:val="26"/>
          <w:szCs w:val="26"/>
        </w:rPr>
        <w:t>n</w:t>
      </w:r>
      <w:r w:rsidR="00203126">
        <w:rPr>
          <w:rFonts w:ascii="Arial" w:hAnsi="Arial" w:cs="Arial"/>
          <w:sz w:val="26"/>
          <w:szCs w:val="26"/>
        </w:rPr>
        <w:t>es</w:t>
      </w:r>
      <w:r w:rsidR="00F325FE">
        <w:rPr>
          <w:rFonts w:ascii="Arial" w:hAnsi="Arial" w:cs="Arial"/>
          <w:sz w:val="26"/>
          <w:szCs w:val="26"/>
        </w:rPr>
        <w:t xml:space="preserve"> popular</w:t>
      </w:r>
      <w:r w:rsidR="00203126">
        <w:rPr>
          <w:rFonts w:ascii="Arial" w:hAnsi="Arial" w:cs="Arial"/>
          <w:sz w:val="26"/>
          <w:szCs w:val="26"/>
        </w:rPr>
        <w:t>es</w:t>
      </w:r>
      <w:r w:rsidR="00F325FE" w:rsidRPr="000905F6">
        <w:rPr>
          <w:rFonts w:ascii="Arial" w:hAnsi="Arial" w:cs="Arial"/>
          <w:sz w:val="26"/>
          <w:szCs w:val="26"/>
        </w:rPr>
        <w:t xml:space="preserve"> radicada</w:t>
      </w:r>
      <w:r w:rsidR="00203126">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203126">
        <w:rPr>
          <w:rFonts w:ascii="Arial" w:hAnsi="Arial" w:cs="Arial"/>
          <w:sz w:val="26"/>
          <w:szCs w:val="26"/>
        </w:rPr>
        <w:t>os</w:t>
      </w:r>
      <w:r w:rsidR="00F325FE">
        <w:rPr>
          <w:rFonts w:ascii="Arial" w:hAnsi="Arial" w:cs="Arial"/>
          <w:sz w:val="26"/>
          <w:szCs w:val="26"/>
        </w:rPr>
        <w:t xml:space="preserve"> número</w:t>
      </w:r>
      <w:r w:rsidR="00203126">
        <w:rPr>
          <w:rFonts w:ascii="Arial" w:hAnsi="Arial" w:cs="Arial"/>
          <w:sz w:val="26"/>
          <w:szCs w:val="26"/>
        </w:rPr>
        <w:t>s</w:t>
      </w:r>
      <w:r w:rsidR="00A363D4">
        <w:rPr>
          <w:rFonts w:ascii="Arial" w:hAnsi="Arial" w:cs="Arial"/>
          <w:sz w:val="26"/>
          <w:szCs w:val="26"/>
        </w:rPr>
        <w:t xml:space="preserve"> </w:t>
      </w:r>
      <w:r w:rsidR="00203126" w:rsidRPr="00E13BB5">
        <w:rPr>
          <w:rFonts w:ascii="Arial" w:hAnsi="Arial" w:cs="Arial"/>
          <w:sz w:val="26"/>
          <w:szCs w:val="26"/>
          <w:lang w:val="es-ES" w:eastAsia="es-ES"/>
        </w:rPr>
        <w:t>201</w:t>
      </w:r>
      <w:r w:rsidR="00203126">
        <w:rPr>
          <w:rFonts w:ascii="Arial" w:hAnsi="Arial" w:cs="Arial"/>
          <w:sz w:val="26"/>
          <w:szCs w:val="26"/>
          <w:lang w:val="es-ES" w:eastAsia="es-ES"/>
        </w:rPr>
        <w:t>4</w:t>
      </w:r>
      <w:r w:rsidR="00203126" w:rsidRPr="00E13BB5">
        <w:rPr>
          <w:rFonts w:ascii="Arial" w:hAnsi="Arial" w:cs="Arial"/>
          <w:sz w:val="26"/>
          <w:szCs w:val="26"/>
          <w:lang w:val="es-ES" w:eastAsia="es-ES"/>
        </w:rPr>
        <w:t>-0</w:t>
      </w:r>
      <w:r w:rsidR="00203126">
        <w:rPr>
          <w:rFonts w:ascii="Arial" w:hAnsi="Arial" w:cs="Arial"/>
          <w:sz w:val="26"/>
          <w:szCs w:val="26"/>
          <w:lang w:val="es-ES" w:eastAsia="es-ES"/>
        </w:rPr>
        <w:t>0</w:t>
      </w:r>
      <w:r w:rsidR="00203126">
        <w:rPr>
          <w:rFonts w:ascii="Arial" w:hAnsi="Arial" w:cs="Arial"/>
          <w:b/>
          <w:sz w:val="26"/>
          <w:szCs w:val="26"/>
          <w:lang w:val="es-ES" w:eastAsia="es-ES"/>
        </w:rPr>
        <w:t xml:space="preserve">162 </w:t>
      </w:r>
      <w:r w:rsidR="00203126" w:rsidRPr="00203126">
        <w:rPr>
          <w:rFonts w:ascii="Arial" w:hAnsi="Arial" w:cs="Arial"/>
          <w:sz w:val="26"/>
          <w:szCs w:val="26"/>
          <w:lang w:val="es-ES" w:eastAsia="es-ES"/>
        </w:rPr>
        <w:t>y</w:t>
      </w:r>
      <w:r w:rsidR="00203126">
        <w:rPr>
          <w:rFonts w:ascii="Arial" w:hAnsi="Arial" w:cs="Arial"/>
          <w:sz w:val="26"/>
          <w:szCs w:val="26"/>
          <w:lang w:val="es-ES" w:eastAsia="es-ES"/>
        </w:rPr>
        <w:t xml:space="preserve"> </w:t>
      </w:r>
      <w:r w:rsidR="00203126" w:rsidRPr="00E13BB5">
        <w:rPr>
          <w:rFonts w:ascii="Arial" w:hAnsi="Arial" w:cs="Arial"/>
          <w:sz w:val="26"/>
          <w:szCs w:val="26"/>
          <w:lang w:val="es-ES" w:eastAsia="es-ES"/>
        </w:rPr>
        <w:t>201</w:t>
      </w:r>
      <w:r w:rsidR="00203126">
        <w:rPr>
          <w:rFonts w:ascii="Arial" w:hAnsi="Arial" w:cs="Arial"/>
          <w:sz w:val="26"/>
          <w:szCs w:val="26"/>
          <w:lang w:val="es-ES" w:eastAsia="es-ES"/>
        </w:rPr>
        <w:t>4</w:t>
      </w:r>
      <w:r w:rsidR="00203126" w:rsidRPr="00E13BB5">
        <w:rPr>
          <w:rFonts w:ascii="Arial" w:hAnsi="Arial" w:cs="Arial"/>
          <w:sz w:val="26"/>
          <w:szCs w:val="26"/>
          <w:lang w:val="es-ES" w:eastAsia="es-ES"/>
        </w:rPr>
        <w:t>-0</w:t>
      </w:r>
      <w:r w:rsidR="00203126">
        <w:rPr>
          <w:rFonts w:ascii="Arial" w:hAnsi="Arial" w:cs="Arial"/>
          <w:sz w:val="26"/>
          <w:szCs w:val="26"/>
          <w:lang w:val="es-ES" w:eastAsia="es-ES"/>
        </w:rPr>
        <w:t>0</w:t>
      </w:r>
      <w:r w:rsidR="00203126">
        <w:rPr>
          <w:rFonts w:ascii="Arial" w:hAnsi="Arial" w:cs="Arial"/>
          <w:b/>
          <w:sz w:val="26"/>
          <w:szCs w:val="26"/>
          <w:lang w:val="es-ES" w:eastAsia="es-ES"/>
        </w:rPr>
        <w:t>145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363D4">
        <w:rPr>
          <w:rFonts w:ascii="Arial" w:hAnsi="Arial" w:cs="Arial"/>
          <w:sz w:val="26"/>
          <w:szCs w:val="26"/>
        </w:rPr>
        <w:t>ha solicitado el desarchivo de</w:t>
      </w:r>
      <w:r w:rsidR="006F2871">
        <w:rPr>
          <w:rFonts w:ascii="Arial" w:hAnsi="Arial" w:cs="Arial"/>
          <w:sz w:val="26"/>
          <w:szCs w:val="26"/>
        </w:rPr>
        <w:t xml:space="preserve"> la</w:t>
      </w:r>
      <w:r w:rsidR="00203126">
        <w:rPr>
          <w:rFonts w:ascii="Arial" w:hAnsi="Arial" w:cs="Arial"/>
          <w:sz w:val="26"/>
          <w:szCs w:val="26"/>
        </w:rPr>
        <w:t>s</w:t>
      </w:r>
      <w:r w:rsidR="006F2871">
        <w:rPr>
          <w:rFonts w:ascii="Arial" w:hAnsi="Arial" w:cs="Arial"/>
          <w:sz w:val="26"/>
          <w:szCs w:val="26"/>
        </w:rPr>
        <w:t xml:space="preserve"> referida</w:t>
      </w:r>
      <w:r w:rsidR="00203126">
        <w:rPr>
          <w:rFonts w:ascii="Arial" w:hAnsi="Arial" w:cs="Arial"/>
          <w:sz w:val="26"/>
          <w:szCs w:val="26"/>
        </w:rPr>
        <w:t>s accio</w:t>
      </w:r>
      <w:r w:rsidR="006F2871">
        <w:rPr>
          <w:rFonts w:ascii="Arial" w:hAnsi="Arial" w:cs="Arial"/>
          <w:sz w:val="26"/>
          <w:szCs w:val="26"/>
        </w:rPr>
        <w:t>n</w:t>
      </w:r>
      <w:r w:rsidR="00203126">
        <w:rPr>
          <w:rFonts w:ascii="Arial" w:hAnsi="Arial" w:cs="Arial"/>
          <w:sz w:val="26"/>
          <w:szCs w:val="26"/>
        </w:rPr>
        <w:t>es</w:t>
      </w:r>
      <w:r w:rsidR="006F2871">
        <w:rPr>
          <w:rFonts w:ascii="Arial" w:hAnsi="Arial" w:cs="Arial"/>
          <w:sz w:val="26"/>
          <w:szCs w:val="26"/>
        </w:rPr>
        <w:t xml:space="preserve"> popular</w:t>
      </w:r>
      <w:r w:rsidR="00203126">
        <w:rPr>
          <w:rFonts w:ascii="Arial" w:hAnsi="Arial" w:cs="Arial"/>
          <w:sz w:val="26"/>
          <w:szCs w:val="26"/>
        </w:rPr>
        <w:t>es</w:t>
      </w:r>
      <w:r w:rsidR="006F2871">
        <w:rPr>
          <w:rFonts w:ascii="Arial" w:hAnsi="Arial" w:cs="Arial"/>
          <w:sz w:val="26"/>
          <w:szCs w:val="26"/>
        </w:rPr>
        <w:t xml:space="preserve">, </w:t>
      </w:r>
      <w:r w:rsidR="00A363D4">
        <w:rPr>
          <w:rFonts w:ascii="Arial" w:hAnsi="Arial" w:cs="Arial"/>
          <w:sz w:val="26"/>
          <w:szCs w:val="26"/>
        </w:rPr>
        <w:t>pero el despacho se niega y le exige que pague para proceder de esa manera, olvidando que se trata de una acción constitucional donde no se debe cobrar por ello</w:t>
      </w:r>
      <w:r>
        <w:rPr>
          <w:rFonts w:ascii="Arial" w:hAnsi="Arial" w:cs="Arial"/>
          <w:sz w:val="26"/>
          <w:szCs w:val="26"/>
        </w:rPr>
        <w:t>.</w:t>
      </w:r>
      <w:r w:rsidR="00A363D4">
        <w:rPr>
          <w:rFonts w:ascii="Arial" w:hAnsi="Arial" w:cs="Arial"/>
          <w:sz w:val="26"/>
          <w:szCs w:val="26"/>
        </w:rPr>
        <w:t xml:space="preserve"> Además, que el procurador delegado no protege sus garantías procesales.</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A363D4">
        <w:rPr>
          <w:rFonts w:ascii="Arial" w:hAnsi="Arial" w:cs="Arial"/>
          <w:sz w:val="26"/>
          <w:szCs w:val="26"/>
        </w:rPr>
        <w:t>el desarchivo de la</w:t>
      </w:r>
      <w:r w:rsidR="00203126">
        <w:rPr>
          <w:rFonts w:ascii="Arial" w:hAnsi="Arial" w:cs="Arial"/>
          <w:sz w:val="26"/>
          <w:szCs w:val="26"/>
        </w:rPr>
        <w:t>s</w:t>
      </w:r>
      <w:r w:rsidR="00A363D4">
        <w:rPr>
          <w:rFonts w:ascii="Arial" w:hAnsi="Arial" w:cs="Arial"/>
          <w:sz w:val="26"/>
          <w:szCs w:val="26"/>
        </w:rPr>
        <w:t xml:space="preserve"> referida</w:t>
      </w:r>
      <w:r w:rsidR="00203126">
        <w:rPr>
          <w:rFonts w:ascii="Arial" w:hAnsi="Arial" w:cs="Arial"/>
          <w:sz w:val="26"/>
          <w:szCs w:val="26"/>
        </w:rPr>
        <w:t>s accio</w:t>
      </w:r>
      <w:r w:rsidR="00437B37">
        <w:rPr>
          <w:rFonts w:ascii="Arial" w:hAnsi="Arial" w:cs="Arial"/>
          <w:sz w:val="26"/>
          <w:szCs w:val="26"/>
        </w:rPr>
        <w:t>n</w:t>
      </w:r>
      <w:r w:rsidR="00203126">
        <w:rPr>
          <w:rFonts w:ascii="Arial" w:hAnsi="Arial" w:cs="Arial"/>
          <w:sz w:val="26"/>
          <w:szCs w:val="26"/>
        </w:rPr>
        <w:t>es</w:t>
      </w:r>
      <w:r w:rsidR="00437B37">
        <w:rPr>
          <w:rFonts w:ascii="Arial" w:hAnsi="Arial" w:cs="Arial"/>
          <w:sz w:val="26"/>
          <w:szCs w:val="26"/>
        </w:rPr>
        <w:t xml:space="preserve"> popular</w:t>
      </w:r>
      <w:r w:rsidR="00203126">
        <w:rPr>
          <w:rFonts w:ascii="Arial" w:hAnsi="Arial" w:cs="Arial"/>
          <w:sz w:val="26"/>
          <w:szCs w:val="26"/>
        </w:rPr>
        <w:t>es</w:t>
      </w:r>
      <w:r w:rsidR="006F2871">
        <w:rPr>
          <w:rFonts w:ascii="Arial" w:hAnsi="Arial" w:cs="Arial"/>
          <w:sz w:val="26"/>
          <w:szCs w:val="26"/>
        </w:rPr>
        <w:t xml:space="preserve">; y (ii) al Procurador Delegado que pruebe </w:t>
      </w:r>
      <w:r w:rsidR="00437B37">
        <w:rPr>
          <w:rFonts w:ascii="Arial" w:hAnsi="Arial" w:cs="Arial"/>
          <w:sz w:val="26"/>
          <w:szCs w:val="26"/>
        </w:rPr>
        <w:t>cómo protege las garantías procesales del actor popular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w:t>
      </w:r>
      <w:r w:rsidR="0015441D">
        <w:rPr>
          <w:rFonts w:ascii="Arial" w:hAnsi="Arial" w:cs="Arial"/>
          <w:sz w:val="26"/>
          <w:szCs w:val="26"/>
          <w:lang w:val="es-ES"/>
        </w:rPr>
        <w:t>s</w:t>
      </w:r>
      <w:r w:rsidR="006F2871">
        <w:rPr>
          <w:rFonts w:ascii="Arial" w:hAnsi="Arial" w:cs="Arial"/>
          <w:sz w:val="26"/>
          <w:szCs w:val="26"/>
          <w:lang w:val="es-ES"/>
        </w:rPr>
        <w:t xml:space="preserve"> referida</w:t>
      </w:r>
      <w:r w:rsidR="0015441D">
        <w:rPr>
          <w:rFonts w:ascii="Arial" w:hAnsi="Arial" w:cs="Arial"/>
          <w:sz w:val="26"/>
          <w:szCs w:val="26"/>
          <w:lang w:val="es-ES"/>
        </w:rPr>
        <w:t>s</w:t>
      </w:r>
      <w:r w:rsidR="006F2871">
        <w:rPr>
          <w:rFonts w:ascii="Arial" w:hAnsi="Arial" w:cs="Arial"/>
          <w:sz w:val="26"/>
          <w:szCs w:val="26"/>
          <w:lang w:val="es-ES"/>
        </w:rPr>
        <w:t xml:space="preserve"> demanda</w:t>
      </w:r>
      <w:r w:rsidR="0015441D">
        <w:rPr>
          <w:rFonts w:ascii="Arial" w:hAnsi="Arial" w:cs="Arial"/>
          <w:sz w:val="26"/>
          <w:szCs w:val="26"/>
          <w:lang w:val="es-ES"/>
        </w:rPr>
        <w:t>s</w:t>
      </w:r>
      <w:r w:rsidR="006F2871">
        <w:rPr>
          <w:rFonts w:ascii="Arial" w:hAnsi="Arial" w:cs="Arial"/>
          <w:sz w:val="26"/>
          <w:szCs w:val="26"/>
          <w:lang w:val="es-ES"/>
        </w:rPr>
        <w:t>.</w:t>
      </w:r>
      <w:r w:rsidR="006D4466">
        <w:rPr>
          <w:rFonts w:ascii="Arial" w:hAnsi="Arial" w:cs="Arial"/>
          <w:sz w:val="26"/>
          <w:szCs w:val="26"/>
          <w:lang w:val="es-ES"/>
        </w:rPr>
        <w:t xml:space="preserve"> </w:t>
      </w:r>
      <w:r w:rsidR="006D4466" w:rsidRPr="00413A6D">
        <w:rPr>
          <w:rFonts w:ascii="Arial" w:hAnsi="Arial" w:cs="Arial"/>
          <w:sz w:val="26"/>
          <w:szCs w:val="26"/>
          <w:lang w:val="es-ES"/>
        </w:rPr>
        <w:t xml:space="preserve">Posteriormente se </w:t>
      </w:r>
      <w:r w:rsidR="006D4466">
        <w:rPr>
          <w:rFonts w:ascii="Arial" w:hAnsi="Arial" w:cs="Arial"/>
          <w:sz w:val="26"/>
          <w:szCs w:val="26"/>
          <w:lang w:val="es-ES"/>
        </w:rPr>
        <w:t>vinculó a</w:t>
      </w:r>
      <w:r w:rsidR="003527FA">
        <w:rPr>
          <w:rFonts w:ascii="Arial" w:hAnsi="Arial" w:cs="Arial"/>
          <w:sz w:val="26"/>
          <w:szCs w:val="26"/>
          <w:lang w:val="es-ES"/>
        </w:rPr>
        <w:t xml:space="preserve"> </w:t>
      </w:r>
      <w:r w:rsidR="00ED5675" w:rsidRPr="00203126">
        <w:rPr>
          <w:rFonts w:ascii="Arial" w:hAnsi="Arial" w:cs="Arial"/>
          <w:szCs w:val="26"/>
          <w:lang w:val="es-ES" w:eastAsia="es-ES"/>
        </w:rPr>
        <w:t xml:space="preserve">SALUD TOTAL EPS SA </w:t>
      </w:r>
      <w:r w:rsidR="00ED5675">
        <w:rPr>
          <w:rFonts w:ascii="Arial" w:hAnsi="Arial" w:cs="Arial"/>
          <w:sz w:val="26"/>
          <w:szCs w:val="26"/>
          <w:lang w:val="es-ES" w:eastAsia="es-ES"/>
        </w:rPr>
        <w:t xml:space="preserve">y el </w:t>
      </w:r>
      <w:r w:rsidR="00ED5675" w:rsidRPr="009A3A85">
        <w:rPr>
          <w:rFonts w:ascii="Arial" w:hAnsi="Arial" w:cs="Arial"/>
          <w:szCs w:val="26"/>
          <w:lang w:val="es-ES" w:eastAsia="es-ES"/>
        </w:rPr>
        <w:t>BANCO DAVIVIENDA</w:t>
      </w:r>
      <w:r w:rsidR="006D4466" w:rsidRPr="00413A6D">
        <w:rPr>
          <w:rFonts w:ascii="Arial" w:hAnsi="Arial" w:cs="Arial"/>
          <w:sz w:val="26"/>
          <w:szCs w:val="26"/>
          <w:lang w:val="es-ES"/>
        </w:rPr>
        <w:t>, parte</w:t>
      </w:r>
      <w:r w:rsidR="0015441D">
        <w:rPr>
          <w:rFonts w:ascii="Arial" w:hAnsi="Arial" w:cs="Arial"/>
          <w:sz w:val="26"/>
          <w:szCs w:val="26"/>
          <w:lang w:val="es-ES"/>
        </w:rPr>
        <w:t>s</w:t>
      </w:r>
      <w:r w:rsidR="006D4466" w:rsidRPr="00413A6D">
        <w:rPr>
          <w:rFonts w:ascii="Arial" w:hAnsi="Arial" w:cs="Arial"/>
          <w:sz w:val="26"/>
          <w:szCs w:val="26"/>
          <w:lang w:val="es-ES"/>
        </w:rPr>
        <w:t xml:space="preserve"> demandada</w:t>
      </w:r>
      <w:r w:rsidR="0015441D">
        <w:rPr>
          <w:rFonts w:ascii="Arial" w:hAnsi="Arial" w:cs="Arial"/>
          <w:sz w:val="26"/>
          <w:szCs w:val="26"/>
          <w:lang w:val="es-ES"/>
        </w:rPr>
        <w:t>s</w:t>
      </w:r>
      <w:r w:rsidR="006D4466" w:rsidRPr="00413A6D">
        <w:rPr>
          <w:rFonts w:ascii="Arial" w:hAnsi="Arial" w:cs="Arial"/>
          <w:sz w:val="26"/>
          <w:szCs w:val="26"/>
          <w:lang w:val="es-ES"/>
        </w:rPr>
        <w:t xml:space="preserve"> en la</w:t>
      </w:r>
      <w:r w:rsidR="0015441D">
        <w:rPr>
          <w:rFonts w:ascii="Arial" w:hAnsi="Arial" w:cs="Arial"/>
          <w:sz w:val="26"/>
          <w:szCs w:val="26"/>
          <w:lang w:val="es-ES"/>
        </w:rPr>
        <w:t>s accio</w:t>
      </w:r>
      <w:r w:rsidR="006D4466" w:rsidRPr="00413A6D">
        <w:rPr>
          <w:rFonts w:ascii="Arial" w:hAnsi="Arial" w:cs="Arial"/>
          <w:sz w:val="26"/>
          <w:szCs w:val="26"/>
          <w:lang w:val="es-ES"/>
        </w:rPr>
        <w:t>n</w:t>
      </w:r>
      <w:r w:rsidR="0015441D">
        <w:rPr>
          <w:rFonts w:ascii="Arial" w:hAnsi="Arial" w:cs="Arial"/>
          <w:sz w:val="26"/>
          <w:szCs w:val="26"/>
          <w:lang w:val="es-ES"/>
        </w:rPr>
        <w:t>es</w:t>
      </w:r>
      <w:r w:rsidR="006D4466" w:rsidRPr="00413A6D">
        <w:rPr>
          <w:rFonts w:ascii="Arial" w:hAnsi="Arial" w:cs="Arial"/>
          <w:sz w:val="26"/>
          <w:szCs w:val="26"/>
          <w:lang w:val="es-ES"/>
        </w:rPr>
        <w:t xml:space="preserve"> p</w:t>
      </w:r>
      <w:r w:rsidR="006D4466">
        <w:rPr>
          <w:rFonts w:ascii="Arial" w:hAnsi="Arial" w:cs="Arial"/>
          <w:sz w:val="26"/>
          <w:szCs w:val="26"/>
          <w:lang w:val="es-ES"/>
        </w:rPr>
        <w:t>opular</w:t>
      </w:r>
      <w:r w:rsidR="0015441D">
        <w:rPr>
          <w:rFonts w:ascii="Arial" w:hAnsi="Arial" w:cs="Arial"/>
          <w:sz w:val="26"/>
          <w:szCs w:val="26"/>
          <w:lang w:val="es-ES"/>
        </w:rPr>
        <w:t>es</w:t>
      </w:r>
      <w:r w:rsidR="006D4466">
        <w:rPr>
          <w:rFonts w:ascii="Arial" w:hAnsi="Arial" w:cs="Arial"/>
          <w:sz w:val="26"/>
          <w:szCs w:val="26"/>
          <w:lang w:val="es-ES"/>
        </w:rPr>
        <w:t xml:space="preserve"> objeto de queja (fl</w:t>
      </w:r>
      <w:r w:rsidR="0015441D">
        <w:rPr>
          <w:rFonts w:ascii="Arial" w:hAnsi="Arial" w:cs="Arial"/>
          <w:sz w:val="26"/>
          <w:szCs w:val="26"/>
          <w:lang w:val="es-ES"/>
        </w:rPr>
        <w:t>s. 20-21</w:t>
      </w:r>
      <w:r w:rsidR="006D4466">
        <w:rPr>
          <w:rFonts w:ascii="Arial" w:hAnsi="Arial" w:cs="Arial"/>
          <w:sz w:val="26"/>
          <w:szCs w:val="26"/>
          <w:lang w:val="es-ES"/>
        </w:rPr>
        <w:t>)</w:t>
      </w:r>
      <w:r w:rsidR="006D4466">
        <w:rPr>
          <w:rFonts w:ascii="Arial" w:hAnsi="Arial" w:cs="Arial"/>
          <w:sz w:val="26"/>
          <w:szCs w:val="26"/>
          <w:lang w:val="es-ES_tradnl"/>
        </w:rPr>
        <w:t>.</w:t>
      </w: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766809">
        <w:rPr>
          <w:rFonts w:ascii="Arial" w:hAnsi="Arial" w:cs="Arial"/>
          <w:sz w:val="24"/>
          <w:szCs w:val="24"/>
          <w:lang w:val="es-ES"/>
        </w:rPr>
        <w:t>1</w:t>
      </w:r>
      <w:r>
        <w:rPr>
          <w:rFonts w:ascii="Arial" w:hAnsi="Arial" w:cs="Arial"/>
          <w:sz w:val="24"/>
          <w:szCs w:val="24"/>
          <w:lang w:val="es-ES"/>
        </w:rPr>
        <w:t>1</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766809" w:rsidRPr="00F0613A" w:rsidRDefault="00766809" w:rsidP="0076680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Pr>
          <w:rFonts w:ascii="Arial" w:hAnsi="Arial" w:cs="Arial"/>
          <w:sz w:val="26"/>
          <w:szCs w:val="26"/>
          <w:lang w:val="es-ES"/>
        </w:rPr>
        <w:t>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 xml:space="preserve">la falta de legitimación en </w:t>
      </w:r>
      <w:r w:rsidRPr="00273CD0">
        <w:rPr>
          <w:rFonts w:ascii="Arial" w:hAnsi="Arial" w:cs="Arial"/>
          <w:sz w:val="26"/>
          <w:szCs w:val="26"/>
          <w:lang w:val="es-ES"/>
        </w:rPr>
        <w:lastRenderedPageBreak/>
        <w:t>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(fls. 22-23</w:t>
      </w:r>
      <w:r w:rsidRPr="00F0613A">
        <w:rPr>
          <w:rFonts w:ascii="Arial" w:hAnsi="Arial" w:cs="Arial"/>
          <w:sz w:val="26"/>
          <w:szCs w:val="26"/>
          <w:lang w:val="es-ES"/>
        </w:rPr>
        <w:t>).</w:t>
      </w:r>
    </w:p>
    <w:p w:rsidR="00766809" w:rsidRDefault="00766809" w:rsidP="00766809">
      <w:pPr>
        <w:pStyle w:val="Sinespaciado1"/>
        <w:spacing w:line="360" w:lineRule="auto"/>
        <w:ind w:firstLine="2832"/>
        <w:jc w:val="both"/>
        <w:rPr>
          <w:rFonts w:ascii="Arial" w:hAnsi="Arial" w:cs="Arial"/>
          <w:sz w:val="16"/>
          <w:szCs w:val="26"/>
          <w:lang w:val="es-ES"/>
        </w:rPr>
      </w:pPr>
    </w:p>
    <w:p w:rsidR="00766809" w:rsidRPr="008553CE" w:rsidRDefault="00766809" w:rsidP="0076680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algunas actuaciones surtidas dentro de las mentadas acciones populares. (fls. 15-19</w:t>
      </w:r>
      <w:r w:rsidRPr="00AF5C8C">
        <w:rPr>
          <w:rFonts w:ascii="Arial" w:hAnsi="Arial" w:cs="Arial"/>
          <w:sz w:val="26"/>
          <w:szCs w:val="26"/>
          <w:lang w:val="es-ES"/>
        </w:rPr>
        <w:t>).</w:t>
      </w:r>
    </w:p>
    <w:p w:rsidR="00766809" w:rsidRPr="000905F6" w:rsidRDefault="00766809" w:rsidP="00766809">
      <w:pPr>
        <w:pStyle w:val="Sinespaciado1"/>
        <w:spacing w:line="360" w:lineRule="auto"/>
        <w:ind w:firstLine="2832"/>
        <w:jc w:val="both"/>
        <w:rPr>
          <w:rFonts w:ascii="Arial" w:hAnsi="Arial" w:cs="Arial"/>
          <w:sz w:val="16"/>
          <w:szCs w:val="26"/>
          <w:lang w:val="es-ES"/>
        </w:rPr>
      </w:pPr>
    </w:p>
    <w:p w:rsidR="00AE243A" w:rsidRPr="000905F6" w:rsidRDefault="00766809" w:rsidP="00766809">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A3179D" w:rsidRPr="00E60C1D" w:rsidRDefault="00A3179D" w:rsidP="00AE243A">
      <w:pPr>
        <w:pStyle w:val="Sinespaciado1"/>
        <w:spacing w:line="360" w:lineRule="auto"/>
        <w:ind w:firstLine="2835"/>
        <w:jc w:val="both"/>
        <w:rPr>
          <w:rFonts w:ascii="Arial" w:hAnsi="Arial" w:cs="Arial"/>
          <w:sz w:val="16"/>
          <w:szCs w:val="16"/>
          <w:highlight w:val="cyan"/>
          <w:lang w:val="es-ES"/>
        </w:rPr>
      </w:pPr>
    </w:p>
    <w:p w:rsidR="001F3B6A" w:rsidRDefault="00E60C1D" w:rsidP="00E60C1D">
      <w:pPr>
        <w:pStyle w:val="Sinespaciado1"/>
        <w:spacing w:line="360" w:lineRule="auto"/>
        <w:ind w:firstLine="2835"/>
        <w:jc w:val="both"/>
        <w:rPr>
          <w:rFonts w:ascii="Arial" w:hAnsi="Arial" w:cs="Arial"/>
          <w:spacing w:val="-3"/>
          <w:sz w:val="26"/>
          <w:szCs w:val="26"/>
        </w:rPr>
      </w:pPr>
      <w:r w:rsidRPr="00E60C1D">
        <w:rPr>
          <w:rFonts w:ascii="Arial" w:hAnsi="Arial" w:cs="Arial"/>
          <w:spacing w:val="-3"/>
          <w:sz w:val="26"/>
          <w:szCs w:val="26"/>
        </w:rPr>
        <w:t xml:space="preserve">5. </w:t>
      </w:r>
      <w:r>
        <w:rPr>
          <w:rFonts w:ascii="Arial" w:hAnsi="Arial" w:cs="Arial"/>
          <w:spacing w:val="-3"/>
          <w:sz w:val="26"/>
          <w:szCs w:val="26"/>
        </w:rPr>
        <w:t>S</w:t>
      </w:r>
      <w:r w:rsidRPr="00E60C1D">
        <w:rPr>
          <w:rFonts w:ascii="Arial" w:hAnsi="Arial" w:cs="Arial"/>
          <w:spacing w:val="-3"/>
          <w:sz w:val="26"/>
          <w:szCs w:val="26"/>
        </w:rPr>
        <w:t xml:space="preserve">e decretó como prueba de oficio </w:t>
      </w:r>
      <w:r>
        <w:rPr>
          <w:rFonts w:ascii="Arial" w:hAnsi="Arial" w:cs="Arial"/>
          <w:spacing w:val="-3"/>
          <w:sz w:val="26"/>
          <w:szCs w:val="26"/>
        </w:rPr>
        <w:t>allegar</w:t>
      </w:r>
      <w:r w:rsidRPr="00E60C1D">
        <w:rPr>
          <w:rFonts w:ascii="Arial" w:hAnsi="Arial" w:cs="Arial"/>
          <w:spacing w:val="-3"/>
          <w:sz w:val="26"/>
          <w:szCs w:val="26"/>
        </w:rPr>
        <w:t xml:space="preserve"> </w:t>
      </w:r>
      <w:r w:rsidRPr="00D74FF8">
        <w:rPr>
          <w:rFonts w:ascii="Arial" w:hAnsi="Arial" w:cs="Arial"/>
          <w:spacing w:val="-3"/>
          <w:sz w:val="26"/>
          <w:szCs w:val="26"/>
        </w:rPr>
        <w:t>copias</w:t>
      </w:r>
      <w:r>
        <w:rPr>
          <w:rFonts w:ascii="Arial" w:hAnsi="Arial" w:cs="Arial"/>
          <w:spacing w:val="-3"/>
          <w:sz w:val="26"/>
          <w:szCs w:val="26"/>
        </w:rPr>
        <w:t xml:space="preserve"> </w:t>
      </w:r>
      <w:r w:rsidRPr="00DE07C1">
        <w:rPr>
          <w:rFonts w:ascii="Arial" w:hAnsi="Arial" w:cs="Arial"/>
          <w:spacing w:val="-3"/>
          <w:sz w:val="26"/>
          <w:szCs w:val="26"/>
        </w:rPr>
        <w:t>de las demandas presentadas ante esta misma Sala con radica</w:t>
      </w:r>
      <w:r>
        <w:rPr>
          <w:rFonts w:ascii="Arial" w:hAnsi="Arial" w:cs="Arial"/>
          <w:spacing w:val="-3"/>
          <w:sz w:val="26"/>
          <w:szCs w:val="26"/>
        </w:rPr>
        <w:t>dos</w:t>
      </w:r>
      <w:r w:rsidRPr="00DE07C1">
        <w:rPr>
          <w:rFonts w:ascii="Arial" w:hAnsi="Arial" w:cs="Arial"/>
          <w:spacing w:val="-3"/>
          <w:sz w:val="26"/>
          <w:szCs w:val="26"/>
        </w:rPr>
        <w:t xml:space="preserve"> 66001-22-13-000-2017-0043</w:t>
      </w:r>
      <w:r>
        <w:rPr>
          <w:rFonts w:ascii="Arial" w:hAnsi="Arial" w:cs="Arial"/>
          <w:spacing w:val="-3"/>
          <w:sz w:val="26"/>
          <w:szCs w:val="26"/>
        </w:rPr>
        <w:t>4</w:t>
      </w:r>
      <w:r w:rsidRPr="00DE07C1">
        <w:rPr>
          <w:rFonts w:ascii="Arial" w:hAnsi="Arial" w:cs="Arial"/>
          <w:spacing w:val="-3"/>
          <w:sz w:val="26"/>
          <w:szCs w:val="26"/>
        </w:rPr>
        <w:t>-00 y 66001-22-13-000-2017-00436-0</w:t>
      </w:r>
      <w:r>
        <w:rPr>
          <w:rFonts w:ascii="Arial" w:hAnsi="Arial" w:cs="Arial"/>
          <w:spacing w:val="-3"/>
          <w:sz w:val="26"/>
          <w:szCs w:val="26"/>
        </w:rPr>
        <w:t xml:space="preserve">0, </w:t>
      </w:r>
      <w:r w:rsidRPr="00D74FF8">
        <w:rPr>
          <w:rFonts w:ascii="Arial" w:hAnsi="Arial" w:cs="Arial"/>
          <w:spacing w:val="-3"/>
          <w:sz w:val="26"/>
          <w:szCs w:val="26"/>
        </w:rPr>
        <w:t xml:space="preserve">y </w:t>
      </w:r>
      <w:r w:rsidRPr="00E60C1D">
        <w:rPr>
          <w:rFonts w:ascii="Arial" w:hAnsi="Arial" w:cs="Arial"/>
          <w:spacing w:val="-3"/>
          <w:sz w:val="26"/>
          <w:szCs w:val="26"/>
        </w:rPr>
        <w:t>constancia sobre el estado de dichas actuaciones (f</w:t>
      </w:r>
      <w:r>
        <w:rPr>
          <w:rFonts w:ascii="Arial" w:hAnsi="Arial" w:cs="Arial"/>
          <w:spacing w:val="-3"/>
          <w:sz w:val="26"/>
          <w:szCs w:val="26"/>
        </w:rPr>
        <w:t>ls</w:t>
      </w:r>
      <w:r w:rsidRPr="00E60C1D">
        <w:rPr>
          <w:rFonts w:ascii="Arial" w:hAnsi="Arial" w:cs="Arial"/>
          <w:spacing w:val="-3"/>
          <w:sz w:val="26"/>
          <w:szCs w:val="26"/>
        </w:rPr>
        <w:t xml:space="preserve">. </w:t>
      </w:r>
      <w:r>
        <w:rPr>
          <w:rFonts w:ascii="Arial" w:hAnsi="Arial" w:cs="Arial"/>
          <w:spacing w:val="-3"/>
          <w:sz w:val="26"/>
          <w:szCs w:val="26"/>
        </w:rPr>
        <w:t>29-</w:t>
      </w:r>
      <w:r w:rsidRPr="00E60C1D">
        <w:rPr>
          <w:rFonts w:ascii="Arial" w:hAnsi="Arial" w:cs="Arial"/>
          <w:spacing w:val="-3"/>
          <w:sz w:val="26"/>
          <w:szCs w:val="26"/>
        </w:rPr>
        <w:t>3</w:t>
      </w:r>
      <w:r>
        <w:rPr>
          <w:rFonts w:ascii="Arial" w:hAnsi="Arial" w:cs="Arial"/>
          <w:spacing w:val="-3"/>
          <w:sz w:val="26"/>
          <w:szCs w:val="26"/>
        </w:rPr>
        <w:t>7</w:t>
      </w:r>
      <w:r w:rsidRPr="00E60C1D">
        <w:rPr>
          <w:rFonts w:ascii="Arial" w:hAnsi="Arial" w:cs="Arial"/>
          <w:spacing w:val="-3"/>
          <w:sz w:val="26"/>
          <w:szCs w:val="26"/>
        </w:rPr>
        <w:t>).</w:t>
      </w:r>
    </w:p>
    <w:p w:rsidR="00E60C1D" w:rsidRPr="00E60C1D" w:rsidRDefault="00E60C1D" w:rsidP="00E60C1D">
      <w:pPr>
        <w:pStyle w:val="Sinespaciado1"/>
        <w:spacing w:line="360" w:lineRule="auto"/>
        <w:ind w:firstLine="2835"/>
        <w:jc w:val="both"/>
        <w:rPr>
          <w:rFonts w:ascii="Arial" w:hAnsi="Arial" w:cs="Arial"/>
          <w:spacing w:val="-3"/>
          <w:szCs w:val="2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D5675">
        <w:rPr>
          <w:rFonts w:ascii="Arial" w:hAnsi="Arial" w:cs="Arial"/>
          <w:sz w:val="26"/>
          <w:szCs w:val="26"/>
        </w:rPr>
        <w:t>s</w:t>
      </w:r>
      <w:r>
        <w:rPr>
          <w:rFonts w:ascii="Arial" w:hAnsi="Arial" w:cs="Arial"/>
          <w:sz w:val="26"/>
          <w:szCs w:val="26"/>
        </w:rPr>
        <w:t xml:space="preserve"> tutela</w:t>
      </w:r>
      <w:r w:rsidR="00ED5675">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w:t>
      </w:r>
      <w:r w:rsidR="00ED5675" w:rsidRPr="00E13BB5">
        <w:rPr>
          <w:rFonts w:ascii="Arial" w:hAnsi="Arial" w:cs="Arial"/>
          <w:sz w:val="26"/>
          <w:szCs w:val="26"/>
          <w:lang w:val="es-ES" w:eastAsia="es-ES"/>
        </w:rPr>
        <w:t>la</w:t>
      </w:r>
      <w:r w:rsidR="00ED5675">
        <w:rPr>
          <w:rFonts w:ascii="Arial" w:hAnsi="Arial" w:cs="Arial"/>
          <w:sz w:val="26"/>
          <w:szCs w:val="26"/>
          <w:lang w:val="es-ES" w:eastAsia="es-ES"/>
        </w:rPr>
        <w:t>s accio</w:t>
      </w:r>
      <w:r w:rsidR="00ED5675" w:rsidRPr="00E13BB5">
        <w:rPr>
          <w:rFonts w:ascii="Arial" w:hAnsi="Arial" w:cs="Arial"/>
          <w:sz w:val="26"/>
          <w:szCs w:val="26"/>
          <w:lang w:val="es-ES" w:eastAsia="es-ES"/>
        </w:rPr>
        <w:t>n</w:t>
      </w:r>
      <w:r w:rsidR="00ED5675">
        <w:rPr>
          <w:rFonts w:ascii="Arial" w:hAnsi="Arial" w:cs="Arial"/>
          <w:sz w:val="26"/>
          <w:szCs w:val="26"/>
          <w:lang w:val="es-ES" w:eastAsia="es-ES"/>
        </w:rPr>
        <w:t>es</w:t>
      </w:r>
      <w:r w:rsidR="00ED5675" w:rsidRPr="00E13BB5">
        <w:rPr>
          <w:rFonts w:ascii="Arial" w:hAnsi="Arial" w:cs="Arial"/>
          <w:sz w:val="26"/>
          <w:szCs w:val="26"/>
          <w:lang w:val="es-ES" w:eastAsia="es-ES"/>
        </w:rPr>
        <w:t xml:space="preserve"> popular</w:t>
      </w:r>
      <w:r w:rsidR="00ED5675">
        <w:rPr>
          <w:rFonts w:ascii="Arial" w:hAnsi="Arial" w:cs="Arial"/>
          <w:sz w:val="26"/>
          <w:szCs w:val="26"/>
          <w:lang w:val="es-ES" w:eastAsia="es-ES"/>
        </w:rPr>
        <w:t>es</w:t>
      </w:r>
      <w:r w:rsidR="00ED5675" w:rsidRPr="00E13BB5">
        <w:rPr>
          <w:rFonts w:ascii="Arial" w:hAnsi="Arial" w:cs="Arial"/>
          <w:sz w:val="26"/>
          <w:szCs w:val="26"/>
          <w:lang w:val="es-ES" w:eastAsia="es-ES"/>
        </w:rPr>
        <w:t xml:space="preserve"> radicada</w:t>
      </w:r>
      <w:r w:rsidR="00ED5675">
        <w:rPr>
          <w:rFonts w:ascii="Arial" w:hAnsi="Arial" w:cs="Arial"/>
          <w:sz w:val="26"/>
          <w:szCs w:val="26"/>
          <w:lang w:val="es-ES" w:eastAsia="es-ES"/>
        </w:rPr>
        <w:t>s</w:t>
      </w:r>
      <w:r w:rsidR="00ED5675" w:rsidRPr="00E13BB5">
        <w:rPr>
          <w:rFonts w:ascii="Arial" w:hAnsi="Arial" w:cs="Arial"/>
          <w:sz w:val="26"/>
          <w:szCs w:val="26"/>
          <w:lang w:val="es-ES" w:eastAsia="es-ES"/>
        </w:rPr>
        <w:t xml:space="preserve"> bajo l</w:t>
      </w:r>
      <w:r w:rsidR="00ED5675">
        <w:rPr>
          <w:rFonts w:ascii="Arial" w:hAnsi="Arial" w:cs="Arial"/>
          <w:sz w:val="26"/>
          <w:szCs w:val="26"/>
          <w:lang w:val="es-ES" w:eastAsia="es-ES"/>
        </w:rPr>
        <w:t>os</w:t>
      </w:r>
      <w:r w:rsidR="00ED5675" w:rsidRPr="00E13BB5">
        <w:rPr>
          <w:rFonts w:ascii="Arial" w:hAnsi="Arial" w:cs="Arial"/>
          <w:sz w:val="26"/>
          <w:szCs w:val="26"/>
          <w:lang w:val="es-ES" w:eastAsia="es-ES"/>
        </w:rPr>
        <w:t xml:space="preserve"> número</w:t>
      </w:r>
      <w:r w:rsidR="00ED5675">
        <w:rPr>
          <w:rFonts w:ascii="Arial" w:hAnsi="Arial" w:cs="Arial"/>
          <w:sz w:val="26"/>
          <w:szCs w:val="26"/>
          <w:lang w:val="es-ES" w:eastAsia="es-ES"/>
        </w:rPr>
        <w:t>s</w:t>
      </w:r>
      <w:r w:rsidR="00ED5675" w:rsidRPr="00E13BB5">
        <w:rPr>
          <w:rFonts w:ascii="Arial" w:hAnsi="Arial" w:cs="Arial"/>
          <w:sz w:val="26"/>
          <w:szCs w:val="26"/>
          <w:lang w:val="es-ES" w:eastAsia="es-ES"/>
        </w:rPr>
        <w:t xml:space="preserve"> 201</w:t>
      </w:r>
      <w:r w:rsidR="00ED5675">
        <w:rPr>
          <w:rFonts w:ascii="Arial" w:hAnsi="Arial" w:cs="Arial"/>
          <w:sz w:val="26"/>
          <w:szCs w:val="26"/>
          <w:lang w:val="es-ES" w:eastAsia="es-ES"/>
        </w:rPr>
        <w:t>4</w:t>
      </w:r>
      <w:r w:rsidR="00ED5675" w:rsidRPr="00E13BB5">
        <w:rPr>
          <w:rFonts w:ascii="Arial" w:hAnsi="Arial" w:cs="Arial"/>
          <w:sz w:val="26"/>
          <w:szCs w:val="26"/>
          <w:lang w:val="es-ES" w:eastAsia="es-ES"/>
        </w:rPr>
        <w:t>-0</w:t>
      </w:r>
      <w:r w:rsidR="00ED5675">
        <w:rPr>
          <w:rFonts w:ascii="Arial" w:hAnsi="Arial" w:cs="Arial"/>
          <w:sz w:val="26"/>
          <w:szCs w:val="26"/>
          <w:lang w:val="es-ES" w:eastAsia="es-ES"/>
        </w:rPr>
        <w:t>0</w:t>
      </w:r>
      <w:r w:rsidR="00ED5675">
        <w:rPr>
          <w:rFonts w:ascii="Arial" w:hAnsi="Arial" w:cs="Arial"/>
          <w:b/>
          <w:sz w:val="26"/>
          <w:szCs w:val="26"/>
          <w:lang w:val="es-ES" w:eastAsia="es-ES"/>
        </w:rPr>
        <w:t xml:space="preserve">162 </w:t>
      </w:r>
      <w:r w:rsidR="00ED5675" w:rsidRPr="00203126">
        <w:rPr>
          <w:rFonts w:ascii="Arial" w:hAnsi="Arial" w:cs="Arial"/>
          <w:sz w:val="26"/>
          <w:szCs w:val="26"/>
          <w:lang w:val="es-ES" w:eastAsia="es-ES"/>
        </w:rPr>
        <w:t>y</w:t>
      </w:r>
      <w:r w:rsidR="00ED5675">
        <w:rPr>
          <w:rFonts w:ascii="Arial" w:hAnsi="Arial" w:cs="Arial"/>
          <w:sz w:val="26"/>
          <w:szCs w:val="26"/>
          <w:lang w:val="es-ES" w:eastAsia="es-ES"/>
        </w:rPr>
        <w:t xml:space="preserve"> </w:t>
      </w:r>
      <w:r w:rsidR="00ED5675" w:rsidRPr="00E13BB5">
        <w:rPr>
          <w:rFonts w:ascii="Arial" w:hAnsi="Arial" w:cs="Arial"/>
          <w:sz w:val="26"/>
          <w:szCs w:val="26"/>
          <w:lang w:val="es-ES" w:eastAsia="es-ES"/>
        </w:rPr>
        <w:t>201</w:t>
      </w:r>
      <w:r w:rsidR="00ED5675">
        <w:rPr>
          <w:rFonts w:ascii="Arial" w:hAnsi="Arial" w:cs="Arial"/>
          <w:sz w:val="26"/>
          <w:szCs w:val="26"/>
          <w:lang w:val="es-ES" w:eastAsia="es-ES"/>
        </w:rPr>
        <w:t>4</w:t>
      </w:r>
      <w:r w:rsidR="00ED5675" w:rsidRPr="00E13BB5">
        <w:rPr>
          <w:rFonts w:ascii="Arial" w:hAnsi="Arial" w:cs="Arial"/>
          <w:sz w:val="26"/>
          <w:szCs w:val="26"/>
          <w:lang w:val="es-ES" w:eastAsia="es-ES"/>
        </w:rPr>
        <w:t>-0</w:t>
      </w:r>
      <w:r w:rsidR="00ED5675">
        <w:rPr>
          <w:rFonts w:ascii="Arial" w:hAnsi="Arial" w:cs="Arial"/>
          <w:sz w:val="26"/>
          <w:szCs w:val="26"/>
          <w:lang w:val="es-ES" w:eastAsia="es-ES"/>
        </w:rPr>
        <w:t>0</w:t>
      </w:r>
      <w:r w:rsidR="00ED5675">
        <w:rPr>
          <w:rFonts w:ascii="Arial" w:hAnsi="Arial" w:cs="Arial"/>
          <w:b/>
          <w:sz w:val="26"/>
          <w:szCs w:val="26"/>
          <w:lang w:val="es-ES" w:eastAsia="es-ES"/>
        </w:rPr>
        <w:t>145</w:t>
      </w:r>
      <w:r>
        <w:rPr>
          <w:rFonts w:ascii="Arial" w:hAnsi="Arial" w:cs="Arial"/>
          <w:sz w:val="26"/>
          <w:szCs w:val="26"/>
        </w:rPr>
        <w:t xml:space="preserve">, </w:t>
      </w:r>
      <w:r w:rsidR="00A660B9">
        <w:rPr>
          <w:rFonts w:ascii="Arial" w:hAnsi="Arial" w:cs="Arial"/>
          <w:sz w:val="26"/>
          <w:szCs w:val="26"/>
        </w:rPr>
        <w:t xml:space="preserve">que amerite la injerencia del juez Constitucional, </w:t>
      </w:r>
      <w:r w:rsidR="00565424">
        <w:rPr>
          <w:rFonts w:ascii="Arial" w:hAnsi="Arial" w:cs="Arial"/>
          <w:sz w:val="26"/>
          <w:szCs w:val="26"/>
        </w:rPr>
        <w:t>al negarse a desarchivar</w:t>
      </w:r>
      <w:r w:rsidR="00ED5675">
        <w:rPr>
          <w:rFonts w:ascii="Arial" w:hAnsi="Arial" w:cs="Arial"/>
          <w:sz w:val="26"/>
          <w:szCs w:val="26"/>
        </w:rPr>
        <w:t xml:space="preserve"> las mismas </w:t>
      </w:r>
      <w:r w:rsidR="00565424">
        <w:rPr>
          <w:rFonts w:ascii="Arial" w:hAnsi="Arial" w:cs="Arial"/>
          <w:sz w:val="26"/>
          <w:szCs w:val="26"/>
        </w:rPr>
        <w:t xml:space="preserve">y exigirle </w:t>
      </w:r>
      <w:r w:rsidR="00F403DE">
        <w:rPr>
          <w:rFonts w:ascii="Arial" w:hAnsi="Arial" w:cs="Arial"/>
          <w:sz w:val="26"/>
          <w:szCs w:val="26"/>
        </w:rPr>
        <w:t>que pague para proceder de esa manera</w:t>
      </w:r>
      <w:r w:rsidR="00565424">
        <w:rPr>
          <w:rFonts w:ascii="Arial" w:hAnsi="Arial" w:cs="Arial"/>
          <w:spacing w:val="-3"/>
          <w:sz w:val="26"/>
          <w:szCs w:val="26"/>
        </w:rPr>
        <w:t xml:space="preserve">, </w:t>
      </w:r>
      <w:r w:rsidR="00565424">
        <w:rPr>
          <w:rFonts w:ascii="Arial" w:hAnsi="Arial" w:cs="Arial"/>
          <w:sz w:val="26"/>
          <w:szCs w:val="26"/>
        </w:rPr>
        <w:t>como se afirma en la</w:t>
      </w:r>
      <w:r w:rsidR="00ED5675">
        <w:rPr>
          <w:rFonts w:ascii="Arial" w:hAnsi="Arial" w:cs="Arial"/>
          <w:sz w:val="26"/>
          <w:szCs w:val="26"/>
        </w:rPr>
        <w:t>s</w:t>
      </w:r>
      <w:r w:rsidR="00565424">
        <w:rPr>
          <w:rFonts w:ascii="Arial" w:hAnsi="Arial" w:cs="Arial"/>
          <w:sz w:val="26"/>
          <w:szCs w:val="26"/>
        </w:rPr>
        <w:t xml:space="preserve"> demanda</w:t>
      </w:r>
      <w:r w:rsidR="00ED5675">
        <w:rPr>
          <w:rFonts w:ascii="Arial" w:hAnsi="Arial" w:cs="Arial"/>
          <w:sz w:val="26"/>
          <w:szCs w:val="26"/>
        </w:rPr>
        <w:t>s</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8C3749">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094CAB" w:rsidRDefault="00AE243A" w:rsidP="00F403DE">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094CAB">
        <w:rPr>
          <w:rFonts w:ascii="Arial" w:hAnsi="Arial" w:cs="Arial"/>
          <w:sz w:val="26"/>
          <w:szCs w:val="26"/>
        </w:rPr>
        <w:t>32</w:t>
      </w:r>
      <w:r w:rsidR="007D5894" w:rsidRPr="00A64EFC">
        <w:rPr>
          <w:rFonts w:ascii="Arial" w:hAnsi="Arial" w:cs="Arial"/>
          <w:sz w:val="26"/>
          <w:szCs w:val="26"/>
        </w:rPr>
        <w:t xml:space="preserve"> al </w:t>
      </w:r>
      <w:r w:rsidR="00094CAB">
        <w:rPr>
          <w:rFonts w:ascii="Arial" w:hAnsi="Arial" w:cs="Arial"/>
          <w:sz w:val="26"/>
          <w:szCs w:val="26"/>
        </w:rPr>
        <w:t>36</w:t>
      </w:r>
      <w:r>
        <w:rPr>
          <w:rFonts w:ascii="Arial" w:hAnsi="Arial" w:cs="Arial"/>
          <w:sz w:val="26"/>
          <w:szCs w:val="26"/>
        </w:rPr>
        <w:t>,</w:t>
      </w:r>
      <w:r w:rsidRPr="00F779E5">
        <w:rPr>
          <w:rFonts w:ascii="Arial" w:hAnsi="Arial" w:cs="Arial"/>
          <w:sz w:val="26"/>
          <w:szCs w:val="26"/>
        </w:rPr>
        <w:t xml:space="preserve"> </w:t>
      </w:r>
      <w:r w:rsidR="00F403DE">
        <w:rPr>
          <w:rFonts w:ascii="Arial" w:hAnsi="Arial" w:cs="Arial"/>
          <w:sz w:val="26"/>
          <w:szCs w:val="26"/>
        </w:rPr>
        <w:t xml:space="preserve">se evidencia que </w:t>
      </w:r>
      <w:r w:rsidR="00094CAB" w:rsidRPr="00094CAB">
        <w:rPr>
          <w:rFonts w:ascii="Arial" w:hAnsi="Arial" w:cs="Arial"/>
          <w:sz w:val="26"/>
          <w:szCs w:val="26"/>
        </w:rPr>
        <w:t>el señor Javier Elías Arias Idárraga promovió cuatro demandas de tutela,</w:t>
      </w:r>
      <w:r w:rsidR="00094CAB">
        <w:rPr>
          <w:rFonts w:ascii="Arial" w:hAnsi="Arial" w:cs="Arial"/>
          <w:sz w:val="26"/>
          <w:szCs w:val="26"/>
        </w:rPr>
        <w:t xml:space="preserve"> </w:t>
      </w:r>
      <w:r w:rsidR="00094CAB" w:rsidRPr="00DE07C1">
        <w:rPr>
          <w:rFonts w:ascii="Arial" w:hAnsi="Arial" w:cs="Arial"/>
          <w:spacing w:val="-3"/>
          <w:sz w:val="26"/>
          <w:szCs w:val="26"/>
        </w:rPr>
        <w:t>con radica</w:t>
      </w:r>
      <w:r w:rsidR="00094CAB">
        <w:rPr>
          <w:rFonts w:ascii="Arial" w:hAnsi="Arial" w:cs="Arial"/>
          <w:spacing w:val="-3"/>
          <w:sz w:val="26"/>
          <w:szCs w:val="26"/>
        </w:rPr>
        <w:t>dos</w:t>
      </w:r>
      <w:r w:rsidR="00094CAB" w:rsidRPr="00DE07C1">
        <w:rPr>
          <w:rFonts w:ascii="Arial" w:hAnsi="Arial" w:cs="Arial"/>
          <w:spacing w:val="-3"/>
          <w:sz w:val="26"/>
          <w:szCs w:val="26"/>
        </w:rPr>
        <w:t xml:space="preserve"> 66001-22-13-000-2017-00</w:t>
      </w:r>
      <w:r w:rsidR="00094CAB" w:rsidRPr="00094CAB">
        <w:rPr>
          <w:rFonts w:ascii="Arial" w:hAnsi="Arial" w:cs="Arial"/>
          <w:b/>
          <w:spacing w:val="-3"/>
          <w:sz w:val="26"/>
          <w:szCs w:val="26"/>
        </w:rPr>
        <w:t>434</w:t>
      </w:r>
      <w:r w:rsidR="00094CAB" w:rsidRPr="00DE07C1">
        <w:rPr>
          <w:rFonts w:ascii="Arial" w:hAnsi="Arial" w:cs="Arial"/>
          <w:spacing w:val="-3"/>
          <w:sz w:val="26"/>
          <w:szCs w:val="26"/>
        </w:rPr>
        <w:t>-00</w:t>
      </w:r>
      <w:r w:rsidR="00094CAB">
        <w:rPr>
          <w:rFonts w:ascii="Arial" w:hAnsi="Arial" w:cs="Arial"/>
          <w:spacing w:val="-3"/>
          <w:sz w:val="26"/>
          <w:szCs w:val="26"/>
        </w:rPr>
        <w:t xml:space="preserve">, </w:t>
      </w:r>
      <w:r w:rsidR="00094CAB" w:rsidRPr="00DE07C1">
        <w:rPr>
          <w:rFonts w:ascii="Arial" w:hAnsi="Arial" w:cs="Arial"/>
          <w:spacing w:val="-3"/>
          <w:sz w:val="26"/>
          <w:szCs w:val="26"/>
        </w:rPr>
        <w:t>66001-22-13-000-2017-00</w:t>
      </w:r>
      <w:r w:rsidR="00094CAB" w:rsidRPr="00094CAB">
        <w:rPr>
          <w:rFonts w:ascii="Arial" w:hAnsi="Arial" w:cs="Arial"/>
          <w:b/>
          <w:spacing w:val="-3"/>
          <w:sz w:val="26"/>
          <w:szCs w:val="26"/>
        </w:rPr>
        <w:t>435</w:t>
      </w:r>
      <w:r w:rsidR="00094CAB" w:rsidRPr="00DE07C1">
        <w:rPr>
          <w:rFonts w:ascii="Arial" w:hAnsi="Arial" w:cs="Arial"/>
          <w:spacing w:val="-3"/>
          <w:sz w:val="26"/>
          <w:szCs w:val="26"/>
        </w:rPr>
        <w:t>-00</w:t>
      </w:r>
      <w:r w:rsidR="00094CAB">
        <w:rPr>
          <w:rFonts w:ascii="Arial" w:hAnsi="Arial" w:cs="Arial"/>
          <w:spacing w:val="-3"/>
          <w:sz w:val="26"/>
          <w:szCs w:val="26"/>
        </w:rPr>
        <w:t>,</w:t>
      </w:r>
      <w:r w:rsidR="00094CAB" w:rsidRPr="00DE07C1">
        <w:rPr>
          <w:rFonts w:ascii="Arial" w:hAnsi="Arial" w:cs="Arial"/>
          <w:spacing w:val="-3"/>
          <w:sz w:val="26"/>
          <w:szCs w:val="26"/>
        </w:rPr>
        <w:t xml:space="preserve"> 66001-22-13-000-2017-00</w:t>
      </w:r>
      <w:r w:rsidR="00094CAB" w:rsidRPr="00094CAB">
        <w:rPr>
          <w:rFonts w:ascii="Arial" w:hAnsi="Arial" w:cs="Arial"/>
          <w:b/>
          <w:spacing w:val="-3"/>
          <w:sz w:val="26"/>
          <w:szCs w:val="26"/>
        </w:rPr>
        <w:t>436</w:t>
      </w:r>
      <w:r w:rsidR="00094CAB" w:rsidRPr="00DE07C1">
        <w:rPr>
          <w:rFonts w:ascii="Arial" w:hAnsi="Arial" w:cs="Arial"/>
          <w:spacing w:val="-3"/>
          <w:sz w:val="26"/>
          <w:szCs w:val="26"/>
        </w:rPr>
        <w:t>-0</w:t>
      </w:r>
      <w:r w:rsidR="00094CAB">
        <w:rPr>
          <w:rFonts w:ascii="Arial" w:hAnsi="Arial" w:cs="Arial"/>
          <w:spacing w:val="-3"/>
          <w:sz w:val="26"/>
          <w:szCs w:val="26"/>
        </w:rPr>
        <w:t xml:space="preserve">0 y </w:t>
      </w:r>
      <w:r w:rsidR="00094CAB" w:rsidRPr="00DE07C1">
        <w:rPr>
          <w:rFonts w:ascii="Arial" w:hAnsi="Arial" w:cs="Arial"/>
          <w:spacing w:val="-3"/>
          <w:sz w:val="26"/>
          <w:szCs w:val="26"/>
        </w:rPr>
        <w:t>66001-22-13-000-2017-00</w:t>
      </w:r>
      <w:r w:rsidR="00094CAB" w:rsidRPr="00094CAB">
        <w:rPr>
          <w:rFonts w:ascii="Arial" w:hAnsi="Arial" w:cs="Arial"/>
          <w:b/>
          <w:spacing w:val="-3"/>
          <w:sz w:val="26"/>
          <w:szCs w:val="26"/>
        </w:rPr>
        <w:t>437</w:t>
      </w:r>
      <w:r w:rsidR="00094CAB" w:rsidRPr="00DE07C1">
        <w:rPr>
          <w:rFonts w:ascii="Arial" w:hAnsi="Arial" w:cs="Arial"/>
          <w:spacing w:val="-3"/>
          <w:sz w:val="26"/>
          <w:szCs w:val="26"/>
        </w:rPr>
        <w:t>-00</w:t>
      </w:r>
      <w:r w:rsidR="00094CAB">
        <w:rPr>
          <w:rFonts w:ascii="Arial" w:hAnsi="Arial" w:cs="Arial"/>
          <w:spacing w:val="-3"/>
          <w:sz w:val="26"/>
          <w:szCs w:val="26"/>
        </w:rPr>
        <w:t xml:space="preserve">, </w:t>
      </w:r>
      <w:r w:rsidR="00094CAB" w:rsidRPr="00094CAB">
        <w:rPr>
          <w:rFonts w:ascii="Arial" w:hAnsi="Arial" w:cs="Arial"/>
          <w:sz w:val="26"/>
          <w:szCs w:val="26"/>
        </w:rPr>
        <w:t>en</w:t>
      </w:r>
      <w:r w:rsidR="00094CAB">
        <w:rPr>
          <w:rFonts w:ascii="Arial" w:hAnsi="Arial" w:cs="Arial"/>
          <w:sz w:val="26"/>
          <w:szCs w:val="26"/>
        </w:rPr>
        <w:t xml:space="preserve"> las cuales solicitó</w:t>
      </w:r>
      <w:r w:rsidR="00094CAB" w:rsidRPr="00094CAB">
        <w:rPr>
          <w:rFonts w:ascii="Arial" w:hAnsi="Arial" w:cs="Arial"/>
          <w:sz w:val="26"/>
          <w:szCs w:val="26"/>
        </w:rPr>
        <w:t xml:space="preserve"> se ordene al Juzgado Cuarto Civil del Circuito desarchivar la acción popular radicada bajo el No. 2014-00</w:t>
      </w:r>
      <w:r w:rsidR="00094CAB" w:rsidRPr="00094CAB">
        <w:rPr>
          <w:rFonts w:ascii="Arial" w:hAnsi="Arial" w:cs="Arial"/>
          <w:b/>
          <w:sz w:val="26"/>
          <w:szCs w:val="26"/>
        </w:rPr>
        <w:t>162</w:t>
      </w:r>
      <w:r w:rsidR="00094CAB" w:rsidRPr="00094CAB">
        <w:rPr>
          <w:rFonts w:ascii="Arial" w:hAnsi="Arial" w:cs="Arial"/>
          <w:sz w:val="26"/>
          <w:szCs w:val="26"/>
        </w:rPr>
        <w:t>, sin que se le exija pago</w:t>
      </w:r>
      <w:r w:rsidR="00094CAB">
        <w:rPr>
          <w:rFonts w:ascii="Arial" w:hAnsi="Arial" w:cs="Arial"/>
          <w:sz w:val="26"/>
          <w:szCs w:val="26"/>
        </w:rPr>
        <w:t xml:space="preserve"> alguno para proceder de esa manera</w:t>
      </w:r>
      <w:r w:rsidR="00094CAB" w:rsidRPr="00094CAB">
        <w:rPr>
          <w:rFonts w:ascii="Arial" w:hAnsi="Arial" w:cs="Arial"/>
          <w:sz w:val="26"/>
          <w:szCs w:val="26"/>
        </w:rPr>
        <w:t>.</w:t>
      </w:r>
    </w:p>
    <w:p w:rsidR="004606D6" w:rsidRPr="00455947" w:rsidRDefault="004606D6" w:rsidP="00F403DE">
      <w:pPr>
        <w:pStyle w:val="Sinespaciado2"/>
        <w:spacing w:line="360" w:lineRule="auto"/>
        <w:ind w:firstLine="2835"/>
        <w:jc w:val="both"/>
        <w:rPr>
          <w:rFonts w:ascii="Arial" w:hAnsi="Arial" w:cs="Arial"/>
          <w:sz w:val="16"/>
          <w:szCs w:val="16"/>
        </w:rPr>
      </w:pPr>
    </w:p>
    <w:p w:rsidR="00455947" w:rsidRPr="000055AB" w:rsidRDefault="00455947" w:rsidP="00455947">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455947" w:rsidRPr="00B73EEF" w:rsidRDefault="00455947" w:rsidP="00455947">
      <w:pPr>
        <w:spacing w:line="360" w:lineRule="auto"/>
        <w:jc w:val="both"/>
        <w:rPr>
          <w:rFonts w:ascii="Arial" w:hAnsi="Arial" w:cs="Arial"/>
          <w:sz w:val="16"/>
          <w:szCs w:val="16"/>
        </w:rPr>
      </w:pPr>
    </w:p>
    <w:p w:rsidR="004606D6" w:rsidRDefault="00455947" w:rsidP="00455947">
      <w:pPr>
        <w:pStyle w:val="Sinespaciado2"/>
        <w:spacing w:line="360" w:lineRule="auto"/>
        <w:ind w:firstLine="2835"/>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094CAB" w:rsidRPr="00455947" w:rsidRDefault="00094CAB" w:rsidP="00F403DE">
      <w:pPr>
        <w:pStyle w:val="Sinespaciado2"/>
        <w:spacing w:line="360" w:lineRule="auto"/>
        <w:ind w:firstLine="2835"/>
        <w:jc w:val="both"/>
        <w:rPr>
          <w:rFonts w:ascii="Arial" w:hAnsi="Arial" w:cs="Arial"/>
          <w:sz w:val="16"/>
          <w:szCs w:val="16"/>
        </w:rPr>
      </w:pPr>
    </w:p>
    <w:p w:rsidR="00455947" w:rsidRPr="00226088" w:rsidRDefault="00455947" w:rsidP="00854C62">
      <w:pPr>
        <w:ind w:left="567" w:right="567" w:firstLine="2268"/>
        <w:jc w:val="both"/>
        <w:rPr>
          <w:rFonts w:ascii="Arial" w:hAnsi="Arial" w:cs="Arial"/>
          <w:i/>
          <w:sz w:val="22"/>
          <w:szCs w:val="22"/>
        </w:rPr>
      </w:pPr>
      <w:r w:rsidRPr="00226088">
        <w:rPr>
          <w:rFonts w:ascii="Arial" w:hAnsi="Arial" w:cs="Arial"/>
          <w:i/>
          <w:sz w:val="22"/>
          <w:szCs w:val="22"/>
        </w:rPr>
        <w:lastRenderedPageBreak/>
        <w:t>“Bajo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w:t>
      </w:r>
      <w:r w:rsidRPr="00226088">
        <w:rPr>
          <w:rFonts w:ascii="Arial" w:hAnsi="Arial" w:cs="Arial"/>
          <w:b/>
          <w:i/>
          <w:sz w:val="22"/>
          <w:szCs w:val="22"/>
          <w:lang w:val="es-CO"/>
        </w:rPr>
        <w:t xml:space="preserve">8. </w:t>
      </w:r>
      <w:r w:rsidRPr="00226088">
        <w:rPr>
          <w:rFonts w:ascii="Arial" w:hAnsi="Arial" w:cs="Arial"/>
          <w:i/>
          <w:sz w:val="22"/>
          <w:szCs w:val="22"/>
          <w:lang w:val="es-CO"/>
        </w:rPr>
        <w:t xml:space="preserve">Para deducir que una misma demanda de tutela se ha interpuesto varias veces, con infracción de la prohibición prevista en el artículo 38 del Decreto 2591 de 1991, es indispensable acreditar: </w:t>
      </w:r>
    </w:p>
    <w:p w:rsidR="00455947" w:rsidRPr="00226088" w:rsidRDefault="00455947" w:rsidP="00854C62">
      <w:pPr>
        <w:ind w:left="567" w:right="567" w:firstLine="2268"/>
        <w:jc w:val="both"/>
        <w:rPr>
          <w:rFonts w:ascii="Arial" w:hAnsi="Arial"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 La </w:t>
      </w:r>
      <w:r w:rsidRPr="00226088">
        <w:rPr>
          <w:rFonts w:ascii="Arial" w:hAnsi="Arial" w:cs="Arial"/>
          <w:b/>
          <w:i/>
          <w:sz w:val="22"/>
          <w:szCs w:val="22"/>
          <w:lang w:val="es-CO"/>
        </w:rPr>
        <w:t>identidad de partes</w:t>
      </w:r>
      <w:r w:rsidRPr="00226088">
        <w:rPr>
          <w:rFonts w:ascii="Arial" w:hAnsi="Arial" w:cs="Arial"/>
          <w:i/>
          <w:sz w:val="22"/>
          <w:szCs w:val="22"/>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455947" w:rsidRPr="00226088" w:rsidRDefault="00455947" w:rsidP="00854C62">
      <w:pPr>
        <w:pStyle w:val="BodyText25"/>
        <w:ind w:left="567" w:right="567" w:firstLine="2268"/>
        <w:rPr>
          <w:rFonts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“(ii) La </w:t>
      </w:r>
      <w:r w:rsidRPr="00226088">
        <w:rPr>
          <w:rFonts w:ascii="Arial" w:hAnsi="Arial" w:cs="Arial"/>
          <w:b/>
          <w:i/>
          <w:sz w:val="22"/>
          <w:szCs w:val="22"/>
          <w:lang w:val="es-CO"/>
        </w:rPr>
        <w:t>identidad de causa petendi</w:t>
      </w:r>
      <w:r w:rsidRPr="00226088">
        <w:rPr>
          <w:rFonts w:ascii="Arial" w:hAnsi="Arial" w:cs="Arial"/>
          <w:i/>
          <w:sz w:val="22"/>
          <w:szCs w:val="22"/>
          <w:lang w:val="es-CO"/>
        </w:rPr>
        <w:t>, o lo que es lo mismo, que el ejercicio simultáneo o sucesivo de la acción se fundamente en unos mismos hechos que le sirvan de causa.</w:t>
      </w:r>
    </w:p>
    <w:p w:rsidR="00455947" w:rsidRPr="00226088" w:rsidRDefault="00455947" w:rsidP="00854C62">
      <w:pPr>
        <w:pStyle w:val="BodyText25"/>
        <w:ind w:left="567" w:right="567" w:firstLine="2268"/>
        <w:rPr>
          <w:rFonts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 xml:space="preserve">“(iii) La </w:t>
      </w:r>
      <w:r w:rsidRPr="00226088">
        <w:rPr>
          <w:rFonts w:ascii="Arial" w:hAnsi="Arial" w:cs="Arial"/>
          <w:b/>
          <w:i/>
          <w:sz w:val="22"/>
          <w:szCs w:val="22"/>
          <w:lang w:val="es-CO"/>
        </w:rPr>
        <w:t>identidad de objeto</w:t>
      </w:r>
      <w:r w:rsidRPr="00226088">
        <w:rPr>
          <w:rFonts w:ascii="Arial" w:hAnsi="Arial" w:cs="Arial"/>
          <w:i/>
          <w:sz w:val="22"/>
          <w:szCs w:val="22"/>
          <w:lang w:val="es-CO"/>
        </w:rPr>
        <w:t xml:space="preserve">, esto es, que las demandas busquen la satisfacción de una misma pretensión tutelar o el amparo de un mismo derecho fundamental. </w:t>
      </w:r>
    </w:p>
    <w:p w:rsidR="00455947" w:rsidRPr="00226088" w:rsidRDefault="00455947" w:rsidP="00854C62">
      <w:pPr>
        <w:ind w:left="567" w:right="567" w:firstLine="2268"/>
        <w:jc w:val="both"/>
        <w:rPr>
          <w:rFonts w:ascii="Arial" w:hAnsi="Arial" w:cs="Arial"/>
          <w:i/>
          <w:sz w:val="22"/>
          <w:szCs w:val="22"/>
          <w:lang w:val="es-CO"/>
        </w:rPr>
      </w:pPr>
    </w:p>
    <w:p w:rsidR="00455947" w:rsidRPr="00226088" w:rsidRDefault="00455947" w:rsidP="00854C62">
      <w:pPr>
        <w:ind w:left="567" w:right="567" w:firstLine="2268"/>
        <w:jc w:val="both"/>
        <w:rPr>
          <w:rFonts w:ascii="Arial" w:hAnsi="Arial" w:cs="Arial"/>
          <w:i/>
          <w:sz w:val="22"/>
          <w:szCs w:val="22"/>
          <w:lang w:val="es-CO"/>
        </w:rPr>
      </w:pPr>
      <w:r w:rsidRPr="00226088">
        <w:rPr>
          <w:rFonts w:ascii="Arial" w:hAnsi="Arial" w:cs="Arial"/>
          <w:i/>
          <w:sz w:val="22"/>
          <w:szCs w:val="22"/>
          <w:lang w:val="es-CO"/>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226088">
        <w:rPr>
          <w:rFonts w:ascii="Arial" w:hAnsi="Arial" w:cs="Arial"/>
          <w:i/>
          <w:sz w:val="22"/>
          <w:szCs w:val="22"/>
          <w:u w:val="single"/>
          <w:lang w:val="es-CO"/>
        </w:rPr>
        <w:t>Cuando sin motivo expresamente justificado</w:t>
      </w:r>
      <w:r w:rsidRPr="00226088">
        <w:rPr>
          <w:rFonts w:ascii="Arial" w:hAnsi="Arial" w:cs="Arial"/>
          <w:i/>
          <w:sz w:val="22"/>
          <w:szCs w:val="22"/>
          <w:lang w:val="es-CO"/>
        </w:rPr>
        <w:t xml:space="preserve"> la misma acción de tutela sea presentada por la misma persona o su representante ante varios jueces o tribunales, se rechazarán o decidirán desfavorablem</w:t>
      </w:r>
      <w:r w:rsidR="00DC083F">
        <w:rPr>
          <w:rFonts w:ascii="Arial" w:hAnsi="Arial" w:cs="Arial"/>
          <w:i/>
          <w:sz w:val="22"/>
          <w:szCs w:val="22"/>
          <w:lang w:val="es-CO"/>
        </w:rPr>
        <w:t>en</w:t>
      </w:r>
      <w:r w:rsidRPr="00226088">
        <w:rPr>
          <w:rFonts w:ascii="Arial" w:hAnsi="Arial" w:cs="Arial"/>
          <w:i/>
          <w:sz w:val="22"/>
          <w:szCs w:val="22"/>
          <w:lang w:val="es-CO"/>
        </w:rPr>
        <w:t>te todas a solicitudes”</w:t>
      </w:r>
      <w:r w:rsidRPr="00226088">
        <w:rPr>
          <w:rStyle w:val="Appelnotedebasdep"/>
          <w:rFonts w:ascii="Arial" w:hAnsi="Arial" w:cs="Arial"/>
          <w:i/>
          <w:sz w:val="22"/>
          <w:szCs w:val="22"/>
        </w:rPr>
        <w:footnoteReference w:id="3"/>
      </w:r>
      <w:r w:rsidRPr="00226088">
        <w:rPr>
          <w:rFonts w:ascii="Arial" w:hAnsi="Arial" w:cs="Arial"/>
          <w:i/>
          <w:sz w:val="22"/>
          <w:szCs w:val="22"/>
          <w:lang w:val="es-CO"/>
        </w:rPr>
        <w:t>.</w:t>
      </w:r>
    </w:p>
    <w:p w:rsidR="00455947" w:rsidRPr="00226088" w:rsidRDefault="00455947" w:rsidP="00854C62">
      <w:pPr>
        <w:ind w:left="567" w:right="567" w:firstLine="2268"/>
        <w:jc w:val="both"/>
        <w:rPr>
          <w:rFonts w:ascii="Arial" w:hAnsi="Arial" w:cs="Arial"/>
          <w:i/>
          <w:sz w:val="22"/>
          <w:szCs w:val="22"/>
          <w:lang w:val="es-CO"/>
        </w:rPr>
      </w:pPr>
    </w:p>
    <w:p w:rsidR="00455947" w:rsidRDefault="00455947" w:rsidP="00854C62">
      <w:pPr>
        <w:pStyle w:val="Sinespaciado2"/>
        <w:ind w:left="567" w:right="567" w:firstLine="2268"/>
        <w:jc w:val="both"/>
        <w:rPr>
          <w:rFonts w:ascii="Arial" w:hAnsi="Arial" w:cs="Arial"/>
          <w:sz w:val="26"/>
          <w:szCs w:val="26"/>
        </w:rPr>
      </w:pPr>
      <w:r w:rsidRPr="00226088">
        <w:rPr>
          <w:rFonts w:ascii="Arial" w:hAnsi="Arial" w:cs="Arial"/>
          <w:i/>
          <w:sz w:val="22"/>
          <w:szCs w:val="22"/>
          <w:lang w:val="es-CO"/>
        </w:rPr>
        <w:t>“Esto ha permitido entender el alcance del “juramento” previsto en el artículo 37 del Decreto 2591 de 1991, el cual se limita a requerir del tutelante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p>
    <w:p w:rsidR="00455947" w:rsidRPr="00DC083F" w:rsidRDefault="00455947" w:rsidP="00F403DE">
      <w:pPr>
        <w:pStyle w:val="Sinespaciado2"/>
        <w:spacing w:line="360" w:lineRule="auto"/>
        <w:ind w:firstLine="2835"/>
        <w:jc w:val="both"/>
        <w:rPr>
          <w:rFonts w:ascii="Arial" w:hAnsi="Arial" w:cs="Arial"/>
          <w:sz w:val="16"/>
          <w:szCs w:val="16"/>
        </w:rPr>
      </w:pPr>
    </w:p>
    <w:p w:rsidR="00DC083F" w:rsidRPr="00DC083F" w:rsidRDefault="00DC083F" w:rsidP="00DC083F">
      <w:pPr>
        <w:spacing w:line="360" w:lineRule="auto"/>
        <w:ind w:firstLine="2835"/>
        <w:jc w:val="both"/>
        <w:rPr>
          <w:rFonts w:ascii="Arial" w:hAnsi="Arial" w:cs="Arial"/>
          <w:sz w:val="26"/>
          <w:szCs w:val="26"/>
        </w:rPr>
      </w:pPr>
      <w:r w:rsidRPr="00DC083F">
        <w:rPr>
          <w:rFonts w:ascii="Arial" w:hAnsi="Arial" w:cs="Arial"/>
          <w:sz w:val="26"/>
          <w:szCs w:val="26"/>
        </w:rPr>
        <w:t>En con</w:t>
      </w:r>
      <w:r>
        <w:rPr>
          <w:rFonts w:ascii="Arial" w:hAnsi="Arial" w:cs="Arial"/>
          <w:sz w:val="26"/>
          <w:szCs w:val="26"/>
        </w:rPr>
        <w:t>clusión</w:t>
      </w:r>
      <w:r w:rsidRPr="00DC083F">
        <w:rPr>
          <w:rFonts w:ascii="Arial" w:hAnsi="Arial" w:cs="Arial"/>
          <w:sz w:val="26"/>
          <w:szCs w:val="26"/>
        </w:rPr>
        <w:t>, aunque no puede predicarse temeridad de parte</w:t>
      </w:r>
      <w:r>
        <w:rPr>
          <w:rFonts w:ascii="Arial" w:hAnsi="Arial" w:cs="Arial"/>
          <w:sz w:val="26"/>
          <w:szCs w:val="26"/>
        </w:rPr>
        <w:t xml:space="preserve"> del actor</w:t>
      </w:r>
      <w:r w:rsidRPr="00DC083F">
        <w:rPr>
          <w:rFonts w:ascii="Arial" w:hAnsi="Arial" w:cs="Arial"/>
          <w:sz w:val="26"/>
          <w:szCs w:val="26"/>
        </w:rPr>
        <w:t>, se negará la acción de amparo</w:t>
      </w:r>
      <w:r>
        <w:rPr>
          <w:rFonts w:ascii="Arial" w:hAnsi="Arial" w:cs="Arial"/>
          <w:sz w:val="26"/>
          <w:szCs w:val="26"/>
        </w:rPr>
        <w:t xml:space="preserve"> radicada </w:t>
      </w:r>
      <w:r w:rsidRPr="00DE07C1">
        <w:rPr>
          <w:rFonts w:ascii="Arial" w:hAnsi="Arial" w:cs="Arial"/>
          <w:spacing w:val="-3"/>
          <w:sz w:val="26"/>
          <w:szCs w:val="26"/>
        </w:rPr>
        <w:t>66001-22-13-000-2017-00</w:t>
      </w:r>
      <w:r w:rsidRPr="00094CAB">
        <w:rPr>
          <w:rFonts w:ascii="Arial" w:hAnsi="Arial" w:cs="Arial"/>
          <w:b/>
          <w:spacing w:val="-3"/>
          <w:sz w:val="26"/>
          <w:szCs w:val="26"/>
        </w:rPr>
        <w:t>435</w:t>
      </w:r>
      <w:r w:rsidRPr="00DE07C1">
        <w:rPr>
          <w:rFonts w:ascii="Arial" w:hAnsi="Arial" w:cs="Arial"/>
          <w:spacing w:val="-3"/>
          <w:sz w:val="26"/>
          <w:szCs w:val="26"/>
        </w:rPr>
        <w:t>-00</w:t>
      </w:r>
      <w:r w:rsidRPr="00DC083F">
        <w:rPr>
          <w:rFonts w:ascii="Arial" w:hAnsi="Arial" w:cs="Arial"/>
          <w:sz w:val="26"/>
          <w:szCs w:val="26"/>
        </w:rPr>
        <w:t>, de conformidad a la norma arriba transcrita.</w:t>
      </w:r>
    </w:p>
    <w:p w:rsidR="00F403DE" w:rsidRDefault="00010BA5" w:rsidP="00F403D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00943918">
        <w:rPr>
          <w:rFonts w:ascii="Arial" w:hAnsi="Arial" w:cs="Arial"/>
          <w:sz w:val="26"/>
          <w:szCs w:val="26"/>
          <w:lang w:val="es-CO"/>
        </w:rPr>
        <w:t xml:space="preserve">Ahora bien, en lo que respecta a la </w:t>
      </w:r>
      <w:r w:rsidR="00943918">
        <w:rPr>
          <w:rFonts w:ascii="Arial" w:hAnsi="Arial" w:cs="Arial"/>
          <w:sz w:val="26"/>
          <w:szCs w:val="26"/>
        </w:rPr>
        <w:t xml:space="preserve">acción </w:t>
      </w:r>
      <w:r w:rsidR="00943918" w:rsidRPr="009E0AFC">
        <w:rPr>
          <w:rFonts w:ascii="Arial" w:hAnsi="Arial" w:cs="Arial"/>
          <w:sz w:val="26"/>
          <w:szCs w:val="26"/>
          <w:lang w:val="es-ES_tradnl"/>
        </w:rPr>
        <w:t>popular</w:t>
      </w:r>
      <w:r w:rsidR="00943918">
        <w:rPr>
          <w:rFonts w:ascii="Arial" w:hAnsi="Arial" w:cs="Arial"/>
          <w:sz w:val="26"/>
          <w:szCs w:val="26"/>
          <w:lang w:val="es-ES_tradnl"/>
        </w:rPr>
        <w:t xml:space="preserve"> radicada </w:t>
      </w:r>
      <w:r w:rsidR="00943918" w:rsidRPr="00244EF2">
        <w:rPr>
          <w:rFonts w:ascii="Arial" w:hAnsi="Arial" w:cs="Arial"/>
          <w:sz w:val="24"/>
          <w:szCs w:val="26"/>
        </w:rPr>
        <w:t>201</w:t>
      </w:r>
      <w:r w:rsidR="00943918">
        <w:rPr>
          <w:rFonts w:ascii="Arial" w:hAnsi="Arial" w:cs="Arial"/>
          <w:sz w:val="24"/>
          <w:szCs w:val="26"/>
        </w:rPr>
        <w:t>4</w:t>
      </w:r>
      <w:r w:rsidR="00943918" w:rsidRPr="00244EF2">
        <w:rPr>
          <w:rFonts w:ascii="Arial" w:hAnsi="Arial" w:cs="Arial"/>
          <w:sz w:val="24"/>
          <w:szCs w:val="26"/>
        </w:rPr>
        <w:t>-</w:t>
      </w:r>
      <w:r w:rsidR="00943918">
        <w:rPr>
          <w:rFonts w:ascii="Arial" w:hAnsi="Arial" w:cs="Arial"/>
          <w:sz w:val="24"/>
          <w:szCs w:val="26"/>
        </w:rPr>
        <w:t>00</w:t>
      </w:r>
      <w:r w:rsidR="00943918">
        <w:rPr>
          <w:rFonts w:ascii="Arial" w:hAnsi="Arial" w:cs="Arial"/>
          <w:b/>
          <w:sz w:val="24"/>
          <w:szCs w:val="26"/>
        </w:rPr>
        <w:t>145</w:t>
      </w:r>
      <w:r w:rsidRPr="00DC083F">
        <w:rPr>
          <w:rFonts w:ascii="Arial" w:hAnsi="Arial" w:cs="Arial"/>
          <w:sz w:val="26"/>
          <w:szCs w:val="26"/>
        </w:rPr>
        <w:t xml:space="preserve">, </w:t>
      </w:r>
      <w:r w:rsidR="00F403DE">
        <w:rPr>
          <w:rFonts w:ascii="Arial" w:hAnsi="Arial" w:cs="Arial"/>
          <w:sz w:val="26"/>
          <w:szCs w:val="26"/>
        </w:rPr>
        <w:t xml:space="preserve">el </w:t>
      </w:r>
      <w:r w:rsidR="00666127">
        <w:rPr>
          <w:rFonts w:ascii="Arial" w:hAnsi="Arial" w:cs="Arial"/>
          <w:sz w:val="26"/>
          <w:szCs w:val="26"/>
        </w:rPr>
        <w:t>Secretario del j</w:t>
      </w:r>
      <w:r w:rsidR="00666127" w:rsidRPr="00666127">
        <w:rPr>
          <w:rFonts w:ascii="Arial" w:hAnsi="Arial" w:cs="Arial"/>
          <w:sz w:val="26"/>
          <w:szCs w:val="26"/>
        </w:rPr>
        <w:t xml:space="preserve">uzgado </w:t>
      </w:r>
      <w:r w:rsidR="00666127">
        <w:rPr>
          <w:rFonts w:ascii="Arial" w:hAnsi="Arial" w:cs="Arial"/>
          <w:sz w:val="26"/>
          <w:szCs w:val="26"/>
        </w:rPr>
        <w:t xml:space="preserve">accionado, </w:t>
      </w:r>
      <w:r w:rsidR="00666127" w:rsidRPr="00666127">
        <w:rPr>
          <w:rFonts w:ascii="Arial" w:hAnsi="Arial" w:cs="Arial"/>
          <w:sz w:val="26"/>
          <w:szCs w:val="26"/>
        </w:rPr>
        <w:t>dio cuent</w:t>
      </w:r>
      <w:r w:rsidR="00666127">
        <w:rPr>
          <w:rFonts w:ascii="Arial" w:hAnsi="Arial" w:cs="Arial"/>
          <w:sz w:val="26"/>
          <w:szCs w:val="26"/>
        </w:rPr>
        <w:t>a del estado actual del proceso y</w:t>
      </w:r>
      <w:r w:rsidR="00666127" w:rsidRPr="00666127">
        <w:rPr>
          <w:rFonts w:ascii="Arial" w:hAnsi="Arial" w:cs="Arial"/>
          <w:sz w:val="26"/>
          <w:szCs w:val="26"/>
        </w:rPr>
        <w:t xml:space="preserve"> que el interesado no ha hecho petición por escrito sobre </w:t>
      </w:r>
      <w:r w:rsidR="00943918">
        <w:rPr>
          <w:rFonts w:ascii="Arial" w:hAnsi="Arial" w:cs="Arial"/>
          <w:sz w:val="26"/>
          <w:szCs w:val="26"/>
        </w:rPr>
        <w:t>su</w:t>
      </w:r>
      <w:r w:rsidR="00666127" w:rsidRPr="00666127">
        <w:rPr>
          <w:rFonts w:ascii="Arial" w:hAnsi="Arial" w:cs="Arial"/>
          <w:sz w:val="26"/>
          <w:szCs w:val="26"/>
        </w:rPr>
        <w:t xml:space="preserve"> </w:t>
      </w:r>
      <w:r w:rsidR="00666127">
        <w:rPr>
          <w:rFonts w:ascii="Arial" w:hAnsi="Arial" w:cs="Arial"/>
          <w:sz w:val="26"/>
          <w:szCs w:val="26"/>
        </w:rPr>
        <w:t>desarchivo</w:t>
      </w:r>
      <w:r w:rsidR="00666127" w:rsidRPr="00666127">
        <w:rPr>
          <w:rFonts w:ascii="Arial" w:hAnsi="Arial" w:cs="Arial"/>
          <w:sz w:val="26"/>
          <w:szCs w:val="26"/>
        </w:rPr>
        <w:t xml:space="preserve">, pero </w:t>
      </w:r>
      <w:r w:rsidR="00666127">
        <w:rPr>
          <w:rFonts w:ascii="Arial" w:hAnsi="Arial" w:cs="Arial"/>
          <w:sz w:val="26"/>
          <w:szCs w:val="26"/>
        </w:rPr>
        <w:t xml:space="preserve">que, </w:t>
      </w:r>
      <w:r w:rsidR="00666127" w:rsidRPr="00666127">
        <w:rPr>
          <w:rFonts w:ascii="Arial" w:hAnsi="Arial" w:cs="Arial"/>
          <w:sz w:val="26"/>
          <w:szCs w:val="26"/>
        </w:rPr>
        <w:t xml:space="preserve">en forma verbal </w:t>
      </w:r>
      <w:r w:rsidR="00666127">
        <w:rPr>
          <w:rFonts w:ascii="Arial" w:hAnsi="Arial" w:cs="Arial"/>
          <w:sz w:val="26"/>
          <w:szCs w:val="26"/>
        </w:rPr>
        <w:t xml:space="preserve">se </w:t>
      </w:r>
      <w:r w:rsidR="00666127" w:rsidRPr="00666127">
        <w:rPr>
          <w:rFonts w:ascii="Arial" w:hAnsi="Arial" w:cs="Arial"/>
          <w:sz w:val="26"/>
          <w:szCs w:val="26"/>
        </w:rPr>
        <w:t>le ha hecho saber sobre la obligación del pago del arancel</w:t>
      </w:r>
      <w:r w:rsidR="00666127">
        <w:rPr>
          <w:rFonts w:ascii="Arial" w:hAnsi="Arial" w:cs="Arial"/>
          <w:sz w:val="26"/>
          <w:szCs w:val="26"/>
        </w:rPr>
        <w:t xml:space="preserve"> judicial</w:t>
      </w:r>
      <w:r w:rsidR="009C274F">
        <w:rPr>
          <w:rFonts w:ascii="Arial" w:hAnsi="Arial" w:cs="Arial"/>
          <w:sz w:val="26"/>
          <w:szCs w:val="26"/>
        </w:rPr>
        <w:t xml:space="preserve"> (fl. 14)</w:t>
      </w:r>
      <w:r w:rsidR="00666127">
        <w:rPr>
          <w:rFonts w:ascii="Arial" w:hAnsi="Arial" w:cs="Arial"/>
          <w:sz w:val="26"/>
          <w:szCs w:val="26"/>
        </w:rPr>
        <w:t xml:space="preserve">, es decir, el </w:t>
      </w:r>
      <w:r w:rsidR="00F403DE">
        <w:rPr>
          <w:rFonts w:ascii="Arial" w:hAnsi="Arial" w:cs="Arial"/>
          <w:sz w:val="26"/>
          <w:szCs w:val="26"/>
        </w:rPr>
        <w:t>accionante nada le ha pedido expresamente a dicha autoridad judicial, de manera que obligue un pronunciamiento explícito de la titular del juzgado sobre el particular.</w:t>
      </w:r>
    </w:p>
    <w:p w:rsidR="00F403DE" w:rsidRPr="00157517" w:rsidRDefault="00F403DE" w:rsidP="00F403DE">
      <w:pPr>
        <w:pStyle w:val="Sinespaciado2"/>
        <w:spacing w:line="360" w:lineRule="auto"/>
        <w:ind w:firstLine="2835"/>
        <w:jc w:val="both"/>
        <w:rPr>
          <w:rFonts w:ascii="Arial" w:hAnsi="Arial" w:cs="Arial"/>
          <w:sz w:val="16"/>
          <w:szCs w:val="26"/>
        </w:rPr>
      </w:pPr>
    </w:p>
    <w:p w:rsidR="00F403DE" w:rsidRDefault="00F403DE" w:rsidP="00F403DE">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F403DE" w:rsidRPr="00B576FA" w:rsidRDefault="00F403DE" w:rsidP="00F403DE">
      <w:pPr>
        <w:pStyle w:val="Sinespaciado1"/>
        <w:spacing w:line="360" w:lineRule="auto"/>
        <w:ind w:firstLine="2832"/>
        <w:jc w:val="both"/>
        <w:rPr>
          <w:rFonts w:ascii="Arial" w:hAnsi="Arial" w:cs="Arial"/>
          <w:sz w:val="16"/>
          <w:szCs w:val="26"/>
        </w:rPr>
      </w:pPr>
    </w:p>
    <w:p w:rsidR="00F403DE" w:rsidRPr="00413A6D" w:rsidRDefault="00F403DE" w:rsidP="00F403DE">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403DE" w:rsidRPr="00413A6D" w:rsidRDefault="00F403DE" w:rsidP="00F403DE">
      <w:pPr>
        <w:pStyle w:val="Sinespaciado2"/>
        <w:spacing w:line="360" w:lineRule="auto"/>
        <w:ind w:firstLine="2835"/>
        <w:jc w:val="both"/>
        <w:rPr>
          <w:rFonts w:ascii="Arial" w:hAnsi="Arial" w:cs="Arial"/>
          <w:sz w:val="16"/>
          <w:szCs w:val="26"/>
        </w:rPr>
      </w:pPr>
    </w:p>
    <w:p w:rsidR="000C3964" w:rsidRDefault="00F403DE" w:rsidP="000C3964">
      <w:pPr>
        <w:pStyle w:val="Sinespaciado1"/>
        <w:spacing w:line="360" w:lineRule="auto"/>
        <w:ind w:firstLine="2832"/>
        <w:jc w:val="both"/>
        <w:rPr>
          <w:rFonts w:ascii="Arial" w:hAnsi="Arial" w:cs="Arial"/>
          <w:sz w:val="26"/>
          <w:szCs w:val="26"/>
        </w:rPr>
      </w:pPr>
      <w:r>
        <w:rPr>
          <w:rFonts w:ascii="Arial" w:hAnsi="Arial" w:cs="Arial"/>
          <w:sz w:val="26"/>
          <w:szCs w:val="26"/>
        </w:rPr>
        <w:t>3</w:t>
      </w:r>
      <w:r w:rsidR="00943918">
        <w:rPr>
          <w:rFonts w:ascii="Arial" w:hAnsi="Arial" w:cs="Arial"/>
          <w:sz w:val="26"/>
          <w:szCs w:val="26"/>
        </w:rPr>
        <w:t xml:space="preserve">. Con fundamento en lo expuesto, se negará la acción de </w:t>
      </w:r>
      <w:r w:rsidR="00943918" w:rsidRPr="00DC083F">
        <w:rPr>
          <w:rFonts w:ascii="Arial" w:hAnsi="Arial" w:cs="Arial"/>
          <w:sz w:val="26"/>
          <w:szCs w:val="26"/>
        </w:rPr>
        <w:t>amparo</w:t>
      </w:r>
      <w:r w:rsidR="00943918">
        <w:rPr>
          <w:rFonts w:ascii="Arial" w:hAnsi="Arial" w:cs="Arial"/>
          <w:sz w:val="26"/>
          <w:szCs w:val="26"/>
        </w:rPr>
        <w:t xml:space="preserve"> contra el Juzgado Cuarto Civil del Circuito de Pereira, respecto al radicado </w:t>
      </w:r>
      <w:r w:rsidR="00943918" w:rsidRPr="00DE07C1">
        <w:rPr>
          <w:rFonts w:ascii="Arial" w:hAnsi="Arial" w:cs="Arial"/>
          <w:spacing w:val="-3"/>
          <w:sz w:val="26"/>
          <w:szCs w:val="26"/>
        </w:rPr>
        <w:t>66001-22-13-000-2017-00</w:t>
      </w:r>
      <w:r w:rsidR="00943918" w:rsidRPr="00094CAB">
        <w:rPr>
          <w:rFonts w:ascii="Arial" w:hAnsi="Arial" w:cs="Arial"/>
          <w:b/>
          <w:spacing w:val="-3"/>
          <w:sz w:val="26"/>
          <w:szCs w:val="26"/>
        </w:rPr>
        <w:t>435</w:t>
      </w:r>
      <w:r w:rsidR="00943918" w:rsidRPr="00DE07C1">
        <w:rPr>
          <w:rFonts w:ascii="Arial" w:hAnsi="Arial" w:cs="Arial"/>
          <w:spacing w:val="-3"/>
          <w:sz w:val="26"/>
          <w:szCs w:val="26"/>
        </w:rPr>
        <w:t>-00</w:t>
      </w:r>
      <w:r w:rsidR="00943918" w:rsidRPr="00DC083F">
        <w:rPr>
          <w:rFonts w:ascii="Arial" w:hAnsi="Arial" w:cs="Arial"/>
          <w:sz w:val="26"/>
          <w:szCs w:val="26"/>
        </w:rPr>
        <w:t xml:space="preserve">, </w:t>
      </w:r>
      <w:r w:rsidR="00943918">
        <w:rPr>
          <w:rFonts w:ascii="Arial" w:hAnsi="Arial" w:cs="Arial"/>
          <w:sz w:val="26"/>
          <w:szCs w:val="26"/>
        </w:rPr>
        <w:t xml:space="preserve">y se declarará improcedente la radicada </w:t>
      </w:r>
      <w:r w:rsidR="00943918" w:rsidRPr="00DE07C1">
        <w:rPr>
          <w:rFonts w:ascii="Arial" w:hAnsi="Arial" w:cs="Arial"/>
          <w:spacing w:val="-3"/>
          <w:sz w:val="26"/>
          <w:szCs w:val="26"/>
        </w:rPr>
        <w:t>66001-22-13-000-2017-00</w:t>
      </w:r>
      <w:r w:rsidR="00943918" w:rsidRPr="00094CAB">
        <w:rPr>
          <w:rFonts w:ascii="Arial" w:hAnsi="Arial" w:cs="Arial"/>
          <w:b/>
          <w:spacing w:val="-3"/>
          <w:sz w:val="26"/>
          <w:szCs w:val="26"/>
        </w:rPr>
        <w:t>43</w:t>
      </w:r>
      <w:r w:rsidR="00943918">
        <w:rPr>
          <w:rFonts w:ascii="Arial" w:hAnsi="Arial" w:cs="Arial"/>
          <w:b/>
          <w:spacing w:val="-3"/>
          <w:sz w:val="26"/>
          <w:szCs w:val="26"/>
        </w:rPr>
        <w:t>9</w:t>
      </w:r>
      <w:r w:rsidR="00943918" w:rsidRPr="00DE07C1">
        <w:rPr>
          <w:rFonts w:ascii="Arial" w:hAnsi="Arial" w:cs="Arial"/>
          <w:spacing w:val="-3"/>
          <w:sz w:val="26"/>
          <w:szCs w:val="26"/>
        </w:rPr>
        <w:t>-00</w:t>
      </w:r>
      <w:r w:rsidR="00943918" w:rsidRPr="00DC083F">
        <w:rPr>
          <w:rFonts w:ascii="Arial" w:hAnsi="Arial" w:cs="Arial"/>
          <w:sz w:val="26"/>
          <w:szCs w:val="26"/>
        </w:rPr>
        <w:t xml:space="preserve">, </w:t>
      </w:r>
      <w:r w:rsidR="00943918">
        <w:rPr>
          <w:rFonts w:ascii="Arial" w:hAnsi="Arial" w:cs="Arial"/>
          <w:sz w:val="26"/>
          <w:szCs w:val="26"/>
        </w:rPr>
        <w:t xml:space="preserve">en lo que tiene que ver con la solicitud de desarchivo de la acción </w:t>
      </w:r>
      <w:r w:rsidR="00943918" w:rsidRPr="009E0AFC">
        <w:rPr>
          <w:rFonts w:ascii="Arial" w:hAnsi="Arial" w:cs="Arial"/>
          <w:sz w:val="26"/>
          <w:szCs w:val="26"/>
          <w:lang w:val="es-ES_tradnl"/>
        </w:rPr>
        <w:t>popular</w:t>
      </w:r>
      <w:r w:rsidR="00943918">
        <w:rPr>
          <w:rFonts w:ascii="Arial" w:hAnsi="Arial" w:cs="Arial"/>
          <w:sz w:val="26"/>
          <w:szCs w:val="26"/>
          <w:lang w:val="es-ES_tradnl"/>
        </w:rPr>
        <w:t xml:space="preserve"> radicada </w:t>
      </w:r>
      <w:r w:rsidR="00943918" w:rsidRPr="00244EF2">
        <w:rPr>
          <w:rFonts w:ascii="Arial" w:hAnsi="Arial" w:cs="Arial"/>
          <w:sz w:val="24"/>
          <w:szCs w:val="26"/>
        </w:rPr>
        <w:t>201</w:t>
      </w:r>
      <w:r w:rsidR="00943918">
        <w:rPr>
          <w:rFonts w:ascii="Arial" w:hAnsi="Arial" w:cs="Arial"/>
          <w:sz w:val="24"/>
          <w:szCs w:val="26"/>
        </w:rPr>
        <w:t>4</w:t>
      </w:r>
      <w:r w:rsidR="00943918" w:rsidRPr="00244EF2">
        <w:rPr>
          <w:rFonts w:ascii="Arial" w:hAnsi="Arial" w:cs="Arial"/>
          <w:sz w:val="24"/>
          <w:szCs w:val="26"/>
        </w:rPr>
        <w:t>-</w:t>
      </w:r>
      <w:r w:rsidR="00943918">
        <w:rPr>
          <w:rFonts w:ascii="Arial" w:hAnsi="Arial" w:cs="Arial"/>
          <w:sz w:val="24"/>
          <w:szCs w:val="26"/>
        </w:rPr>
        <w:t>00</w:t>
      </w:r>
      <w:r w:rsidR="00943918">
        <w:rPr>
          <w:rFonts w:ascii="Arial" w:hAnsi="Arial" w:cs="Arial"/>
          <w:b/>
          <w:sz w:val="24"/>
          <w:szCs w:val="26"/>
        </w:rPr>
        <w:t>145</w:t>
      </w:r>
      <w:r w:rsidR="00943918">
        <w:rPr>
          <w:rFonts w:ascii="Arial" w:hAnsi="Arial" w:cs="Arial"/>
          <w:sz w:val="26"/>
          <w:szCs w:val="26"/>
        </w:rPr>
        <w:t xml:space="preserve">; se ordenará la desvinculación </w:t>
      </w:r>
      <w:r w:rsidR="000C3964">
        <w:rPr>
          <w:rFonts w:ascii="Arial" w:hAnsi="Arial" w:cs="Arial"/>
          <w:sz w:val="26"/>
          <w:szCs w:val="26"/>
        </w:rPr>
        <w:t>de los demás convocados a este trámite.</w:t>
      </w:r>
    </w:p>
    <w:p w:rsidR="001A7C70" w:rsidRDefault="00F403DE" w:rsidP="000C396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4</w:t>
      </w:r>
      <w:r w:rsidR="000C3964">
        <w:rPr>
          <w:rFonts w:ascii="Arial" w:hAnsi="Arial" w:cs="Arial"/>
          <w:sz w:val="26"/>
          <w:szCs w:val="26"/>
        </w:rPr>
        <w:t xml:space="preserve">. </w:t>
      </w:r>
      <w:r w:rsidR="000C3964" w:rsidRPr="00ED277C">
        <w:rPr>
          <w:rFonts w:ascii="Arial" w:hAnsi="Arial" w:cs="Arial"/>
          <w:sz w:val="26"/>
          <w:szCs w:val="26"/>
        </w:rPr>
        <w:t xml:space="preserve">No se accederá a la </w:t>
      </w:r>
      <w:r w:rsidR="000C3964">
        <w:rPr>
          <w:rFonts w:ascii="Arial" w:hAnsi="Arial" w:cs="Arial"/>
          <w:sz w:val="26"/>
          <w:szCs w:val="26"/>
        </w:rPr>
        <w:t xml:space="preserve">pretensión del accionante relacionada con que se </w:t>
      </w:r>
      <w:r w:rsidR="001A7C70">
        <w:rPr>
          <w:rFonts w:ascii="Arial" w:hAnsi="Arial" w:cs="Arial"/>
          <w:sz w:val="26"/>
          <w:szCs w:val="26"/>
        </w:rPr>
        <w:t>orden</w:t>
      </w:r>
      <w:r w:rsidR="000C3964">
        <w:rPr>
          <w:rFonts w:ascii="Arial" w:hAnsi="Arial" w:cs="Arial"/>
          <w:sz w:val="26"/>
          <w:szCs w:val="26"/>
        </w:rPr>
        <w:t>e</w:t>
      </w:r>
      <w:r>
        <w:rPr>
          <w:rFonts w:ascii="Arial" w:hAnsi="Arial" w:cs="Arial"/>
          <w:sz w:val="26"/>
          <w:szCs w:val="26"/>
        </w:rPr>
        <w:t xml:space="preserve"> </w:t>
      </w:r>
      <w:r w:rsidR="001A7C70" w:rsidRPr="00273CD0">
        <w:rPr>
          <w:rFonts w:ascii="Arial" w:hAnsi="Arial" w:cs="Arial"/>
          <w:spacing w:val="-3"/>
          <w:sz w:val="26"/>
          <w:szCs w:val="26"/>
        </w:rPr>
        <w:t>al Procurad</w:t>
      </w:r>
      <w:r w:rsidR="001A7C70">
        <w:rPr>
          <w:rFonts w:ascii="Arial" w:hAnsi="Arial" w:cs="Arial"/>
          <w:spacing w:val="-3"/>
          <w:sz w:val="26"/>
          <w:szCs w:val="26"/>
        </w:rPr>
        <w:t>or Delegado en la acción popular</w:t>
      </w:r>
      <w:r w:rsidR="001A7C70" w:rsidRPr="00273CD0">
        <w:rPr>
          <w:rFonts w:ascii="Arial" w:hAnsi="Arial" w:cs="Arial"/>
          <w:spacing w:val="-3"/>
          <w:sz w:val="26"/>
          <w:szCs w:val="26"/>
        </w:rPr>
        <w:t>,</w:t>
      </w:r>
      <w:r w:rsidR="001A7C70">
        <w:rPr>
          <w:rFonts w:ascii="Arial" w:hAnsi="Arial" w:cs="Arial"/>
          <w:sz w:val="26"/>
          <w:szCs w:val="26"/>
        </w:rPr>
        <w:t xml:space="preserve"> que </w:t>
      </w:r>
      <w:r w:rsidR="00766F63">
        <w:rPr>
          <w:rFonts w:ascii="Arial" w:hAnsi="Arial" w:cs="Arial"/>
          <w:sz w:val="26"/>
          <w:szCs w:val="26"/>
        </w:rPr>
        <w:t xml:space="preserve">pruebe cómo protege </w:t>
      </w:r>
      <w:r w:rsidR="00F82BD3">
        <w:rPr>
          <w:rFonts w:ascii="Arial" w:hAnsi="Arial" w:cs="Arial"/>
          <w:sz w:val="26"/>
          <w:szCs w:val="26"/>
        </w:rPr>
        <w:t>su</w:t>
      </w:r>
      <w:r w:rsidR="00766F63">
        <w:rPr>
          <w:rFonts w:ascii="Arial" w:hAnsi="Arial" w:cs="Arial"/>
          <w:sz w:val="26"/>
          <w:szCs w:val="26"/>
        </w:rPr>
        <w:t>s garantías procesales y si cumple las leyes 734/02 y 472/98</w:t>
      </w:r>
      <w:r w:rsidR="001A7C70">
        <w:rPr>
          <w:rFonts w:ascii="Arial" w:hAnsi="Arial" w:cs="Arial"/>
          <w:sz w:val="26"/>
          <w:szCs w:val="26"/>
        </w:rPr>
        <w:t xml:space="preserve">,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a para tramitar esa clase de solicitudes, las cuales deben ser elevadas directamente por el mismo interesado.</w:t>
      </w:r>
    </w:p>
    <w:p w:rsidR="001A7C70" w:rsidRPr="00F82BD3"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F403DE">
        <w:rPr>
          <w:rFonts w:ascii="Arial" w:hAnsi="Arial" w:cs="Arial"/>
          <w:b/>
          <w:spacing w:val="-3"/>
          <w:sz w:val="24"/>
        </w:rPr>
        <w:t xml:space="preserve"> </w:t>
      </w:r>
      <w:r w:rsidR="00703BD2" w:rsidRPr="009576D3">
        <w:rPr>
          <w:rFonts w:ascii="Arial" w:hAnsi="Arial" w:cs="Arial"/>
          <w:spacing w:val="-3"/>
          <w:szCs w:val="24"/>
        </w:rPr>
        <w:t>NEGAR</w:t>
      </w:r>
      <w:r w:rsidR="00703BD2">
        <w:rPr>
          <w:rFonts w:ascii="Arial" w:hAnsi="Arial" w:cs="Arial"/>
          <w:spacing w:val="-3"/>
        </w:rPr>
        <w:t xml:space="preserve"> </w:t>
      </w:r>
      <w:r w:rsidR="00703BD2">
        <w:rPr>
          <w:rFonts w:ascii="Arial" w:hAnsi="Arial" w:cs="Arial"/>
          <w:sz w:val="26"/>
          <w:szCs w:val="26"/>
        </w:rPr>
        <w:t xml:space="preserve">la acción de </w:t>
      </w:r>
      <w:r w:rsidR="00703BD2" w:rsidRPr="00DC083F">
        <w:rPr>
          <w:rFonts w:ascii="Arial" w:hAnsi="Arial" w:cs="Arial"/>
          <w:sz w:val="26"/>
          <w:szCs w:val="26"/>
        </w:rPr>
        <w:t>amparo</w:t>
      </w:r>
      <w:r w:rsidR="00703BD2">
        <w:rPr>
          <w:rFonts w:ascii="Arial" w:hAnsi="Arial" w:cs="Arial"/>
          <w:sz w:val="26"/>
          <w:szCs w:val="26"/>
        </w:rPr>
        <w:t xml:space="preserve"> contra el </w:t>
      </w:r>
      <w:r w:rsidR="00703BD2" w:rsidRPr="000905F6">
        <w:rPr>
          <w:rFonts w:ascii="Arial" w:hAnsi="Arial" w:cs="Arial"/>
          <w:szCs w:val="28"/>
          <w:lang w:val="es-ES" w:eastAsia="es-ES"/>
        </w:rPr>
        <w:t>JUZGADO</w:t>
      </w:r>
      <w:r w:rsidR="00703BD2">
        <w:rPr>
          <w:rFonts w:ascii="Arial" w:hAnsi="Arial" w:cs="Arial"/>
          <w:szCs w:val="28"/>
          <w:lang w:val="es-ES" w:eastAsia="es-ES"/>
        </w:rPr>
        <w:t xml:space="preserve"> CUARTO </w:t>
      </w:r>
      <w:r w:rsidR="00703BD2" w:rsidRPr="000905F6">
        <w:rPr>
          <w:rFonts w:ascii="Arial" w:hAnsi="Arial" w:cs="Arial"/>
          <w:szCs w:val="28"/>
          <w:lang w:val="es-ES" w:eastAsia="es-ES"/>
        </w:rPr>
        <w:t>CIVIL DEL CIRCUITO DE PEREIRA</w:t>
      </w:r>
      <w:r w:rsidR="00703BD2">
        <w:rPr>
          <w:rFonts w:ascii="Arial" w:hAnsi="Arial" w:cs="Arial"/>
          <w:sz w:val="26"/>
          <w:szCs w:val="26"/>
        </w:rPr>
        <w:t xml:space="preserve">, respecto al radicado </w:t>
      </w:r>
      <w:r w:rsidR="00703BD2" w:rsidRPr="00DE07C1">
        <w:rPr>
          <w:rFonts w:ascii="Arial" w:hAnsi="Arial" w:cs="Arial"/>
          <w:spacing w:val="-3"/>
          <w:sz w:val="26"/>
          <w:szCs w:val="26"/>
        </w:rPr>
        <w:t>66001-22-13-000-2017-00</w:t>
      </w:r>
      <w:r w:rsidR="00703BD2" w:rsidRPr="00094CAB">
        <w:rPr>
          <w:rFonts w:ascii="Arial" w:hAnsi="Arial" w:cs="Arial"/>
          <w:b/>
          <w:spacing w:val="-3"/>
          <w:sz w:val="26"/>
          <w:szCs w:val="26"/>
        </w:rPr>
        <w:t>435</w:t>
      </w:r>
      <w:r w:rsidR="00703BD2" w:rsidRPr="00DE07C1">
        <w:rPr>
          <w:rFonts w:ascii="Arial" w:hAnsi="Arial" w:cs="Arial"/>
          <w:spacing w:val="-3"/>
          <w:sz w:val="26"/>
          <w:szCs w:val="26"/>
        </w:rPr>
        <w:t>-00</w:t>
      </w:r>
      <w:r w:rsidR="00703BD2">
        <w:rPr>
          <w:rFonts w:ascii="Arial" w:hAnsi="Arial" w:cs="Arial"/>
          <w:sz w:val="26"/>
          <w:szCs w:val="26"/>
        </w:rPr>
        <w:t xml:space="preserve">; y se </w:t>
      </w:r>
      <w:r w:rsidR="00703BD2" w:rsidRPr="009576D3">
        <w:rPr>
          <w:rFonts w:ascii="Arial" w:hAnsi="Arial" w:cs="Arial"/>
          <w:szCs w:val="24"/>
        </w:rPr>
        <w:t>DECLARA IMPROCEDENTE</w:t>
      </w:r>
      <w:r w:rsidR="00703BD2">
        <w:rPr>
          <w:rFonts w:ascii="Arial" w:hAnsi="Arial" w:cs="Arial"/>
          <w:szCs w:val="24"/>
        </w:rPr>
        <w:t xml:space="preserve"> </w:t>
      </w:r>
      <w:r w:rsidR="00703BD2">
        <w:rPr>
          <w:rFonts w:ascii="Arial" w:hAnsi="Arial" w:cs="Arial"/>
          <w:sz w:val="26"/>
          <w:szCs w:val="26"/>
        </w:rPr>
        <w:t xml:space="preserve">la radicada </w:t>
      </w:r>
      <w:r w:rsidR="00703BD2" w:rsidRPr="00DE07C1">
        <w:rPr>
          <w:rFonts w:ascii="Arial" w:hAnsi="Arial" w:cs="Arial"/>
          <w:spacing w:val="-3"/>
          <w:sz w:val="26"/>
          <w:szCs w:val="26"/>
        </w:rPr>
        <w:t>66001-22-13-000-2017-00</w:t>
      </w:r>
      <w:r w:rsidR="00703BD2" w:rsidRPr="00094CAB">
        <w:rPr>
          <w:rFonts w:ascii="Arial" w:hAnsi="Arial" w:cs="Arial"/>
          <w:b/>
          <w:spacing w:val="-3"/>
          <w:sz w:val="26"/>
          <w:szCs w:val="26"/>
        </w:rPr>
        <w:t>43</w:t>
      </w:r>
      <w:r w:rsidR="00703BD2">
        <w:rPr>
          <w:rFonts w:ascii="Arial" w:hAnsi="Arial" w:cs="Arial"/>
          <w:b/>
          <w:spacing w:val="-3"/>
          <w:sz w:val="26"/>
          <w:szCs w:val="26"/>
        </w:rPr>
        <w:t>9</w:t>
      </w:r>
      <w:r w:rsidR="00703BD2" w:rsidRPr="00DE07C1">
        <w:rPr>
          <w:rFonts w:ascii="Arial" w:hAnsi="Arial" w:cs="Arial"/>
          <w:spacing w:val="-3"/>
          <w:sz w:val="26"/>
          <w:szCs w:val="26"/>
        </w:rPr>
        <w:t>-00</w:t>
      </w:r>
      <w:r w:rsidR="00703BD2" w:rsidRPr="00DC083F">
        <w:rPr>
          <w:rFonts w:ascii="Arial" w:hAnsi="Arial" w:cs="Arial"/>
          <w:sz w:val="26"/>
          <w:szCs w:val="26"/>
        </w:rPr>
        <w:t xml:space="preserve">, </w:t>
      </w:r>
      <w:r w:rsidR="00703BD2">
        <w:rPr>
          <w:rFonts w:ascii="Arial" w:hAnsi="Arial" w:cs="Arial"/>
          <w:sz w:val="26"/>
          <w:szCs w:val="26"/>
        </w:rPr>
        <w:t xml:space="preserve">en lo que tiene que ver con la solicitud de desarchivo de la acción </w:t>
      </w:r>
      <w:r w:rsidR="00703BD2" w:rsidRPr="009E0AFC">
        <w:rPr>
          <w:rFonts w:ascii="Arial" w:hAnsi="Arial" w:cs="Arial"/>
          <w:sz w:val="26"/>
          <w:szCs w:val="26"/>
          <w:lang w:val="es-ES_tradnl"/>
        </w:rPr>
        <w:t>popular</w:t>
      </w:r>
      <w:r w:rsidR="00703BD2">
        <w:rPr>
          <w:rFonts w:ascii="Arial" w:hAnsi="Arial" w:cs="Arial"/>
          <w:sz w:val="26"/>
          <w:szCs w:val="26"/>
          <w:lang w:val="es-ES_tradnl"/>
        </w:rPr>
        <w:t xml:space="preserve"> radicada </w:t>
      </w:r>
      <w:r w:rsidR="00703BD2" w:rsidRPr="00244EF2">
        <w:rPr>
          <w:rFonts w:ascii="Arial" w:hAnsi="Arial" w:cs="Arial"/>
          <w:sz w:val="24"/>
          <w:szCs w:val="26"/>
        </w:rPr>
        <w:t>201</w:t>
      </w:r>
      <w:r w:rsidR="00703BD2">
        <w:rPr>
          <w:rFonts w:ascii="Arial" w:hAnsi="Arial" w:cs="Arial"/>
          <w:sz w:val="24"/>
          <w:szCs w:val="26"/>
        </w:rPr>
        <w:t>4</w:t>
      </w:r>
      <w:r w:rsidR="00703BD2" w:rsidRPr="00244EF2">
        <w:rPr>
          <w:rFonts w:ascii="Arial" w:hAnsi="Arial" w:cs="Arial"/>
          <w:sz w:val="24"/>
          <w:szCs w:val="26"/>
        </w:rPr>
        <w:t>-</w:t>
      </w:r>
      <w:r w:rsidR="00703BD2">
        <w:rPr>
          <w:rFonts w:ascii="Arial" w:hAnsi="Arial" w:cs="Arial"/>
          <w:sz w:val="24"/>
          <w:szCs w:val="26"/>
        </w:rPr>
        <w:t>00</w:t>
      </w:r>
      <w:r w:rsidR="00703BD2">
        <w:rPr>
          <w:rFonts w:ascii="Arial" w:hAnsi="Arial" w:cs="Arial"/>
          <w:b/>
          <w:sz w:val="24"/>
          <w:szCs w:val="26"/>
        </w:rPr>
        <w:t>145</w:t>
      </w:r>
      <w:r w:rsidR="00703BD2"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F403DE">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F403DE">
        <w:rPr>
          <w:rFonts w:ascii="Arial" w:hAnsi="Arial" w:cs="Arial"/>
          <w:sz w:val="26"/>
          <w:szCs w:val="26"/>
        </w:rPr>
        <w:t xml:space="preserve"> </w:t>
      </w:r>
      <w:r w:rsidRPr="002C32B0">
        <w:rPr>
          <w:rFonts w:ascii="Arial" w:hAnsi="Arial" w:cs="Arial"/>
          <w:sz w:val="26"/>
          <w:szCs w:val="26"/>
          <w:lang w:val="es-ES" w:eastAsia="es-ES"/>
        </w:rPr>
        <w:t>la</w:t>
      </w:r>
      <w:r w:rsidR="00F403DE">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F403DE">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F403DE">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703BD2">
        <w:rPr>
          <w:rFonts w:ascii="Arial" w:hAnsi="Arial" w:cs="Arial"/>
          <w:sz w:val="26"/>
          <w:szCs w:val="26"/>
          <w:lang w:val="es-ES" w:eastAsia="es-ES"/>
        </w:rPr>
        <w:t>ambas de la R</w:t>
      </w:r>
      <w:r w:rsidR="00703BD2" w:rsidRPr="00E96ECC">
        <w:rPr>
          <w:rFonts w:ascii="Arial" w:hAnsi="Arial" w:cs="Arial"/>
          <w:sz w:val="26"/>
          <w:szCs w:val="26"/>
          <w:lang w:val="es-ES" w:eastAsia="es-ES"/>
        </w:rPr>
        <w:t>egional Risaralda</w:t>
      </w:r>
      <w:r w:rsidR="00703BD2">
        <w:rPr>
          <w:rFonts w:ascii="Arial" w:hAnsi="Arial" w:cs="Arial"/>
          <w:sz w:val="26"/>
          <w:szCs w:val="26"/>
          <w:lang w:val="es-ES" w:eastAsia="es-ES"/>
        </w:rPr>
        <w:t xml:space="preserve">, a </w:t>
      </w:r>
      <w:r w:rsidR="00703BD2" w:rsidRPr="00203126">
        <w:rPr>
          <w:rFonts w:ascii="Arial" w:hAnsi="Arial" w:cs="Arial"/>
          <w:szCs w:val="26"/>
          <w:lang w:val="es-ES" w:eastAsia="es-ES"/>
        </w:rPr>
        <w:t xml:space="preserve">SALUD TOTAL EPS SA </w:t>
      </w:r>
      <w:r w:rsidR="00703BD2">
        <w:rPr>
          <w:rFonts w:ascii="Arial" w:hAnsi="Arial" w:cs="Arial"/>
          <w:sz w:val="26"/>
          <w:szCs w:val="26"/>
          <w:lang w:val="es-ES" w:eastAsia="es-ES"/>
        </w:rPr>
        <w:t xml:space="preserve">y al </w:t>
      </w:r>
      <w:r w:rsidR="00703BD2" w:rsidRPr="009A3A85">
        <w:rPr>
          <w:rFonts w:ascii="Arial" w:hAnsi="Arial" w:cs="Arial"/>
          <w:szCs w:val="26"/>
          <w:lang w:val="es-ES" w:eastAsia="es-ES"/>
        </w:rPr>
        <w:t>BANCO DAVIVIENDA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F403DE">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F403DE">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F403DE">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Default="00AE243A" w:rsidP="00AE243A">
      <w:pPr>
        <w:pStyle w:val="Sinespaciado1"/>
        <w:spacing w:line="360" w:lineRule="auto"/>
        <w:ind w:firstLine="2835"/>
        <w:jc w:val="both"/>
        <w:rPr>
          <w:rFonts w:ascii="Arial" w:hAnsi="Arial" w:cs="Arial"/>
          <w:spacing w:val="-3"/>
          <w:sz w:val="16"/>
          <w:szCs w:val="26"/>
        </w:rPr>
      </w:pPr>
    </w:p>
    <w:p w:rsidR="00967094" w:rsidRDefault="00967094" w:rsidP="00AE243A">
      <w:pPr>
        <w:pStyle w:val="Sinespaciado1"/>
        <w:spacing w:line="360" w:lineRule="auto"/>
        <w:ind w:firstLine="2835"/>
        <w:jc w:val="both"/>
        <w:rPr>
          <w:rFonts w:ascii="Arial" w:hAnsi="Arial" w:cs="Arial"/>
          <w:spacing w:val="-3"/>
          <w:sz w:val="16"/>
          <w:szCs w:val="26"/>
        </w:rPr>
      </w:pPr>
    </w:p>
    <w:p w:rsidR="00967094" w:rsidRPr="00FA5E0E" w:rsidRDefault="00967094"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F82BD3" w:rsidRDefault="00AE243A" w:rsidP="00BA20C9">
      <w:pPr>
        <w:pStyle w:val="Sinespaciado1"/>
        <w:spacing w:line="360" w:lineRule="auto"/>
        <w:jc w:val="both"/>
        <w:rPr>
          <w:rFonts w:ascii="Arial" w:hAnsi="Arial" w:cs="Arial"/>
          <w:b/>
          <w:spacing w:val="-3"/>
        </w:rPr>
      </w:pPr>
    </w:p>
    <w:p w:rsidR="006D2DC9" w:rsidRPr="00F82BD3" w:rsidRDefault="006D2DC9" w:rsidP="00BA20C9">
      <w:pPr>
        <w:pStyle w:val="Sinespaciado1"/>
        <w:spacing w:line="360" w:lineRule="auto"/>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EDDER JIMMY SÁNCHEZ CALAMBÁS</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JAIME ALBERTO SARAZA NARANJO</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rPr>
      </w:pPr>
    </w:p>
    <w:p w:rsidR="004A3207" w:rsidRPr="007B43FF" w:rsidRDefault="00AE243A" w:rsidP="007B43FF">
      <w:pPr>
        <w:pStyle w:val="Sinespaciado1"/>
        <w:spacing w:line="360" w:lineRule="auto"/>
        <w:ind w:firstLine="2835"/>
        <w:jc w:val="both"/>
        <w:rPr>
          <w:rFonts w:ascii="Arial" w:hAnsi="Arial" w:cs="Arial"/>
          <w:b/>
        </w:rPr>
      </w:pPr>
      <w:r w:rsidRPr="00F82BD3">
        <w:rPr>
          <w:rFonts w:ascii="Arial" w:hAnsi="Arial" w:cs="Arial"/>
          <w:b/>
        </w:rPr>
        <w:t>CLAUDIA MARÍA ARCILA RÍOS</w:t>
      </w:r>
    </w:p>
    <w:sectPr w:rsidR="004A3207" w:rsidRPr="007B43FF"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00" w:rsidRDefault="00BF5D00" w:rsidP="00AE243A">
      <w:r>
        <w:separator/>
      </w:r>
    </w:p>
  </w:endnote>
  <w:endnote w:type="continuationSeparator" w:id="0">
    <w:p w:rsidR="00BF5D00" w:rsidRDefault="00BF5D0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C20846">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33FE">
      <w:rPr>
        <w:rFonts w:ascii="Arial" w:hAnsi="Arial" w:cs="Arial"/>
        <w:noProof/>
        <w:sz w:val="22"/>
        <w:szCs w:val="22"/>
      </w:rPr>
      <w:t>1</w:t>
    </w:r>
    <w:r w:rsidRPr="00B97631">
      <w:rPr>
        <w:rFonts w:ascii="Arial" w:hAnsi="Arial" w:cs="Arial"/>
        <w:sz w:val="22"/>
        <w:szCs w:val="22"/>
      </w:rPr>
      <w:fldChar w:fldCharType="end"/>
    </w:r>
  </w:p>
  <w:p w:rsidR="0081398C" w:rsidRDefault="00BF5D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00" w:rsidRDefault="00BF5D00" w:rsidP="00AE243A">
      <w:r>
        <w:separator/>
      </w:r>
    </w:p>
  </w:footnote>
  <w:footnote w:type="continuationSeparator" w:id="0">
    <w:p w:rsidR="00BF5D00" w:rsidRDefault="00BF5D00"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55947" w:rsidRPr="00F54D4C" w:rsidRDefault="00455947" w:rsidP="00455947">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w:t>
      </w:r>
      <w:r w:rsidRPr="00455947">
        <w:rPr>
          <w:rFonts w:ascii="Verdana" w:hAnsi="Verdana"/>
          <w:bCs/>
          <w:sz w:val="18"/>
          <w:szCs w:val="18"/>
        </w:rPr>
        <w:t>T-231-08, en la que transcribió apartes de la sentencia SU-713 de 2006</w:t>
      </w:r>
      <w:r w:rsidRPr="00F54D4C">
        <w:rPr>
          <w:rFonts w:ascii="Verdana" w:hAnsi="Verdana"/>
          <w:bCs/>
          <w:sz w:val="18"/>
          <w:szCs w:val="18"/>
        </w:rPr>
        <w:t>.</w:t>
      </w:r>
    </w:p>
    <w:p w:rsidR="00455947" w:rsidRPr="00F54D4C" w:rsidRDefault="00455947" w:rsidP="00455947">
      <w:pPr>
        <w:pStyle w:val="Notedebasdepage"/>
        <w:jc w:val="both"/>
        <w:rPr>
          <w:rFonts w:ascii="Verdana" w:hAnsi="Verdana"/>
          <w:sz w:val="18"/>
          <w:szCs w:val="18"/>
        </w:rPr>
      </w:pPr>
    </w:p>
  </w:footnote>
  <w:footnote w:id="3">
    <w:p w:rsidR="00455947" w:rsidRPr="002F5466" w:rsidRDefault="00455947" w:rsidP="00455947">
      <w:pPr>
        <w:pStyle w:val="Notedebasdepage"/>
        <w:jc w:val="both"/>
        <w:rPr>
          <w:rFonts w:ascii="Agency FB" w:hAnsi="Agency FB"/>
          <w:sz w:val="24"/>
          <w:szCs w:val="24"/>
        </w:rPr>
      </w:pPr>
      <w:r w:rsidRPr="002F5466">
        <w:rPr>
          <w:rStyle w:val="Appelnotedebasdep"/>
          <w:rFonts w:ascii="Agency FB" w:hAnsi="Agency FB"/>
          <w:sz w:val="24"/>
          <w:szCs w:val="24"/>
        </w:rPr>
        <w:footnoteRef/>
      </w:r>
      <w:r w:rsidRPr="002F5466">
        <w:rPr>
          <w:rFonts w:ascii="Agency FB" w:hAnsi="Agency FB"/>
          <w:sz w:val="24"/>
          <w:szCs w:val="24"/>
        </w:rPr>
        <w:t xml:space="preserve">   Subrayado por fuera del texto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F5D00" w:rsidP="002C5601">
    <w:pPr>
      <w:pStyle w:val="Sinespaciado1"/>
      <w:rPr>
        <w:rFonts w:ascii="Arial" w:hAnsi="Arial" w:cs="Arial"/>
        <w:sz w:val="16"/>
        <w:szCs w:val="16"/>
      </w:rPr>
    </w:pPr>
  </w:p>
  <w:p w:rsidR="0081398C" w:rsidRPr="005643A9" w:rsidRDefault="00BF5D00"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203126">
      <w:rPr>
        <w:rFonts w:ascii="Arial" w:hAnsi="Arial" w:cs="Arial"/>
        <w:sz w:val="16"/>
        <w:szCs w:val="16"/>
      </w:rPr>
      <w:t>s:</w:t>
    </w:r>
    <w:r w:rsidR="00203126">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203126">
      <w:rPr>
        <w:rFonts w:ascii="Arial" w:hAnsi="Arial" w:cs="Arial"/>
        <w:sz w:val="16"/>
        <w:szCs w:val="16"/>
      </w:rPr>
      <w:t>4</w:t>
    </w:r>
    <w:r w:rsidR="00F325FE">
      <w:rPr>
        <w:rFonts w:ascii="Arial" w:hAnsi="Arial" w:cs="Arial"/>
        <w:sz w:val="16"/>
        <w:szCs w:val="16"/>
      </w:rPr>
      <w:t>3</w:t>
    </w:r>
    <w:r w:rsidR="007D7F72">
      <w:rPr>
        <w:rFonts w:ascii="Arial" w:hAnsi="Arial" w:cs="Arial"/>
        <w:sz w:val="16"/>
        <w:szCs w:val="16"/>
      </w:rPr>
      <w:t>5</w:t>
    </w:r>
    <w:r w:rsidR="00AE243A" w:rsidRPr="00014395">
      <w:rPr>
        <w:rFonts w:ascii="Arial" w:hAnsi="Arial" w:cs="Arial"/>
        <w:sz w:val="16"/>
        <w:szCs w:val="16"/>
      </w:rPr>
      <w:t>-00</w:t>
    </w:r>
  </w:p>
  <w:p w:rsidR="00203126" w:rsidRPr="005643A9" w:rsidRDefault="00203126"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66001-22-13-000-2017-00439</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10BA5"/>
    <w:rsid w:val="00094CAB"/>
    <w:rsid w:val="000C3964"/>
    <w:rsid w:val="000D15E9"/>
    <w:rsid w:val="000E3CFC"/>
    <w:rsid w:val="00132ABC"/>
    <w:rsid w:val="0015441D"/>
    <w:rsid w:val="00164C0B"/>
    <w:rsid w:val="001A4168"/>
    <w:rsid w:val="001A7C70"/>
    <w:rsid w:val="001C2400"/>
    <w:rsid w:val="001F3B6A"/>
    <w:rsid w:val="00203126"/>
    <w:rsid w:val="002235AE"/>
    <w:rsid w:val="00226088"/>
    <w:rsid w:val="002D1290"/>
    <w:rsid w:val="002E4B4A"/>
    <w:rsid w:val="002F7C30"/>
    <w:rsid w:val="00312D34"/>
    <w:rsid w:val="003527FA"/>
    <w:rsid w:val="00357698"/>
    <w:rsid w:val="00367510"/>
    <w:rsid w:val="003D0A9A"/>
    <w:rsid w:val="003E27A5"/>
    <w:rsid w:val="003F2EC4"/>
    <w:rsid w:val="00423C2B"/>
    <w:rsid w:val="00432137"/>
    <w:rsid w:val="00435E28"/>
    <w:rsid w:val="00437B37"/>
    <w:rsid w:val="00455947"/>
    <w:rsid w:val="004606D6"/>
    <w:rsid w:val="004747D5"/>
    <w:rsid w:val="004A3207"/>
    <w:rsid w:val="004B0C81"/>
    <w:rsid w:val="005305C1"/>
    <w:rsid w:val="00531EC7"/>
    <w:rsid w:val="0054132A"/>
    <w:rsid w:val="00565424"/>
    <w:rsid w:val="0057044F"/>
    <w:rsid w:val="005967CA"/>
    <w:rsid w:val="005A5FC9"/>
    <w:rsid w:val="005B36E7"/>
    <w:rsid w:val="005F26B0"/>
    <w:rsid w:val="0060339E"/>
    <w:rsid w:val="006169E2"/>
    <w:rsid w:val="0065369F"/>
    <w:rsid w:val="00666127"/>
    <w:rsid w:val="00674B15"/>
    <w:rsid w:val="00690547"/>
    <w:rsid w:val="00695158"/>
    <w:rsid w:val="0069710E"/>
    <w:rsid w:val="006A68C7"/>
    <w:rsid w:val="006A7EF2"/>
    <w:rsid w:val="006D2DC9"/>
    <w:rsid w:val="006D4466"/>
    <w:rsid w:val="006F2871"/>
    <w:rsid w:val="00703BD2"/>
    <w:rsid w:val="00744E75"/>
    <w:rsid w:val="00766809"/>
    <w:rsid w:val="00766F63"/>
    <w:rsid w:val="00767108"/>
    <w:rsid w:val="007A6E29"/>
    <w:rsid w:val="007B43FF"/>
    <w:rsid w:val="007D5894"/>
    <w:rsid w:val="007D7F72"/>
    <w:rsid w:val="00803058"/>
    <w:rsid w:val="00854C62"/>
    <w:rsid w:val="00857AD0"/>
    <w:rsid w:val="008810B4"/>
    <w:rsid w:val="008B5F39"/>
    <w:rsid w:val="008C3749"/>
    <w:rsid w:val="008D6BEF"/>
    <w:rsid w:val="0091731B"/>
    <w:rsid w:val="00943918"/>
    <w:rsid w:val="00955F43"/>
    <w:rsid w:val="00967094"/>
    <w:rsid w:val="00972E98"/>
    <w:rsid w:val="009826AE"/>
    <w:rsid w:val="009A043E"/>
    <w:rsid w:val="009C274F"/>
    <w:rsid w:val="00A3179D"/>
    <w:rsid w:val="00A33337"/>
    <w:rsid w:val="00A363D4"/>
    <w:rsid w:val="00A36CB3"/>
    <w:rsid w:val="00A55E34"/>
    <w:rsid w:val="00A64EFC"/>
    <w:rsid w:val="00A660B9"/>
    <w:rsid w:val="00AB3444"/>
    <w:rsid w:val="00AE243A"/>
    <w:rsid w:val="00B50912"/>
    <w:rsid w:val="00B61F99"/>
    <w:rsid w:val="00B71639"/>
    <w:rsid w:val="00B96AD1"/>
    <w:rsid w:val="00BA20C9"/>
    <w:rsid w:val="00BC5B2C"/>
    <w:rsid w:val="00BF5D00"/>
    <w:rsid w:val="00C11B2B"/>
    <w:rsid w:val="00C20846"/>
    <w:rsid w:val="00C52D41"/>
    <w:rsid w:val="00C924B7"/>
    <w:rsid w:val="00CB0752"/>
    <w:rsid w:val="00CB5056"/>
    <w:rsid w:val="00CC33FE"/>
    <w:rsid w:val="00CC3BFA"/>
    <w:rsid w:val="00CF0555"/>
    <w:rsid w:val="00D11191"/>
    <w:rsid w:val="00D3550E"/>
    <w:rsid w:val="00D54574"/>
    <w:rsid w:val="00D900B5"/>
    <w:rsid w:val="00DB3464"/>
    <w:rsid w:val="00DC083F"/>
    <w:rsid w:val="00DD1E33"/>
    <w:rsid w:val="00DF2142"/>
    <w:rsid w:val="00DF72A3"/>
    <w:rsid w:val="00E34062"/>
    <w:rsid w:val="00E60C1D"/>
    <w:rsid w:val="00ED5675"/>
    <w:rsid w:val="00F325FE"/>
    <w:rsid w:val="00F403DE"/>
    <w:rsid w:val="00F5507E"/>
    <w:rsid w:val="00F82BD3"/>
    <w:rsid w:val="00F90902"/>
    <w:rsid w:val="00F91129"/>
    <w:rsid w:val="00FC400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Retraitcorpsdetexte">
    <w:name w:val="Body Text Indent"/>
    <w:basedOn w:val="Normal"/>
    <w:link w:val="RetraitcorpsdetexteCar"/>
    <w:rsid w:val="00455947"/>
    <w:pPr>
      <w:overflowPunct w:val="0"/>
      <w:autoSpaceDE w:val="0"/>
      <w:autoSpaceDN w:val="0"/>
      <w:adjustRightInd w:val="0"/>
      <w:spacing w:after="120"/>
      <w:ind w:left="283"/>
      <w:textAlignment w:val="baseline"/>
    </w:pPr>
    <w:rPr>
      <w:rFonts w:eastAsia="Times New Roman"/>
    </w:rPr>
  </w:style>
  <w:style w:type="character" w:customStyle="1" w:styleId="RetraitcorpsdetexteCar">
    <w:name w:val="Retrait corps de texte Car"/>
    <w:basedOn w:val="Policepardfaut"/>
    <w:link w:val="Retraitcorpsdetexte"/>
    <w:rsid w:val="00455947"/>
    <w:rPr>
      <w:rFonts w:ascii="Times New Roman" w:eastAsia="Times New Roman" w:hAnsi="Times New Roman" w:cs="Times New Roman"/>
      <w:sz w:val="20"/>
      <w:szCs w:val="20"/>
      <w:lang w:val="es-ES" w:eastAsia="es-ES"/>
    </w:rPr>
  </w:style>
  <w:style w:type="paragraph" w:customStyle="1" w:styleId="BodyText25">
    <w:name w:val="Body Text 25"/>
    <w:basedOn w:val="Normal"/>
    <w:rsid w:val="00455947"/>
    <w:pPr>
      <w:ind w:right="51"/>
      <w:jc w:val="both"/>
    </w:pPr>
    <w:rPr>
      <w:rFonts w:ascii="Arial" w:eastAsia="Times New Roman" w:hAnsi="Arial"/>
      <w:sz w:val="28"/>
    </w:rPr>
  </w:style>
  <w:style w:type="paragraph" w:styleId="Sansinterligne">
    <w:name w:val="No Spacing"/>
    <w:link w:val="SansinterligneCar"/>
    <w:uiPriority w:val="1"/>
    <w:qFormat/>
    <w:rsid w:val="00CC33FE"/>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CC33FE"/>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Retraitcorpsdetexte">
    <w:name w:val="Body Text Indent"/>
    <w:basedOn w:val="Normal"/>
    <w:link w:val="RetraitcorpsdetexteCar"/>
    <w:rsid w:val="00455947"/>
    <w:pPr>
      <w:overflowPunct w:val="0"/>
      <w:autoSpaceDE w:val="0"/>
      <w:autoSpaceDN w:val="0"/>
      <w:adjustRightInd w:val="0"/>
      <w:spacing w:after="120"/>
      <w:ind w:left="283"/>
      <w:textAlignment w:val="baseline"/>
    </w:pPr>
    <w:rPr>
      <w:rFonts w:eastAsia="Times New Roman"/>
    </w:rPr>
  </w:style>
  <w:style w:type="character" w:customStyle="1" w:styleId="RetraitcorpsdetexteCar">
    <w:name w:val="Retrait corps de texte Car"/>
    <w:basedOn w:val="Policepardfaut"/>
    <w:link w:val="Retraitcorpsdetexte"/>
    <w:rsid w:val="00455947"/>
    <w:rPr>
      <w:rFonts w:ascii="Times New Roman" w:eastAsia="Times New Roman" w:hAnsi="Times New Roman" w:cs="Times New Roman"/>
      <w:sz w:val="20"/>
      <w:szCs w:val="20"/>
      <w:lang w:val="es-ES" w:eastAsia="es-ES"/>
    </w:rPr>
  </w:style>
  <w:style w:type="paragraph" w:customStyle="1" w:styleId="BodyText25">
    <w:name w:val="Body Text 25"/>
    <w:basedOn w:val="Normal"/>
    <w:rsid w:val="00455947"/>
    <w:pPr>
      <w:ind w:right="51"/>
      <w:jc w:val="both"/>
    </w:pPr>
    <w:rPr>
      <w:rFonts w:ascii="Arial" w:eastAsia="Times New Roman" w:hAnsi="Arial"/>
      <w:sz w:val="28"/>
    </w:rPr>
  </w:style>
  <w:style w:type="paragraph" w:styleId="Sansinterligne">
    <w:name w:val="No Spacing"/>
    <w:link w:val="SansinterligneCar"/>
    <w:uiPriority w:val="1"/>
    <w:qFormat/>
    <w:rsid w:val="00CC33FE"/>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CC33FE"/>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0CF7-420A-4371-B5CF-88FD756F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2149</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15</cp:revision>
  <cp:lastPrinted>2017-05-11T20:41:00Z</cp:lastPrinted>
  <dcterms:created xsi:type="dcterms:W3CDTF">2017-05-11T14:18:00Z</dcterms:created>
  <dcterms:modified xsi:type="dcterms:W3CDTF">2017-06-26T21:26:00Z</dcterms:modified>
</cp:coreProperties>
</file>