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77" w:rsidRDefault="006A4C77" w:rsidP="006A4C7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6A4C77" w:rsidRPr="004E6D22" w:rsidRDefault="006A4C77" w:rsidP="006A4C77">
      <w:pPr>
        <w:pStyle w:val="Sinespaciado"/>
        <w:rPr>
          <w:sz w:val="18"/>
          <w:szCs w:val="18"/>
        </w:rPr>
      </w:pPr>
    </w:p>
    <w:p w:rsidR="006A4C77" w:rsidRPr="004E6D22" w:rsidRDefault="006A4C77" w:rsidP="006A4C77">
      <w:pPr>
        <w:pStyle w:val="Sinespaciado"/>
        <w:rPr>
          <w:sz w:val="18"/>
          <w:szCs w:val="18"/>
        </w:rPr>
      </w:pPr>
      <w:r w:rsidRPr="004E6D22">
        <w:rPr>
          <w:sz w:val="18"/>
          <w:szCs w:val="18"/>
        </w:rPr>
        <w:t>Providencia:</w:t>
      </w:r>
      <w:r w:rsidRPr="004E6D22">
        <w:rPr>
          <w:sz w:val="18"/>
          <w:szCs w:val="18"/>
        </w:rPr>
        <w:tab/>
      </w:r>
      <w:r w:rsidRPr="004E6D22">
        <w:rPr>
          <w:sz w:val="18"/>
          <w:szCs w:val="18"/>
        </w:rPr>
        <w:tab/>
      </w:r>
      <w:r w:rsidRPr="004E6D22">
        <w:rPr>
          <w:sz w:val="18"/>
          <w:szCs w:val="18"/>
        </w:rPr>
        <w:tab/>
      </w:r>
      <w:r>
        <w:rPr>
          <w:sz w:val="18"/>
          <w:szCs w:val="18"/>
        </w:rPr>
        <w:t>REVISIÓN</w:t>
      </w:r>
      <w:r w:rsidRPr="004E6D22">
        <w:rPr>
          <w:sz w:val="18"/>
          <w:szCs w:val="18"/>
        </w:rPr>
        <w:t xml:space="preserve"> – 2ª instancia – </w:t>
      </w:r>
      <w:r>
        <w:rPr>
          <w:sz w:val="18"/>
          <w:szCs w:val="18"/>
        </w:rPr>
        <w:t>05</w:t>
      </w:r>
      <w:r>
        <w:rPr>
          <w:sz w:val="18"/>
          <w:szCs w:val="18"/>
        </w:rPr>
        <w:t xml:space="preserve"> de jun</w:t>
      </w:r>
      <w:r w:rsidRPr="004E6D22">
        <w:rPr>
          <w:sz w:val="18"/>
          <w:szCs w:val="18"/>
        </w:rPr>
        <w:t>io de 2017</w:t>
      </w:r>
    </w:p>
    <w:p w:rsidR="006A4C77" w:rsidRPr="004E6D22" w:rsidRDefault="006A4C77" w:rsidP="006A4C77">
      <w:pPr>
        <w:pStyle w:val="Sinespaciado"/>
        <w:rPr>
          <w:sz w:val="18"/>
          <w:szCs w:val="18"/>
        </w:rPr>
      </w:pPr>
      <w:r w:rsidRPr="004E6D22">
        <w:rPr>
          <w:sz w:val="18"/>
          <w:szCs w:val="18"/>
        </w:rPr>
        <w:t xml:space="preserve">Proceso: </w:t>
      </w:r>
      <w:r w:rsidRPr="004E6D22">
        <w:rPr>
          <w:sz w:val="18"/>
          <w:szCs w:val="18"/>
        </w:rPr>
        <w:tab/>
      </w:r>
      <w:r w:rsidRPr="004E6D22">
        <w:rPr>
          <w:sz w:val="18"/>
          <w:szCs w:val="18"/>
        </w:rPr>
        <w:tab/>
      </w:r>
      <w:r w:rsidRPr="004E6D22">
        <w:rPr>
          <w:sz w:val="18"/>
          <w:szCs w:val="18"/>
        </w:rPr>
        <w:tab/>
      </w:r>
      <w:r w:rsidRPr="004E6D22">
        <w:rPr>
          <w:sz w:val="18"/>
          <w:szCs w:val="18"/>
        </w:rPr>
        <w:tab/>
      </w:r>
      <w:r>
        <w:rPr>
          <w:sz w:val="18"/>
          <w:szCs w:val="18"/>
        </w:rPr>
        <w:t>Simulación</w:t>
      </w:r>
    </w:p>
    <w:p w:rsidR="006A4C77" w:rsidRPr="004E6D22" w:rsidRDefault="006A4C77" w:rsidP="006A4C77">
      <w:pPr>
        <w:pStyle w:val="Sinespaciado"/>
        <w:rPr>
          <w:sz w:val="18"/>
          <w:szCs w:val="18"/>
        </w:rPr>
      </w:pPr>
      <w:r w:rsidRPr="004E6D22">
        <w:rPr>
          <w:sz w:val="18"/>
          <w:szCs w:val="18"/>
        </w:rPr>
        <w:t>Radicación Nro. :</w:t>
      </w:r>
      <w:r w:rsidRPr="004E6D22">
        <w:rPr>
          <w:sz w:val="18"/>
          <w:szCs w:val="18"/>
        </w:rPr>
        <w:tab/>
        <w:t xml:space="preserve">  </w:t>
      </w:r>
      <w:r w:rsidRPr="004E6D22">
        <w:rPr>
          <w:sz w:val="18"/>
          <w:szCs w:val="18"/>
        </w:rPr>
        <w:tab/>
      </w:r>
      <w:r w:rsidRPr="004E6D22">
        <w:rPr>
          <w:sz w:val="18"/>
          <w:szCs w:val="18"/>
        </w:rPr>
        <w:tab/>
      </w:r>
      <w:r w:rsidRPr="006A4C77">
        <w:rPr>
          <w:sz w:val="18"/>
          <w:szCs w:val="18"/>
        </w:rPr>
        <w:t>66001-22-13-000-2015-00525-00</w:t>
      </w:r>
    </w:p>
    <w:p w:rsidR="006A4C77" w:rsidRPr="004E6D22" w:rsidRDefault="006A4C77" w:rsidP="006A4C77">
      <w:pPr>
        <w:pStyle w:val="Sinespaciado"/>
        <w:rPr>
          <w:sz w:val="18"/>
          <w:szCs w:val="18"/>
        </w:rPr>
      </w:pPr>
      <w:r w:rsidRPr="004E6D22">
        <w:rPr>
          <w:sz w:val="18"/>
          <w:szCs w:val="18"/>
        </w:rPr>
        <w:t>Demandante:</w:t>
      </w:r>
      <w:r w:rsidRPr="004E6D22">
        <w:rPr>
          <w:sz w:val="18"/>
          <w:szCs w:val="18"/>
        </w:rPr>
        <w:tab/>
      </w:r>
      <w:r w:rsidRPr="004E6D22">
        <w:rPr>
          <w:sz w:val="18"/>
          <w:szCs w:val="18"/>
        </w:rPr>
        <w:tab/>
      </w:r>
      <w:r w:rsidRPr="004E6D22">
        <w:rPr>
          <w:sz w:val="18"/>
          <w:szCs w:val="18"/>
        </w:rPr>
        <w:tab/>
      </w:r>
      <w:r w:rsidRPr="006A4C77">
        <w:rPr>
          <w:sz w:val="18"/>
          <w:szCs w:val="18"/>
        </w:rPr>
        <w:t>MARINA GÓMEZ FRANCO</w:t>
      </w:r>
    </w:p>
    <w:p w:rsidR="006A4C77" w:rsidRDefault="006A4C77" w:rsidP="006A4C77">
      <w:pPr>
        <w:pStyle w:val="Sinespaciado"/>
        <w:rPr>
          <w:sz w:val="18"/>
          <w:szCs w:val="18"/>
        </w:rPr>
      </w:pPr>
      <w:r w:rsidRPr="004E6D22">
        <w:rPr>
          <w:sz w:val="18"/>
          <w:szCs w:val="18"/>
        </w:rPr>
        <w:t>Demandado:</w:t>
      </w:r>
      <w:r w:rsidRPr="004E6D22">
        <w:rPr>
          <w:sz w:val="18"/>
          <w:szCs w:val="18"/>
        </w:rPr>
        <w:tab/>
      </w:r>
      <w:r w:rsidRPr="004E6D22">
        <w:rPr>
          <w:sz w:val="18"/>
          <w:szCs w:val="18"/>
        </w:rPr>
        <w:tab/>
      </w:r>
      <w:r w:rsidRPr="004E6D22">
        <w:rPr>
          <w:sz w:val="18"/>
          <w:szCs w:val="18"/>
        </w:rPr>
        <w:tab/>
      </w:r>
      <w:r w:rsidRPr="006A4C77">
        <w:rPr>
          <w:sz w:val="18"/>
          <w:szCs w:val="18"/>
        </w:rPr>
        <w:t xml:space="preserve">CLAUDIA MILENA VILLEGAS PÉREZ </w:t>
      </w:r>
    </w:p>
    <w:p w:rsidR="006A4C77" w:rsidRPr="004E6D22" w:rsidRDefault="006A4C77" w:rsidP="006A4C77">
      <w:pPr>
        <w:pStyle w:val="Sinespaciado"/>
        <w:rPr>
          <w:sz w:val="18"/>
          <w:szCs w:val="18"/>
        </w:rPr>
      </w:pPr>
      <w:r w:rsidRPr="004E6D22">
        <w:rPr>
          <w:sz w:val="18"/>
          <w:szCs w:val="18"/>
        </w:rPr>
        <w:t xml:space="preserve">Magistrado Sustanciador:  </w:t>
      </w:r>
      <w:r w:rsidRPr="004E6D22">
        <w:rPr>
          <w:sz w:val="18"/>
          <w:szCs w:val="18"/>
        </w:rPr>
        <w:tab/>
      </w:r>
      <w:r w:rsidRPr="004E6D22">
        <w:rPr>
          <w:sz w:val="18"/>
          <w:szCs w:val="18"/>
        </w:rPr>
        <w:tab/>
      </w:r>
      <w:proofErr w:type="spellStart"/>
      <w:r w:rsidRPr="004E6D22">
        <w:rPr>
          <w:sz w:val="18"/>
          <w:szCs w:val="18"/>
        </w:rPr>
        <w:t>EDDER</w:t>
      </w:r>
      <w:proofErr w:type="spellEnd"/>
      <w:r w:rsidRPr="004E6D22">
        <w:rPr>
          <w:sz w:val="18"/>
          <w:szCs w:val="18"/>
        </w:rPr>
        <w:t xml:space="preserve"> JIMMY SÁNCHEZ </w:t>
      </w:r>
      <w:proofErr w:type="spellStart"/>
      <w:r w:rsidRPr="004E6D22">
        <w:rPr>
          <w:sz w:val="18"/>
          <w:szCs w:val="18"/>
        </w:rPr>
        <w:t>CALAMBÁS</w:t>
      </w:r>
      <w:proofErr w:type="spellEnd"/>
    </w:p>
    <w:p w:rsidR="006A4C77" w:rsidRPr="004E6D22" w:rsidRDefault="006A4C77" w:rsidP="006A4C77">
      <w:pPr>
        <w:pStyle w:val="Sinespaciado"/>
        <w:rPr>
          <w:sz w:val="18"/>
          <w:szCs w:val="18"/>
        </w:rPr>
      </w:pPr>
    </w:p>
    <w:p w:rsidR="0044599E" w:rsidRDefault="006A4C77" w:rsidP="006A4C77">
      <w:pPr>
        <w:pStyle w:val="Sinespaciado"/>
        <w:jc w:val="both"/>
        <w:rPr>
          <w:sz w:val="18"/>
          <w:szCs w:val="18"/>
        </w:rPr>
      </w:pPr>
      <w:r w:rsidRPr="004E6D22">
        <w:rPr>
          <w:b/>
          <w:sz w:val="18"/>
          <w:szCs w:val="18"/>
        </w:rPr>
        <w:t xml:space="preserve">Temas: </w:t>
      </w:r>
      <w:r w:rsidRPr="004E6D22">
        <w:rPr>
          <w:b/>
          <w:sz w:val="18"/>
          <w:szCs w:val="18"/>
        </w:rPr>
        <w:tab/>
      </w:r>
      <w:r w:rsidRPr="004E6D22">
        <w:rPr>
          <w:b/>
          <w:sz w:val="18"/>
          <w:szCs w:val="18"/>
        </w:rPr>
        <w:tab/>
      </w:r>
      <w:r>
        <w:rPr>
          <w:b/>
          <w:sz w:val="18"/>
          <w:szCs w:val="18"/>
        </w:rPr>
        <w:tab/>
      </w:r>
      <w:r w:rsidRPr="004E6D22">
        <w:rPr>
          <w:b/>
          <w:sz w:val="18"/>
          <w:szCs w:val="18"/>
        </w:rPr>
        <w:tab/>
      </w:r>
      <w:r>
        <w:rPr>
          <w:b/>
          <w:sz w:val="18"/>
          <w:szCs w:val="18"/>
        </w:rPr>
        <w:t>SIMULACIÓN CONTRATO DE COMPRAVENTA</w:t>
      </w:r>
      <w:r w:rsidR="0044599E">
        <w:rPr>
          <w:b/>
          <w:sz w:val="18"/>
          <w:szCs w:val="18"/>
        </w:rPr>
        <w:t xml:space="preserve"> – REVISIÓN – AMPARO DE POBREZA EXONERA DE CAUCIÓN – SE DECLARA</w:t>
      </w:r>
      <w:bookmarkStart w:id="0" w:name="_GoBack"/>
      <w:bookmarkEnd w:id="0"/>
      <w:r w:rsidR="0044599E">
        <w:rPr>
          <w:b/>
          <w:sz w:val="18"/>
          <w:szCs w:val="18"/>
        </w:rPr>
        <w:t xml:space="preserve"> LA CADUCIDAD DEL RECURSO - </w:t>
      </w:r>
      <w:r w:rsidRPr="004E6D22">
        <w:rPr>
          <w:sz w:val="18"/>
          <w:szCs w:val="18"/>
        </w:rPr>
        <w:t xml:space="preserve"> </w:t>
      </w:r>
      <w:r w:rsidR="0044599E" w:rsidRPr="0044599E">
        <w:rPr>
          <w:sz w:val="18"/>
          <w:szCs w:val="18"/>
        </w:rPr>
        <w:t xml:space="preserve">Buscando invalidar el fallo proferido en el asunto, se sustenta la impugnación en la causal séptima de revisión prevista en el artículo 380 del Código de Procedimiento Civil. Discute la demandante no se le notificó en debida forma de la demanda de simulación iniciada en su contra, como heredera del señor Hernando de Jesús Villegas, pues su citación se hizo en lugar donde ya no residía para esa ápoca, hecho que conocían la hija </w:t>
      </w:r>
      <w:r w:rsidR="0044599E">
        <w:rPr>
          <w:sz w:val="18"/>
          <w:szCs w:val="18"/>
        </w:rPr>
        <w:t>de la demandante y ella misma.</w:t>
      </w:r>
    </w:p>
    <w:p w:rsidR="006A4C77" w:rsidRDefault="006A4C77" w:rsidP="006A4C77">
      <w:pPr>
        <w:pStyle w:val="Sinespaciado"/>
        <w:jc w:val="both"/>
        <w:rPr>
          <w:sz w:val="18"/>
          <w:szCs w:val="18"/>
        </w:rPr>
      </w:pPr>
      <w:r>
        <w:rPr>
          <w:sz w:val="18"/>
          <w:szCs w:val="18"/>
        </w:rPr>
        <w:t>(…)</w:t>
      </w:r>
    </w:p>
    <w:p w:rsidR="0044599E" w:rsidRPr="0044599E" w:rsidRDefault="0044599E" w:rsidP="0044599E">
      <w:pPr>
        <w:pStyle w:val="Sinespaciado"/>
        <w:jc w:val="both"/>
        <w:rPr>
          <w:sz w:val="18"/>
          <w:szCs w:val="18"/>
        </w:rPr>
      </w:pPr>
      <w:r w:rsidRPr="0044599E">
        <w:rPr>
          <w:sz w:val="18"/>
          <w:szCs w:val="18"/>
        </w:rPr>
        <w:t xml:space="preserve">El artículo 379 del Código de Procedimiento Civil consagra el recurso de revisión como un medio de impugnación, porque con su proposición se puede obtener la aniquilación de un fallo inicuo, o el que se haya dictado con serio quebranto del derecho de defensa, o el surgido como consecuencia de un comportamiento ilícito de las partes, lo que habilita para romper el carácter de firme e inmutable de que se hallan revestidos con efectos de cosa juzgada.  Este recurso procede, entre otras, contra las sentencias ejecutoriadas de los jueces, y únicamente por los motivos específicamente instituidos en el artículo 380 ibídem.  Es por lo anterior que el mencionado principio de “la cosa juzgada” no es absoluto, se exceptúan de él las providencias de fondo en las que se demuestre plenamente que están fundadas "en una realidad procesal contraria a la verdad, que fue demostrada con pruebas falsas o que tal verdad no pudo ser acreditada en el proceso no por descuido, omisión o negligencia de la parte interesada, sino por fuerza mayor, caso fortuito u obra de parte contraria (Sentencia de 18 de febrero de 1974 </w:t>
      </w:r>
      <w:proofErr w:type="spellStart"/>
      <w:r w:rsidRPr="0044599E">
        <w:rPr>
          <w:sz w:val="18"/>
          <w:szCs w:val="18"/>
        </w:rPr>
        <w:t>G.J.T</w:t>
      </w:r>
      <w:proofErr w:type="spellEnd"/>
      <w:r w:rsidRPr="0044599E">
        <w:rPr>
          <w:sz w:val="18"/>
          <w:szCs w:val="18"/>
        </w:rPr>
        <w:t>. CXLVIII pág. 46)” .</w:t>
      </w:r>
    </w:p>
    <w:p w:rsidR="0044599E" w:rsidRPr="0044599E" w:rsidRDefault="0044599E" w:rsidP="0044599E">
      <w:pPr>
        <w:pStyle w:val="Sinespaciado"/>
        <w:jc w:val="both"/>
        <w:rPr>
          <w:sz w:val="18"/>
          <w:szCs w:val="18"/>
        </w:rPr>
      </w:pPr>
    </w:p>
    <w:p w:rsidR="0044599E" w:rsidRDefault="0044599E" w:rsidP="0044599E">
      <w:pPr>
        <w:pStyle w:val="Sinespaciado"/>
        <w:jc w:val="both"/>
        <w:rPr>
          <w:sz w:val="18"/>
          <w:szCs w:val="18"/>
        </w:rPr>
      </w:pPr>
      <w:r w:rsidRPr="0044599E">
        <w:rPr>
          <w:sz w:val="18"/>
          <w:szCs w:val="18"/>
        </w:rPr>
        <w:t>2. El recurso no sirve al propósito de revisar toda la cuestión litigiosa, revivir la controversia, mejorar la posición de parte, superar su desidia u omisiones, ni permite un análisis diverso del planteado.  Busca esclarecer, por los precisos y taxativos motivos del artículo 380 del Código de Procedimiento Civil, si la providencia, se profirió con fundamento en situaciones lesivas del valor de la justicia, el debido proceso, el derecho de defensa o la ruptura de la cosa juzgada antecedente, "los errores de apreciación probatoria en que haya podido incurrir el juez al proferirlo, son aspectos ajenos al recurso de revisión (CXLVIII, pág. 187)” y "no constituye una tercera instancia en la que pueda replantearse el litigio, ni es medio conducente para reparar cualquier irregularidad de la sentencia, o su indebida fundamentación (Sentencia 076 de 11 de marzo de 1991)” .</w:t>
      </w:r>
    </w:p>
    <w:p w:rsidR="0044599E" w:rsidRDefault="0044599E" w:rsidP="006A4C77">
      <w:pPr>
        <w:pStyle w:val="Sinespaciado"/>
        <w:jc w:val="both"/>
        <w:rPr>
          <w:sz w:val="18"/>
          <w:szCs w:val="18"/>
        </w:rPr>
      </w:pPr>
      <w:r>
        <w:rPr>
          <w:sz w:val="18"/>
          <w:szCs w:val="18"/>
        </w:rPr>
        <w:t>(…)</w:t>
      </w:r>
    </w:p>
    <w:p w:rsidR="0044599E" w:rsidRDefault="0044599E" w:rsidP="006A4C77">
      <w:pPr>
        <w:pStyle w:val="Sinespaciado"/>
        <w:jc w:val="both"/>
        <w:rPr>
          <w:sz w:val="18"/>
          <w:szCs w:val="18"/>
        </w:rPr>
      </w:pPr>
      <w:r w:rsidRPr="0044599E">
        <w:rPr>
          <w:sz w:val="18"/>
          <w:szCs w:val="18"/>
        </w:rPr>
        <w:t>La recurrente invocó la causal séptima de revisión  basada en que no fue notificada debidamente del proceso de simulación, siendo remitida la citación para su notificación al sitio en el que ya no residía hacía mucho tiempo, a sabiendas que, tanto la demandante como su hija conocían su nuevo lugar de domicilio o residencia.</w:t>
      </w:r>
    </w:p>
    <w:p w:rsidR="0044599E" w:rsidRDefault="0044599E" w:rsidP="006A4C77">
      <w:pPr>
        <w:pStyle w:val="Sinespaciado"/>
        <w:jc w:val="both"/>
        <w:rPr>
          <w:sz w:val="18"/>
          <w:szCs w:val="18"/>
        </w:rPr>
      </w:pPr>
      <w:r>
        <w:rPr>
          <w:sz w:val="18"/>
          <w:szCs w:val="18"/>
        </w:rPr>
        <w:t>(…)</w:t>
      </w:r>
    </w:p>
    <w:p w:rsidR="0044599E" w:rsidRPr="0044599E" w:rsidRDefault="0044599E" w:rsidP="0044599E">
      <w:pPr>
        <w:pStyle w:val="Sinespaciado"/>
        <w:jc w:val="both"/>
        <w:rPr>
          <w:sz w:val="18"/>
          <w:szCs w:val="18"/>
        </w:rPr>
      </w:pPr>
      <w:r w:rsidRPr="0044599E">
        <w:rPr>
          <w:sz w:val="18"/>
          <w:szCs w:val="18"/>
        </w:rPr>
        <w:t>Resalta entonces el alto Tribunal, que el término máximo de cinco años de que trata el precepto mencionado, se computa siempre desde la ejecutoria de la sentencia recurrida, vencido el cual contra dicha providencia no cabe recurso alguno, independientemente de su registro o de la época en la que el interesado la hubiese conocido.</w:t>
      </w:r>
    </w:p>
    <w:p w:rsidR="0044599E" w:rsidRPr="0044599E" w:rsidRDefault="0044599E" w:rsidP="0044599E">
      <w:pPr>
        <w:pStyle w:val="Sinespaciado"/>
        <w:jc w:val="both"/>
        <w:rPr>
          <w:sz w:val="18"/>
          <w:szCs w:val="18"/>
        </w:rPr>
      </w:pPr>
    </w:p>
    <w:p w:rsidR="0044599E" w:rsidRPr="0044599E" w:rsidRDefault="0044599E" w:rsidP="0044599E">
      <w:pPr>
        <w:pStyle w:val="Sinespaciado"/>
        <w:jc w:val="both"/>
        <w:rPr>
          <w:sz w:val="18"/>
          <w:szCs w:val="18"/>
        </w:rPr>
      </w:pPr>
      <w:r w:rsidRPr="0044599E">
        <w:rPr>
          <w:sz w:val="18"/>
          <w:szCs w:val="18"/>
        </w:rPr>
        <w:t xml:space="preserve">8. En ese orden de ideas, como la sentencia impugnada declaró la simulación a favor de quien fuera demandante en el respectivo proceso, decisión sujeta a registro de conformidad con el artículo 4º de la Ley 1579 de 2012, el cual se llevó a cabo el 25 de junio de 2012, tal como consta en el folio de matrícula inmobiliaria número 290-47418 aportado con la contestación a la demanda, ese día comenzó a correr el término de caducidad para impugnarla mediante el recurso de revisión, esto es de los dos años señalados en la norma, sin que pueda exceder de los cinco años contados a partir de la ejecutoria de la sentencia. </w:t>
      </w:r>
    </w:p>
    <w:p w:rsidR="0044599E" w:rsidRPr="0044599E" w:rsidRDefault="0044599E" w:rsidP="0044599E">
      <w:pPr>
        <w:pStyle w:val="Sinespaciado"/>
        <w:jc w:val="both"/>
        <w:rPr>
          <w:sz w:val="18"/>
          <w:szCs w:val="18"/>
        </w:rPr>
      </w:pPr>
    </w:p>
    <w:p w:rsidR="0044599E" w:rsidRPr="0044599E" w:rsidRDefault="0044599E" w:rsidP="0044599E">
      <w:pPr>
        <w:pStyle w:val="Sinespaciado"/>
        <w:jc w:val="both"/>
        <w:rPr>
          <w:sz w:val="18"/>
          <w:szCs w:val="18"/>
        </w:rPr>
      </w:pPr>
      <w:r w:rsidRPr="0044599E">
        <w:rPr>
          <w:sz w:val="18"/>
          <w:szCs w:val="18"/>
        </w:rPr>
        <w:t>Como el registro se efectuó el 25 de junio de 2012,  tal como se observa a folio 68 del cuaderno principal, dicho término se cumplió el 25 de junio de 2014, y en consecuencia opera la caducidad derivada del tiempo de presentación de la demanda, por cuanto el recurso se interpuso con posterioridad a su vencimiento, esto es, el 17 de septiembre de 2015, sin que, como se señaló anteriormente, se pueda tener en cuenta para este cómputo el conocimiento tardío de la sentencia señalado por la recurrente, el 12 de marzo de 2013, con ocasión del secuestro del bien inmueble de su propiedad, aprisionado como consecuencia de la ejecución iniciada para el cobro de los frutos reconocidos en el proceso de simulación, dado que este se presume desde el momento de su registro en la oficina de registro de instrumentos públicos correspondiente, por la publicidad que este acto conlleva.</w:t>
      </w:r>
    </w:p>
    <w:p w:rsidR="0044599E" w:rsidRPr="0044599E" w:rsidRDefault="0044599E" w:rsidP="0044599E">
      <w:pPr>
        <w:pStyle w:val="Sinespaciado"/>
        <w:jc w:val="both"/>
        <w:rPr>
          <w:sz w:val="18"/>
          <w:szCs w:val="18"/>
        </w:rPr>
      </w:pPr>
    </w:p>
    <w:p w:rsidR="0044599E" w:rsidRDefault="0044599E" w:rsidP="0044599E">
      <w:pPr>
        <w:pStyle w:val="Sinespaciado"/>
        <w:jc w:val="both"/>
        <w:rPr>
          <w:sz w:val="18"/>
          <w:szCs w:val="18"/>
        </w:rPr>
      </w:pPr>
      <w:r w:rsidRPr="0044599E">
        <w:rPr>
          <w:sz w:val="18"/>
          <w:szCs w:val="18"/>
        </w:rPr>
        <w:t>9. Teniendo en cuenta los anteriores planteamientos, como no se dio cumplimiento al mandato del artículo 381 citado, sin que sea preciso entrar a analizar el fondo de la impugnación, habrá de declararse la caducidad del recurso de revisión.</w:t>
      </w:r>
    </w:p>
    <w:p w:rsidR="0044599E" w:rsidRDefault="0044599E" w:rsidP="006A4C77">
      <w:pPr>
        <w:pStyle w:val="Sinespaciado"/>
        <w:jc w:val="both"/>
        <w:rPr>
          <w:sz w:val="18"/>
          <w:szCs w:val="18"/>
        </w:rPr>
      </w:pPr>
    </w:p>
    <w:p w:rsidR="00F7292B" w:rsidRDefault="00F7292B" w:rsidP="001F2ABF">
      <w:pPr>
        <w:spacing w:line="360" w:lineRule="auto"/>
        <w:jc w:val="center"/>
        <w:rPr>
          <w:rFonts w:ascii="Arial" w:hAnsi="Arial" w:cs="Arial"/>
          <w:b/>
          <w:bCs/>
          <w:sz w:val="26"/>
          <w:szCs w:val="26"/>
        </w:rPr>
      </w:pPr>
    </w:p>
    <w:p w:rsidR="00B919BC" w:rsidRDefault="00B919BC" w:rsidP="001F2ABF">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B919BC" w:rsidRPr="00513A41" w:rsidRDefault="00B919BC" w:rsidP="001F2ABF">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B919BC" w:rsidRDefault="00B919BC" w:rsidP="001F2ABF">
      <w:pPr>
        <w:spacing w:line="360" w:lineRule="auto"/>
        <w:rPr>
          <w:rFonts w:ascii="Arial" w:hAnsi="Arial" w:cs="Arial"/>
          <w:bCs/>
          <w:sz w:val="26"/>
          <w:szCs w:val="26"/>
        </w:rPr>
      </w:pPr>
    </w:p>
    <w:p w:rsidR="00B919BC" w:rsidRDefault="00B919BC" w:rsidP="001F2ABF">
      <w:pPr>
        <w:spacing w:line="360" w:lineRule="auto"/>
        <w:jc w:val="center"/>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p>
    <w:p w:rsidR="00B919BC" w:rsidRPr="004617C6" w:rsidRDefault="00B919BC" w:rsidP="001F2ABF">
      <w:pPr>
        <w:spacing w:line="360" w:lineRule="auto"/>
        <w:jc w:val="center"/>
        <w:rPr>
          <w:rFonts w:ascii="Arial" w:hAnsi="Arial" w:cs="Arial"/>
          <w:b/>
          <w:bCs/>
          <w:sz w:val="22"/>
          <w:szCs w:val="22"/>
        </w:rPr>
      </w:pPr>
      <w:proofErr w:type="spellStart"/>
      <w:r w:rsidRPr="004617C6">
        <w:rPr>
          <w:rFonts w:ascii="Arial" w:hAnsi="Arial" w:cs="Arial"/>
          <w:b/>
          <w:bCs/>
          <w:sz w:val="22"/>
          <w:szCs w:val="22"/>
        </w:rPr>
        <w:t>EDDER</w:t>
      </w:r>
      <w:proofErr w:type="spellEnd"/>
      <w:r w:rsidRPr="004617C6">
        <w:rPr>
          <w:rFonts w:ascii="Arial" w:hAnsi="Arial" w:cs="Arial"/>
          <w:b/>
          <w:bCs/>
          <w:sz w:val="22"/>
          <w:szCs w:val="22"/>
        </w:rPr>
        <w:t xml:space="preserve"> JIMMY SÁNCHEZ </w:t>
      </w:r>
      <w:proofErr w:type="spellStart"/>
      <w:r w:rsidRPr="004617C6">
        <w:rPr>
          <w:rFonts w:ascii="Arial" w:hAnsi="Arial" w:cs="Arial"/>
          <w:b/>
          <w:bCs/>
          <w:sz w:val="22"/>
          <w:szCs w:val="22"/>
        </w:rPr>
        <w:t>CALAMBÁS</w:t>
      </w:r>
      <w:proofErr w:type="spellEnd"/>
    </w:p>
    <w:p w:rsidR="00B919BC" w:rsidRPr="00D063A2" w:rsidRDefault="00B919BC" w:rsidP="001F2ABF">
      <w:pPr>
        <w:spacing w:line="360" w:lineRule="auto"/>
        <w:rPr>
          <w:rFonts w:ascii="Arial" w:hAnsi="Arial" w:cs="Arial"/>
          <w:bCs/>
          <w:sz w:val="26"/>
          <w:szCs w:val="26"/>
        </w:rPr>
      </w:pPr>
    </w:p>
    <w:p w:rsidR="00B919BC" w:rsidRPr="00D063A2" w:rsidRDefault="00B919BC" w:rsidP="001F2ABF">
      <w:pPr>
        <w:spacing w:line="360" w:lineRule="auto"/>
        <w:jc w:val="center"/>
        <w:rPr>
          <w:rFonts w:ascii="Arial" w:hAnsi="Arial" w:cs="Arial"/>
          <w:bCs/>
          <w:sz w:val="26"/>
          <w:szCs w:val="26"/>
        </w:rPr>
      </w:pPr>
      <w:r w:rsidRPr="00D063A2">
        <w:rPr>
          <w:rFonts w:ascii="Arial" w:hAnsi="Arial" w:cs="Arial"/>
          <w:bCs/>
          <w:sz w:val="26"/>
          <w:szCs w:val="26"/>
        </w:rPr>
        <w:t>Pereira, Risaralda,</w:t>
      </w:r>
      <w:r>
        <w:rPr>
          <w:rFonts w:ascii="Arial" w:hAnsi="Arial" w:cs="Arial"/>
          <w:bCs/>
          <w:sz w:val="26"/>
          <w:szCs w:val="26"/>
        </w:rPr>
        <w:t xml:space="preserve"> </w:t>
      </w:r>
      <w:r w:rsidR="009B2963">
        <w:rPr>
          <w:rFonts w:ascii="Arial" w:hAnsi="Arial" w:cs="Arial"/>
          <w:bCs/>
          <w:sz w:val="26"/>
          <w:szCs w:val="26"/>
        </w:rPr>
        <w:t>cinco</w:t>
      </w:r>
      <w:r>
        <w:rPr>
          <w:rFonts w:ascii="Arial" w:hAnsi="Arial" w:cs="Arial"/>
          <w:bCs/>
          <w:sz w:val="26"/>
          <w:szCs w:val="26"/>
        </w:rPr>
        <w:t xml:space="preserve"> (</w:t>
      </w:r>
      <w:r w:rsidR="009B2963">
        <w:rPr>
          <w:rFonts w:ascii="Arial" w:hAnsi="Arial" w:cs="Arial"/>
          <w:bCs/>
          <w:sz w:val="26"/>
          <w:szCs w:val="26"/>
        </w:rPr>
        <w:t>5</w:t>
      </w:r>
      <w:r w:rsidRPr="00D063A2">
        <w:rPr>
          <w:rFonts w:ascii="Arial" w:hAnsi="Arial" w:cs="Arial"/>
          <w:bCs/>
          <w:sz w:val="26"/>
          <w:szCs w:val="26"/>
        </w:rPr>
        <w:t xml:space="preserve">) de </w:t>
      </w:r>
      <w:r w:rsidR="00041B32">
        <w:rPr>
          <w:rFonts w:ascii="Arial" w:hAnsi="Arial" w:cs="Arial"/>
          <w:bCs/>
          <w:sz w:val="26"/>
          <w:szCs w:val="26"/>
        </w:rPr>
        <w:t>juni</w:t>
      </w:r>
      <w:r w:rsidR="001F2C0C">
        <w:rPr>
          <w:rFonts w:ascii="Arial" w:hAnsi="Arial" w:cs="Arial"/>
          <w:bCs/>
          <w:sz w:val="26"/>
          <w:szCs w:val="26"/>
        </w:rPr>
        <w:t>o</w:t>
      </w:r>
      <w:r w:rsidR="0043282D">
        <w:rPr>
          <w:rFonts w:ascii="Arial" w:hAnsi="Arial" w:cs="Arial"/>
          <w:bCs/>
          <w:sz w:val="26"/>
          <w:szCs w:val="26"/>
        </w:rPr>
        <w:t xml:space="preserve"> </w:t>
      </w:r>
      <w:r>
        <w:rPr>
          <w:rFonts w:ascii="Arial" w:hAnsi="Arial" w:cs="Arial"/>
          <w:bCs/>
          <w:sz w:val="26"/>
          <w:szCs w:val="26"/>
        </w:rPr>
        <w:t xml:space="preserve">de dos mil </w:t>
      </w:r>
      <w:r w:rsidR="0043282D">
        <w:rPr>
          <w:rFonts w:ascii="Arial" w:hAnsi="Arial" w:cs="Arial"/>
          <w:bCs/>
          <w:sz w:val="26"/>
          <w:szCs w:val="26"/>
        </w:rPr>
        <w:t>diecisiete</w:t>
      </w:r>
      <w:r>
        <w:rPr>
          <w:rFonts w:ascii="Arial" w:hAnsi="Arial" w:cs="Arial"/>
          <w:bCs/>
          <w:sz w:val="26"/>
          <w:szCs w:val="26"/>
        </w:rPr>
        <w:t xml:space="preserve"> (201</w:t>
      </w:r>
      <w:r w:rsidR="0043282D">
        <w:rPr>
          <w:rFonts w:ascii="Arial" w:hAnsi="Arial" w:cs="Arial"/>
          <w:bCs/>
          <w:sz w:val="26"/>
          <w:szCs w:val="26"/>
        </w:rPr>
        <w:t>7</w:t>
      </w:r>
      <w:r w:rsidRPr="00D063A2">
        <w:rPr>
          <w:rFonts w:ascii="Arial" w:hAnsi="Arial" w:cs="Arial"/>
          <w:bCs/>
          <w:sz w:val="26"/>
          <w:szCs w:val="26"/>
        </w:rPr>
        <w:t>)</w:t>
      </w:r>
    </w:p>
    <w:p w:rsidR="00B919BC" w:rsidRDefault="00B919BC" w:rsidP="001F2ABF">
      <w:pPr>
        <w:spacing w:line="360" w:lineRule="auto"/>
        <w:jc w:val="center"/>
        <w:rPr>
          <w:rFonts w:ascii="Arial" w:hAnsi="Arial" w:cs="Arial"/>
          <w:sz w:val="26"/>
          <w:szCs w:val="26"/>
        </w:rPr>
      </w:pPr>
      <w:r>
        <w:rPr>
          <w:rFonts w:ascii="Arial" w:hAnsi="Arial" w:cs="Arial"/>
          <w:sz w:val="26"/>
          <w:szCs w:val="26"/>
        </w:rPr>
        <w:t xml:space="preserve">Acta </w:t>
      </w:r>
      <w:r w:rsidR="005E1295">
        <w:rPr>
          <w:rFonts w:ascii="Arial" w:hAnsi="Arial" w:cs="Arial"/>
          <w:sz w:val="26"/>
          <w:szCs w:val="26"/>
        </w:rPr>
        <w:t xml:space="preserve">No. </w:t>
      </w:r>
      <w:r w:rsidR="00E83C26">
        <w:rPr>
          <w:rFonts w:ascii="Arial" w:hAnsi="Arial" w:cs="Arial"/>
          <w:sz w:val="26"/>
          <w:szCs w:val="26"/>
        </w:rPr>
        <w:t>294</w:t>
      </w:r>
      <w:r w:rsidR="00041B32">
        <w:rPr>
          <w:rFonts w:ascii="Arial" w:hAnsi="Arial" w:cs="Arial"/>
          <w:sz w:val="26"/>
          <w:szCs w:val="26"/>
        </w:rPr>
        <w:t xml:space="preserve"> del 0</w:t>
      </w:r>
      <w:r w:rsidR="00E83C26">
        <w:rPr>
          <w:rFonts w:ascii="Arial" w:hAnsi="Arial" w:cs="Arial"/>
          <w:sz w:val="26"/>
          <w:szCs w:val="26"/>
        </w:rPr>
        <w:t>5</w:t>
      </w:r>
      <w:r w:rsidR="00041B32">
        <w:rPr>
          <w:rFonts w:ascii="Arial" w:hAnsi="Arial" w:cs="Arial"/>
          <w:sz w:val="26"/>
          <w:szCs w:val="26"/>
        </w:rPr>
        <w:t>-06-2017</w:t>
      </w:r>
    </w:p>
    <w:p w:rsidR="00B919BC" w:rsidRPr="00D063A2" w:rsidRDefault="00B919BC" w:rsidP="001F2ABF">
      <w:pPr>
        <w:spacing w:line="360" w:lineRule="auto"/>
        <w:jc w:val="center"/>
        <w:rPr>
          <w:rFonts w:ascii="Arial" w:hAnsi="Arial" w:cs="Arial"/>
          <w:bCs/>
          <w:sz w:val="26"/>
          <w:szCs w:val="26"/>
        </w:rPr>
      </w:pPr>
      <w:r>
        <w:rPr>
          <w:rFonts w:ascii="Arial" w:hAnsi="Arial" w:cs="Arial"/>
          <w:sz w:val="26"/>
          <w:szCs w:val="26"/>
        </w:rPr>
        <w:t>Expediente 66001-22-13-000-201</w:t>
      </w:r>
      <w:r w:rsidR="0043282D">
        <w:rPr>
          <w:rFonts w:ascii="Arial" w:hAnsi="Arial" w:cs="Arial"/>
          <w:sz w:val="26"/>
          <w:szCs w:val="26"/>
        </w:rPr>
        <w:t>5</w:t>
      </w:r>
      <w:r>
        <w:rPr>
          <w:rFonts w:ascii="Arial" w:hAnsi="Arial" w:cs="Arial"/>
          <w:sz w:val="26"/>
          <w:szCs w:val="26"/>
        </w:rPr>
        <w:t>-00</w:t>
      </w:r>
      <w:r w:rsidR="0043282D">
        <w:rPr>
          <w:rFonts w:ascii="Arial" w:hAnsi="Arial" w:cs="Arial"/>
          <w:sz w:val="26"/>
          <w:szCs w:val="26"/>
        </w:rPr>
        <w:t>525</w:t>
      </w:r>
      <w:r>
        <w:rPr>
          <w:rFonts w:ascii="Arial" w:hAnsi="Arial" w:cs="Arial"/>
          <w:sz w:val="26"/>
          <w:szCs w:val="26"/>
        </w:rPr>
        <w:t>-00</w:t>
      </w:r>
    </w:p>
    <w:p w:rsidR="00B919BC" w:rsidRDefault="00B919BC" w:rsidP="001F2ABF">
      <w:pPr>
        <w:pStyle w:val="Sinespaciado1"/>
        <w:spacing w:line="360" w:lineRule="auto"/>
        <w:rPr>
          <w:rFonts w:ascii="Arial" w:hAnsi="Arial" w:cs="Arial"/>
          <w:sz w:val="26"/>
          <w:szCs w:val="26"/>
          <w:lang w:val="es-ES" w:eastAsia="es-ES"/>
        </w:rPr>
      </w:pPr>
    </w:p>
    <w:p w:rsidR="00B919BC" w:rsidRPr="00D063A2" w:rsidRDefault="00B919BC" w:rsidP="001F2ABF">
      <w:pPr>
        <w:pStyle w:val="Sinespaciado1"/>
        <w:spacing w:line="360" w:lineRule="auto"/>
        <w:rPr>
          <w:rFonts w:ascii="Arial" w:hAnsi="Arial" w:cs="Arial"/>
          <w:sz w:val="26"/>
          <w:szCs w:val="26"/>
          <w:lang w:val="es-ES" w:eastAsia="es-ES"/>
        </w:rPr>
      </w:pPr>
    </w:p>
    <w:p w:rsidR="00B919BC" w:rsidRPr="00F7292B" w:rsidRDefault="00F7292B" w:rsidP="00F7292B">
      <w:pPr>
        <w:pStyle w:val="Sinespaciado1"/>
        <w:spacing w:line="360" w:lineRule="auto"/>
        <w:ind w:left="1560" w:firstLine="708"/>
        <w:rPr>
          <w:rFonts w:ascii="Arial" w:hAnsi="Arial" w:cs="Arial"/>
          <w:b/>
          <w:szCs w:val="26"/>
          <w:lang w:val="es-ES" w:eastAsia="es-ES"/>
        </w:rPr>
      </w:pPr>
      <w:r w:rsidRPr="00F7292B">
        <w:rPr>
          <w:rFonts w:ascii="Arial" w:hAnsi="Arial" w:cs="Arial"/>
          <w:b/>
          <w:szCs w:val="26"/>
          <w:lang w:val="es-ES" w:eastAsia="es-ES"/>
        </w:rPr>
        <w:t>I. ASUNTO</w:t>
      </w:r>
    </w:p>
    <w:p w:rsidR="00B919BC" w:rsidRPr="00180F4C" w:rsidRDefault="00B919BC" w:rsidP="001F2ABF">
      <w:pPr>
        <w:spacing w:line="360" w:lineRule="auto"/>
        <w:jc w:val="both"/>
        <w:rPr>
          <w:rFonts w:ascii="Arial" w:hAnsi="Arial" w:cs="Arial"/>
          <w:sz w:val="28"/>
          <w:szCs w:val="28"/>
        </w:rPr>
      </w:pPr>
    </w:p>
    <w:p w:rsidR="00926964" w:rsidRDefault="00B919BC" w:rsidP="00926964">
      <w:pPr>
        <w:pStyle w:val="Sinespaciado1"/>
        <w:spacing w:line="360" w:lineRule="auto"/>
        <w:ind w:firstLine="2268"/>
        <w:jc w:val="both"/>
        <w:rPr>
          <w:rFonts w:ascii="Arial" w:hAnsi="Arial" w:cs="Arial"/>
          <w:bCs/>
          <w:sz w:val="26"/>
          <w:szCs w:val="26"/>
          <w:lang w:val="es-MX"/>
        </w:rPr>
      </w:pPr>
      <w:r>
        <w:rPr>
          <w:rFonts w:ascii="Arial" w:hAnsi="Arial" w:cs="Arial"/>
          <w:bCs/>
          <w:sz w:val="26"/>
          <w:szCs w:val="26"/>
          <w:lang w:val="es-ES"/>
        </w:rPr>
        <w:t xml:space="preserve">Se decide </w:t>
      </w:r>
      <w:r w:rsidRPr="00E06893">
        <w:rPr>
          <w:rFonts w:ascii="Arial" w:hAnsi="Arial" w:cs="Arial"/>
          <w:bCs/>
          <w:sz w:val="26"/>
          <w:szCs w:val="26"/>
          <w:lang w:val="es-MX"/>
        </w:rPr>
        <w:t xml:space="preserve">el recurso </w:t>
      </w:r>
      <w:r>
        <w:rPr>
          <w:rFonts w:ascii="Arial" w:hAnsi="Arial" w:cs="Arial"/>
          <w:bCs/>
          <w:sz w:val="26"/>
          <w:szCs w:val="26"/>
          <w:lang w:val="es-MX"/>
        </w:rPr>
        <w:t xml:space="preserve">de revisión formulado por la señora </w:t>
      </w:r>
      <w:r w:rsidR="00F61430">
        <w:rPr>
          <w:rFonts w:ascii="Arial" w:hAnsi="Arial" w:cs="Arial"/>
          <w:bCs/>
          <w:szCs w:val="24"/>
          <w:lang w:val="es-MX"/>
        </w:rPr>
        <w:t>CLAUDIA MILENA VILLEGAS PÉREZ</w:t>
      </w:r>
      <w:r w:rsidRPr="00E06893">
        <w:rPr>
          <w:rFonts w:ascii="Arial" w:hAnsi="Arial" w:cs="Arial"/>
          <w:bCs/>
          <w:sz w:val="26"/>
          <w:szCs w:val="26"/>
          <w:lang w:val="es-MX"/>
        </w:rPr>
        <w:t xml:space="preserve"> </w:t>
      </w:r>
      <w:r>
        <w:rPr>
          <w:rFonts w:ascii="Arial" w:hAnsi="Arial" w:cs="Arial"/>
          <w:bCs/>
          <w:sz w:val="26"/>
          <w:szCs w:val="26"/>
          <w:lang w:val="es-MX"/>
        </w:rPr>
        <w:t xml:space="preserve">frente a </w:t>
      </w:r>
      <w:r w:rsidRPr="00E06893">
        <w:rPr>
          <w:rFonts w:ascii="Arial" w:hAnsi="Arial" w:cs="Arial"/>
          <w:bCs/>
          <w:sz w:val="26"/>
          <w:szCs w:val="26"/>
          <w:lang w:val="es-MX"/>
        </w:rPr>
        <w:t xml:space="preserve">la sentencia </w:t>
      </w:r>
      <w:r>
        <w:rPr>
          <w:rFonts w:ascii="Arial" w:hAnsi="Arial" w:cs="Arial"/>
          <w:bCs/>
          <w:sz w:val="26"/>
          <w:szCs w:val="26"/>
          <w:lang w:val="es-MX"/>
        </w:rPr>
        <w:t xml:space="preserve">proferida el </w:t>
      </w:r>
      <w:r w:rsidR="00F61430">
        <w:rPr>
          <w:rFonts w:ascii="Arial" w:hAnsi="Arial" w:cs="Arial"/>
          <w:bCs/>
          <w:sz w:val="26"/>
          <w:szCs w:val="26"/>
          <w:lang w:val="es-MX"/>
        </w:rPr>
        <w:t xml:space="preserve">30 </w:t>
      </w:r>
      <w:r>
        <w:rPr>
          <w:rFonts w:ascii="Arial" w:hAnsi="Arial" w:cs="Arial"/>
          <w:bCs/>
          <w:sz w:val="26"/>
          <w:szCs w:val="26"/>
          <w:lang w:val="es-MX"/>
        </w:rPr>
        <w:t xml:space="preserve">de </w:t>
      </w:r>
      <w:r w:rsidR="00F61430">
        <w:rPr>
          <w:rFonts w:ascii="Arial" w:hAnsi="Arial" w:cs="Arial"/>
          <w:bCs/>
          <w:sz w:val="26"/>
          <w:szCs w:val="26"/>
          <w:lang w:val="es-MX"/>
        </w:rPr>
        <w:t>septiembre</w:t>
      </w:r>
      <w:r>
        <w:rPr>
          <w:rFonts w:ascii="Arial" w:hAnsi="Arial" w:cs="Arial"/>
          <w:bCs/>
          <w:sz w:val="26"/>
          <w:szCs w:val="26"/>
          <w:lang w:val="es-MX"/>
        </w:rPr>
        <w:t xml:space="preserve"> de 2011,</w:t>
      </w:r>
      <w:r w:rsidR="00E55064">
        <w:rPr>
          <w:rFonts w:ascii="Arial" w:hAnsi="Arial" w:cs="Arial"/>
          <w:bCs/>
          <w:sz w:val="26"/>
          <w:szCs w:val="26"/>
          <w:lang w:val="es-MX"/>
        </w:rPr>
        <w:t xml:space="preserve"> </w:t>
      </w:r>
      <w:r>
        <w:rPr>
          <w:rFonts w:ascii="Arial" w:hAnsi="Arial" w:cs="Arial"/>
          <w:bCs/>
          <w:sz w:val="26"/>
          <w:szCs w:val="26"/>
          <w:lang w:val="es-MX"/>
        </w:rPr>
        <w:t xml:space="preserve">por el Juzgado </w:t>
      </w:r>
      <w:r w:rsidR="004177CC">
        <w:rPr>
          <w:rFonts w:ascii="Arial" w:hAnsi="Arial" w:cs="Arial"/>
          <w:bCs/>
          <w:sz w:val="26"/>
          <w:szCs w:val="26"/>
          <w:lang w:val="es-MX"/>
        </w:rPr>
        <w:t>Tercero</w:t>
      </w:r>
      <w:r>
        <w:rPr>
          <w:rFonts w:ascii="Arial" w:hAnsi="Arial" w:cs="Arial"/>
          <w:bCs/>
          <w:sz w:val="26"/>
          <w:szCs w:val="26"/>
          <w:lang w:val="es-MX"/>
        </w:rPr>
        <w:t xml:space="preserve"> </w:t>
      </w:r>
      <w:r w:rsidRPr="00E06893">
        <w:rPr>
          <w:rFonts w:ascii="Arial" w:hAnsi="Arial" w:cs="Arial"/>
          <w:bCs/>
          <w:sz w:val="26"/>
          <w:szCs w:val="26"/>
          <w:lang w:val="es-MX"/>
        </w:rPr>
        <w:t>Civil</w:t>
      </w:r>
      <w:r>
        <w:rPr>
          <w:rFonts w:ascii="Arial" w:hAnsi="Arial" w:cs="Arial"/>
          <w:bCs/>
          <w:sz w:val="26"/>
          <w:szCs w:val="26"/>
          <w:lang w:val="es-MX"/>
        </w:rPr>
        <w:t xml:space="preserve"> del Circuito de Pereira, en </w:t>
      </w:r>
      <w:r w:rsidRPr="001F2ABF">
        <w:rPr>
          <w:rFonts w:ascii="Arial" w:hAnsi="Arial" w:cs="Arial"/>
          <w:bCs/>
          <w:sz w:val="26"/>
          <w:szCs w:val="26"/>
          <w:lang w:val="es-MX"/>
        </w:rPr>
        <w:t xml:space="preserve">el proceso ordinario de </w:t>
      </w:r>
      <w:r w:rsidR="00852A1C">
        <w:rPr>
          <w:rFonts w:ascii="Arial" w:hAnsi="Arial" w:cs="Arial"/>
          <w:bCs/>
          <w:sz w:val="26"/>
          <w:szCs w:val="26"/>
          <w:lang w:val="es-MX"/>
        </w:rPr>
        <w:t xml:space="preserve">simulación </w:t>
      </w:r>
      <w:r>
        <w:rPr>
          <w:rFonts w:ascii="Arial" w:hAnsi="Arial" w:cs="Arial"/>
          <w:bCs/>
          <w:sz w:val="26"/>
          <w:szCs w:val="26"/>
          <w:lang w:val="es-MX"/>
        </w:rPr>
        <w:t xml:space="preserve">de contrato instaurado en su contra por </w:t>
      </w:r>
      <w:r w:rsidR="00852A1C">
        <w:rPr>
          <w:rFonts w:ascii="Arial" w:hAnsi="Arial" w:cs="Arial"/>
          <w:bCs/>
          <w:szCs w:val="26"/>
          <w:lang w:val="es-MX"/>
        </w:rPr>
        <w:t>MARINA GÓMEZ FRANCO</w:t>
      </w:r>
      <w:r w:rsidRPr="001F2ABF">
        <w:rPr>
          <w:rFonts w:ascii="Arial" w:hAnsi="Arial" w:cs="Arial"/>
          <w:bCs/>
          <w:sz w:val="26"/>
          <w:szCs w:val="26"/>
          <w:lang w:val="es-MX"/>
        </w:rPr>
        <w:t>.</w:t>
      </w:r>
      <w:r>
        <w:rPr>
          <w:rFonts w:ascii="Arial" w:hAnsi="Arial" w:cs="Arial"/>
          <w:bCs/>
          <w:sz w:val="26"/>
          <w:szCs w:val="26"/>
          <w:lang w:val="es-MX"/>
        </w:rPr>
        <w:t xml:space="preserve"> </w:t>
      </w:r>
    </w:p>
    <w:p w:rsidR="00926964" w:rsidRDefault="00926964" w:rsidP="00926964">
      <w:pPr>
        <w:pStyle w:val="Sinespaciado1"/>
        <w:spacing w:line="360" w:lineRule="auto"/>
        <w:ind w:firstLine="2268"/>
        <w:jc w:val="both"/>
        <w:rPr>
          <w:rFonts w:ascii="Arial" w:hAnsi="Arial" w:cs="Arial"/>
          <w:bCs/>
          <w:sz w:val="26"/>
          <w:szCs w:val="26"/>
          <w:lang w:val="es-MX"/>
        </w:rPr>
      </w:pPr>
    </w:p>
    <w:p w:rsidR="00B919BC" w:rsidRPr="00926964" w:rsidRDefault="00926964" w:rsidP="00926964">
      <w:pPr>
        <w:pStyle w:val="Sinespaciado1"/>
        <w:spacing w:line="360" w:lineRule="auto"/>
        <w:ind w:firstLine="2268"/>
        <w:jc w:val="both"/>
        <w:rPr>
          <w:rFonts w:ascii="Arial" w:hAnsi="Arial" w:cs="Arial"/>
          <w:bCs/>
          <w:szCs w:val="26"/>
          <w:lang w:val="es-MX"/>
        </w:rPr>
      </w:pPr>
      <w:r w:rsidRPr="00926964">
        <w:rPr>
          <w:rFonts w:ascii="Arial" w:hAnsi="Arial" w:cs="Arial"/>
          <w:b/>
          <w:bCs/>
          <w:szCs w:val="26"/>
          <w:lang w:val="es-ES_tradnl" w:eastAsia="es-ES"/>
        </w:rPr>
        <w:t>II. ANTECEDENTES</w:t>
      </w:r>
    </w:p>
    <w:p w:rsidR="00B919BC" w:rsidRDefault="00B919BC" w:rsidP="001F2ABF">
      <w:pPr>
        <w:pStyle w:val="Sinespaciado1"/>
        <w:spacing w:line="360" w:lineRule="auto"/>
        <w:ind w:firstLine="2268"/>
        <w:jc w:val="both"/>
        <w:rPr>
          <w:rFonts w:ascii="Arial" w:hAnsi="Arial" w:cs="Arial"/>
          <w:b/>
          <w:bCs/>
          <w:sz w:val="26"/>
          <w:szCs w:val="26"/>
          <w:lang w:val="es-ES_tradnl" w:eastAsia="es-ES"/>
        </w:rPr>
      </w:pPr>
    </w:p>
    <w:p w:rsidR="006039DD" w:rsidRDefault="00B919BC" w:rsidP="006039DD">
      <w:pPr>
        <w:pStyle w:val="Sinespaciado1"/>
        <w:spacing w:line="360" w:lineRule="auto"/>
        <w:ind w:firstLine="2268"/>
        <w:jc w:val="both"/>
        <w:rPr>
          <w:rFonts w:ascii="Arial" w:hAnsi="Arial" w:cs="Arial"/>
          <w:sz w:val="26"/>
          <w:szCs w:val="26"/>
        </w:rPr>
      </w:pPr>
      <w:r>
        <w:rPr>
          <w:rFonts w:ascii="Arial" w:hAnsi="Arial" w:cs="Arial"/>
          <w:sz w:val="26"/>
          <w:szCs w:val="26"/>
        </w:rPr>
        <w:t>1.</w:t>
      </w:r>
      <w:r w:rsidR="00640F37">
        <w:rPr>
          <w:rFonts w:ascii="Arial" w:hAnsi="Arial" w:cs="Arial"/>
          <w:sz w:val="26"/>
          <w:szCs w:val="26"/>
        </w:rPr>
        <w:t xml:space="preserve"> En la citada demanda </w:t>
      </w:r>
      <w:r>
        <w:rPr>
          <w:rFonts w:ascii="Arial" w:hAnsi="Arial" w:cs="Arial"/>
          <w:sz w:val="26"/>
          <w:szCs w:val="26"/>
        </w:rPr>
        <w:t xml:space="preserve">presentada el </w:t>
      </w:r>
      <w:r w:rsidR="00640F37">
        <w:rPr>
          <w:rFonts w:ascii="Arial" w:hAnsi="Arial" w:cs="Arial"/>
          <w:sz w:val="26"/>
          <w:szCs w:val="26"/>
        </w:rPr>
        <w:t>11 de septiembre de 2007</w:t>
      </w:r>
      <w:r w:rsidRPr="00DD4975">
        <w:rPr>
          <w:rFonts w:ascii="Arial" w:hAnsi="Arial" w:cs="Arial"/>
          <w:sz w:val="26"/>
          <w:szCs w:val="26"/>
        </w:rPr>
        <w:t xml:space="preserve"> por </w:t>
      </w:r>
      <w:r>
        <w:rPr>
          <w:rFonts w:ascii="Arial" w:hAnsi="Arial" w:cs="Arial"/>
          <w:sz w:val="26"/>
          <w:szCs w:val="26"/>
        </w:rPr>
        <w:t>l</w:t>
      </w:r>
      <w:r w:rsidR="00640F37">
        <w:rPr>
          <w:rFonts w:ascii="Arial" w:hAnsi="Arial" w:cs="Arial"/>
          <w:sz w:val="26"/>
          <w:szCs w:val="26"/>
        </w:rPr>
        <w:t>a</w:t>
      </w:r>
      <w:r>
        <w:rPr>
          <w:rFonts w:ascii="Arial" w:hAnsi="Arial" w:cs="Arial"/>
          <w:sz w:val="26"/>
          <w:szCs w:val="26"/>
        </w:rPr>
        <w:t xml:space="preserve"> señor</w:t>
      </w:r>
      <w:r w:rsidR="00640F37">
        <w:rPr>
          <w:rFonts w:ascii="Arial" w:hAnsi="Arial" w:cs="Arial"/>
          <w:sz w:val="26"/>
          <w:szCs w:val="26"/>
        </w:rPr>
        <w:t>a</w:t>
      </w:r>
      <w:r>
        <w:rPr>
          <w:rFonts w:ascii="Arial" w:hAnsi="Arial" w:cs="Arial"/>
          <w:sz w:val="26"/>
          <w:szCs w:val="26"/>
        </w:rPr>
        <w:t xml:space="preserve"> </w:t>
      </w:r>
      <w:r w:rsidR="00640F37">
        <w:rPr>
          <w:rFonts w:ascii="Arial" w:hAnsi="Arial" w:cs="Arial"/>
          <w:sz w:val="26"/>
          <w:szCs w:val="26"/>
        </w:rPr>
        <w:t>Marina Gómez Franco</w:t>
      </w:r>
      <w:r w:rsidRPr="00DD4975">
        <w:rPr>
          <w:rFonts w:ascii="Arial" w:hAnsi="Arial" w:cs="Arial"/>
          <w:sz w:val="26"/>
          <w:szCs w:val="26"/>
        </w:rPr>
        <w:t xml:space="preserve">, </w:t>
      </w:r>
      <w:r w:rsidR="00F74A21">
        <w:rPr>
          <w:rFonts w:ascii="Arial" w:hAnsi="Arial" w:cs="Arial"/>
          <w:sz w:val="26"/>
          <w:szCs w:val="26"/>
        </w:rPr>
        <w:t xml:space="preserve">contra Viviana Marcela Villegas Gómez, Claudia Milena, Andrés Hernando y Julián Armando Villegas Pérez, </w:t>
      </w:r>
      <w:r w:rsidR="00227875">
        <w:rPr>
          <w:rFonts w:ascii="Arial" w:hAnsi="Arial" w:cs="Arial"/>
          <w:sz w:val="26"/>
          <w:szCs w:val="26"/>
        </w:rPr>
        <w:t xml:space="preserve">como </w:t>
      </w:r>
      <w:r w:rsidR="00227875" w:rsidRPr="00227875">
        <w:rPr>
          <w:rFonts w:ascii="Arial" w:hAnsi="Arial" w:cs="Arial"/>
          <w:sz w:val="26"/>
          <w:szCs w:val="26"/>
        </w:rPr>
        <w:t xml:space="preserve">herederos </w:t>
      </w:r>
      <w:r w:rsidR="00227875">
        <w:rPr>
          <w:rFonts w:ascii="Arial" w:hAnsi="Arial" w:cs="Arial"/>
          <w:sz w:val="26"/>
          <w:szCs w:val="26"/>
        </w:rPr>
        <w:t>de He</w:t>
      </w:r>
      <w:r w:rsidR="009B2963">
        <w:rPr>
          <w:rFonts w:ascii="Arial" w:hAnsi="Arial" w:cs="Arial"/>
          <w:sz w:val="26"/>
          <w:szCs w:val="26"/>
        </w:rPr>
        <w:t>rnando de Jesús Villegas García,</w:t>
      </w:r>
      <w:r w:rsidR="00227875" w:rsidRPr="00227875">
        <w:rPr>
          <w:rFonts w:ascii="Arial" w:hAnsi="Arial" w:cs="Arial"/>
          <w:sz w:val="26"/>
          <w:szCs w:val="26"/>
        </w:rPr>
        <w:t xml:space="preserve"> </w:t>
      </w:r>
      <w:r w:rsidRPr="00DD4975">
        <w:rPr>
          <w:rFonts w:ascii="Arial" w:hAnsi="Arial" w:cs="Arial"/>
          <w:sz w:val="26"/>
          <w:szCs w:val="26"/>
        </w:rPr>
        <w:t xml:space="preserve">solicitó declarar </w:t>
      </w:r>
      <w:r>
        <w:rPr>
          <w:rFonts w:ascii="Arial" w:hAnsi="Arial" w:cs="Arial"/>
          <w:sz w:val="26"/>
          <w:szCs w:val="26"/>
        </w:rPr>
        <w:t>la</w:t>
      </w:r>
      <w:r w:rsidR="0072429A">
        <w:rPr>
          <w:rFonts w:ascii="Arial" w:hAnsi="Arial" w:cs="Arial"/>
          <w:sz w:val="26"/>
          <w:szCs w:val="26"/>
        </w:rPr>
        <w:t xml:space="preserve"> simulación del contrato de compraventa por ella celebrado con el </w:t>
      </w:r>
      <w:r w:rsidR="00227875">
        <w:rPr>
          <w:rFonts w:ascii="Arial" w:hAnsi="Arial" w:cs="Arial"/>
          <w:sz w:val="26"/>
          <w:szCs w:val="26"/>
        </w:rPr>
        <w:t xml:space="preserve">mentado </w:t>
      </w:r>
      <w:r w:rsidR="0072429A">
        <w:rPr>
          <w:rFonts w:ascii="Arial" w:hAnsi="Arial" w:cs="Arial"/>
          <w:sz w:val="26"/>
          <w:szCs w:val="26"/>
        </w:rPr>
        <w:t xml:space="preserve">señor Villegas García, el 12 de abril de 1988 mediante escritura pública No. 1641 de la Notaría Tercera del Círculo de Pereira </w:t>
      </w:r>
      <w:r w:rsidRPr="00F07795">
        <w:rPr>
          <w:rFonts w:ascii="Arial" w:hAnsi="Arial" w:cs="Arial"/>
          <w:szCs w:val="26"/>
        </w:rPr>
        <w:t>(C. 1</w:t>
      </w:r>
      <w:r w:rsidR="00BE7EA2" w:rsidRPr="00F07795">
        <w:rPr>
          <w:rFonts w:ascii="Arial" w:hAnsi="Arial" w:cs="Arial"/>
          <w:szCs w:val="26"/>
        </w:rPr>
        <w:t xml:space="preserve"> ordinario</w:t>
      </w:r>
      <w:r w:rsidRPr="00F07795">
        <w:rPr>
          <w:rFonts w:ascii="Arial" w:hAnsi="Arial" w:cs="Arial"/>
          <w:szCs w:val="26"/>
        </w:rPr>
        <w:t xml:space="preserve">, </w:t>
      </w:r>
      <w:proofErr w:type="spellStart"/>
      <w:r w:rsidRPr="00F07795">
        <w:rPr>
          <w:rFonts w:ascii="Arial" w:hAnsi="Arial" w:cs="Arial"/>
          <w:szCs w:val="26"/>
        </w:rPr>
        <w:t>fls</w:t>
      </w:r>
      <w:proofErr w:type="spellEnd"/>
      <w:r w:rsidRPr="00F07795">
        <w:rPr>
          <w:rFonts w:ascii="Arial" w:hAnsi="Arial" w:cs="Arial"/>
          <w:szCs w:val="26"/>
        </w:rPr>
        <w:t xml:space="preserve">. </w:t>
      </w:r>
      <w:r w:rsidR="0072429A" w:rsidRPr="00F07795">
        <w:rPr>
          <w:rFonts w:ascii="Arial" w:hAnsi="Arial" w:cs="Arial"/>
          <w:szCs w:val="26"/>
        </w:rPr>
        <w:t>52</w:t>
      </w:r>
      <w:r w:rsidRPr="00F07795">
        <w:rPr>
          <w:rFonts w:ascii="Arial" w:hAnsi="Arial" w:cs="Arial"/>
          <w:szCs w:val="26"/>
        </w:rPr>
        <w:t>).</w:t>
      </w:r>
    </w:p>
    <w:p w:rsidR="006039DD" w:rsidRPr="00BD63A1" w:rsidRDefault="006039DD" w:rsidP="006039DD">
      <w:pPr>
        <w:pStyle w:val="Sinespaciado1"/>
        <w:spacing w:line="360" w:lineRule="auto"/>
        <w:ind w:firstLine="2268"/>
        <w:jc w:val="both"/>
        <w:rPr>
          <w:rFonts w:ascii="Arial" w:hAnsi="Arial" w:cs="Arial"/>
          <w:sz w:val="16"/>
          <w:szCs w:val="26"/>
        </w:rPr>
      </w:pPr>
    </w:p>
    <w:p w:rsidR="00882B89" w:rsidRPr="00BE7EA2" w:rsidRDefault="00B919BC" w:rsidP="00882B89">
      <w:pPr>
        <w:pStyle w:val="Sinespaciado1"/>
        <w:spacing w:line="360" w:lineRule="auto"/>
        <w:ind w:firstLine="2268"/>
        <w:jc w:val="both"/>
        <w:rPr>
          <w:rFonts w:ascii="Arial" w:hAnsi="Arial" w:cs="Arial"/>
          <w:bCs/>
          <w:sz w:val="24"/>
          <w:szCs w:val="26"/>
        </w:rPr>
      </w:pPr>
      <w:r w:rsidRPr="006039DD">
        <w:rPr>
          <w:rFonts w:ascii="Arial" w:hAnsi="Arial" w:cs="Arial"/>
          <w:bCs/>
          <w:sz w:val="26"/>
          <w:szCs w:val="26"/>
        </w:rPr>
        <w:t xml:space="preserve">2. El proceso se clausuró por el Juzgado </w:t>
      </w:r>
      <w:r w:rsidR="00F658B3" w:rsidRPr="006039DD">
        <w:rPr>
          <w:rFonts w:ascii="Arial" w:hAnsi="Arial" w:cs="Arial"/>
          <w:bCs/>
          <w:sz w:val="26"/>
          <w:szCs w:val="26"/>
        </w:rPr>
        <w:t xml:space="preserve">Tercero </w:t>
      </w:r>
      <w:r w:rsidRPr="006039DD">
        <w:rPr>
          <w:rFonts w:ascii="Arial" w:hAnsi="Arial" w:cs="Arial"/>
          <w:bCs/>
          <w:sz w:val="26"/>
          <w:szCs w:val="26"/>
        </w:rPr>
        <w:t xml:space="preserve"> Civil </w:t>
      </w:r>
      <w:r w:rsidR="00F658B3" w:rsidRPr="006039DD">
        <w:rPr>
          <w:rFonts w:ascii="Arial" w:hAnsi="Arial" w:cs="Arial"/>
          <w:bCs/>
          <w:sz w:val="26"/>
          <w:szCs w:val="26"/>
        </w:rPr>
        <w:t xml:space="preserve">del Circuito  local, </w:t>
      </w:r>
      <w:r w:rsidRPr="006039DD">
        <w:rPr>
          <w:rFonts w:ascii="Arial" w:hAnsi="Arial" w:cs="Arial"/>
          <w:bCs/>
          <w:sz w:val="26"/>
          <w:szCs w:val="26"/>
        </w:rPr>
        <w:t>mediante sentencia de</w:t>
      </w:r>
      <w:r w:rsidR="00F658B3" w:rsidRPr="006039DD">
        <w:rPr>
          <w:rFonts w:ascii="Arial" w:hAnsi="Arial" w:cs="Arial"/>
          <w:bCs/>
          <w:sz w:val="26"/>
          <w:szCs w:val="26"/>
        </w:rPr>
        <w:t>l 30 de septiembre de 2011</w:t>
      </w:r>
      <w:r w:rsidRPr="006039DD">
        <w:rPr>
          <w:rFonts w:ascii="Arial" w:hAnsi="Arial" w:cs="Arial"/>
          <w:bCs/>
          <w:sz w:val="26"/>
          <w:szCs w:val="26"/>
        </w:rPr>
        <w:t xml:space="preserve">, acogiendo </w:t>
      </w:r>
      <w:r w:rsidRPr="006039DD">
        <w:rPr>
          <w:rFonts w:ascii="Arial" w:hAnsi="Arial" w:cs="Arial"/>
          <w:bCs/>
          <w:sz w:val="26"/>
          <w:szCs w:val="26"/>
        </w:rPr>
        <w:lastRenderedPageBreak/>
        <w:t>las pretensiones de</w:t>
      </w:r>
      <w:r w:rsidR="00F658B3" w:rsidRPr="006039DD">
        <w:rPr>
          <w:rFonts w:ascii="Arial" w:hAnsi="Arial" w:cs="Arial"/>
          <w:bCs/>
          <w:sz w:val="26"/>
          <w:szCs w:val="26"/>
        </w:rPr>
        <w:t xml:space="preserve"> </w:t>
      </w:r>
      <w:r w:rsidRPr="006039DD">
        <w:rPr>
          <w:rFonts w:ascii="Arial" w:hAnsi="Arial" w:cs="Arial"/>
          <w:bCs/>
          <w:sz w:val="26"/>
          <w:szCs w:val="26"/>
        </w:rPr>
        <w:t>l</w:t>
      </w:r>
      <w:r w:rsidR="00F658B3" w:rsidRPr="006039DD">
        <w:rPr>
          <w:rFonts w:ascii="Arial" w:hAnsi="Arial" w:cs="Arial"/>
          <w:bCs/>
          <w:sz w:val="26"/>
          <w:szCs w:val="26"/>
        </w:rPr>
        <w:t>a</w:t>
      </w:r>
      <w:r w:rsidRPr="006039DD">
        <w:rPr>
          <w:rFonts w:ascii="Arial" w:hAnsi="Arial" w:cs="Arial"/>
          <w:bCs/>
          <w:sz w:val="26"/>
          <w:szCs w:val="26"/>
        </w:rPr>
        <w:t xml:space="preserve"> demandante, </w:t>
      </w:r>
      <w:r w:rsidR="00331865">
        <w:rPr>
          <w:rFonts w:ascii="Arial" w:hAnsi="Arial" w:cs="Arial"/>
          <w:bCs/>
          <w:sz w:val="26"/>
          <w:szCs w:val="26"/>
        </w:rPr>
        <w:t>esto es, declaró</w:t>
      </w:r>
      <w:r w:rsidRPr="006039DD">
        <w:rPr>
          <w:rFonts w:ascii="Arial" w:hAnsi="Arial" w:cs="Arial"/>
          <w:bCs/>
          <w:sz w:val="26"/>
          <w:szCs w:val="26"/>
        </w:rPr>
        <w:t xml:space="preserve"> </w:t>
      </w:r>
      <w:r w:rsidR="00F74A21" w:rsidRPr="006039DD">
        <w:rPr>
          <w:rFonts w:ascii="Arial" w:hAnsi="Arial" w:cs="Arial"/>
          <w:bCs/>
          <w:sz w:val="26"/>
          <w:szCs w:val="26"/>
        </w:rPr>
        <w:t>simulado el contrato de compraventa reclamado</w:t>
      </w:r>
      <w:r w:rsidRPr="006039DD">
        <w:rPr>
          <w:rFonts w:ascii="Arial" w:hAnsi="Arial" w:cs="Arial"/>
          <w:bCs/>
          <w:sz w:val="26"/>
          <w:szCs w:val="26"/>
        </w:rPr>
        <w:t>, disp</w:t>
      </w:r>
      <w:r w:rsidR="00331865">
        <w:rPr>
          <w:rFonts w:ascii="Arial" w:hAnsi="Arial" w:cs="Arial"/>
          <w:bCs/>
          <w:sz w:val="26"/>
          <w:szCs w:val="26"/>
        </w:rPr>
        <w:t xml:space="preserve">uso </w:t>
      </w:r>
      <w:r w:rsidRPr="006039DD">
        <w:rPr>
          <w:rFonts w:ascii="Arial" w:hAnsi="Arial" w:cs="Arial"/>
          <w:bCs/>
          <w:sz w:val="26"/>
          <w:szCs w:val="26"/>
        </w:rPr>
        <w:t xml:space="preserve">que </w:t>
      </w:r>
      <w:r w:rsidR="00735077" w:rsidRPr="006039DD">
        <w:rPr>
          <w:rFonts w:ascii="Arial" w:hAnsi="Arial" w:cs="Arial"/>
          <w:bCs/>
          <w:sz w:val="26"/>
          <w:szCs w:val="26"/>
        </w:rPr>
        <w:t>los demandados r</w:t>
      </w:r>
      <w:r w:rsidRPr="006039DD">
        <w:rPr>
          <w:rFonts w:ascii="Arial" w:hAnsi="Arial" w:cs="Arial"/>
          <w:bCs/>
          <w:sz w:val="26"/>
          <w:szCs w:val="26"/>
        </w:rPr>
        <w:t>estituya</w:t>
      </w:r>
      <w:r w:rsidR="00735077" w:rsidRPr="006039DD">
        <w:rPr>
          <w:rFonts w:ascii="Arial" w:hAnsi="Arial" w:cs="Arial"/>
          <w:bCs/>
          <w:sz w:val="26"/>
          <w:szCs w:val="26"/>
        </w:rPr>
        <w:t>n</w:t>
      </w:r>
      <w:r w:rsidRPr="006039DD">
        <w:rPr>
          <w:rFonts w:ascii="Arial" w:hAnsi="Arial" w:cs="Arial"/>
          <w:bCs/>
          <w:sz w:val="26"/>
          <w:szCs w:val="26"/>
        </w:rPr>
        <w:t xml:space="preserve"> a</w:t>
      </w:r>
      <w:r w:rsidR="00735077" w:rsidRPr="006039DD">
        <w:rPr>
          <w:rFonts w:ascii="Arial" w:hAnsi="Arial" w:cs="Arial"/>
          <w:bCs/>
          <w:sz w:val="26"/>
          <w:szCs w:val="26"/>
        </w:rPr>
        <w:t xml:space="preserve"> </w:t>
      </w:r>
      <w:r w:rsidRPr="006039DD">
        <w:rPr>
          <w:rFonts w:ascii="Arial" w:hAnsi="Arial" w:cs="Arial"/>
          <w:bCs/>
          <w:sz w:val="26"/>
          <w:szCs w:val="26"/>
        </w:rPr>
        <w:t>l</w:t>
      </w:r>
      <w:r w:rsidR="00735077" w:rsidRPr="006039DD">
        <w:rPr>
          <w:rFonts w:ascii="Arial" w:hAnsi="Arial" w:cs="Arial"/>
          <w:bCs/>
          <w:sz w:val="26"/>
          <w:szCs w:val="26"/>
        </w:rPr>
        <w:t>a</w:t>
      </w:r>
      <w:r w:rsidRPr="006039DD">
        <w:rPr>
          <w:rFonts w:ascii="Arial" w:hAnsi="Arial" w:cs="Arial"/>
          <w:bCs/>
          <w:sz w:val="26"/>
          <w:szCs w:val="26"/>
        </w:rPr>
        <w:t xml:space="preserve"> demandante la </w:t>
      </w:r>
      <w:r w:rsidRPr="00B23D6E">
        <w:rPr>
          <w:rFonts w:ascii="Arial" w:hAnsi="Arial" w:cs="Arial"/>
          <w:bCs/>
          <w:sz w:val="26"/>
          <w:szCs w:val="26"/>
        </w:rPr>
        <w:t xml:space="preserve">suma </w:t>
      </w:r>
      <w:r w:rsidR="001F3AE7">
        <w:rPr>
          <w:rFonts w:ascii="Arial" w:hAnsi="Arial" w:cs="Arial"/>
          <w:bCs/>
          <w:sz w:val="26"/>
          <w:szCs w:val="26"/>
        </w:rPr>
        <w:t>indicada</w:t>
      </w:r>
      <w:r w:rsidR="00331865">
        <w:rPr>
          <w:rFonts w:ascii="Arial" w:hAnsi="Arial" w:cs="Arial"/>
          <w:bCs/>
          <w:sz w:val="26"/>
          <w:szCs w:val="26"/>
        </w:rPr>
        <w:t xml:space="preserve"> y ordenó</w:t>
      </w:r>
      <w:r w:rsidR="0062358D">
        <w:rPr>
          <w:rFonts w:ascii="Arial" w:hAnsi="Arial" w:cs="Arial"/>
          <w:bCs/>
          <w:sz w:val="26"/>
          <w:szCs w:val="26"/>
        </w:rPr>
        <w:t xml:space="preserve"> la cancelación de la anotación número 6 que tr</w:t>
      </w:r>
      <w:r w:rsidR="00331865">
        <w:rPr>
          <w:rFonts w:ascii="Arial" w:hAnsi="Arial" w:cs="Arial"/>
          <w:bCs/>
          <w:sz w:val="26"/>
          <w:szCs w:val="26"/>
        </w:rPr>
        <w:t>ata de la compraventa simulad</w:t>
      </w:r>
      <w:r w:rsidR="00041B32">
        <w:rPr>
          <w:rFonts w:ascii="Arial" w:hAnsi="Arial" w:cs="Arial"/>
          <w:bCs/>
          <w:sz w:val="26"/>
          <w:szCs w:val="26"/>
        </w:rPr>
        <w:t>a</w:t>
      </w:r>
      <w:r w:rsidR="006039DD" w:rsidRPr="00B23D6E">
        <w:rPr>
          <w:rFonts w:ascii="Arial" w:hAnsi="Arial" w:cs="Arial"/>
          <w:bCs/>
          <w:sz w:val="26"/>
          <w:szCs w:val="26"/>
        </w:rPr>
        <w:t>; decisión en firme el 13 de octubre de 2011, según la constancia secretarial que reposa en el expediente,</w:t>
      </w:r>
      <w:r w:rsidRPr="00B23D6E">
        <w:rPr>
          <w:rFonts w:ascii="Arial" w:hAnsi="Arial" w:cs="Arial"/>
          <w:bCs/>
          <w:sz w:val="26"/>
          <w:szCs w:val="26"/>
        </w:rPr>
        <w:t xml:space="preserve"> </w:t>
      </w:r>
      <w:r w:rsidRPr="001F3AE7">
        <w:rPr>
          <w:rFonts w:ascii="Arial" w:hAnsi="Arial" w:cs="Arial"/>
          <w:bCs/>
          <w:sz w:val="24"/>
          <w:szCs w:val="26"/>
        </w:rPr>
        <w:t>(</w:t>
      </w:r>
      <w:proofErr w:type="spellStart"/>
      <w:r w:rsidRPr="001F3AE7">
        <w:rPr>
          <w:rFonts w:ascii="Arial" w:hAnsi="Arial" w:cs="Arial"/>
          <w:bCs/>
          <w:szCs w:val="26"/>
        </w:rPr>
        <w:t>fls</w:t>
      </w:r>
      <w:proofErr w:type="spellEnd"/>
      <w:r w:rsidRPr="001F3AE7">
        <w:rPr>
          <w:rFonts w:ascii="Arial" w:hAnsi="Arial" w:cs="Arial"/>
          <w:bCs/>
          <w:szCs w:val="26"/>
        </w:rPr>
        <w:t xml:space="preserve">. </w:t>
      </w:r>
      <w:r w:rsidR="00735077" w:rsidRPr="001F3AE7">
        <w:rPr>
          <w:rFonts w:ascii="Arial" w:hAnsi="Arial" w:cs="Arial"/>
          <w:bCs/>
          <w:szCs w:val="26"/>
        </w:rPr>
        <w:t>177</w:t>
      </w:r>
      <w:r w:rsidRPr="001F3AE7">
        <w:rPr>
          <w:rFonts w:ascii="Arial" w:hAnsi="Arial" w:cs="Arial"/>
          <w:bCs/>
          <w:szCs w:val="26"/>
        </w:rPr>
        <w:t xml:space="preserve"> a </w:t>
      </w:r>
      <w:r w:rsidR="00735077" w:rsidRPr="001F3AE7">
        <w:rPr>
          <w:rFonts w:ascii="Arial" w:hAnsi="Arial" w:cs="Arial"/>
          <w:bCs/>
          <w:szCs w:val="26"/>
        </w:rPr>
        <w:t>195</w:t>
      </w:r>
      <w:r w:rsidR="006039DD" w:rsidRPr="001F3AE7">
        <w:rPr>
          <w:rFonts w:ascii="Arial" w:hAnsi="Arial" w:cs="Arial"/>
          <w:bCs/>
          <w:szCs w:val="26"/>
        </w:rPr>
        <w:t>, 200</w:t>
      </w:r>
      <w:r w:rsidR="00BE7EA2" w:rsidRPr="001F3AE7">
        <w:rPr>
          <w:rFonts w:ascii="Arial" w:hAnsi="Arial" w:cs="Arial"/>
          <w:bCs/>
          <w:szCs w:val="26"/>
        </w:rPr>
        <w:t xml:space="preserve"> </w:t>
      </w:r>
      <w:proofErr w:type="spellStart"/>
      <w:r w:rsidR="00BE7EA2" w:rsidRPr="001F3AE7">
        <w:rPr>
          <w:rFonts w:ascii="Arial" w:hAnsi="Arial" w:cs="Arial"/>
          <w:bCs/>
          <w:szCs w:val="26"/>
        </w:rPr>
        <w:t>íd</w:t>
      </w:r>
      <w:proofErr w:type="spellEnd"/>
      <w:r w:rsidRPr="001F3AE7">
        <w:rPr>
          <w:rFonts w:ascii="Arial" w:hAnsi="Arial" w:cs="Arial"/>
          <w:bCs/>
          <w:szCs w:val="26"/>
        </w:rPr>
        <w:t>)</w:t>
      </w:r>
      <w:r w:rsidRPr="00BE7EA2">
        <w:rPr>
          <w:rFonts w:ascii="Arial" w:hAnsi="Arial" w:cs="Arial"/>
          <w:bCs/>
          <w:sz w:val="24"/>
          <w:szCs w:val="26"/>
        </w:rPr>
        <w:t xml:space="preserve">. </w:t>
      </w:r>
    </w:p>
    <w:p w:rsidR="00882B89" w:rsidRPr="00331865" w:rsidRDefault="00882B89" w:rsidP="00882B89">
      <w:pPr>
        <w:pStyle w:val="Sinespaciado1"/>
        <w:spacing w:line="360" w:lineRule="auto"/>
        <w:ind w:firstLine="2268"/>
        <w:jc w:val="both"/>
        <w:rPr>
          <w:rFonts w:ascii="Arial" w:hAnsi="Arial" w:cs="Arial"/>
          <w:bCs/>
          <w:sz w:val="24"/>
          <w:szCs w:val="26"/>
        </w:rPr>
      </w:pPr>
    </w:p>
    <w:p w:rsidR="00BE7EA2" w:rsidRDefault="00882B89" w:rsidP="00BE7EA2">
      <w:pPr>
        <w:pStyle w:val="Sinespaciado1"/>
        <w:spacing w:line="360" w:lineRule="auto"/>
        <w:ind w:firstLine="2268"/>
        <w:jc w:val="both"/>
        <w:rPr>
          <w:rFonts w:ascii="Arial" w:hAnsi="Arial" w:cs="Arial"/>
          <w:bCs/>
          <w:szCs w:val="26"/>
        </w:rPr>
      </w:pPr>
      <w:r w:rsidRPr="00882B89">
        <w:rPr>
          <w:rFonts w:ascii="Arial" w:hAnsi="Arial" w:cs="Arial"/>
          <w:b/>
          <w:szCs w:val="26"/>
        </w:rPr>
        <w:t>III. EL RECURSO DE REVISIÓN</w:t>
      </w:r>
    </w:p>
    <w:p w:rsidR="00BE7EA2" w:rsidRPr="00331865" w:rsidRDefault="00BE7EA2" w:rsidP="00BE7EA2">
      <w:pPr>
        <w:pStyle w:val="Sinespaciado1"/>
        <w:spacing w:line="360" w:lineRule="auto"/>
        <w:ind w:firstLine="2268"/>
        <w:jc w:val="both"/>
        <w:rPr>
          <w:rFonts w:ascii="Arial" w:hAnsi="Arial" w:cs="Arial"/>
          <w:bCs/>
          <w:sz w:val="24"/>
          <w:szCs w:val="26"/>
        </w:rPr>
      </w:pPr>
    </w:p>
    <w:p w:rsidR="00E03586" w:rsidRDefault="00331865" w:rsidP="00BE7EA2">
      <w:pPr>
        <w:pStyle w:val="Sinespaciado1"/>
        <w:spacing w:line="360" w:lineRule="auto"/>
        <w:ind w:firstLine="2268"/>
        <w:jc w:val="both"/>
        <w:rPr>
          <w:rFonts w:ascii="Arial" w:hAnsi="Arial" w:cs="Arial"/>
          <w:sz w:val="26"/>
          <w:szCs w:val="26"/>
        </w:rPr>
      </w:pPr>
      <w:r>
        <w:rPr>
          <w:rFonts w:ascii="Arial" w:hAnsi="Arial" w:cs="Arial"/>
          <w:sz w:val="26"/>
          <w:szCs w:val="26"/>
        </w:rPr>
        <w:t>1. Buscando invalidar el</w:t>
      </w:r>
      <w:r w:rsidR="00B919BC" w:rsidRPr="00BE7EA2">
        <w:rPr>
          <w:rFonts w:ascii="Arial" w:hAnsi="Arial" w:cs="Arial"/>
          <w:sz w:val="26"/>
          <w:szCs w:val="26"/>
        </w:rPr>
        <w:t xml:space="preserve"> </w:t>
      </w:r>
      <w:r w:rsidR="0093136B" w:rsidRPr="00BE7EA2">
        <w:rPr>
          <w:rFonts w:ascii="Arial" w:hAnsi="Arial" w:cs="Arial"/>
          <w:sz w:val="26"/>
          <w:szCs w:val="26"/>
        </w:rPr>
        <w:t>fallo</w:t>
      </w:r>
      <w:r w:rsidR="00B919BC" w:rsidRPr="00BE7EA2">
        <w:rPr>
          <w:rFonts w:ascii="Arial" w:hAnsi="Arial" w:cs="Arial"/>
          <w:sz w:val="26"/>
          <w:szCs w:val="26"/>
        </w:rPr>
        <w:t xml:space="preserve"> </w:t>
      </w:r>
      <w:r>
        <w:rPr>
          <w:rFonts w:ascii="Arial" w:hAnsi="Arial" w:cs="Arial"/>
          <w:sz w:val="26"/>
          <w:szCs w:val="26"/>
        </w:rPr>
        <w:t>proferido</w:t>
      </w:r>
      <w:r w:rsidR="00B919BC" w:rsidRPr="00BE7EA2">
        <w:rPr>
          <w:rFonts w:ascii="Arial" w:hAnsi="Arial" w:cs="Arial"/>
          <w:sz w:val="26"/>
          <w:szCs w:val="26"/>
        </w:rPr>
        <w:t xml:space="preserve"> en el asunto, </w:t>
      </w:r>
      <w:r>
        <w:rPr>
          <w:rFonts w:ascii="Arial" w:hAnsi="Arial" w:cs="Arial"/>
          <w:sz w:val="26"/>
          <w:szCs w:val="26"/>
        </w:rPr>
        <w:t xml:space="preserve">se </w:t>
      </w:r>
      <w:r w:rsidR="00B919BC" w:rsidRPr="00BE7EA2">
        <w:rPr>
          <w:rFonts w:ascii="Arial" w:hAnsi="Arial" w:cs="Arial"/>
          <w:sz w:val="26"/>
          <w:szCs w:val="26"/>
        </w:rPr>
        <w:t xml:space="preserve">sustenta la impugnación en la causal </w:t>
      </w:r>
      <w:r w:rsidR="00C46733" w:rsidRPr="00BE7EA2">
        <w:rPr>
          <w:rFonts w:ascii="Arial" w:hAnsi="Arial" w:cs="Arial"/>
          <w:sz w:val="26"/>
          <w:szCs w:val="26"/>
        </w:rPr>
        <w:t>séptima</w:t>
      </w:r>
      <w:r w:rsidR="00B919BC" w:rsidRPr="00BE7EA2">
        <w:rPr>
          <w:rFonts w:ascii="Arial" w:hAnsi="Arial" w:cs="Arial"/>
          <w:sz w:val="26"/>
          <w:szCs w:val="26"/>
        </w:rPr>
        <w:t xml:space="preserve"> de revisión prevista en el artículo 380 del</w:t>
      </w:r>
      <w:r>
        <w:rPr>
          <w:rFonts w:ascii="Arial" w:hAnsi="Arial" w:cs="Arial"/>
          <w:sz w:val="26"/>
          <w:szCs w:val="26"/>
        </w:rPr>
        <w:t xml:space="preserve"> Código de Procedimiento Civil. D</w:t>
      </w:r>
      <w:r w:rsidR="00BE7EA2">
        <w:rPr>
          <w:rFonts w:ascii="Arial" w:hAnsi="Arial" w:cs="Arial"/>
          <w:sz w:val="26"/>
          <w:szCs w:val="26"/>
        </w:rPr>
        <w:t xml:space="preserve">iscute la demandante </w:t>
      </w:r>
      <w:r w:rsidR="00185662">
        <w:rPr>
          <w:rFonts w:ascii="Arial" w:hAnsi="Arial" w:cs="Arial"/>
          <w:sz w:val="26"/>
          <w:szCs w:val="26"/>
        </w:rPr>
        <w:t>no se le notificó en debida forma de la demanda de simulación iniciada en su contra</w:t>
      </w:r>
      <w:r>
        <w:rPr>
          <w:rFonts w:ascii="Arial" w:hAnsi="Arial" w:cs="Arial"/>
          <w:sz w:val="26"/>
          <w:szCs w:val="26"/>
        </w:rPr>
        <w:t>,</w:t>
      </w:r>
      <w:r w:rsidR="00185662">
        <w:rPr>
          <w:rFonts w:ascii="Arial" w:hAnsi="Arial" w:cs="Arial"/>
          <w:sz w:val="26"/>
          <w:szCs w:val="26"/>
        </w:rPr>
        <w:t xml:space="preserve"> como heredera del señor Hernando de Jesús Villegas</w:t>
      </w:r>
      <w:r w:rsidR="002D606D">
        <w:rPr>
          <w:rFonts w:ascii="Arial" w:hAnsi="Arial" w:cs="Arial"/>
          <w:sz w:val="26"/>
          <w:szCs w:val="26"/>
        </w:rPr>
        <w:t>, pues su citación se h</w:t>
      </w:r>
      <w:r w:rsidR="00041B32">
        <w:rPr>
          <w:rFonts w:ascii="Arial" w:hAnsi="Arial" w:cs="Arial"/>
          <w:sz w:val="26"/>
          <w:szCs w:val="26"/>
        </w:rPr>
        <w:t>izo en lugar donde ya no residía</w:t>
      </w:r>
      <w:r w:rsidR="002D606D">
        <w:rPr>
          <w:rFonts w:ascii="Arial" w:hAnsi="Arial" w:cs="Arial"/>
          <w:sz w:val="26"/>
          <w:szCs w:val="26"/>
        </w:rPr>
        <w:t xml:space="preserve"> para esa ápoca, hecho que conocía</w:t>
      </w:r>
      <w:r w:rsidR="00041B32">
        <w:rPr>
          <w:rFonts w:ascii="Arial" w:hAnsi="Arial" w:cs="Arial"/>
          <w:sz w:val="26"/>
          <w:szCs w:val="26"/>
        </w:rPr>
        <w:t>n</w:t>
      </w:r>
      <w:r w:rsidR="002D606D">
        <w:rPr>
          <w:rFonts w:ascii="Arial" w:hAnsi="Arial" w:cs="Arial"/>
          <w:sz w:val="26"/>
          <w:szCs w:val="26"/>
        </w:rPr>
        <w:t xml:space="preserve"> la hija de la demandante y ella misma. </w:t>
      </w:r>
      <w:r w:rsidR="00185662">
        <w:rPr>
          <w:rFonts w:ascii="Arial" w:hAnsi="Arial" w:cs="Arial"/>
          <w:sz w:val="26"/>
          <w:szCs w:val="26"/>
        </w:rPr>
        <w:t xml:space="preserve"> </w:t>
      </w:r>
    </w:p>
    <w:p w:rsidR="00B919BC" w:rsidRPr="00BD63A1" w:rsidRDefault="00B919BC" w:rsidP="001F2ABF">
      <w:pPr>
        <w:pStyle w:val="Sinespaciado1"/>
        <w:spacing w:line="360" w:lineRule="auto"/>
        <w:ind w:firstLine="2268"/>
        <w:jc w:val="both"/>
        <w:rPr>
          <w:rFonts w:ascii="Arial" w:hAnsi="Arial" w:cs="Arial"/>
          <w:sz w:val="16"/>
          <w:szCs w:val="26"/>
        </w:rPr>
      </w:pPr>
    </w:p>
    <w:p w:rsidR="00B919BC" w:rsidRPr="00634A04" w:rsidRDefault="00B919BC" w:rsidP="00634A04">
      <w:pPr>
        <w:pStyle w:val="Sinespaciado1"/>
        <w:spacing w:line="360" w:lineRule="auto"/>
        <w:ind w:firstLine="2268"/>
        <w:jc w:val="both"/>
        <w:rPr>
          <w:rFonts w:ascii="Arial" w:hAnsi="Arial" w:cs="Arial"/>
          <w:sz w:val="26"/>
          <w:szCs w:val="26"/>
        </w:rPr>
      </w:pPr>
      <w:r>
        <w:rPr>
          <w:rFonts w:ascii="Arial" w:hAnsi="Arial" w:cs="Arial"/>
          <w:sz w:val="26"/>
          <w:szCs w:val="26"/>
        </w:rPr>
        <w:t>2.</w:t>
      </w:r>
      <w:r w:rsidRPr="00634A04">
        <w:rPr>
          <w:rFonts w:ascii="Arial" w:hAnsi="Arial" w:cs="Arial"/>
          <w:sz w:val="26"/>
          <w:szCs w:val="26"/>
        </w:rPr>
        <w:t xml:space="preserve"> </w:t>
      </w:r>
      <w:r w:rsidR="003E39C7">
        <w:rPr>
          <w:rFonts w:ascii="Arial" w:hAnsi="Arial" w:cs="Arial"/>
          <w:sz w:val="26"/>
          <w:szCs w:val="26"/>
        </w:rPr>
        <w:t>Concedido el amparo de pobreza, se exoneró de prestar caución a la recurrente</w:t>
      </w:r>
      <w:r>
        <w:rPr>
          <w:rFonts w:ascii="Arial" w:hAnsi="Arial" w:cs="Arial"/>
          <w:sz w:val="26"/>
          <w:szCs w:val="26"/>
        </w:rPr>
        <w:t>, se admitió y notificó</w:t>
      </w:r>
      <w:r w:rsidR="002220D3">
        <w:rPr>
          <w:rFonts w:ascii="Arial" w:hAnsi="Arial" w:cs="Arial"/>
          <w:sz w:val="26"/>
          <w:szCs w:val="26"/>
        </w:rPr>
        <w:t xml:space="preserve"> a los señores </w:t>
      </w:r>
      <w:r w:rsidR="002220D3" w:rsidRPr="002220D3">
        <w:rPr>
          <w:rFonts w:ascii="Arial" w:hAnsi="Arial" w:cs="Arial"/>
          <w:szCs w:val="26"/>
        </w:rPr>
        <w:t>MARINA GÓMEZ FRANCO, VIVIANA MARCELA VILLEGAS GÓMEZ, ANDRÉS HERNANDO Y</w:t>
      </w:r>
      <w:r w:rsidR="002220D3">
        <w:rPr>
          <w:rFonts w:ascii="Arial" w:hAnsi="Arial" w:cs="Arial"/>
          <w:szCs w:val="26"/>
        </w:rPr>
        <w:t xml:space="preserve"> JULIÁN ARMANDO VILLEGAS PÉREZ; </w:t>
      </w:r>
      <w:r w:rsidR="002220D3">
        <w:rPr>
          <w:rFonts w:ascii="Arial" w:hAnsi="Arial" w:cs="Arial"/>
          <w:sz w:val="26"/>
          <w:szCs w:val="26"/>
        </w:rPr>
        <w:t>demandante y demás demandados en el trámite ordinario. Las dos primeras se opusieron a la p</w:t>
      </w:r>
      <w:r w:rsidR="002220D3" w:rsidRPr="00634A04">
        <w:rPr>
          <w:rFonts w:ascii="Arial" w:hAnsi="Arial" w:cs="Arial"/>
          <w:sz w:val="26"/>
          <w:szCs w:val="26"/>
        </w:rPr>
        <w:t>rosperidad</w:t>
      </w:r>
      <w:r w:rsidRPr="00634A04">
        <w:rPr>
          <w:rFonts w:ascii="Arial" w:hAnsi="Arial" w:cs="Arial"/>
          <w:sz w:val="26"/>
          <w:szCs w:val="26"/>
        </w:rPr>
        <w:t xml:space="preserve"> del recurso</w:t>
      </w:r>
      <w:r w:rsidR="002220D3">
        <w:rPr>
          <w:rFonts w:ascii="Arial" w:hAnsi="Arial" w:cs="Arial"/>
          <w:sz w:val="26"/>
          <w:szCs w:val="26"/>
        </w:rPr>
        <w:t>, p</w:t>
      </w:r>
      <w:r>
        <w:rPr>
          <w:rFonts w:ascii="Arial" w:hAnsi="Arial" w:cs="Arial"/>
          <w:sz w:val="26"/>
          <w:szCs w:val="26"/>
        </w:rPr>
        <w:t>ropus</w:t>
      </w:r>
      <w:r w:rsidR="002220D3">
        <w:rPr>
          <w:rFonts w:ascii="Arial" w:hAnsi="Arial" w:cs="Arial"/>
          <w:sz w:val="26"/>
          <w:szCs w:val="26"/>
        </w:rPr>
        <w:t>ieron</w:t>
      </w:r>
      <w:r>
        <w:rPr>
          <w:rFonts w:ascii="Arial" w:hAnsi="Arial" w:cs="Arial"/>
          <w:sz w:val="26"/>
          <w:szCs w:val="26"/>
        </w:rPr>
        <w:t xml:space="preserve"> la excepci</w:t>
      </w:r>
      <w:r w:rsidR="00076CCA">
        <w:rPr>
          <w:rFonts w:ascii="Arial" w:hAnsi="Arial" w:cs="Arial"/>
          <w:sz w:val="26"/>
          <w:szCs w:val="26"/>
        </w:rPr>
        <w:t>ón</w:t>
      </w:r>
      <w:r>
        <w:rPr>
          <w:rFonts w:ascii="Arial" w:hAnsi="Arial" w:cs="Arial"/>
          <w:sz w:val="26"/>
          <w:szCs w:val="26"/>
        </w:rPr>
        <w:t xml:space="preserve"> que denomin</w:t>
      </w:r>
      <w:r w:rsidR="00076CCA">
        <w:rPr>
          <w:rFonts w:ascii="Arial" w:hAnsi="Arial" w:cs="Arial"/>
          <w:sz w:val="26"/>
          <w:szCs w:val="26"/>
        </w:rPr>
        <w:t>aron</w:t>
      </w:r>
      <w:r>
        <w:rPr>
          <w:rFonts w:ascii="Arial" w:hAnsi="Arial" w:cs="Arial"/>
          <w:sz w:val="26"/>
          <w:szCs w:val="26"/>
        </w:rPr>
        <w:t xml:space="preserve"> </w:t>
      </w:r>
      <w:r w:rsidRPr="00C27D02">
        <w:rPr>
          <w:rFonts w:ascii="Arial" w:hAnsi="Arial" w:cs="Arial"/>
          <w:i/>
          <w:sz w:val="24"/>
          <w:szCs w:val="24"/>
        </w:rPr>
        <w:t>“</w:t>
      </w:r>
      <w:r w:rsidR="00076CCA">
        <w:rPr>
          <w:rFonts w:ascii="Arial" w:hAnsi="Arial" w:cs="Arial"/>
          <w:i/>
          <w:sz w:val="24"/>
          <w:szCs w:val="24"/>
        </w:rPr>
        <w:t>Prescripción de la acción de revisión”</w:t>
      </w:r>
      <w:r w:rsidR="00F87126">
        <w:rPr>
          <w:rFonts w:ascii="Arial" w:hAnsi="Arial" w:cs="Arial"/>
          <w:sz w:val="26"/>
          <w:szCs w:val="26"/>
        </w:rPr>
        <w:t>; los restantes guardaron silencio,</w:t>
      </w:r>
      <w:r>
        <w:rPr>
          <w:rFonts w:ascii="Arial" w:hAnsi="Arial" w:cs="Arial"/>
          <w:sz w:val="26"/>
          <w:szCs w:val="26"/>
        </w:rPr>
        <w:t xml:space="preserve"> </w:t>
      </w:r>
      <w:r w:rsidRPr="00441B4E">
        <w:rPr>
          <w:rFonts w:ascii="Arial" w:hAnsi="Arial" w:cs="Arial"/>
          <w:bCs/>
        </w:rPr>
        <w:t xml:space="preserve">(C. principal Tribunal, </w:t>
      </w:r>
      <w:proofErr w:type="spellStart"/>
      <w:r w:rsidRPr="00441B4E">
        <w:rPr>
          <w:rFonts w:ascii="Arial" w:hAnsi="Arial" w:cs="Arial"/>
          <w:bCs/>
        </w:rPr>
        <w:t>fls</w:t>
      </w:r>
      <w:proofErr w:type="spellEnd"/>
      <w:r w:rsidRPr="00441B4E">
        <w:rPr>
          <w:rFonts w:ascii="Arial" w:hAnsi="Arial" w:cs="Arial"/>
          <w:bCs/>
        </w:rPr>
        <w:t xml:space="preserve">. </w:t>
      </w:r>
      <w:r w:rsidR="00076CCA" w:rsidRPr="00441B4E">
        <w:rPr>
          <w:rFonts w:ascii="Arial" w:hAnsi="Arial" w:cs="Arial"/>
          <w:bCs/>
        </w:rPr>
        <w:t>41</w:t>
      </w:r>
      <w:r w:rsidRPr="00441B4E">
        <w:rPr>
          <w:rFonts w:ascii="Arial" w:hAnsi="Arial" w:cs="Arial"/>
          <w:bCs/>
        </w:rPr>
        <w:t xml:space="preserve"> a </w:t>
      </w:r>
      <w:r w:rsidR="00076CCA" w:rsidRPr="00441B4E">
        <w:rPr>
          <w:rFonts w:ascii="Arial" w:hAnsi="Arial" w:cs="Arial"/>
          <w:bCs/>
        </w:rPr>
        <w:t>70</w:t>
      </w:r>
      <w:r w:rsidRPr="00441B4E">
        <w:rPr>
          <w:rFonts w:ascii="Arial" w:hAnsi="Arial" w:cs="Arial"/>
          <w:bCs/>
        </w:rPr>
        <w:t>).</w:t>
      </w:r>
      <w:r>
        <w:rPr>
          <w:rFonts w:ascii="Arial" w:hAnsi="Arial" w:cs="Arial"/>
          <w:bCs/>
          <w:sz w:val="26"/>
          <w:szCs w:val="26"/>
        </w:rPr>
        <w:t xml:space="preserve">  </w:t>
      </w:r>
    </w:p>
    <w:p w:rsidR="00B919BC" w:rsidRPr="001622A5" w:rsidRDefault="00B919BC" w:rsidP="00634A04">
      <w:pPr>
        <w:pStyle w:val="Sinespaciado1"/>
        <w:spacing w:line="360" w:lineRule="auto"/>
        <w:ind w:firstLine="2268"/>
        <w:jc w:val="both"/>
        <w:rPr>
          <w:rFonts w:ascii="Arial" w:hAnsi="Arial" w:cs="Arial"/>
          <w:sz w:val="16"/>
          <w:szCs w:val="26"/>
        </w:rPr>
      </w:pPr>
    </w:p>
    <w:p w:rsidR="00B919BC" w:rsidRPr="00441B4E" w:rsidRDefault="00B919BC" w:rsidP="00634A04">
      <w:pPr>
        <w:pStyle w:val="Sinespaciado1"/>
        <w:spacing w:line="360" w:lineRule="auto"/>
        <w:ind w:firstLine="2268"/>
        <w:jc w:val="both"/>
        <w:rPr>
          <w:rFonts w:ascii="Arial" w:hAnsi="Arial" w:cs="Arial"/>
          <w:szCs w:val="26"/>
        </w:rPr>
      </w:pPr>
      <w:r>
        <w:rPr>
          <w:rFonts w:ascii="Arial" w:hAnsi="Arial" w:cs="Arial"/>
          <w:sz w:val="26"/>
          <w:szCs w:val="26"/>
        </w:rPr>
        <w:t>3.</w:t>
      </w:r>
      <w:r w:rsidRPr="00634A04">
        <w:rPr>
          <w:rFonts w:ascii="Arial" w:hAnsi="Arial" w:cs="Arial"/>
          <w:sz w:val="26"/>
          <w:szCs w:val="26"/>
        </w:rPr>
        <w:t xml:space="preserve"> En la oportunidad correspondiente se tuvieron como pruebas las documentales existentes en la actuación y se </w:t>
      </w:r>
      <w:r>
        <w:rPr>
          <w:rFonts w:ascii="Arial" w:hAnsi="Arial" w:cs="Arial"/>
          <w:sz w:val="26"/>
          <w:szCs w:val="26"/>
        </w:rPr>
        <w:t>practicaro</w:t>
      </w:r>
      <w:r w:rsidRPr="005D5BAA">
        <w:rPr>
          <w:rFonts w:ascii="Arial" w:hAnsi="Arial" w:cs="Arial"/>
          <w:sz w:val="26"/>
          <w:szCs w:val="26"/>
        </w:rPr>
        <w:t>n las decretadas,</w:t>
      </w:r>
      <w:r w:rsidRPr="005D5BAA">
        <w:rPr>
          <w:rFonts w:ascii="Arial" w:hAnsi="Arial" w:cs="Arial"/>
          <w:sz w:val="24"/>
          <w:szCs w:val="26"/>
        </w:rPr>
        <w:t xml:space="preserve"> </w:t>
      </w:r>
      <w:r w:rsidRPr="00441B4E">
        <w:rPr>
          <w:rFonts w:ascii="Arial" w:hAnsi="Arial" w:cs="Arial"/>
          <w:bCs/>
        </w:rPr>
        <w:t>(</w:t>
      </w:r>
      <w:proofErr w:type="spellStart"/>
      <w:r w:rsidRPr="00441B4E">
        <w:rPr>
          <w:rFonts w:ascii="Arial" w:hAnsi="Arial" w:cs="Arial"/>
          <w:bCs/>
        </w:rPr>
        <w:t>fl</w:t>
      </w:r>
      <w:proofErr w:type="spellEnd"/>
      <w:r w:rsidRPr="00441B4E">
        <w:rPr>
          <w:rFonts w:ascii="Arial" w:hAnsi="Arial" w:cs="Arial"/>
          <w:bCs/>
        </w:rPr>
        <w:t xml:space="preserve">. </w:t>
      </w:r>
      <w:r w:rsidR="00037EC0" w:rsidRPr="00441B4E">
        <w:rPr>
          <w:rFonts w:ascii="Arial" w:hAnsi="Arial" w:cs="Arial"/>
          <w:bCs/>
        </w:rPr>
        <w:t xml:space="preserve">77 a 90 </w:t>
      </w:r>
      <w:proofErr w:type="spellStart"/>
      <w:r w:rsidR="00037EC0" w:rsidRPr="00441B4E">
        <w:rPr>
          <w:rFonts w:ascii="Arial" w:hAnsi="Arial" w:cs="Arial"/>
          <w:bCs/>
        </w:rPr>
        <w:t>íd</w:t>
      </w:r>
      <w:proofErr w:type="spellEnd"/>
      <w:r w:rsidRPr="00441B4E">
        <w:rPr>
          <w:rFonts w:ascii="Arial" w:hAnsi="Arial" w:cs="Arial"/>
          <w:bCs/>
        </w:rPr>
        <w:t>)</w:t>
      </w:r>
      <w:r w:rsidRPr="00441B4E">
        <w:rPr>
          <w:rFonts w:ascii="Arial" w:hAnsi="Arial" w:cs="Arial"/>
        </w:rPr>
        <w:t>.</w:t>
      </w:r>
      <w:r w:rsidRPr="00441B4E">
        <w:rPr>
          <w:rFonts w:ascii="Arial" w:hAnsi="Arial" w:cs="Arial"/>
          <w:szCs w:val="26"/>
        </w:rPr>
        <w:t xml:space="preserve"> </w:t>
      </w:r>
      <w:r w:rsidRPr="00441B4E">
        <w:rPr>
          <w:rFonts w:ascii="Arial" w:hAnsi="Arial" w:cs="Arial"/>
          <w:sz w:val="24"/>
          <w:szCs w:val="26"/>
        </w:rPr>
        <w:t xml:space="preserve"> </w:t>
      </w:r>
      <w:r w:rsidRPr="005D5BAA">
        <w:rPr>
          <w:rFonts w:ascii="Arial" w:hAnsi="Arial" w:cs="Arial"/>
          <w:sz w:val="26"/>
          <w:szCs w:val="26"/>
        </w:rPr>
        <w:t xml:space="preserve">Se corrió traslado para alegar, presentándose los argumentos conclusivos de las partes, </w:t>
      </w:r>
      <w:r w:rsidRPr="00441B4E">
        <w:rPr>
          <w:rFonts w:ascii="Arial" w:hAnsi="Arial" w:cs="Arial"/>
          <w:bCs/>
          <w:szCs w:val="26"/>
        </w:rPr>
        <w:t xml:space="preserve">(C. principal Tribunal, </w:t>
      </w:r>
      <w:proofErr w:type="spellStart"/>
      <w:r w:rsidRPr="00441B4E">
        <w:rPr>
          <w:rFonts w:ascii="Arial" w:hAnsi="Arial" w:cs="Arial"/>
          <w:bCs/>
          <w:szCs w:val="26"/>
        </w:rPr>
        <w:t>fls</w:t>
      </w:r>
      <w:proofErr w:type="spellEnd"/>
      <w:r w:rsidRPr="00441B4E">
        <w:rPr>
          <w:rFonts w:ascii="Arial" w:hAnsi="Arial" w:cs="Arial"/>
          <w:bCs/>
          <w:szCs w:val="26"/>
        </w:rPr>
        <w:t xml:space="preserve">. </w:t>
      </w:r>
      <w:r w:rsidR="005D5BAA" w:rsidRPr="00441B4E">
        <w:rPr>
          <w:rFonts w:ascii="Arial" w:hAnsi="Arial" w:cs="Arial"/>
          <w:bCs/>
          <w:szCs w:val="26"/>
        </w:rPr>
        <w:t>93-97</w:t>
      </w:r>
      <w:r w:rsidRPr="00441B4E">
        <w:rPr>
          <w:rFonts w:ascii="Arial" w:hAnsi="Arial" w:cs="Arial"/>
          <w:bCs/>
          <w:szCs w:val="26"/>
        </w:rPr>
        <w:t>)</w:t>
      </w:r>
      <w:r w:rsidRPr="00441B4E">
        <w:rPr>
          <w:rFonts w:ascii="Arial" w:hAnsi="Arial" w:cs="Arial"/>
          <w:szCs w:val="26"/>
        </w:rPr>
        <w:t>.</w:t>
      </w:r>
    </w:p>
    <w:p w:rsidR="00B919BC" w:rsidRPr="000338BF" w:rsidRDefault="00B919BC" w:rsidP="00634A04">
      <w:pPr>
        <w:pStyle w:val="Sinespaciado1"/>
        <w:spacing w:line="360" w:lineRule="auto"/>
        <w:ind w:firstLine="2268"/>
        <w:jc w:val="both"/>
        <w:rPr>
          <w:rFonts w:ascii="Arial" w:hAnsi="Arial" w:cs="Arial"/>
          <w:sz w:val="16"/>
          <w:szCs w:val="26"/>
        </w:rPr>
      </w:pPr>
    </w:p>
    <w:p w:rsidR="000A0B69" w:rsidRDefault="00B919BC" w:rsidP="000A0B69">
      <w:pPr>
        <w:pStyle w:val="Sinespaciado1"/>
        <w:spacing w:line="360" w:lineRule="auto"/>
        <w:ind w:firstLine="2268"/>
        <w:jc w:val="both"/>
        <w:rPr>
          <w:rFonts w:ascii="Arial" w:hAnsi="Arial" w:cs="Arial"/>
          <w:sz w:val="26"/>
          <w:szCs w:val="26"/>
        </w:rPr>
      </w:pPr>
      <w:r>
        <w:rPr>
          <w:rFonts w:ascii="Arial" w:hAnsi="Arial" w:cs="Arial"/>
          <w:sz w:val="26"/>
          <w:szCs w:val="26"/>
        </w:rPr>
        <w:t>4.</w:t>
      </w:r>
      <w:r w:rsidRPr="00634A04">
        <w:rPr>
          <w:rFonts w:ascii="Arial" w:hAnsi="Arial" w:cs="Arial"/>
          <w:sz w:val="26"/>
          <w:szCs w:val="26"/>
        </w:rPr>
        <w:t xml:space="preserve"> Perfeccionado como se encuentra el trámite correspondiente, es del caso resolver de fondo, previas las siguientes</w:t>
      </w:r>
    </w:p>
    <w:p w:rsidR="000A0B69" w:rsidRDefault="000A0B69" w:rsidP="000A0B69">
      <w:pPr>
        <w:pStyle w:val="Sinespaciado1"/>
        <w:spacing w:line="360" w:lineRule="auto"/>
        <w:ind w:firstLine="2268"/>
        <w:jc w:val="both"/>
        <w:rPr>
          <w:rFonts w:ascii="Arial" w:hAnsi="Arial" w:cs="Arial"/>
          <w:sz w:val="26"/>
          <w:szCs w:val="26"/>
        </w:rPr>
      </w:pPr>
    </w:p>
    <w:p w:rsidR="00B919BC" w:rsidRPr="000A0B69" w:rsidRDefault="000A0B69" w:rsidP="000A0B69">
      <w:pPr>
        <w:pStyle w:val="Sinespaciado1"/>
        <w:spacing w:line="360" w:lineRule="auto"/>
        <w:ind w:firstLine="2268"/>
        <w:jc w:val="both"/>
        <w:rPr>
          <w:rFonts w:ascii="Arial" w:hAnsi="Arial" w:cs="Arial"/>
          <w:szCs w:val="26"/>
        </w:rPr>
      </w:pPr>
      <w:r w:rsidRPr="000A0B69">
        <w:rPr>
          <w:rFonts w:ascii="Arial" w:hAnsi="Arial" w:cs="Arial"/>
          <w:b/>
          <w:szCs w:val="26"/>
        </w:rPr>
        <w:lastRenderedPageBreak/>
        <w:t>IV. CONSIDERACIONES</w:t>
      </w:r>
    </w:p>
    <w:p w:rsidR="00B919BC" w:rsidRPr="00C30E6D" w:rsidRDefault="00B919BC" w:rsidP="00C30E6D">
      <w:pPr>
        <w:pStyle w:val="Sinespaciado1"/>
        <w:spacing w:line="360" w:lineRule="auto"/>
        <w:ind w:firstLine="2268"/>
        <w:jc w:val="both"/>
        <w:rPr>
          <w:rFonts w:ascii="Arial" w:hAnsi="Arial" w:cs="Arial"/>
          <w:b/>
          <w:sz w:val="26"/>
          <w:szCs w:val="26"/>
        </w:rPr>
      </w:pPr>
    </w:p>
    <w:p w:rsidR="00B919BC" w:rsidRPr="00E6530A" w:rsidRDefault="00B919BC" w:rsidP="00C30E6D">
      <w:pPr>
        <w:pStyle w:val="Sinespaciado1"/>
        <w:spacing w:line="360" w:lineRule="auto"/>
        <w:ind w:firstLine="2268"/>
        <w:jc w:val="both"/>
        <w:rPr>
          <w:rFonts w:ascii="Arial" w:hAnsi="Arial" w:cs="Arial"/>
          <w:i/>
          <w:sz w:val="24"/>
          <w:szCs w:val="24"/>
          <w:lang w:val="es-ES_tradnl"/>
        </w:rPr>
      </w:pPr>
      <w:r>
        <w:rPr>
          <w:rFonts w:ascii="Arial" w:hAnsi="Arial" w:cs="Arial"/>
          <w:sz w:val="26"/>
          <w:szCs w:val="26"/>
          <w:lang w:val="es-ES_tradnl"/>
        </w:rPr>
        <w:t>1.</w:t>
      </w:r>
      <w:r w:rsidRPr="00C30E6D">
        <w:rPr>
          <w:rFonts w:ascii="Arial" w:hAnsi="Arial" w:cs="Arial"/>
          <w:sz w:val="26"/>
          <w:szCs w:val="26"/>
          <w:lang w:val="es-ES_tradnl"/>
        </w:rPr>
        <w:t xml:space="preserve"> El artículo 379 del Código de Procedimiento Civil consagra el recurso de revisión como un medio de impugnación, porque con su proposición se puede obtener la aniquilación de un fallo inicuo, o el que se haya dictado con serio quebranto del derecho de defensa, o el surgido como consecuencia de un comportamiento ilícito de las partes, lo que habilita para romper el carácter de firme e inmutable de que se hallan revestidos con efectos de cosa juzgada. </w:t>
      </w:r>
      <w:r>
        <w:rPr>
          <w:rFonts w:ascii="Arial" w:hAnsi="Arial" w:cs="Arial"/>
          <w:sz w:val="26"/>
          <w:szCs w:val="26"/>
          <w:lang w:val="es-ES_tradnl"/>
        </w:rPr>
        <w:t xml:space="preserve"> </w:t>
      </w:r>
      <w:r w:rsidRPr="00C30E6D">
        <w:rPr>
          <w:rFonts w:ascii="Arial" w:hAnsi="Arial" w:cs="Arial"/>
          <w:sz w:val="26"/>
          <w:szCs w:val="26"/>
          <w:lang w:val="es-ES_tradnl"/>
        </w:rPr>
        <w:t>Este recurso procede</w:t>
      </w:r>
      <w:r>
        <w:rPr>
          <w:rFonts w:ascii="Arial" w:hAnsi="Arial" w:cs="Arial"/>
          <w:sz w:val="26"/>
          <w:szCs w:val="26"/>
          <w:lang w:val="es-ES_tradnl"/>
        </w:rPr>
        <w:t>, entre otras,</w:t>
      </w:r>
      <w:r w:rsidRPr="00C30E6D">
        <w:rPr>
          <w:rFonts w:ascii="Arial" w:hAnsi="Arial" w:cs="Arial"/>
          <w:sz w:val="26"/>
          <w:szCs w:val="26"/>
          <w:lang w:val="es-ES_tradnl"/>
        </w:rPr>
        <w:t xml:space="preserve"> contra las sentencias ejecutoriadas de los jueces, y únicamente por los motivos específicamente instituidos en el </w:t>
      </w:r>
      <w:r w:rsidR="009B2963">
        <w:rPr>
          <w:rFonts w:ascii="Arial" w:hAnsi="Arial" w:cs="Arial"/>
          <w:sz w:val="26"/>
          <w:szCs w:val="26"/>
          <w:lang w:val="es-ES_tradnl"/>
        </w:rPr>
        <w:t xml:space="preserve">artículo </w:t>
      </w:r>
      <w:r w:rsidRPr="00C30E6D">
        <w:rPr>
          <w:rFonts w:ascii="Arial" w:hAnsi="Arial" w:cs="Arial"/>
          <w:sz w:val="26"/>
          <w:szCs w:val="26"/>
          <w:lang w:val="es-ES_tradnl"/>
        </w:rPr>
        <w:t xml:space="preserve">380 </w:t>
      </w:r>
      <w:r w:rsidRPr="00C30E6D">
        <w:rPr>
          <w:rFonts w:ascii="Arial" w:hAnsi="Arial" w:cs="Arial"/>
          <w:i/>
          <w:sz w:val="26"/>
          <w:szCs w:val="26"/>
          <w:lang w:val="es-ES_tradnl"/>
        </w:rPr>
        <w:t>ibídem</w:t>
      </w:r>
      <w:r w:rsidRPr="00C30E6D">
        <w:rPr>
          <w:rFonts w:ascii="Arial" w:hAnsi="Arial" w:cs="Arial"/>
          <w:sz w:val="26"/>
          <w:szCs w:val="26"/>
          <w:lang w:val="es-ES_tradnl"/>
        </w:rPr>
        <w:t xml:space="preserve">. </w:t>
      </w:r>
      <w:r>
        <w:rPr>
          <w:rFonts w:ascii="Arial" w:hAnsi="Arial" w:cs="Arial"/>
          <w:sz w:val="26"/>
          <w:szCs w:val="26"/>
          <w:lang w:val="es-ES_tradnl"/>
        </w:rPr>
        <w:t xml:space="preserve"> </w:t>
      </w:r>
      <w:r w:rsidRPr="00C30E6D">
        <w:rPr>
          <w:rFonts w:ascii="Arial" w:hAnsi="Arial" w:cs="Arial"/>
          <w:sz w:val="26"/>
          <w:szCs w:val="26"/>
          <w:lang w:val="es-ES_tradnl"/>
        </w:rPr>
        <w:t xml:space="preserve">Es por lo anterior que el mencionado principio de </w:t>
      </w:r>
      <w:r w:rsidRPr="009A2D11">
        <w:rPr>
          <w:rFonts w:ascii="Arial" w:hAnsi="Arial" w:cs="Arial"/>
          <w:i/>
          <w:sz w:val="24"/>
          <w:szCs w:val="24"/>
          <w:lang w:val="es-ES_tradnl"/>
        </w:rPr>
        <w:t>“la cosa juzgada”</w:t>
      </w:r>
      <w:r w:rsidRPr="00C30E6D">
        <w:rPr>
          <w:rFonts w:ascii="Arial" w:hAnsi="Arial" w:cs="Arial"/>
          <w:sz w:val="26"/>
          <w:szCs w:val="26"/>
          <w:lang w:val="es-ES_tradnl"/>
        </w:rPr>
        <w:t xml:space="preserve"> no es absoluto, se exceptúan de él las providencias de fondo en las que se demuestre plenamente que están fundadas </w:t>
      </w:r>
      <w:r w:rsidRPr="009A2D11">
        <w:rPr>
          <w:rFonts w:ascii="Arial" w:hAnsi="Arial" w:cs="Arial"/>
          <w:i/>
          <w:sz w:val="24"/>
          <w:szCs w:val="24"/>
          <w:lang w:val="es-ES_tradnl"/>
        </w:rPr>
        <w:t>"en una realidad procesal contraria a la verdad, que fue demostrada con pruebas falsas o que tal verdad no pudo ser acreditada en el proceso no por descuido, omisión o negligencia de la parte interesada, sino por fuerza mayor, caso fortuito u obra de parte contraria</w:t>
      </w:r>
      <w:r w:rsidRPr="00C30E6D">
        <w:rPr>
          <w:rFonts w:ascii="Arial" w:hAnsi="Arial" w:cs="Arial"/>
          <w:sz w:val="26"/>
          <w:szCs w:val="26"/>
          <w:lang w:val="es-ES_tradnl"/>
        </w:rPr>
        <w:t xml:space="preserve"> </w:t>
      </w:r>
      <w:r w:rsidRPr="00E6530A">
        <w:rPr>
          <w:rFonts w:ascii="Arial" w:hAnsi="Arial" w:cs="Arial"/>
          <w:i/>
          <w:sz w:val="24"/>
          <w:szCs w:val="24"/>
          <w:lang w:val="es-ES_tradnl"/>
        </w:rPr>
        <w:t xml:space="preserve">(Sentencia de 18 de febrero de 1974 </w:t>
      </w:r>
      <w:proofErr w:type="spellStart"/>
      <w:r w:rsidRPr="00E6530A">
        <w:rPr>
          <w:rFonts w:ascii="Arial" w:hAnsi="Arial" w:cs="Arial"/>
          <w:i/>
          <w:sz w:val="24"/>
          <w:szCs w:val="24"/>
          <w:lang w:val="es-ES_tradnl"/>
        </w:rPr>
        <w:t>G.J.T</w:t>
      </w:r>
      <w:proofErr w:type="spellEnd"/>
      <w:r w:rsidRPr="00E6530A">
        <w:rPr>
          <w:rFonts w:ascii="Arial" w:hAnsi="Arial" w:cs="Arial"/>
          <w:i/>
          <w:sz w:val="24"/>
          <w:szCs w:val="24"/>
          <w:lang w:val="es-ES_tradnl"/>
        </w:rPr>
        <w:t>. CXLVIII pág. 46)</w:t>
      </w:r>
      <w:r w:rsidR="00E6530A">
        <w:rPr>
          <w:rFonts w:ascii="Arial" w:hAnsi="Arial" w:cs="Arial"/>
          <w:i/>
          <w:sz w:val="24"/>
          <w:szCs w:val="24"/>
          <w:lang w:val="es-ES_tradnl"/>
        </w:rPr>
        <w:t>”</w:t>
      </w:r>
      <w:r w:rsidR="00E6530A" w:rsidRPr="00E6530A">
        <w:rPr>
          <w:rStyle w:val="Refdenotaalpie"/>
          <w:rFonts w:ascii="Arial" w:hAnsi="Arial"/>
          <w:i/>
          <w:sz w:val="24"/>
          <w:szCs w:val="24"/>
          <w:lang w:val="es-ES_tradnl"/>
        </w:rPr>
        <w:footnoteReference w:id="1"/>
      </w:r>
      <w:r w:rsidRPr="00E6530A">
        <w:rPr>
          <w:rFonts w:ascii="Arial" w:hAnsi="Arial" w:cs="Arial"/>
          <w:i/>
          <w:sz w:val="24"/>
          <w:szCs w:val="24"/>
          <w:lang w:val="es-ES_tradnl"/>
        </w:rPr>
        <w:t>.</w:t>
      </w:r>
    </w:p>
    <w:p w:rsidR="00B919BC" w:rsidRPr="00B64644" w:rsidRDefault="00B919BC" w:rsidP="00C30E6D">
      <w:pPr>
        <w:pStyle w:val="Sinespaciado1"/>
        <w:spacing w:line="360" w:lineRule="auto"/>
        <w:ind w:firstLine="2268"/>
        <w:jc w:val="both"/>
        <w:rPr>
          <w:rFonts w:ascii="Arial" w:hAnsi="Arial" w:cs="Arial"/>
          <w:sz w:val="16"/>
          <w:szCs w:val="26"/>
          <w:lang w:val="es-ES_tradnl"/>
        </w:rPr>
      </w:pPr>
    </w:p>
    <w:p w:rsidR="00B919BC" w:rsidRDefault="000A0B69" w:rsidP="00CD01D8">
      <w:pPr>
        <w:pStyle w:val="Sinespaciado1"/>
        <w:spacing w:line="360" w:lineRule="auto"/>
        <w:ind w:firstLine="2268"/>
        <w:jc w:val="both"/>
        <w:rPr>
          <w:rFonts w:ascii="Arial" w:hAnsi="Arial" w:cs="Arial"/>
          <w:sz w:val="24"/>
          <w:szCs w:val="24"/>
        </w:rPr>
      </w:pPr>
      <w:r>
        <w:rPr>
          <w:rFonts w:ascii="Arial" w:hAnsi="Arial" w:cs="Arial"/>
          <w:sz w:val="26"/>
          <w:szCs w:val="26"/>
        </w:rPr>
        <w:t>2</w:t>
      </w:r>
      <w:r w:rsidR="00B919BC">
        <w:rPr>
          <w:rFonts w:ascii="Arial" w:hAnsi="Arial" w:cs="Arial"/>
          <w:sz w:val="26"/>
          <w:szCs w:val="26"/>
        </w:rPr>
        <w:t>.</w:t>
      </w:r>
      <w:r w:rsidR="00B919BC" w:rsidRPr="00C30E6D">
        <w:rPr>
          <w:rFonts w:ascii="Arial" w:hAnsi="Arial" w:cs="Arial"/>
          <w:sz w:val="26"/>
          <w:szCs w:val="26"/>
        </w:rPr>
        <w:t xml:space="preserve"> El recurso no sirve al propósito de revisar toda la cuestión litigiosa, revivir la controversia, mejorar la posición de parte, superar su desidia u omisiones, ni permite un análisis diverso del planteado. </w:t>
      </w:r>
      <w:r w:rsidR="00B919BC">
        <w:rPr>
          <w:rFonts w:ascii="Arial" w:hAnsi="Arial" w:cs="Arial"/>
          <w:sz w:val="26"/>
          <w:szCs w:val="26"/>
        </w:rPr>
        <w:t xml:space="preserve"> </w:t>
      </w:r>
      <w:r w:rsidR="00B919BC" w:rsidRPr="00C30E6D">
        <w:rPr>
          <w:rFonts w:ascii="Arial" w:hAnsi="Arial" w:cs="Arial"/>
          <w:sz w:val="26"/>
          <w:szCs w:val="26"/>
        </w:rPr>
        <w:t xml:space="preserve">Busca esclarecer, por los precisos y taxativos motivos del artículo 380 del Código de Procedimiento Civil, si la providencia, se profirió con fundamento en situaciones lesivas del valor de la justicia, el debido proceso, el derecho de defensa o la ruptura de la cosa juzgada antecedente, </w:t>
      </w:r>
      <w:r w:rsidR="00B919BC" w:rsidRPr="00C30E6D">
        <w:rPr>
          <w:rFonts w:ascii="Arial" w:hAnsi="Arial" w:cs="Arial"/>
          <w:sz w:val="24"/>
          <w:szCs w:val="24"/>
        </w:rPr>
        <w:t>"</w:t>
      </w:r>
      <w:r w:rsidR="00B919BC" w:rsidRPr="00C30E6D">
        <w:rPr>
          <w:rFonts w:ascii="Arial" w:hAnsi="Arial" w:cs="Arial"/>
          <w:i/>
          <w:iCs/>
          <w:sz w:val="24"/>
          <w:szCs w:val="24"/>
        </w:rPr>
        <w:t>los errores de apreciación probatoria en que haya podido incurrir el juez al proferirlo, son aspectos ajenos al recurso de revisión</w:t>
      </w:r>
      <w:r w:rsidR="00B919BC" w:rsidRPr="00C30E6D">
        <w:rPr>
          <w:rFonts w:ascii="Arial" w:hAnsi="Arial" w:cs="Arial"/>
          <w:sz w:val="24"/>
          <w:szCs w:val="24"/>
        </w:rPr>
        <w:t xml:space="preserve"> </w:t>
      </w:r>
      <w:r w:rsidR="00B919BC" w:rsidRPr="00CD01D8">
        <w:rPr>
          <w:rFonts w:ascii="Arial" w:hAnsi="Arial" w:cs="Arial"/>
          <w:i/>
          <w:sz w:val="24"/>
          <w:szCs w:val="24"/>
        </w:rPr>
        <w:t>(CXLVIII, pág. 187)</w:t>
      </w:r>
      <w:r w:rsidR="00CD01D8">
        <w:rPr>
          <w:rFonts w:ascii="Arial" w:hAnsi="Arial" w:cs="Arial"/>
          <w:sz w:val="24"/>
          <w:szCs w:val="24"/>
        </w:rPr>
        <w:t>”</w:t>
      </w:r>
      <w:r w:rsidR="00B919BC" w:rsidRPr="00C30E6D">
        <w:rPr>
          <w:rFonts w:ascii="Arial" w:hAnsi="Arial" w:cs="Arial"/>
          <w:sz w:val="24"/>
          <w:szCs w:val="24"/>
        </w:rPr>
        <w:t xml:space="preserve"> y "</w:t>
      </w:r>
      <w:r w:rsidR="00B919BC" w:rsidRPr="00C30E6D">
        <w:rPr>
          <w:rFonts w:ascii="Arial" w:hAnsi="Arial" w:cs="Arial"/>
          <w:i/>
          <w:iCs/>
          <w:sz w:val="24"/>
          <w:szCs w:val="24"/>
        </w:rPr>
        <w:t xml:space="preserve">no constituye una tercera instancia en la que pueda replantearse el </w:t>
      </w:r>
      <w:r w:rsidR="00B919BC" w:rsidRPr="00EF1A78">
        <w:rPr>
          <w:rFonts w:ascii="Arial" w:hAnsi="Arial" w:cs="Arial"/>
          <w:i/>
          <w:iCs/>
          <w:sz w:val="24"/>
          <w:szCs w:val="24"/>
        </w:rPr>
        <w:t>litigio</w:t>
      </w:r>
      <w:r w:rsidR="00CD01D8">
        <w:rPr>
          <w:rFonts w:ascii="Arial" w:hAnsi="Arial" w:cs="Arial"/>
          <w:i/>
          <w:iCs/>
          <w:sz w:val="24"/>
          <w:szCs w:val="24"/>
        </w:rPr>
        <w:t xml:space="preserve">, ni es </w:t>
      </w:r>
      <w:r w:rsidR="00CD01D8" w:rsidRPr="00CD01D8">
        <w:rPr>
          <w:rFonts w:ascii="Arial" w:hAnsi="Arial" w:cs="Arial"/>
          <w:i/>
          <w:iCs/>
          <w:sz w:val="24"/>
          <w:szCs w:val="24"/>
        </w:rPr>
        <w:t>medio conducente para reparar</w:t>
      </w:r>
      <w:r w:rsidR="00CD01D8">
        <w:rPr>
          <w:rFonts w:ascii="Arial" w:hAnsi="Arial" w:cs="Arial"/>
          <w:i/>
          <w:iCs/>
          <w:sz w:val="24"/>
          <w:szCs w:val="24"/>
        </w:rPr>
        <w:t xml:space="preserve"> </w:t>
      </w:r>
      <w:r w:rsidR="00CD01D8" w:rsidRPr="00CD01D8">
        <w:rPr>
          <w:rFonts w:ascii="Arial" w:hAnsi="Arial" w:cs="Arial"/>
          <w:i/>
          <w:iCs/>
          <w:sz w:val="24"/>
          <w:szCs w:val="24"/>
        </w:rPr>
        <w:t xml:space="preserve">cualquier </w:t>
      </w:r>
      <w:r w:rsidR="00CD01D8" w:rsidRPr="00CD01D8">
        <w:rPr>
          <w:rFonts w:ascii="Arial" w:hAnsi="Arial" w:cs="Arial"/>
          <w:i/>
          <w:iCs/>
          <w:sz w:val="24"/>
          <w:szCs w:val="24"/>
        </w:rPr>
        <w:lastRenderedPageBreak/>
        <w:t>irregularidad de la sentencia, o su indebida</w:t>
      </w:r>
      <w:r w:rsidR="00CD01D8">
        <w:rPr>
          <w:rFonts w:ascii="Arial" w:hAnsi="Arial" w:cs="Arial"/>
          <w:i/>
          <w:iCs/>
          <w:sz w:val="24"/>
          <w:szCs w:val="24"/>
        </w:rPr>
        <w:t xml:space="preserve"> </w:t>
      </w:r>
      <w:r w:rsidR="00CD01D8" w:rsidRPr="00CD01D8">
        <w:rPr>
          <w:rFonts w:ascii="Arial" w:hAnsi="Arial" w:cs="Arial"/>
          <w:i/>
          <w:iCs/>
          <w:sz w:val="24"/>
          <w:szCs w:val="24"/>
        </w:rPr>
        <w:t>fundamentación</w:t>
      </w:r>
      <w:r w:rsidR="00B919BC" w:rsidRPr="00EF1A78">
        <w:rPr>
          <w:rFonts w:ascii="Arial" w:hAnsi="Arial" w:cs="Arial"/>
          <w:i/>
          <w:sz w:val="24"/>
          <w:szCs w:val="24"/>
        </w:rPr>
        <w:t xml:space="preserve"> (Sent</w:t>
      </w:r>
      <w:r w:rsidR="00CD01D8">
        <w:rPr>
          <w:rFonts w:ascii="Arial" w:hAnsi="Arial" w:cs="Arial"/>
          <w:i/>
          <w:sz w:val="24"/>
          <w:szCs w:val="24"/>
        </w:rPr>
        <w:t>encia 076 de 11 de marzo de 1991</w:t>
      </w:r>
      <w:r w:rsidR="00B919BC" w:rsidRPr="00EF1A78">
        <w:rPr>
          <w:rFonts w:ascii="Arial" w:hAnsi="Arial" w:cs="Arial"/>
          <w:i/>
          <w:sz w:val="24"/>
          <w:szCs w:val="24"/>
        </w:rPr>
        <w:t>)</w:t>
      </w:r>
      <w:r w:rsidR="00EF1A78" w:rsidRPr="00EF1A78">
        <w:rPr>
          <w:rFonts w:ascii="Arial" w:hAnsi="Arial" w:cs="Arial"/>
          <w:i/>
          <w:sz w:val="24"/>
          <w:szCs w:val="24"/>
        </w:rPr>
        <w:t>”</w:t>
      </w:r>
      <w:r w:rsidR="00DC5090">
        <w:rPr>
          <w:rStyle w:val="Refdenotaalpie"/>
          <w:rFonts w:ascii="Arial" w:hAnsi="Arial"/>
          <w:sz w:val="24"/>
          <w:szCs w:val="24"/>
        </w:rPr>
        <w:footnoteReference w:id="2"/>
      </w:r>
      <w:r w:rsidR="00B919BC" w:rsidRPr="00C30E6D">
        <w:rPr>
          <w:rFonts w:ascii="Arial" w:hAnsi="Arial" w:cs="Arial"/>
          <w:sz w:val="24"/>
          <w:szCs w:val="24"/>
        </w:rPr>
        <w:t>.</w:t>
      </w:r>
    </w:p>
    <w:p w:rsidR="00B919BC" w:rsidRPr="00B64644" w:rsidRDefault="00B919BC" w:rsidP="00C30E6D">
      <w:pPr>
        <w:pStyle w:val="Sinespaciado1"/>
        <w:spacing w:line="360" w:lineRule="auto"/>
        <w:ind w:firstLine="2268"/>
        <w:jc w:val="both"/>
        <w:rPr>
          <w:rFonts w:ascii="Arial" w:hAnsi="Arial" w:cs="Arial"/>
          <w:sz w:val="16"/>
          <w:szCs w:val="24"/>
        </w:rPr>
      </w:pPr>
    </w:p>
    <w:p w:rsidR="00B919BC" w:rsidRDefault="000A0B69" w:rsidP="00C30E6D">
      <w:pPr>
        <w:pStyle w:val="Sinespaciado1"/>
        <w:spacing w:line="360" w:lineRule="auto"/>
        <w:ind w:firstLine="2268"/>
        <w:jc w:val="both"/>
        <w:rPr>
          <w:rFonts w:ascii="Arial" w:hAnsi="Arial" w:cs="Arial"/>
          <w:sz w:val="26"/>
          <w:szCs w:val="26"/>
          <w:lang w:val="es-ES_tradnl"/>
        </w:rPr>
      </w:pPr>
      <w:r>
        <w:rPr>
          <w:rFonts w:ascii="Arial" w:hAnsi="Arial" w:cs="Arial"/>
          <w:sz w:val="26"/>
          <w:szCs w:val="26"/>
          <w:lang w:val="es-ES_tradnl"/>
        </w:rPr>
        <w:t>3</w:t>
      </w:r>
      <w:r w:rsidR="00B919BC">
        <w:rPr>
          <w:rFonts w:ascii="Arial" w:hAnsi="Arial" w:cs="Arial"/>
          <w:sz w:val="26"/>
          <w:szCs w:val="26"/>
          <w:lang w:val="es-ES_tradnl"/>
        </w:rPr>
        <w:t xml:space="preserve">. </w:t>
      </w:r>
      <w:r w:rsidR="00B919BC" w:rsidRPr="00405874">
        <w:rPr>
          <w:rFonts w:ascii="Arial" w:hAnsi="Arial" w:cs="Arial"/>
          <w:sz w:val="26"/>
          <w:szCs w:val="26"/>
          <w:lang w:val="es-ES_tradnl"/>
        </w:rPr>
        <w:t>Esta impugnación es, entonces, un recurso eminentemente extraordinario y, por lo tanto, se halla sometido a específicas causales señaladas con criterio limitativo, al punto de no resultar procedente la vía impugnativa si oportuna y cabalmente no se prueba</w:t>
      </w:r>
      <w:r w:rsidR="00B919BC">
        <w:rPr>
          <w:rFonts w:ascii="Arial" w:hAnsi="Arial" w:cs="Arial"/>
          <w:sz w:val="26"/>
          <w:szCs w:val="26"/>
          <w:lang w:val="es-ES_tradnl"/>
        </w:rPr>
        <w:t xml:space="preserve"> la existencia de una de ellas.</w:t>
      </w:r>
    </w:p>
    <w:p w:rsidR="00B919BC" w:rsidRPr="00B64644" w:rsidRDefault="00B919BC" w:rsidP="00C30E6D">
      <w:pPr>
        <w:pStyle w:val="Sinespaciado1"/>
        <w:spacing w:line="360" w:lineRule="auto"/>
        <w:ind w:firstLine="2268"/>
        <w:jc w:val="both"/>
        <w:rPr>
          <w:rFonts w:ascii="Arial" w:hAnsi="Arial" w:cs="Arial"/>
          <w:sz w:val="16"/>
          <w:szCs w:val="26"/>
          <w:lang w:val="es-ES_tradnl"/>
        </w:rPr>
      </w:pPr>
    </w:p>
    <w:p w:rsidR="00451BB6" w:rsidRDefault="00D658FB" w:rsidP="0017176B">
      <w:pPr>
        <w:pStyle w:val="Sinespaciado1"/>
        <w:spacing w:line="360" w:lineRule="auto"/>
        <w:ind w:firstLine="2268"/>
        <w:jc w:val="both"/>
        <w:rPr>
          <w:rFonts w:ascii="Arial" w:hAnsi="Arial" w:cs="Arial"/>
          <w:bCs/>
          <w:sz w:val="26"/>
          <w:szCs w:val="26"/>
        </w:rPr>
      </w:pPr>
      <w:r>
        <w:rPr>
          <w:rFonts w:ascii="Arial" w:hAnsi="Arial" w:cs="Arial"/>
          <w:bCs/>
          <w:sz w:val="26"/>
          <w:szCs w:val="26"/>
        </w:rPr>
        <w:t>4</w:t>
      </w:r>
      <w:r w:rsidR="00B919BC">
        <w:rPr>
          <w:rFonts w:ascii="Arial" w:hAnsi="Arial" w:cs="Arial"/>
          <w:bCs/>
          <w:sz w:val="26"/>
          <w:szCs w:val="26"/>
        </w:rPr>
        <w:t>. La</w:t>
      </w:r>
      <w:r w:rsidR="00B919BC" w:rsidRPr="0022284D">
        <w:rPr>
          <w:rFonts w:ascii="Arial" w:hAnsi="Arial" w:cs="Arial"/>
          <w:bCs/>
          <w:sz w:val="26"/>
          <w:szCs w:val="26"/>
        </w:rPr>
        <w:t xml:space="preserve"> recurrente invocó la causal </w:t>
      </w:r>
      <w:r w:rsidR="000A0B69">
        <w:rPr>
          <w:rFonts w:ascii="Arial" w:hAnsi="Arial" w:cs="Arial"/>
          <w:bCs/>
          <w:sz w:val="26"/>
          <w:szCs w:val="26"/>
        </w:rPr>
        <w:t>séptima</w:t>
      </w:r>
      <w:r w:rsidR="00B919BC" w:rsidRPr="0022284D">
        <w:rPr>
          <w:rFonts w:ascii="Arial" w:hAnsi="Arial" w:cs="Arial"/>
          <w:bCs/>
          <w:sz w:val="26"/>
          <w:szCs w:val="26"/>
        </w:rPr>
        <w:t xml:space="preserve"> d</w:t>
      </w:r>
      <w:r w:rsidR="00B919BC">
        <w:rPr>
          <w:rFonts w:ascii="Arial" w:hAnsi="Arial" w:cs="Arial"/>
          <w:bCs/>
          <w:sz w:val="26"/>
          <w:szCs w:val="26"/>
        </w:rPr>
        <w:t>e revisión</w:t>
      </w:r>
      <w:r w:rsidR="006F0943">
        <w:rPr>
          <w:rFonts w:ascii="Arial" w:hAnsi="Arial" w:cs="Arial"/>
          <w:bCs/>
          <w:sz w:val="26"/>
          <w:szCs w:val="26"/>
        </w:rPr>
        <w:t xml:space="preserve"> </w:t>
      </w:r>
      <w:r w:rsidR="00B919BC">
        <w:rPr>
          <w:rFonts w:ascii="Arial" w:hAnsi="Arial" w:cs="Arial"/>
          <w:bCs/>
          <w:sz w:val="26"/>
          <w:szCs w:val="26"/>
        </w:rPr>
        <w:t xml:space="preserve"> basada en que </w:t>
      </w:r>
      <w:r w:rsidR="00451BB6">
        <w:rPr>
          <w:rFonts w:ascii="Arial" w:hAnsi="Arial" w:cs="Arial"/>
          <w:bCs/>
          <w:sz w:val="26"/>
          <w:szCs w:val="26"/>
        </w:rPr>
        <w:t xml:space="preserve">no fue notificada debidamente del proceso de simulación, siendo remitida la citación para su notificación </w:t>
      </w:r>
      <w:r w:rsidR="006F0943">
        <w:rPr>
          <w:rFonts w:ascii="Arial" w:hAnsi="Arial" w:cs="Arial"/>
          <w:bCs/>
          <w:sz w:val="26"/>
          <w:szCs w:val="26"/>
        </w:rPr>
        <w:t>al sitio</w:t>
      </w:r>
      <w:r w:rsidR="00451BB6">
        <w:rPr>
          <w:rFonts w:ascii="Arial" w:hAnsi="Arial" w:cs="Arial"/>
          <w:bCs/>
          <w:sz w:val="26"/>
          <w:szCs w:val="26"/>
        </w:rPr>
        <w:t xml:space="preserve"> en el que ya no residía hacía mucho tiempo, a sabiendas que</w:t>
      </w:r>
      <w:r w:rsidR="00AA08BF">
        <w:rPr>
          <w:rFonts w:ascii="Arial" w:hAnsi="Arial" w:cs="Arial"/>
          <w:bCs/>
          <w:sz w:val="26"/>
          <w:szCs w:val="26"/>
        </w:rPr>
        <w:t>,</w:t>
      </w:r>
      <w:r w:rsidR="00451BB6">
        <w:rPr>
          <w:rFonts w:ascii="Arial" w:hAnsi="Arial" w:cs="Arial"/>
          <w:bCs/>
          <w:sz w:val="26"/>
          <w:szCs w:val="26"/>
        </w:rPr>
        <w:t xml:space="preserve"> tanto la demandante como su hija conocían su nuevo lugar de domicilio o residencia. </w:t>
      </w:r>
    </w:p>
    <w:p w:rsidR="00B919BC" w:rsidRPr="00B64644" w:rsidRDefault="00B919BC" w:rsidP="00C30E6D">
      <w:pPr>
        <w:pStyle w:val="Sinespaciado"/>
        <w:spacing w:line="360" w:lineRule="auto"/>
        <w:ind w:firstLine="708"/>
        <w:jc w:val="both"/>
        <w:rPr>
          <w:rFonts w:ascii="Arial" w:hAnsi="Arial" w:cs="Arial"/>
          <w:sz w:val="16"/>
          <w:szCs w:val="26"/>
        </w:rPr>
      </w:pPr>
    </w:p>
    <w:p w:rsidR="007478EF" w:rsidRPr="00B64644" w:rsidRDefault="00D658FB" w:rsidP="007478EF">
      <w:pPr>
        <w:pStyle w:val="Sinespaciado1"/>
        <w:spacing w:line="360" w:lineRule="auto"/>
        <w:ind w:firstLine="2268"/>
        <w:jc w:val="both"/>
        <w:rPr>
          <w:rFonts w:ascii="Arial" w:hAnsi="Arial" w:cs="Arial"/>
          <w:bCs/>
          <w:i/>
          <w:sz w:val="24"/>
          <w:szCs w:val="24"/>
        </w:rPr>
      </w:pPr>
      <w:r>
        <w:rPr>
          <w:rFonts w:ascii="Arial" w:hAnsi="Arial" w:cs="Arial"/>
          <w:sz w:val="26"/>
          <w:szCs w:val="26"/>
        </w:rPr>
        <w:t>5</w:t>
      </w:r>
      <w:r w:rsidR="00B919BC">
        <w:rPr>
          <w:rFonts w:ascii="Arial" w:hAnsi="Arial" w:cs="Arial"/>
          <w:sz w:val="26"/>
          <w:szCs w:val="26"/>
        </w:rPr>
        <w:t>.</w:t>
      </w:r>
      <w:r w:rsidR="00B919BC" w:rsidRPr="008453FF">
        <w:rPr>
          <w:rFonts w:ascii="Arial" w:hAnsi="Arial" w:cs="Arial"/>
          <w:sz w:val="26"/>
          <w:szCs w:val="26"/>
        </w:rPr>
        <w:t xml:space="preserve"> </w:t>
      </w:r>
      <w:r w:rsidR="004729AA" w:rsidRPr="004729AA">
        <w:rPr>
          <w:rFonts w:ascii="Arial" w:hAnsi="Arial" w:cs="Arial"/>
          <w:sz w:val="26"/>
          <w:szCs w:val="26"/>
        </w:rPr>
        <w:t xml:space="preserve">Precisamente, señala el mentado numeral 7° que es causal de revisión que el recurrente se halle en alguno de los casos de indebida representación o falta de notificación o emplazamiento contemplados en el artículo </w:t>
      </w:r>
      <w:r w:rsidR="004729AA" w:rsidRPr="007354C5">
        <w:rPr>
          <w:rFonts w:ascii="Arial" w:hAnsi="Arial" w:cs="Arial"/>
          <w:sz w:val="24"/>
          <w:szCs w:val="26"/>
        </w:rPr>
        <w:t>140</w:t>
      </w:r>
      <w:r w:rsidR="004729AA" w:rsidRPr="004729AA">
        <w:rPr>
          <w:rFonts w:ascii="Arial" w:hAnsi="Arial" w:cs="Arial"/>
          <w:sz w:val="26"/>
          <w:szCs w:val="26"/>
        </w:rPr>
        <w:t xml:space="preserve">, siempre que no se haya saneado la nulidad. Se trata, en este caso, de zanjar cualquier posibilidad de alteración del derecho a la defensa que le asiste a las partes en una contienda judicial, como uno de los elementos estructurales del derecho fundamental al debido proceso, por cuya protección deben velar, de manera principal, los jueces de la República. Se exige, como ha explicado la jurisprudencia, </w:t>
      </w:r>
      <w:r w:rsidR="004729AA" w:rsidRPr="008A0180">
        <w:rPr>
          <w:rFonts w:ascii="Arial" w:hAnsi="Arial" w:cs="Arial"/>
          <w:i/>
          <w:sz w:val="24"/>
          <w:szCs w:val="26"/>
        </w:rPr>
        <w:t xml:space="preserve">“que el “impugnante” se encuentre </w:t>
      </w:r>
      <w:r w:rsidR="004729AA" w:rsidRPr="008A0180">
        <w:rPr>
          <w:rFonts w:ascii="Arial" w:hAnsi="Arial" w:cs="Arial"/>
          <w:i/>
          <w:szCs w:val="26"/>
        </w:rPr>
        <w:t xml:space="preserve">“en </w:t>
      </w:r>
      <w:r w:rsidR="004729AA" w:rsidRPr="00D24785">
        <w:rPr>
          <w:rFonts w:ascii="Arial" w:hAnsi="Arial" w:cs="Arial"/>
          <w:i/>
          <w:sz w:val="24"/>
          <w:szCs w:val="26"/>
        </w:rPr>
        <w:t>alguno de los casos de indebida representación o falta de notificación o emplazamiento contemplados en el artículo [140] , siempre que no haya saneado la nulidad”</w:t>
      </w:r>
      <w:r w:rsidR="004729AA" w:rsidRPr="004729AA">
        <w:rPr>
          <w:rFonts w:ascii="Arial" w:hAnsi="Arial" w:cs="Arial"/>
          <w:sz w:val="26"/>
          <w:szCs w:val="26"/>
        </w:rPr>
        <w:t xml:space="preserve">, habiendo la Corte señalado al examinarlo que </w:t>
      </w:r>
      <w:r w:rsidR="004729AA" w:rsidRPr="00D24785">
        <w:rPr>
          <w:rFonts w:ascii="Arial" w:hAnsi="Arial" w:cs="Arial"/>
          <w:i/>
          <w:sz w:val="24"/>
          <w:szCs w:val="26"/>
        </w:rPr>
        <w:t xml:space="preserve">“(…) su fundamento está, pues, en la injusticia que implica adelantar un proceso a espaldas de quien ha debido brindársele la oportunidad de ejercer el derecho de defensa, o cuando menos de ser oído, notificándolo o emplazándolo debidamente, </w:t>
      </w:r>
      <w:r w:rsidR="004729AA" w:rsidRPr="00D24785">
        <w:rPr>
          <w:rFonts w:ascii="Arial" w:hAnsi="Arial" w:cs="Arial"/>
          <w:i/>
          <w:sz w:val="24"/>
          <w:szCs w:val="26"/>
        </w:rPr>
        <w:lastRenderedPageBreak/>
        <w:t xml:space="preserve">o asegurando su correcta representación, (…)” </w:t>
      </w:r>
      <w:r w:rsidR="007478EF" w:rsidRPr="00B64644">
        <w:rPr>
          <w:rFonts w:ascii="Arial" w:hAnsi="Arial" w:cs="Arial"/>
          <w:bCs/>
          <w:sz w:val="24"/>
          <w:szCs w:val="24"/>
        </w:rPr>
        <w:t>(</w:t>
      </w:r>
      <w:proofErr w:type="spellStart"/>
      <w:r w:rsidR="007478EF" w:rsidRPr="00B64644">
        <w:rPr>
          <w:rFonts w:ascii="Arial" w:hAnsi="Arial" w:cs="Arial"/>
          <w:bCs/>
          <w:sz w:val="24"/>
          <w:szCs w:val="24"/>
        </w:rPr>
        <w:t>sent</w:t>
      </w:r>
      <w:proofErr w:type="spellEnd"/>
      <w:r w:rsidR="007478EF" w:rsidRPr="00B64644">
        <w:rPr>
          <w:rFonts w:ascii="Arial" w:hAnsi="Arial" w:cs="Arial"/>
          <w:bCs/>
          <w:sz w:val="24"/>
          <w:szCs w:val="24"/>
        </w:rPr>
        <w:t xml:space="preserve">. </w:t>
      </w:r>
      <w:proofErr w:type="spellStart"/>
      <w:r w:rsidR="007478EF" w:rsidRPr="00B64644">
        <w:rPr>
          <w:rFonts w:ascii="Arial" w:hAnsi="Arial" w:cs="Arial"/>
          <w:bCs/>
          <w:sz w:val="24"/>
          <w:szCs w:val="24"/>
        </w:rPr>
        <w:t>rev.</w:t>
      </w:r>
      <w:proofErr w:type="spellEnd"/>
      <w:r w:rsidR="007478EF" w:rsidRPr="00B64644">
        <w:rPr>
          <w:rFonts w:ascii="Arial" w:hAnsi="Arial" w:cs="Arial"/>
          <w:bCs/>
          <w:sz w:val="24"/>
          <w:szCs w:val="24"/>
        </w:rPr>
        <w:t xml:space="preserve"> </w:t>
      </w:r>
      <w:proofErr w:type="gramStart"/>
      <w:r w:rsidR="007478EF" w:rsidRPr="00B64644">
        <w:rPr>
          <w:rFonts w:ascii="Arial" w:hAnsi="Arial" w:cs="Arial"/>
          <w:bCs/>
          <w:sz w:val="24"/>
          <w:szCs w:val="24"/>
        </w:rPr>
        <w:t>de</w:t>
      </w:r>
      <w:proofErr w:type="gramEnd"/>
      <w:r w:rsidR="007478EF" w:rsidRPr="00B64644">
        <w:rPr>
          <w:rFonts w:ascii="Arial" w:hAnsi="Arial" w:cs="Arial"/>
          <w:bCs/>
          <w:sz w:val="24"/>
          <w:szCs w:val="24"/>
        </w:rPr>
        <w:t xml:space="preserve"> 24 de noviembre de 2008, </w:t>
      </w:r>
      <w:proofErr w:type="spellStart"/>
      <w:r w:rsidR="007478EF" w:rsidRPr="00B64644">
        <w:rPr>
          <w:rFonts w:ascii="Arial" w:hAnsi="Arial" w:cs="Arial"/>
          <w:bCs/>
          <w:sz w:val="24"/>
          <w:szCs w:val="24"/>
        </w:rPr>
        <w:t>exp</w:t>
      </w:r>
      <w:proofErr w:type="spellEnd"/>
      <w:r w:rsidR="007478EF" w:rsidRPr="00B64644">
        <w:rPr>
          <w:rFonts w:ascii="Arial" w:hAnsi="Arial" w:cs="Arial"/>
          <w:bCs/>
          <w:sz w:val="24"/>
          <w:szCs w:val="24"/>
        </w:rPr>
        <w:t>. 2006-00699)</w:t>
      </w:r>
      <w:r w:rsidR="00387384">
        <w:rPr>
          <w:rFonts w:ascii="Arial" w:hAnsi="Arial" w:cs="Arial"/>
          <w:bCs/>
          <w:sz w:val="26"/>
          <w:szCs w:val="26"/>
        </w:rPr>
        <w:t>.</w:t>
      </w:r>
    </w:p>
    <w:p w:rsidR="007478EF" w:rsidRPr="00B64644" w:rsidRDefault="007478EF" w:rsidP="001F491B">
      <w:pPr>
        <w:pStyle w:val="Sinespaciado1"/>
        <w:spacing w:line="360" w:lineRule="auto"/>
        <w:ind w:firstLine="2268"/>
        <w:jc w:val="both"/>
        <w:rPr>
          <w:rFonts w:ascii="Arial" w:hAnsi="Arial" w:cs="Arial"/>
          <w:bCs/>
          <w:sz w:val="16"/>
          <w:szCs w:val="26"/>
        </w:rPr>
      </w:pPr>
    </w:p>
    <w:p w:rsidR="00577CDB" w:rsidRDefault="007478EF" w:rsidP="00577CDB">
      <w:pPr>
        <w:pStyle w:val="Sinespaciado1"/>
        <w:spacing w:line="360" w:lineRule="auto"/>
        <w:ind w:firstLine="2268"/>
        <w:jc w:val="both"/>
        <w:rPr>
          <w:rFonts w:ascii="Arial" w:hAnsi="Arial" w:cs="Arial"/>
          <w:sz w:val="26"/>
          <w:szCs w:val="26"/>
        </w:rPr>
      </w:pPr>
      <w:r>
        <w:rPr>
          <w:rFonts w:ascii="Arial" w:hAnsi="Arial" w:cs="Arial"/>
          <w:sz w:val="26"/>
          <w:szCs w:val="26"/>
        </w:rPr>
        <w:t>6</w:t>
      </w:r>
      <w:r w:rsidR="00B919BC">
        <w:rPr>
          <w:rFonts w:ascii="Arial" w:hAnsi="Arial" w:cs="Arial"/>
          <w:sz w:val="26"/>
          <w:szCs w:val="26"/>
        </w:rPr>
        <w:t>.</w:t>
      </w:r>
      <w:r w:rsidR="00B919BC" w:rsidRPr="0017176B">
        <w:rPr>
          <w:rFonts w:ascii="Arial" w:hAnsi="Arial" w:cs="Arial"/>
          <w:sz w:val="26"/>
          <w:szCs w:val="26"/>
        </w:rPr>
        <w:t xml:space="preserve"> </w:t>
      </w:r>
      <w:r w:rsidR="008A0180">
        <w:rPr>
          <w:rFonts w:ascii="Arial" w:hAnsi="Arial" w:cs="Arial"/>
          <w:sz w:val="26"/>
          <w:szCs w:val="26"/>
        </w:rPr>
        <w:t xml:space="preserve">Ahora, en cuanto a la oportunidad para la formulación, </w:t>
      </w:r>
      <w:r w:rsidR="00387384">
        <w:rPr>
          <w:rFonts w:ascii="Arial" w:hAnsi="Arial" w:cs="Arial"/>
          <w:sz w:val="26"/>
          <w:szCs w:val="26"/>
        </w:rPr>
        <w:t>d</w:t>
      </w:r>
      <w:r w:rsidR="00387384" w:rsidRPr="00387384">
        <w:rPr>
          <w:rFonts w:ascii="Arial" w:hAnsi="Arial" w:cs="Arial"/>
          <w:sz w:val="26"/>
          <w:szCs w:val="26"/>
        </w:rPr>
        <w:t xml:space="preserve">e la lectura del </w:t>
      </w:r>
      <w:r w:rsidR="0098450C">
        <w:rPr>
          <w:rFonts w:ascii="Arial" w:hAnsi="Arial" w:cs="Arial"/>
          <w:sz w:val="26"/>
          <w:szCs w:val="26"/>
        </w:rPr>
        <w:t xml:space="preserve">inciso segundo del </w:t>
      </w:r>
      <w:r w:rsidR="00387384" w:rsidRPr="00387384">
        <w:rPr>
          <w:rFonts w:ascii="Arial" w:hAnsi="Arial" w:cs="Arial"/>
          <w:sz w:val="26"/>
          <w:szCs w:val="26"/>
        </w:rPr>
        <w:t xml:space="preserve">artículo 381 del C. de </w:t>
      </w:r>
      <w:proofErr w:type="spellStart"/>
      <w:r w:rsidR="00387384" w:rsidRPr="00387384">
        <w:rPr>
          <w:rFonts w:ascii="Arial" w:hAnsi="Arial" w:cs="Arial"/>
          <w:sz w:val="26"/>
          <w:szCs w:val="26"/>
        </w:rPr>
        <w:t>P.C</w:t>
      </w:r>
      <w:proofErr w:type="spellEnd"/>
      <w:r w:rsidR="00387384" w:rsidRPr="00387384">
        <w:rPr>
          <w:rFonts w:ascii="Arial" w:hAnsi="Arial" w:cs="Arial"/>
          <w:sz w:val="26"/>
          <w:szCs w:val="26"/>
        </w:rPr>
        <w:t xml:space="preserve">. se concluye que el término de dos años señalado en la ley para interponer el recurso de revisión comenzará a correr </w:t>
      </w:r>
      <w:r w:rsidR="00387384" w:rsidRPr="00387384">
        <w:rPr>
          <w:rFonts w:ascii="Arial" w:hAnsi="Arial" w:cs="Arial"/>
          <w:i/>
          <w:sz w:val="24"/>
          <w:szCs w:val="26"/>
        </w:rPr>
        <w:t>“desde el día en que la parte perjudicada con la sentencia o su representante haya tenido conocimiento de ella, con límite máximo de cinco años</w:t>
      </w:r>
      <w:r w:rsidR="00387384" w:rsidRPr="00387384">
        <w:rPr>
          <w:rFonts w:ascii="Arial" w:hAnsi="Arial" w:cs="Arial"/>
          <w:sz w:val="24"/>
          <w:szCs w:val="26"/>
        </w:rPr>
        <w:t xml:space="preserve">”, </w:t>
      </w:r>
      <w:r w:rsidR="00387384" w:rsidRPr="00387384">
        <w:rPr>
          <w:rFonts w:ascii="Arial" w:hAnsi="Arial" w:cs="Arial"/>
          <w:sz w:val="26"/>
          <w:szCs w:val="26"/>
        </w:rPr>
        <w:t>los que a su vez se cuentan desde</w:t>
      </w:r>
      <w:r w:rsidR="00387384">
        <w:rPr>
          <w:rFonts w:ascii="Arial" w:hAnsi="Arial" w:cs="Arial"/>
          <w:sz w:val="26"/>
          <w:szCs w:val="26"/>
        </w:rPr>
        <w:t xml:space="preserve"> la ejecutoria de la sen</w:t>
      </w:r>
      <w:r w:rsidR="0098450C">
        <w:rPr>
          <w:rFonts w:ascii="Arial" w:hAnsi="Arial" w:cs="Arial"/>
          <w:sz w:val="26"/>
          <w:szCs w:val="26"/>
        </w:rPr>
        <w:t xml:space="preserve">tencia y cuando determina que en los casos </w:t>
      </w:r>
      <w:r w:rsidR="0098450C" w:rsidRPr="00387384">
        <w:rPr>
          <w:rFonts w:ascii="Arial" w:hAnsi="Arial" w:cs="Arial"/>
          <w:sz w:val="26"/>
          <w:szCs w:val="26"/>
        </w:rPr>
        <w:t xml:space="preserve">en que la </w:t>
      </w:r>
      <w:r w:rsidR="0098450C">
        <w:rPr>
          <w:rFonts w:ascii="Arial" w:hAnsi="Arial" w:cs="Arial"/>
          <w:sz w:val="26"/>
          <w:szCs w:val="26"/>
        </w:rPr>
        <w:t>“</w:t>
      </w:r>
      <w:r w:rsidR="0098450C" w:rsidRPr="00387384">
        <w:rPr>
          <w:rFonts w:ascii="Arial" w:hAnsi="Arial" w:cs="Arial"/>
          <w:i/>
          <w:sz w:val="24"/>
          <w:szCs w:val="26"/>
        </w:rPr>
        <w:t>sentencia debe ser inscrita en un registro público</w:t>
      </w:r>
      <w:r w:rsidR="0098450C">
        <w:rPr>
          <w:rFonts w:ascii="Arial" w:hAnsi="Arial" w:cs="Arial"/>
          <w:i/>
          <w:sz w:val="24"/>
          <w:szCs w:val="26"/>
        </w:rPr>
        <w:t>”</w:t>
      </w:r>
      <w:r w:rsidR="0098450C" w:rsidRPr="00387384">
        <w:rPr>
          <w:rFonts w:ascii="Arial" w:hAnsi="Arial" w:cs="Arial"/>
          <w:sz w:val="26"/>
          <w:szCs w:val="26"/>
        </w:rPr>
        <w:t>,</w:t>
      </w:r>
      <w:r w:rsidR="0098450C">
        <w:rPr>
          <w:rFonts w:ascii="Arial" w:hAnsi="Arial" w:cs="Arial"/>
          <w:sz w:val="26"/>
          <w:szCs w:val="26"/>
        </w:rPr>
        <w:t xml:space="preserve"> </w:t>
      </w:r>
      <w:r w:rsidR="00387384" w:rsidRPr="00387384">
        <w:rPr>
          <w:rFonts w:ascii="Arial" w:hAnsi="Arial" w:cs="Arial"/>
          <w:sz w:val="26"/>
          <w:szCs w:val="26"/>
        </w:rPr>
        <w:t>el recurrente dispone de dos años contados a partir de la fecha de registro de la sentencia para impugnarla</w:t>
      </w:r>
      <w:r w:rsidR="0098450C">
        <w:rPr>
          <w:rFonts w:ascii="Arial" w:hAnsi="Arial" w:cs="Arial"/>
          <w:sz w:val="26"/>
          <w:szCs w:val="26"/>
        </w:rPr>
        <w:t>, ha explicado la colegiatura</w:t>
      </w:r>
      <w:r w:rsidR="0098450C">
        <w:rPr>
          <w:rStyle w:val="Refdenotaalpie"/>
          <w:rFonts w:ascii="Arial" w:hAnsi="Arial"/>
          <w:sz w:val="26"/>
          <w:szCs w:val="26"/>
        </w:rPr>
        <w:footnoteReference w:id="3"/>
      </w:r>
      <w:r w:rsidR="0098450C">
        <w:rPr>
          <w:rFonts w:ascii="Arial" w:hAnsi="Arial" w:cs="Arial"/>
          <w:sz w:val="26"/>
          <w:szCs w:val="26"/>
        </w:rPr>
        <w:t xml:space="preserve">: </w:t>
      </w:r>
    </w:p>
    <w:p w:rsidR="00577CDB" w:rsidRPr="00577CDB" w:rsidRDefault="00577CDB" w:rsidP="00577CDB">
      <w:pPr>
        <w:pStyle w:val="Sinespaciado1"/>
        <w:spacing w:line="360" w:lineRule="auto"/>
        <w:ind w:firstLine="2268"/>
        <w:jc w:val="both"/>
        <w:rPr>
          <w:rFonts w:ascii="Arial" w:hAnsi="Arial" w:cs="Arial"/>
          <w:sz w:val="16"/>
          <w:szCs w:val="26"/>
        </w:rPr>
      </w:pPr>
    </w:p>
    <w:p w:rsidR="0098450C" w:rsidRDefault="00387384" w:rsidP="00577CDB">
      <w:pPr>
        <w:pStyle w:val="Sinespaciado1"/>
        <w:spacing w:line="360" w:lineRule="auto"/>
        <w:ind w:left="708" w:firstLine="1560"/>
        <w:jc w:val="both"/>
        <w:rPr>
          <w:rFonts w:ascii="Arial" w:hAnsi="Arial" w:cs="Arial"/>
          <w:sz w:val="26"/>
          <w:szCs w:val="26"/>
        </w:rPr>
      </w:pPr>
      <w:r w:rsidRPr="003B1C81">
        <w:rPr>
          <w:rFonts w:ascii="Arial" w:hAnsi="Arial" w:cs="Arial"/>
          <w:i/>
          <w:sz w:val="24"/>
          <w:szCs w:val="26"/>
        </w:rPr>
        <w:t xml:space="preserve">“…está partiendo de un conocimiento ficto, presunto, que se supone tiene toda persona de una providencia por la sola circunstancia de la publicidad que el registro público implica. Pero, por supuesto que ese conocimiento presunto debe ceder el paso, debe inclinarse ante el conocimiento verdadero, material, que el interesado obtenga de la decisión judicial correspondiente. Así, pues, si el interesado llega a tener conocimiento de una sentencia de las sometidas a registro antes de que este se efectúe, los dos años para recurrir en revisión correrán, no desde la fecha del registro, como podría creerse tras una lectura apresurada o superficial de la norma, sino a partir de ese conocimiento real y efectivo de la providencia; y es esta la interpretación racional de la disposición estudiada, pues lo pretendido por la ley es que la revisión se intente dentro de los dos años siguientes al conocimiento que el presunto agraviado tenga de la decisión que le perjudica, de tal manera que, una vez enterado en forma cierta de ella, le corren inexorables los dos años; con el agregado sí, de que cuando la sentencia ha sido registrada, no puede el recurrente alegar que su conocimiento devino con posterioridad a la fecha del registro, por cuanto en tal evento, el cómputo del término respectivo arranca necesariamente desde el conocimiento </w:t>
      </w:r>
      <w:r w:rsidRPr="003B1C81">
        <w:rPr>
          <w:rFonts w:ascii="Arial" w:hAnsi="Arial" w:cs="Arial"/>
          <w:i/>
          <w:sz w:val="24"/>
          <w:szCs w:val="26"/>
        </w:rPr>
        <w:lastRenderedPageBreak/>
        <w:t>presuntivo que suministra el registro de la sentencia”.</w:t>
      </w:r>
      <w:r w:rsidRPr="00387384">
        <w:rPr>
          <w:rFonts w:ascii="Arial" w:hAnsi="Arial" w:cs="Arial"/>
          <w:sz w:val="26"/>
          <w:szCs w:val="26"/>
        </w:rPr>
        <w:t xml:space="preserve"> (Auto de 2 de agosto de 1995 citado en auto 014 de 1º. de febrero de 1999).</w:t>
      </w:r>
      <w:r w:rsidR="0098450C">
        <w:rPr>
          <w:rFonts w:ascii="Arial" w:hAnsi="Arial" w:cs="Arial"/>
          <w:sz w:val="26"/>
          <w:szCs w:val="26"/>
        </w:rPr>
        <w:t>”</w:t>
      </w:r>
    </w:p>
    <w:p w:rsidR="0098450C" w:rsidRDefault="0098450C" w:rsidP="0098450C">
      <w:pPr>
        <w:pStyle w:val="Sinespaciado1"/>
        <w:spacing w:line="360" w:lineRule="auto"/>
        <w:ind w:firstLine="2268"/>
        <w:jc w:val="both"/>
        <w:rPr>
          <w:rFonts w:ascii="Arial" w:hAnsi="Arial" w:cs="Arial"/>
          <w:sz w:val="26"/>
          <w:szCs w:val="26"/>
        </w:rPr>
      </w:pPr>
    </w:p>
    <w:p w:rsidR="00577CDB" w:rsidRDefault="00387384" w:rsidP="0098450C">
      <w:pPr>
        <w:pStyle w:val="Sinespaciado1"/>
        <w:spacing w:line="360" w:lineRule="auto"/>
        <w:ind w:firstLine="2268"/>
        <w:jc w:val="both"/>
        <w:rPr>
          <w:rFonts w:ascii="Arial" w:hAnsi="Arial" w:cs="Arial"/>
          <w:sz w:val="26"/>
          <w:szCs w:val="26"/>
        </w:rPr>
      </w:pPr>
      <w:r w:rsidRPr="00387384">
        <w:rPr>
          <w:rFonts w:ascii="Arial" w:hAnsi="Arial" w:cs="Arial"/>
          <w:sz w:val="26"/>
          <w:szCs w:val="26"/>
        </w:rPr>
        <w:t>Respecto a la contabilización de los términos la Cort</w:t>
      </w:r>
      <w:r w:rsidR="00577CDB">
        <w:rPr>
          <w:rFonts w:ascii="Arial" w:hAnsi="Arial" w:cs="Arial"/>
          <w:sz w:val="26"/>
          <w:szCs w:val="26"/>
        </w:rPr>
        <w:t>e, en el auto indicado precisó:</w:t>
      </w:r>
      <w:r w:rsidRPr="00387384">
        <w:rPr>
          <w:rFonts w:ascii="Arial" w:hAnsi="Arial" w:cs="Arial"/>
          <w:sz w:val="26"/>
          <w:szCs w:val="26"/>
        </w:rPr>
        <w:t xml:space="preserve"> </w:t>
      </w:r>
    </w:p>
    <w:p w:rsidR="00577CDB" w:rsidRPr="00577CDB" w:rsidRDefault="00577CDB" w:rsidP="0098450C">
      <w:pPr>
        <w:pStyle w:val="Sinespaciado1"/>
        <w:spacing w:line="360" w:lineRule="auto"/>
        <w:ind w:firstLine="2268"/>
        <w:jc w:val="both"/>
        <w:rPr>
          <w:rFonts w:ascii="Arial" w:hAnsi="Arial" w:cs="Arial"/>
          <w:sz w:val="16"/>
          <w:szCs w:val="26"/>
        </w:rPr>
      </w:pPr>
    </w:p>
    <w:p w:rsidR="00387384" w:rsidRDefault="00387384" w:rsidP="0098450C">
      <w:pPr>
        <w:pStyle w:val="Sinespaciado1"/>
        <w:spacing w:line="360" w:lineRule="auto"/>
        <w:ind w:firstLine="2268"/>
        <w:jc w:val="both"/>
        <w:rPr>
          <w:rFonts w:ascii="Arial" w:hAnsi="Arial" w:cs="Arial"/>
          <w:sz w:val="26"/>
          <w:szCs w:val="26"/>
        </w:rPr>
      </w:pPr>
      <w:r w:rsidRPr="0098450C">
        <w:rPr>
          <w:rFonts w:ascii="Arial" w:hAnsi="Arial" w:cs="Arial"/>
          <w:i/>
          <w:sz w:val="24"/>
          <w:szCs w:val="26"/>
        </w:rPr>
        <w:t xml:space="preserve">“…como sucede en las demás causales, también en la séptima el término para recurrir es de dos años; la diferencia estriba, entonces, es en el momento en que esos dos años comienzan a correr, porque no será a partir de la ejecutoria de la sentencia, de conformidad con la regla general, sino que se contarán, ya a partir de </w:t>
      </w:r>
      <w:proofErr w:type="spellStart"/>
      <w:r w:rsidRPr="0098450C">
        <w:rPr>
          <w:rFonts w:ascii="Arial" w:hAnsi="Arial" w:cs="Arial"/>
          <w:i/>
          <w:sz w:val="24"/>
          <w:szCs w:val="26"/>
        </w:rPr>
        <w:t>cuando</w:t>
      </w:r>
      <w:proofErr w:type="spellEnd"/>
      <w:r w:rsidRPr="0098450C">
        <w:rPr>
          <w:rFonts w:ascii="Arial" w:hAnsi="Arial" w:cs="Arial"/>
          <w:i/>
          <w:sz w:val="24"/>
          <w:szCs w:val="26"/>
        </w:rPr>
        <w:t xml:space="preserve"> la parte perjudicada o su representante haya tenido conocimiento de la decisión, ora a partir de la fecha de registro, si la sentencia es de aquellas que deben inscribirse en un registro público; pero para deducir la oportunidad de la impugnación extraordinaria, no basta con tener en cuenta aquellos términos, sino también el plazo máximo fijado en la misma ley, que no puede ser superior a los cinco años contados desde la ejecutoria de la respectiva sentencia, como así se desprende de una visión integral del artículo 381 en comento”.</w:t>
      </w:r>
      <w:r w:rsidRPr="00387384">
        <w:rPr>
          <w:rFonts w:ascii="Arial" w:hAnsi="Arial" w:cs="Arial"/>
          <w:sz w:val="26"/>
          <w:szCs w:val="26"/>
        </w:rPr>
        <w:t xml:space="preserve"> (Auto de 2 de agosto de 1995 citado en auto 243 de 16 de octubre de 1998).</w:t>
      </w:r>
    </w:p>
    <w:p w:rsidR="00387384" w:rsidRPr="000338BF" w:rsidRDefault="00387384" w:rsidP="00387384">
      <w:pPr>
        <w:pStyle w:val="Sinespaciado1"/>
        <w:spacing w:line="360" w:lineRule="auto"/>
        <w:ind w:firstLine="2268"/>
        <w:jc w:val="both"/>
        <w:rPr>
          <w:rFonts w:ascii="Arial" w:hAnsi="Arial" w:cs="Arial"/>
          <w:sz w:val="16"/>
          <w:szCs w:val="26"/>
        </w:rPr>
      </w:pPr>
    </w:p>
    <w:p w:rsidR="00387384" w:rsidRDefault="00C9061C" w:rsidP="00387384">
      <w:pPr>
        <w:pStyle w:val="Sinespaciado1"/>
        <w:spacing w:line="360" w:lineRule="auto"/>
        <w:ind w:firstLine="2268"/>
        <w:jc w:val="both"/>
        <w:rPr>
          <w:rFonts w:ascii="Arial" w:hAnsi="Arial" w:cs="Arial"/>
          <w:sz w:val="26"/>
          <w:szCs w:val="26"/>
        </w:rPr>
      </w:pPr>
      <w:r>
        <w:rPr>
          <w:rFonts w:ascii="Arial" w:hAnsi="Arial" w:cs="Arial"/>
          <w:sz w:val="26"/>
          <w:szCs w:val="26"/>
        </w:rPr>
        <w:t xml:space="preserve">7. </w:t>
      </w:r>
      <w:r w:rsidRPr="00C9061C">
        <w:rPr>
          <w:rFonts w:ascii="Arial" w:hAnsi="Arial" w:cs="Arial"/>
          <w:sz w:val="26"/>
          <w:szCs w:val="26"/>
        </w:rPr>
        <w:t>Resalta entonces</w:t>
      </w:r>
      <w:r w:rsidR="0082786C">
        <w:rPr>
          <w:rFonts w:ascii="Arial" w:hAnsi="Arial" w:cs="Arial"/>
          <w:sz w:val="26"/>
          <w:szCs w:val="26"/>
        </w:rPr>
        <w:t xml:space="preserve"> el alto Tribunal</w:t>
      </w:r>
      <w:r w:rsidRPr="00C9061C">
        <w:rPr>
          <w:rFonts w:ascii="Arial" w:hAnsi="Arial" w:cs="Arial"/>
          <w:sz w:val="26"/>
          <w:szCs w:val="26"/>
        </w:rPr>
        <w:t>, que el término máximo de cinco años de que trata el precepto mencionado, se computa siempre desde la ejecutoria de la sentencia recurrida, vencido el cual contra dicha providencia no cabe recurso alguno, independientemente de su registro o de la época en la que el interesado la hubiese conocido.</w:t>
      </w:r>
    </w:p>
    <w:p w:rsidR="00476B09" w:rsidRPr="00BD63A1" w:rsidRDefault="00476B09" w:rsidP="0017176B">
      <w:pPr>
        <w:pStyle w:val="Sinespaciado1"/>
        <w:spacing w:line="360" w:lineRule="auto"/>
        <w:ind w:firstLine="2268"/>
        <w:jc w:val="both"/>
        <w:rPr>
          <w:rFonts w:ascii="Arial" w:hAnsi="Arial" w:cs="Arial"/>
          <w:sz w:val="16"/>
          <w:szCs w:val="26"/>
        </w:rPr>
      </w:pPr>
    </w:p>
    <w:p w:rsidR="00F26606" w:rsidRDefault="00447E07" w:rsidP="00331865">
      <w:pPr>
        <w:pStyle w:val="Sinespaciado1"/>
        <w:spacing w:line="360" w:lineRule="auto"/>
        <w:ind w:firstLine="2268"/>
        <w:jc w:val="both"/>
        <w:rPr>
          <w:rFonts w:ascii="Arial" w:hAnsi="Arial" w:cs="Arial"/>
          <w:sz w:val="26"/>
          <w:szCs w:val="26"/>
        </w:rPr>
      </w:pPr>
      <w:r>
        <w:rPr>
          <w:rFonts w:ascii="Arial" w:hAnsi="Arial" w:cs="Arial"/>
          <w:sz w:val="26"/>
          <w:szCs w:val="26"/>
        </w:rPr>
        <w:t xml:space="preserve">8. </w:t>
      </w:r>
      <w:r w:rsidR="008A59CC" w:rsidRPr="008A59CC">
        <w:rPr>
          <w:rFonts w:ascii="Arial" w:hAnsi="Arial" w:cs="Arial"/>
          <w:sz w:val="26"/>
          <w:szCs w:val="26"/>
        </w:rPr>
        <w:t>En ese orden de ideas, como la sentencia i</w:t>
      </w:r>
      <w:r>
        <w:rPr>
          <w:rFonts w:ascii="Arial" w:hAnsi="Arial" w:cs="Arial"/>
          <w:sz w:val="26"/>
          <w:szCs w:val="26"/>
        </w:rPr>
        <w:t xml:space="preserve">mpugnada declaró la simulación </w:t>
      </w:r>
      <w:r w:rsidR="008A59CC" w:rsidRPr="008A59CC">
        <w:rPr>
          <w:rFonts w:ascii="Arial" w:hAnsi="Arial" w:cs="Arial"/>
          <w:sz w:val="26"/>
          <w:szCs w:val="26"/>
        </w:rPr>
        <w:t xml:space="preserve">a favor de quien fuera demandante en el respectivo proceso, decisión sujeta a registro de conformidad con el artículo </w:t>
      </w:r>
      <w:r w:rsidR="00C07403">
        <w:rPr>
          <w:rFonts w:ascii="Arial" w:hAnsi="Arial" w:cs="Arial"/>
          <w:sz w:val="26"/>
          <w:szCs w:val="26"/>
        </w:rPr>
        <w:t>4</w:t>
      </w:r>
      <w:r w:rsidR="008A59CC" w:rsidRPr="008A59CC">
        <w:rPr>
          <w:rFonts w:ascii="Arial" w:hAnsi="Arial" w:cs="Arial"/>
          <w:sz w:val="26"/>
          <w:szCs w:val="26"/>
        </w:rPr>
        <w:t xml:space="preserve">º </w:t>
      </w:r>
      <w:r w:rsidR="00C07403">
        <w:rPr>
          <w:rFonts w:ascii="Arial" w:hAnsi="Arial" w:cs="Arial"/>
          <w:sz w:val="26"/>
          <w:szCs w:val="26"/>
        </w:rPr>
        <w:t>d</w:t>
      </w:r>
      <w:r w:rsidR="008A59CC" w:rsidRPr="008A59CC">
        <w:rPr>
          <w:rFonts w:ascii="Arial" w:hAnsi="Arial" w:cs="Arial"/>
          <w:sz w:val="26"/>
          <w:szCs w:val="26"/>
        </w:rPr>
        <w:t>e</w:t>
      </w:r>
      <w:r w:rsidR="00C07403">
        <w:rPr>
          <w:rFonts w:ascii="Arial" w:hAnsi="Arial" w:cs="Arial"/>
          <w:sz w:val="26"/>
          <w:szCs w:val="26"/>
        </w:rPr>
        <w:t xml:space="preserve"> </w:t>
      </w:r>
      <w:r w:rsidR="008A59CC" w:rsidRPr="008A59CC">
        <w:rPr>
          <w:rFonts w:ascii="Arial" w:hAnsi="Arial" w:cs="Arial"/>
          <w:sz w:val="26"/>
          <w:szCs w:val="26"/>
        </w:rPr>
        <w:t>l</w:t>
      </w:r>
      <w:r w:rsidR="00C07403">
        <w:rPr>
          <w:rFonts w:ascii="Arial" w:hAnsi="Arial" w:cs="Arial"/>
          <w:sz w:val="26"/>
          <w:szCs w:val="26"/>
        </w:rPr>
        <w:t>a</w:t>
      </w:r>
      <w:r w:rsidR="008A59CC" w:rsidRPr="008A59CC">
        <w:rPr>
          <w:rFonts w:ascii="Arial" w:hAnsi="Arial" w:cs="Arial"/>
          <w:sz w:val="26"/>
          <w:szCs w:val="26"/>
        </w:rPr>
        <w:t xml:space="preserve"> </w:t>
      </w:r>
      <w:r w:rsidR="00C07403">
        <w:rPr>
          <w:rFonts w:ascii="Arial" w:hAnsi="Arial" w:cs="Arial"/>
          <w:sz w:val="26"/>
          <w:szCs w:val="26"/>
        </w:rPr>
        <w:t>Ley 1579 de 2012</w:t>
      </w:r>
      <w:r w:rsidR="008A59CC" w:rsidRPr="008A59CC">
        <w:rPr>
          <w:rFonts w:ascii="Arial" w:hAnsi="Arial" w:cs="Arial"/>
          <w:sz w:val="26"/>
          <w:szCs w:val="26"/>
        </w:rPr>
        <w:t xml:space="preserve">, el cual se llevó a cabo el </w:t>
      </w:r>
      <w:r w:rsidR="00F26606">
        <w:rPr>
          <w:rFonts w:ascii="Arial" w:hAnsi="Arial" w:cs="Arial"/>
          <w:sz w:val="26"/>
          <w:szCs w:val="26"/>
        </w:rPr>
        <w:t xml:space="preserve">25 </w:t>
      </w:r>
      <w:r w:rsidR="008A59CC" w:rsidRPr="008A59CC">
        <w:rPr>
          <w:rFonts w:ascii="Arial" w:hAnsi="Arial" w:cs="Arial"/>
          <w:sz w:val="26"/>
          <w:szCs w:val="26"/>
        </w:rPr>
        <w:t xml:space="preserve">de </w:t>
      </w:r>
      <w:r w:rsidR="00F26606">
        <w:rPr>
          <w:rFonts w:ascii="Arial" w:hAnsi="Arial" w:cs="Arial"/>
          <w:sz w:val="26"/>
          <w:szCs w:val="26"/>
        </w:rPr>
        <w:t>junio</w:t>
      </w:r>
      <w:r w:rsidR="008A59CC" w:rsidRPr="008A59CC">
        <w:rPr>
          <w:rFonts w:ascii="Arial" w:hAnsi="Arial" w:cs="Arial"/>
          <w:sz w:val="26"/>
          <w:szCs w:val="26"/>
        </w:rPr>
        <w:t xml:space="preserve"> de </w:t>
      </w:r>
      <w:r w:rsidR="00F26606">
        <w:rPr>
          <w:rFonts w:ascii="Arial" w:hAnsi="Arial" w:cs="Arial"/>
          <w:sz w:val="26"/>
          <w:szCs w:val="26"/>
        </w:rPr>
        <w:t>2012</w:t>
      </w:r>
      <w:r w:rsidR="008A59CC" w:rsidRPr="008A59CC">
        <w:rPr>
          <w:rFonts w:ascii="Arial" w:hAnsi="Arial" w:cs="Arial"/>
          <w:sz w:val="26"/>
          <w:szCs w:val="26"/>
        </w:rPr>
        <w:t xml:space="preserve">, tal como consta en el folio de matrícula inmobiliaria número </w:t>
      </w:r>
      <w:r w:rsidR="00F26606">
        <w:rPr>
          <w:rFonts w:ascii="Arial" w:hAnsi="Arial" w:cs="Arial"/>
          <w:sz w:val="26"/>
          <w:szCs w:val="26"/>
        </w:rPr>
        <w:t>290-47418 aportado con la contestación a la demanda</w:t>
      </w:r>
      <w:r w:rsidR="008A59CC" w:rsidRPr="008A59CC">
        <w:rPr>
          <w:rFonts w:ascii="Arial" w:hAnsi="Arial" w:cs="Arial"/>
          <w:sz w:val="26"/>
          <w:szCs w:val="26"/>
        </w:rPr>
        <w:t xml:space="preserve">, ese día comenzó a correr el término de caducidad para impugnarla mediante el recurso de revisión, esto es de los dos años </w:t>
      </w:r>
      <w:r w:rsidR="008A59CC" w:rsidRPr="008A59CC">
        <w:rPr>
          <w:rFonts w:ascii="Arial" w:hAnsi="Arial" w:cs="Arial"/>
          <w:sz w:val="26"/>
          <w:szCs w:val="26"/>
        </w:rPr>
        <w:lastRenderedPageBreak/>
        <w:t xml:space="preserve">señalados en la norma, sin que pueda exceder de los cinco años contados a partir de la ejecutoria de la sentencia. </w:t>
      </w:r>
    </w:p>
    <w:p w:rsidR="00F26606" w:rsidRPr="000338BF" w:rsidRDefault="00F26606" w:rsidP="00F26606">
      <w:pPr>
        <w:pStyle w:val="Sinespaciado1"/>
        <w:spacing w:line="360" w:lineRule="auto"/>
        <w:ind w:firstLine="2268"/>
        <w:jc w:val="both"/>
        <w:rPr>
          <w:rFonts w:ascii="Arial" w:hAnsi="Arial" w:cs="Arial"/>
          <w:sz w:val="16"/>
          <w:szCs w:val="26"/>
        </w:rPr>
      </w:pPr>
    </w:p>
    <w:p w:rsidR="00962796" w:rsidRDefault="008A59CC" w:rsidP="00962796">
      <w:pPr>
        <w:pStyle w:val="Sinespaciado1"/>
        <w:spacing w:line="360" w:lineRule="auto"/>
        <w:ind w:firstLine="2268"/>
        <w:jc w:val="both"/>
        <w:rPr>
          <w:rFonts w:ascii="Arial" w:hAnsi="Arial" w:cs="Arial"/>
          <w:sz w:val="26"/>
          <w:szCs w:val="26"/>
        </w:rPr>
      </w:pPr>
      <w:r w:rsidRPr="008A59CC">
        <w:rPr>
          <w:rFonts w:ascii="Arial" w:hAnsi="Arial" w:cs="Arial"/>
          <w:sz w:val="26"/>
          <w:szCs w:val="26"/>
        </w:rPr>
        <w:t xml:space="preserve">Como el registro se efectuó el </w:t>
      </w:r>
      <w:r w:rsidR="00BD5580">
        <w:rPr>
          <w:rFonts w:ascii="Arial" w:hAnsi="Arial" w:cs="Arial"/>
          <w:sz w:val="26"/>
          <w:szCs w:val="26"/>
        </w:rPr>
        <w:t>25</w:t>
      </w:r>
      <w:r w:rsidRPr="008A59CC">
        <w:rPr>
          <w:rFonts w:ascii="Arial" w:hAnsi="Arial" w:cs="Arial"/>
          <w:sz w:val="26"/>
          <w:szCs w:val="26"/>
        </w:rPr>
        <w:t xml:space="preserve"> de </w:t>
      </w:r>
      <w:r w:rsidR="00BD5580">
        <w:rPr>
          <w:rFonts w:ascii="Arial" w:hAnsi="Arial" w:cs="Arial"/>
          <w:sz w:val="26"/>
          <w:szCs w:val="26"/>
        </w:rPr>
        <w:t>junio</w:t>
      </w:r>
      <w:r w:rsidRPr="008A59CC">
        <w:rPr>
          <w:rFonts w:ascii="Arial" w:hAnsi="Arial" w:cs="Arial"/>
          <w:sz w:val="26"/>
          <w:szCs w:val="26"/>
        </w:rPr>
        <w:t xml:space="preserve"> de </w:t>
      </w:r>
      <w:r w:rsidR="00BD5580">
        <w:rPr>
          <w:rFonts w:ascii="Arial" w:hAnsi="Arial" w:cs="Arial"/>
          <w:sz w:val="26"/>
          <w:szCs w:val="26"/>
        </w:rPr>
        <w:t>2012</w:t>
      </w:r>
      <w:r w:rsidRPr="008A59CC">
        <w:rPr>
          <w:rFonts w:ascii="Arial" w:hAnsi="Arial" w:cs="Arial"/>
          <w:sz w:val="26"/>
          <w:szCs w:val="26"/>
        </w:rPr>
        <w:t>,</w:t>
      </w:r>
      <w:r w:rsidR="00505952" w:rsidRPr="00505952">
        <w:t xml:space="preserve"> </w:t>
      </w:r>
      <w:r w:rsidR="00505952" w:rsidRPr="00505952">
        <w:rPr>
          <w:rFonts w:ascii="Arial" w:hAnsi="Arial" w:cs="Arial"/>
          <w:sz w:val="26"/>
          <w:szCs w:val="26"/>
        </w:rPr>
        <w:t xml:space="preserve"> </w:t>
      </w:r>
      <w:r w:rsidR="00B23D6E">
        <w:rPr>
          <w:rFonts w:ascii="Arial" w:hAnsi="Arial" w:cs="Arial"/>
          <w:sz w:val="26"/>
          <w:szCs w:val="26"/>
        </w:rPr>
        <w:t xml:space="preserve">tal </w:t>
      </w:r>
      <w:r w:rsidR="00505952" w:rsidRPr="00505952">
        <w:rPr>
          <w:rFonts w:ascii="Arial" w:hAnsi="Arial" w:cs="Arial"/>
          <w:sz w:val="26"/>
          <w:szCs w:val="26"/>
        </w:rPr>
        <w:t xml:space="preserve">como se observa a folio </w:t>
      </w:r>
      <w:r w:rsidR="00505952">
        <w:rPr>
          <w:rFonts w:ascii="Arial" w:hAnsi="Arial" w:cs="Arial"/>
          <w:sz w:val="26"/>
          <w:szCs w:val="26"/>
        </w:rPr>
        <w:t>68</w:t>
      </w:r>
      <w:r w:rsidR="00505952" w:rsidRPr="00505952">
        <w:rPr>
          <w:rFonts w:ascii="Arial" w:hAnsi="Arial" w:cs="Arial"/>
          <w:sz w:val="26"/>
          <w:szCs w:val="26"/>
        </w:rPr>
        <w:t xml:space="preserve"> del cuaderno principal</w:t>
      </w:r>
      <w:r w:rsidR="0082786C">
        <w:rPr>
          <w:rFonts w:ascii="Arial" w:hAnsi="Arial" w:cs="Arial"/>
          <w:sz w:val="26"/>
          <w:szCs w:val="26"/>
        </w:rPr>
        <w:t>,</w:t>
      </w:r>
      <w:r w:rsidRPr="008A59CC">
        <w:rPr>
          <w:rFonts w:ascii="Arial" w:hAnsi="Arial" w:cs="Arial"/>
          <w:sz w:val="26"/>
          <w:szCs w:val="26"/>
        </w:rPr>
        <w:t xml:space="preserve"> dicho término se cumplió el </w:t>
      </w:r>
      <w:r w:rsidR="00BD5580">
        <w:rPr>
          <w:rFonts w:ascii="Arial" w:hAnsi="Arial" w:cs="Arial"/>
          <w:sz w:val="26"/>
          <w:szCs w:val="26"/>
        </w:rPr>
        <w:t>25</w:t>
      </w:r>
      <w:r w:rsidRPr="008A59CC">
        <w:rPr>
          <w:rFonts w:ascii="Arial" w:hAnsi="Arial" w:cs="Arial"/>
          <w:sz w:val="26"/>
          <w:szCs w:val="26"/>
        </w:rPr>
        <w:t xml:space="preserve"> de </w:t>
      </w:r>
      <w:r w:rsidR="00BD5580">
        <w:rPr>
          <w:rFonts w:ascii="Arial" w:hAnsi="Arial" w:cs="Arial"/>
          <w:sz w:val="26"/>
          <w:szCs w:val="26"/>
        </w:rPr>
        <w:t xml:space="preserve">junio </w:t>
      </w:r>
      <w:r w:rsidRPr="008A59CC">
        <w:rPr>
          <w:rFonts w:ascii="Arial" w:hAnsi="Arial" w:cs="Arial"/>
          <w:sz w:val="26"/>
          <w:szCs w:val="26"/>
        </w:rPr>
        <w:t xml:space="preserve">de </w:t>
      </w:r>
      <w:r w:rsidR="00BD5580">
        <w:rPr>
          <w:rFonts w:ascii="Arial" w:hAnsi="Arial" w:cs="Arial"/>
          <w:sz w:val="26"/>
          <w:szCs w:val="26"/>
        </w:rPr>
        <w:t>2014</w:t>
      </w:r>
      <w:r w:rsidRPr="008A59CC">
        <w:rPr>
          <w:rFonts w:ascii="Arial" w:hAnsi="Arial" w:cs="Arial"/>
          <w:sz w:val="26"/>
          <w:szCs w:val="26"/>
        </w:rPr>
        <w:t>, y en consecuencia opera la caducidad derivada del tiempo de presentación de la demanda, por cuanto el recurso se</w:t>
      </w:r>
      <w:r w:rsidR="002A41B7">
        <w:rPr>
          <w:rFonts w:ascii="Arial" w:hAnsi="Arial" w:cs="Arial"/>
          <w:sz w:val="26"/>
          <w:szCs w:val="26"/>
        </w:rPr>
        <w:t xml:space="preserve"> interpuso con posterioridad a su </w:t>
      </w:r>
      <w:r w:rsidRPr="008A59CC">
        <w:rPr>
          <w:rFonts w:ascii="Arial" w:hAnsi="Arial" w:cs="Arial"/>
          <w:sz w:val="26"/>
          <w:szCs w:val="26"/>
        </w:rPr>
        <w:t xml:space="preserve">vencimiento, </w:t>
      </w:r>
      <w:r w:rsidR="00895927">
        <w:rPr>
          <w:rFonts w:ascii="Arial" w:hAnsi="Arial" w:cs="Arial"/>
          <w:sz w:val="26"/>
          <w:szCs w:val="26"/>
        </w:rPr>
        <w:t xml:space="preserve">esto es, el 17 de septiembre de 2015, </w:t>
      </w:r>
      <w:r w:rsidRPr="008A59CC">
        <w:rPr>
          <w:rFonts w:ascii="Arial" w:hAnsi="Arial" w:cs="Arial"/>
          <w:sz w:val="26"/>
          <w:szCs w:val="26"/>
        </w:rPr>
        <w:t xml:space="preserve">sin que, como se señaló anteriormente, se pueda tener en cuenta para este cómputo el conocimiento tardío de la sentencia señalado por la recurrente, el </w:t>
      </w:r>
      <w:r w:rsidR="00025237">
        <w:rPr>
          <w:rFonts w:ascii="Arial" w:hAnsi="Arial" w:cs="Arial"/>
          <w:sz w:val="26"/>
          <w:szCs w:val="26"/>
        </w:rPr>
        <w:t>12</w:t>
      </w:r>
      <w:r w:rsidRPr="008A59CC">
        <w:rPr>
          <w:rFonts w:ascii="Arial" w:hAnsi="Arial" w:cs="Arial"/>
          <w:sz w:val="26"/>
          <w:szCs w:val="26"/>
        </w:rPr>
        <w:t xml:space="preserve"> de </w:t>
      </w:r>
      <w:r w:rsidR="00025237">
        <w:rPr>
          <w:rFonts w:ascii="Arial" w:hAnsi="Arial" w:cs="Arial"/>
          <w:sz w:val="26"/>
          <w:szCs w:val="26"/>
        </w:rPr>
        <w:t>marzo</w:t>
      </w:r>
      <w:r w:rsidRPr="008A59CC">
        <w:rPr>
          <w:rFonts w:ascii="Arial" w:hAnsi="Arial" w:cs="Arial"/>
          <w:sz w:val="26"/>
          <w:szCs w:val="26"/>
        </w:rPr>
        <w:t xml:space="preserve"> de </w:t>
      </w:r>
      <w:r w:rsidR="00025237">
        <w:rPr>
          <w:rFonts w:ascii="Arial" w:hAnsi="Arial" w:cs="Arial"/>
          <w:sz w:val="26"/>
          <w:szCs w:val="26"/>
        </w:rPr>
        <w:t>2013, con ocasión del secuestro del bien inmueble de su propiedad</w:t>
      </w:r>
      <w:r w:rsidR="0082786C">
        <w:rPr>
          <w:rFonts w:ascii="Arial" w:hAnsi="Arial" w:cs="Arial"/>
          <w:sz w:val="26"/>
          <w:szCs w:val="26"/>
        </w:rPr>
        <w:t>,</w:t>
      </w:r>
      <w:r w:rsidR="00025237">
        <w:rPr>
          <w:rFonts w:ascii="Arial" w:hAnsi="Arial" w:cs="Arial"/>
          <w:sz w:val="26"/>
          <w:szCs w:val="26"/>
        </w:rPr>
        <w:t xml:space="preserve"> aprisionado como consecuencia de la ejecución iniciada para el cobro de los frutos reconocidos en el proceso de simulación</w:t>
      </w:r>
      <w:r w:rsidR="00331865">
        <w:rPr>
          <w:rFonts w:ascii="Arial" w:hAnsi="Arial" w:cs="Arial"/>
          <w:sz w:val="26"/>
          <w:szCs w:val="26"/>
        </w:rPr>
        <w:t>, dado que e</w:t>
      </w:r>
      <w:r w:rsidRPr="008A59CC">
        <w:rPr>
          <w:rFonts w:ascii="Arial" w:hAnsi="Arial" w:cs="Arial"/>
          <w:sz w:val="26"/>
          <w:szCs w:val="26"/>
        </w:rPr>
        <w:t>ste se presume desde el momento de su registro en la oficina de registro de instrumentos públicos correspo</w:t>
      </w:r>
      <w:r w:rsidR="00331865">
        <w:rPr>
          <w:rFonts w:ascii="Arial" w:hAnsi="Arial" w:cs="Arial"/>
          <w:sz w:val="26"/>
          <w:szCs w:val="26"/>
        </w:rPr>
        <w:t>ndiente, por la publicidad que e</w:t>
      </w:r>
      <w:r w:rsidRPr="008A59CC">
        <w:rPr>
          <w:rFonts w:ascii="Arial" w:hAnsi="Arial" w:cs="Arial"/>
          <w:sz w:val="26"/>
          <w:szCs w:val="26"/>
        </w:rPr>
        <w:t>ste acto conlleva.</w:t>
      </w:r>
    </w:p>
    <w:p w:rsidR="00962796" w:rsidRPr="000338BF" w:rsidRDefault="00962796" w:rsidP="00962796">
      <w:pPr>
        <w:pStyle w:val="Sinespaciado1"/>
        <w:spacing w:line="360" w:lineRule="auto"/>
        <w:ind w:firstLine="2268"/>
        <w:jc w:val="both"/>
        <w:rPr>
          <w:rFonts w:ascii="Arial" w:hAnsi="Arial" w:cs="Arial"/>
          <w:sz w:val="18"/>
          <w:szCs w:val="26"/>
        </w:rPr>
      </w:pPr>
    </w:p>
    <w:p w:rsidR="00025237" w:rsidRDefault="003F153F" w:rsidP="00025237">
      <w:pPr>
        <w:pStyle w:val="Sinespaciado1"/>
        <w:spacing w:line="360" w:lineRule="auto"/>
        <w:ind w:firstLine="2268"/>
        <w:jc w:val="both"/>
        <w:rPr>
          <w:rFonts w:ascii="Arial" w:hAnsi="Arial" w:cs="Arial"/>
          <w:sz w:val="26"/>
          <w:szCs w:val="26"/>
        </w:rPr>
      </w:pPr>
      <w:r>
        <w:rPr>
          <w:rFonts w:ascii="Arial" w:hAnsi="Arial" w:cs="Arial"/>
          <w:sz w:val="26"/>
          <w:szCs w:val="26"/>
        </w:rPr>
        <w:t xml:space="preserve">9. </w:t>
      </w:r>
      <w:r w:rsidR="008A59CC" w:rsidRPr="008A59CC">
        <w:rPr>
          <w:rFonts w:ascii="Arial" w:hAnsi="Arial" w:cs="Arial"/>
          <w:sz w:val="26"/>
          <w:szCs w:val="26"/>
        </w:rPr>
        <w:t>Teniendo en cuenta los anteriores planteamientos, como no se dio cumplimiento al mandato del artículo 381 citado, sin que sea preciso entrar a analizar el fondo de la impugnación, habrá de declararse la caducidad del recurso de revisión.</w:t>
      </w:r>
    </w:p>
    <w:p w:rsidR="003F153F" w:rsidRPr="003F153F" w:rsidRDefault="003F153F" w:rsidP="00025237">
      <w:pPr>
        <w:pStyle w:val="Sinespaciado1"/>
        <w:spacing w:line="360" w:lineRule="auto"/>
        <w:ind w:firstLine="2268"/>
        <w:jc w:val="both"/>
        <w:rPr>
          <w:rFonts w:ascii="Arial" w:hAnsi="Arial" w:cs="Arial"/>
          <w:sz w:val="16"/>
          <w:szCs w:val="26"/>
        </w:rPr>
      </w:pPr>
    </w:p>
    <w:p w:rsidR="002A506E" w:rsidRDefault="003F153F" w:rsidP="003F153F">
      <w:pPr>
        <w:pStyle w:val="Sinespaciado1"/>
        <w:spacing w:line="360" w:lineRule="auto"/>
        <w:ind w:firstLine="2268"/>
        <w:jc w:val="both"/>
        <w:rPr>
          <w:rFonts w:ascii="Arial" w:hAnsi="Arial" w:cs="Arial"/>
          <w:sz w:val="26"/>
          <w:szCs w:val="26"/>
        </w:rPr>
      </w:pPr>
      <w:r>
        <w:rPr>
          <w:rFonts w:ascii="Arial" w:hAnsi="Arial" w:cs="Arial"/>
          <w:sz w:val="26"/>
          <w:szCs w:val="26"/>
        </w:rPr>
        <w:t xml:space="preserve">10. </w:t>
      </w:r>
      <w:r w:rsidR="002A506E">
        <w:rPr>
          <w:rFonts w:ascii="Arial" w:hAnsi="Arial" w:cs="Arial"/>
          <w:sz w:val="26"/>
          <w:szCs w:val="26"/>
        </w:rPr>
        <w:t xml:space="preserve">Aquí es pertinente resaltar que el artículo </w:t>
      </w:r>
      <w:r w:rsidR="002221A6">
        <w:rPr>
          <w:rFonts w:ascii="Arial" w:hAnsi="Arial" w:cs="Arial"/>
          <w:sz w:val="26"/>
          <w:szCs w:val="26"/>
        </w:rPr>
        <w:t xml:space="preserve">383 del </w:t>
      </w:r>
      <w:proofErr w:type="spellStart"/>
      <w:r w:rsidR="002221A6">
        <w:rPr>
          <w:rFonts w:ascii="Arial" w:hAnsi="Arial" w:cs="Arial"/>
          <w:sz w:val="26"/>
          <w:szCs w:val="26"/>
        </w:rPr>
        <w:t>C.</w:t>
      </w:r>
      <w:r w:rsidR="002A506E">
        <w:rPr>
          <w:rFonts w:ascii="Arial" w:hAnsi="Arial" w:cs="Arial"/>
          <w:sz w:val="26"/>
          <w:szCs w:val="26"/>
        </w:rPr>
        <w:t>P.</w:t>
      </w:r>
      <w:r w:rsidR="002221A6">
        <w:rPr>
          <w:rFonts w:ascii="Arial" w:hAnsi="Arial" w:cs="Arial"/>
          <w:sz w:val="26"/>
          <w:szCs w:val="26"/>
        </w:rPr>
        <w:t>C</w:t>
      </w:r>
      <w:proofErr w:type="spellEnd"/>
      <w:r w:rsidR="002221A6">
        <w:rPr>
          <w:rFonts w:ascii="Arial" w:hAnsi="Arial" w:cs="Arial"/>
          <w:sz w:val="26"/>
          <w:szCs w:val="26"/>
        </w:rPr>
        <w:t>.</w:t>
      </w:r>
      <w:r w:rsidR="002A506E">
        <w:rPr>
          <w:rFonts w:ascii="Arial" w:hAnsi="Arial" w:cs="Arial"/>
          <w:sz w:val="26"/>
          <w:szCs w:val="26"/>
        </w:rPr>
        <w:t xml:space="preserve"> establece que, </w:t>
      </w:r>
      <w:r w:rsidR="002A506E" w:rsidRPr="002A506E">
        <w:rPr>
          <w:rFonts w:ascii="Arial" w:hAnsi="Arial" w:cs="Arial"/>
          <w:i/>
          <w:sz w:val="24"/>
          <w:szCs w:val="26"/>
        </w:rPr>
        <w:t>“Sin más trámite, la demanda será rechazada cuando no se presente en el término legal, o haya sido formulada por quien carece de legitimación para hacerlo.”</w:t>
      </w:r>
    </w:p>
    <w:p w:rsidR="002A506E" w:rsidRPr="006B0B0C" w:rsidRDefault="002A506E" w:rsidP="003F153F">
      <w:pPr>
        <w:pStyle w:val="Sinespaciado1"/>
        <w:spacing w:line="360" w:lineRule="auto"/>
        <w:ind w:firstLine="2268"/>
        <w:jc w:val="both"/>
        <w:rPr>
          <w:rFonts w:ascii="Arial" w:hAnsi="Arial" w:cs="Arial"/>
          <w:sz w:val="16"/>
          <w:szCs w:val="26"/>
        </w:rPr>
      </w:pPr>
    </w:p>
    <w:p w:rsidR="006B0B0C" w:rsidRDefault="002A506E" w:rsidP="003F153F">
      <w:pPr>
        <w:pStyle w:val="Sinespaciado1"/>
        <w:spacing w:line="360" w:lineRule="auto"/>
        <w:ind w:firstLine="2268"/>
        <w:jc w:val="both"/>
        <w:rPr>
          <w:rFonts w:ascii="Arial" w:hAnsi="Arial" w:cs="Arial"/>
          <w:sz w:val="26"/>
          <w:szCs w:val="26"/>
        </w:rPr>
      </w:pPr>
      <w:r>
        <w:rPr>
          <w:rFonts w:ascii="Arial" w:hAnsi="Arial" w:cs="Arial"/>
          <w:sz w:val="26"/>
          <w:szCs w:val="26"/>
        </w:rPr>
        <w:t xml:space="preserve">Al efectuar el análisis preliminar del asunto, esta Magistratura no advirtió la </w:t>
      </w:r>
      <w:r w:rsidR="001430B2">
        <w:rPr>
          <w:rFonts w:ascii="Arial" w:hAnsi="Arial" w:cs="Arial"/>
          <w:sz w:val="26"/>
          <w:szCs w:val="26"/>
        </w:rPr>
        <w:t xml:space="preserve">ocurrencia del fenómeno </w:t>
      </w:r>
      <w:r w:rsidR="002221A6">
        <w:rPr>
          <w:rFonts w:ascii="Arial" w:hAnsi="Arial" w:cs="Arial"/>
          <w:sz w:val="26"/>
          <w:szCs w:val="26"/>
        </w:rPr>
        <w:t xml:space="preserve">de la caducidad; </w:t>
      </w:r>
      <w:r w:rsidR="006B0B0C">
        <w:rPr>
          <w:rFonts w:ascii="Arial" w:hAnsi="Arial" w:cs="Arial"/>
          <w:sz w:val="26"/>
          <w:szCs w:val="26"/>
        </w:rPr>
        <w:t>solo al realizar el estudio de fondo</w:t>
      </w:r>
      <w:r w:rsidR="002221A6">
        <w:rPr>
          <w:rFonts w:ascii="Arial" w:hAnsi="Arial" w:cs="Arial"/>
          <w:sz w:val="26"/>
          <w:szCs w:val="26"/>
        </w:rPr>
        <w:t xml:space="preserve"> la encontró configurada</w:t>
      </w:r>
      <w:r w:rsidR="006B0B0C">
        <w:rPr>
          <w:rFonts w:ascii="Arial" w:hAnsi="Arial" w:cs="Arial"/>
          <w:sz w:val="26"/>
          <w:szCs w:val="26"/>
        </w:rPr>
        <w:t xml:space="preserve">, por lo cual </w:t>
      </w:r>
      <w:r w:rsidR="002221A6">
        <w:rPr>
          <w:rFonts w:ascii="Arial" w:hAnsi="Arial" w:cs="Arial"/>
          <w:sz w:val="26"/>
          <w:szCs w:val="26"/>
        </w:rPr>
        <w:t>es mediante esta sentencia que s</w:t>
      </w:r>
      <w:r w:rsidR="006B0B0C">
        <w:rPr>
          <w:rFonts w:ascii="Arial" w:hAnsi="Arial" w:cs="Arial"/>
          <w:sz w:val="26"/>
          <w:szCs w:val="26"/>
        </w:rPr>
        <w:t xml:space="preserve">e </w:t>
      </w:r>
      <w:r w:rsidR="002221A6">
        <w:rPr>
          <w:rFonts w:ascii="Arial" w:hAnsi="Arial" w:cs="Arial"/>
          <w:sz w:val="26"/>
          <w:szCs w:val="26"/>
        </w:rPr>
        <w:t>declarará</w:t>
      </w:r>
      <w:r w:rsidR="006B0B0C">
        <w:rPr>
          <w:rFonts w:ascii="Arial" w:hAnsi="Arial" w:cs="Arial"/>
          <w:sz w:val="26"/>
          <w:szCs w:val="26"/>
        </w:rPr>
        <w:t xml:space="preserve"> tal fenómeno.</w:t>
      </w:r>
    </w:p>
    <w:p w:rsidR="006B0B0C" w:rsidRDefault="006B0B0C" w:rsidP="003F153F">
      <w:pPr>
        <w:pStyle w:val="Sinespaciado1"/>
        <w:spacing w:line="360" w:lineRule="auto"/>
        <w:ind w:firstLine="2268"/>
        <w:jc w:val="both"/>
        <w:rPr>
          <w:rFonts w:ascii="Arial" w:hAnsi="Arial" w:cs="Arial"/>
          <w:sz w:val="24"/>
          <w:szCs w:val="26"/>
        </w:rPr>
      </w:pPr>
    </w:p>
    <w:p w:rsidR="00577CDB" w:rsidRPr="002221A6" w:rsidRDefault="00577CDB" w:rsidP="003F153F">
      <w:pPr>
        <w:pStyle w:val="Sinespaciado1"/>
        <w:spacing w:line="360" w:lineRule="auto"/>
        <w:ind w:firstLine="2268"/>
        <w:jc w:val="both"/>
        <w:rPr>
          <w:rFonts w:ascii="Arial" w:hAnsi="Arial" w:cs="Arial"/>
          <w:sz w:val="24"/>
          <w:szCs w:val="26"/>
        </w:rPr>
      </w:pPr>
    </w:p>
    <w:p w:rsidR="006B0B0C" w:rsidRPr="00025237" w:rsidRDefault="006B0B0C" w:rsidP="006B0B0C">
      <w:pPr>
        <w:pStyle w:val="Sinespaciado1"/>
        <w:spacing w:line="360" w:lineRule="auto"/>
        <w:ind w:firstLine="2268"/>
        <w:jc w:val="both"/>
        <w:rPr>
          <w:rFonts w:ascii="Arial" w:hAnsi="Arial" w:cs="Arial"/>
          <w:szCs w:val="26"/>
        </w:rPr>
      </w:pPr>
      <w:r w:rsidRPr="00025237">
        <w:rPr>
          <w:rFonts w:ascii="Arial" w:hAnsi="Arial" w:cs="Arial"/>
          <w:b/>
          <w:szCs w:val="26"/>
          <w:lang w:val="es-MX"/>
        </w:rPr>
        <w:lastRenderedPageBreak/>
        <w:t>VI</w:t>
      </w:r>
      <w:r w:rsidRPr="00025237">
        <w:rPr>
          <w:rFonts w:ascii="Arial" w:hAnsi="Arial" w:cs="Arial"/>
          <w:b/>
          <w:bCs/>
          <w:iCs/>
          <w:szCs w:val="26"/>
          <w:lang w:val="es-MX"/>
        </w:rPr>
        <w:t>. DECISIÓN</w:t>
      </w:r>
    </w:p>
    <w:p w:rsidR="006B0B0C" w:rsidRPr="002221A6" w:rsidRDefault="006B0B0C" w:rsidP="006B0B0C">
      <w:pPr>
        <w:pStyle w:val="Sinespaciado1"/>
        <w:spacing w:line="360" w:lineRule="auto"/>
        <w:ind w:firstLine="2268"/>
        <w:jc w:val="both"/>
        <w:rPr>
          <w:rFonts w:ascii="Arial" w:hAnsi="Arial" w:cs="Arial"/>
          <w:bCs/>
          <w:sz w:val="24"/>
          <w:szCs w:val="26"/>
        </w:rPr>
      </w:pPr>
    </w:p>
    <w:p w:rsidR="006B0B0C" w:rsidRDefault="006B0B0C" w:rsidP="006B0B0C">
      <w:pPr>
        <w:pStyle w:val="Sinespaciado1"/>
        <w:spacing w:line="360" w:lineRule="auto"/>
        <w:ind w:firstLine="2268"/>
        <w:jc w:val="both"/>
        <w:rPr>
          <w:rFonts w:ascii="Arial" w:hAnsi="Arial" w:cs="Arial"/>
          <w:sz w:val="26"/>
          <w:szCs w:val="26"/>
          <w:lang w:val="es-MX"/>
        </w:rPr>
      </w:pPr>
      <w:r w:rsidRPr="009845AF">
        <w:rPr>
          <w:rFonts w:ascii="Arial" w:hAnsi="Arial" w:cs="Arial"/>
          <w:sz w:val="26"/>
          <w:szCs w:val="26"/>
          <w:lang w:val="es-MX"/>
        </w:rPr>
        <w:t xml:space="preserve">En mérito de lo expuesto, el Tribunal Superior del Distrito Judicial de </w:t>
      </w:r>
      <w:r>
        <w:rPr>
          <w:rFonts w:ascii="Arial" w:hAnsi="Arial" w:cs="Arial"/>
          <w:sz w:val="26"/>
          <w:szCs w:val="26"/>
          <w:lang w:val="es-MX"/>
        </w:rPr>
        <w:t>Pereira</w:t>
      </w:r>
      <w:r w:rsidRPr="009845AF">
        <w:rPr>
          <w:rFonts w:ascii="Arial" w:hAnsi="Arial" w:cs="Arial"/>
          <w:sz w:val="26"/>
          <w:szCs w:val="26"/>
          <w:lang w:val="es-MX"/>
        </w:rPr>
        <w:t xml:space="preserve">, en Sala Civil </w:t>
      </w:r>
      <w:r>
        <w:rPr>
          <w:rFonts w:ascii="Arial" w:hAnsi="Arial" w:cs="Arial"/>
          <w:sz w:val="26"/>
          <w:szCs w:val="26"/>
          <w:lang w:val="es-MX"/>
        </w:rPr>
        <w:t>Familia de Decisión,</w:t>
      </w:r>
      <w:r w:rsidRPr="009845AF">
        <w:rPr>
          <w:rFonts w:ascii="Arial" w:hAnsi="Arial" w:cs="Arial"/>
          <w:sz w:val="26"/>
          <w:szCs w:val="26"/>
          <w:lang w:val="es-MX"/>
        </w:rPr>
        <w:t xml:space="preserve"> administrando justicia en nombre de la República de Colo</w:t>
      </w:r>
      <w:r>
        <w:rPr>
          <w:rFonts w:ascii="Arial" w:hAnsi="Arial" w:cs="Arial"/>
          <w:sz w:val="26"/>
          <w:szCs w:val="26"/>
          <w:lang w:val="es-MX"/>
        </w:rPr>
        <w:t>mbia y por autoridad de la Ley,</w:t>
      </w:r>
    </w:p>
    <w:p w:rsidR="006B0B0C" w:rsidRPr="002221A6" w:rsidRDefault="006B0B0C" w:rsidP="006B0B0C">
      <w:pPr>
        <w:pStyle w:val="Sinespaciado1"/>
        <w:spacing w:line="360" w:lineRule="auto"/>
        <w:ind w:firstLine="2268"/>
        <w:jc w:val="both"/>
        <w:rPr>
          <w:rFonts w:ascii="Arial" w:hAnsi="Arial" w:cs="Arial"/>
          <w:sz w:val="24"/>
          <w:szCs w:val="26"/>
          <w:lang w:val="es-MX"/>
        </w:rPr>
      </w:pPr>
    </w:p>
    <w:p w:rsidR="006B0B0C" w:rsidRPr="00C847BF" w:rsidRDefault="006B0B0C" w:rsidP="006B0B0C">
      <w:pPr>
        <w:pStyle w:val="Sinespaciado1"/>
        <w:spacing w:line="360" w:lineRule="auto"/>
        <w:ind w:firstLine="2268"/>
        <w:jc w:val="both"/>
        <w:rPr>
          <w:rFonts w:ascii="Arial" w:hAnsi="Arial" w:cs="Arial"/>
          <w:szCs w:val="26"/>
          <w:lang w:val="es-MX"/>
        </w:rPr>
      </w:pPr>
      <w:r w:rsidRPr="00C847BF">
        <w:rPr>
          <w:rFonts w:ascii="Arial" w:hAnsi="Arial" w:cs="Arial"/>
          <w:b/>
          <w:bCs/>
          <w:iCs/>
          <w:szCs w:val="26"/>
          <w:lang w:val="es-MX"/>
        </w:rPr>
        <w:t>RESUELVE</w:t>
      </w:r>
      <w:r w:rsidRPr="00C847BF">
        <w:rPr>
          <w:rFonts w:ascii="Arial" w:hAnsi="Arial" w:cs="Arial"/>
          <w:b/>
          <w:bCs/>
          <w:szCs w:val="26"/>
          <w:lang w:val="es-MX"/>
        </w:rPr>
        <w:t>:</w:t>
      </w:r>
    </w:p>
    <w:p w:rsidR="006B0B0C" w:rsidRPr="00C847BF" w:rsidRDefault="006B0B0C" w:rsidP="006B0B0C">
      <w:pPr>
        <w:pStyle w:val="Sinespaciado1"/>
        <w:spacing w:line="360" w:lineRule="auto"/>
        <w:jc w:val="both"/>
        <w:rPr>
          <w:rFonts w:ascii="Arial" w:hAnsi="Arial" w:cs="Arial"/>
          <w:bCs/>
          <w:szCs w:val="26"/>
        </w:rPr>
      </w:pPr>
    </w:p>
    <w:p w:rsidR="006B0B0C" w:rsidRPr="004A3640" w:rsidRDefault="006B0B0C" w:rsidP="006B0B0C">
      <w:pPr>
        <w:pStyle w:val="Sinespaciado1"/>
        <w:spacing w:line="360" w:lineRule="auto"/>
        <w:ind w:firstLine="2268"/>
        <w:jc w:val="both"/>
        <w:rPr>
          <w:rFonts w:ascii="Arial" w:hAnsi="Arial" w:cs="Arial"/>
          <w:spacing w:val="-3"/>
          <w:szCs w:val="26"/>
        </w:rPr>
      </w:pPr>
      <w:r w:rsidRPr="00AE296B">
        <w:rPr>
          <w:rFonts w:ascii="Arial" w:hAnsi="Arial" w:cs="Arial"/>
          <w:b/>
          <w:bCs/>
          <w:iCs/>
          <w:sz w:val="26"/>
          <w:szCs w:val="26"/>
          <w:lang w:val="es-MX"/>
        </w:rPr>
        <w:t>Primero</w:t>
      </w:r>
      <w:r w:rsidRPr="00AE296B">
        <w:rPr>
          <w:rFonts w:ascii="Arial" w:hAnsi="Arial" w:cs="Arial"/>
          <w:b/>
          <w:iCs/>
          <w:sz w:val="26"/>
          <w:szCs w:val="26"/>
          <w:lang w:val="es-MX"/>
        </w:rPr>
        <w:t>:</w:t>
      </w:r>
      <w:r>
        <w:rPr>
          <w:rFonts w:ascii="Arial" w:hAnsi="Arial" w:cs="Arial"/>
          <w:b/>
          <w:iCs/>
          <w:sz w:val="26"/>
          <w:szCs w:val="26"/>
          <w:lang w:val="es-MX"/>
        </w:rPr>
        <w:t> </w:t>
      </w:r>
      <w:r w:rsidRPr="00F21CC3">
        <w:rPr>
          <w:rFonts w:ascii="Arial" w:hAnsi="Arial" w:cs="Arial"/>
          <w:spacing w:val="-3"/>
          <w:sz w:val="26"/>
          <w:szCs w:val="26"/>
        </w:rPr>
        <w:t>Declarar</w:t>
      </w:r>
      <w:r w:rsidRPr="00DF542E">
        <w:rPr>
          <w:rFonts w:ascii="Arial" w:hAnsi="Arial" w:cs="Arial"/>
          <w:spacing w:val="-3"/>
          <w:sz w:val="26"/>
          <w:szCs w:val="26"/>
        </w:rPr>
        <w:t xml:space="preserve"> la caducidad del recurso extraordinario de revisión interpuesto por</w:t>
      </w:r>
      <w:r>
        <w:rPr>
          <w:rFonts w:ascii="Arial" w:hAnsi="Arial" w:cs="Arial"/>
          <w:spacing w:val="-3"/>
          <w:sz w:val="26"/>
          <w:szCs w:val="26"/>
        </w:rPr>
        <w:t xml:space="preserve"> </w:t>
      </w:r>
      <w:r>
        <w:rPr>
          <w:rFonts w:ascii="Arial" w:hAnsi="Arial" w:cs="Arial"/>
          <w:spacing w:val="-3"/>
          <w:szCs w:val="26"/>
        </w:rPr>
        <w:t>CLAUDIA MILENA VILLEGAS PÉREZ</w:t>
      </w:r>
      <w:r w:rsidRPr="00DF542E">
        <w:rPr>
          <w:rFonts w:ascii="Arial" w:hAnsi="Arial" w:cs="Arial"/>
          <w:spacing w:val="-3"/>
          <w:sz w:val="26"/>
          <w:szCs w:val="26"/>
        </w:rPr>
        <w:t xml:space="preserve"> contra la sentencia de</w:t>
      </w:r>
      <w:r>
        <w:rPr>
          <w:rFonts w:ascii="Arial" w:hAnsi="Arial" w:cs="Arial"/>
          <w:spacing w:val="-3"/>
          <w:sz w:val="26"/>
          <w:szCs w:val="26"/>
        </w:rPr>
        <w:t>l</w:t>
      </w:r>
      <w:r w:rsidRPr="00DF542E">
        <w:rPr>
          <w:rFonts w:ascii="Arial" w:hAnsi="Arial" w:cs="Arial"/>
          <w:spacing w:val="-3"/>
          <w:sz w:val="26"/>
          <w:szCs w:val="26"/>
        </w:rPr>
        <w:t xml:space="preserve"> </w:t>
      </w:r>
      <w:r>
        <w:rPr>
          <w:rFonts w:ascii="Arial" w:hAnsi="Arial" w:cs="Arial"/>
          <w:spacing w:val="-3"/>
          <w:sz w:val="26"/>
          <w:szCs w:val="26"/>
        </w:rPr>
        <w:t>30</w:t>
      </w:r>
      <w:r w:rsidRPr="00DF542E">
        <w:rPr>
          <w:rFonts w:ascii="Arial" w:hAnsi="Arial" w:cs="Arial"/>
          <w:spacing w:val="-3"/>
          <w:sz w:val="26"/>
          <w:szCs w:val="26"/>
        </w:rPr>
        <w:t xml:space="preserve"> de </w:t>
      </w:r>
      <w:r>
        <w:rPr>
          <w:rFonts w:ascii="Arial" w:hAnsi="Arial" w:cs="Arial"/>
          <w:spacing w:val="-3"/>
          <w:sz w:val="26"/>
          <w:szCs w:val="26"/>
        </w:rPr>
        <w:t>septiembre</w:t>
      </w:r>
      <w:r w:rsidRPr="00DF542E">
        <w:rPr>
          <w:rFonts w:ascii="Arial" w:hAnsi="Arial" w:cs="Arial"/>
          <w:spacing w:val="-3"/>
          <w:sz w:val="26"/>
          <w:szCs w:val="26"/>
        </w:rPr>
        <w:t xml:space="preserve"> de </w:t>
      </w:r>
      <w:r>
        <w:rPr>
          <w:rFonts w:ascii="Arial" w:hAnsi="Arial" w:cs="Arial"/>
          <w:spacing w:val="-3"/>
          <w:sz w:val="26"/>
          <w:szCs w:val="26"/>
        </w:rPr>
        <w:t>2011</w:t>
      </w:r>
      <w:r w:rsidRPr="00DF542E">
        <w:rPr>
          <w:rFonts w:ascii="Arial" w:hAnsi="Arial" w:cs="Arial"/>
          <w:spacing w:val="-3"/>
          <w:sz w:val="26"/>
          <w:szCs w:val="26"/>
        </w:rPr>
        <w:t xml:space="preserve"> proferida por el </w:t>
      </w:r>
      <w:r>
        <w:rPr>
          <w:rFonts w:ascii="Arial" w:hAnsi="Arial" w:cs="Arial"/>
          <w:spacing w:val="-3"/>
          <w:sz w:val="26"/>
          <w:szCs w:val="26"/>
        </w:rPr>
        <w:t>Juzgado Tercero Civil del Circuito de la ciudad</w:t>
      </w:r>
      <w:r w:rsidRPr="00DF542E">
        <w:rPr>
          <w:rFonts w:ascii="Arial" w:hAnsi="Arial" w:cs="Arial"/>
          <w:spacing w:val="-3"/>
          <w:sz w:val="26"/>
          <w:szCs w:val="26"/>
        </w:rPr>
        <w:t xml:space="preserve"> en el proceso ordinari</w:t>
      </w:r>
      <w:r>
        <w:rPr>
          <w:rFonts w:ascii="Arial" w:hAnsi="Arial" w:cs="Arial"/>
          <w:spacing w:val="-3"/>
          <w:sz w:val="26"/>
          <w:szCs w:val="26"/>
        </w:rPr>
        <w:t xml:space="preserve">o de simulación promovido en su contra por la señora </w:t>
      </w:r>
      <w:r>
        <w:rPr>
          <w:rFonts w:ascii="Arial" w:hAnsi="Arial" w:cs="Arial"/>
          <w:spacing w:val="-3"/>
          <w:szCs w:val="26"/>
        </w:rPr>
        <w:t>MARINA GÓMEZ FRANCO.</w:t>
      </w:r>
    </w:p>
    <w:p w:rsidR="006B0B0C" w:rsidRPr="00577CDB" w:rsidRDefault="006B0B0C" w:rsidP="006B0B0C">
      <w:pPr>
        <w:pStyle w:val="Sinespaciado1"/>
        <w:spacing w:line="360" w:lineRule="auto"/>
        <w:ind w:firstLine="2268"/>
        <w:jc w:val="both"/>
        <w:rPr>
          <w:rFonts w:ascii="Arial" w:hAnsi="Arial" w:cs="Arial"/>
          <w:sz w:val="16"/>
          <w:szCs w:val="26"/>
          <w:lang w:val="es-ES_tradnl"/>
        </w:rPr>
      </w:pPr>
    </w:p>
    <w:p w:rsidR="006B0B0C" w:rsidRDefault="006B0B0C" w:rsidP="006B0B0C">
      <w:pPr>
        <w:pStyle w:val="Sinespaciado1"/>
        <w:spacing w:line="360" w:lineRule="auto"/>
        <w:ind w:firstLine="2268"/>
        <w:jc w:val="both"/>
        <w:rPr>
          <w:rFonts w:ascii="Arial" w:hAnsi="Arial" w:cs="Arial"/>
          <w:bCs/>
          <w:sz w:val="26"/>
          <w:szCs w:val="26"/>
          <w:lang w:val="es-ES_tradnl"/>
        </w:rPr>
      </w:pPr>
      <w:r>
        <w:rPr>
          <w:rFonts w:ascii="Arial" w:hAnsi="Arial" w:cs="Arial"/>
          <w:b/>
          <w:sz w:val="26"/>
          <w:szCs w:val="26"/>
        </w:rPr>
        <w:t>Segundo:</w:t>
      </w:r>
      <w:r w:rsidRPr="00D86942">
        <w:rPr>
          <w:rFonts w:ascii="Arial" w:hAnsi="Arial" w:cs="Arial"/>
          <w:bCs/>
          <w:sz w:val="26"/>
          <w:szCs w:val="26"/>
          <w:lang w:val="es-ES_tradnl"/>
        </w:rPr>
        <w:t xml:space="preserve"> </w:t>
      </w:r>
      <w:r>
        <w:rPr>
          <w:rFonts w:ascii="Arial" w:hAnsi="Arial" w:cs="Arial"/>
          <w:bCs/>
          <w:sz w:val="26"/>
          <w:szCs w:val="26"/>
          <w:lang w:val="es-ES_tradnl"/>
        </w:rPr>
        <w:t>Sin condena en costas</w:t>
      </w:r>
      <w:r w:rsidRPr="00396D07">
        <w:rPr>
          <w:rFonts w:ascii="Arial" w:hAnsi="Arial" w:cs="Arial"/>
          <w:bCs/>
          <w:sz w:val="26"/>
          <w:szCs w:val="26"/>
          <w:lang w:val="es-ES_tradnl"/>
        </w:rPr>
        <w:t>, en razón de habérsele concedido al recurrente amparo de pobreza.</w:t>
      </w:r>
    </w:p>
    <w:p w:rsidR="006B0B0C" w:rsidRPr="00577CDB" w:rsidRDefault="006B0B0C" w:rsidP="006B0B0C">
      <w:pPr>
        <w:pStyle w:val="Sinespaciado1"/>
        <w:spacing w:line="360" w:lineRule="auto"/>
        <w:ind w:firstLine="2268"/>
        <w:jc w:val="both"/>
        <w:rPr>
          <w:rFonts w:ascii="Arial" w:hAnsi="Arial" w:cs="Arial"/>
          <w:b/>
          <w:sz w:val="16"/>
          <w:szCs w:val="26"/>
        </w:rPr>
      </w:pPr>
    </w:p>
    <w:p w:rsidR="006B0B0C" w:rsidRPr="002221A6" w:rsidRDefault="006B0B0C" w:rsidP="002221A6">
      <w:pPr>
        <w:pStyle w:val="Sinespaciado1"/>
        <w:spacing w:line="360" w:lineRule="auto"/>
        <w:ind w:firstLine="2268"/>
        <w:jc w:val="both"/>
        <w:rPr>
          <w:rFonts w:ascii="Arial" w:hAnsi="Arial" w:cs="Arial"/>
          <w:sz w:val="16"/>
          <w:szCs w:val="26"/>
          <w:lang w:val="es-ES_tradnl"/>
        </w:rPr>
      </w:pPr>
      <w:r>
        <w:rPr>
          <w:rFonts w:ascii="Arial" w:hAnsi="Arial" w:cs="Arial"/>
          <w:b/>
          <w:sz w:val="26"/>
          <w:szCs w:val="26"/>
        </w:rPr>
        <w:t>Tercero:</w:t>
      </w:r>
      <w:r w:rsidRPr="00D86942">
        <w:rPr>
          <w:rFonts w:ascii="Arial" w:hAnsi="Arial" w:cs="Arial"/>
          <w:sz w:val="26"/>
          <w:szCs w:val="26"/>
          <w:lang w:val="es-ES_tradnl"/>
        </w:rPr>
        <w:t xml:space="preserve"> </w:t>
      </w:r>
      <w:r w:rsidRPr="009D7BE6">
        <w:rPr>
          <w:rFonts w:ascii="Arial" w:hAnsi="Arial" w:cs="Arial"/>
          <w:sz w:val="26"/>
          <w:szCs w:val="26"/>
          <w:lang w:val="es-ES_tradnl"/>
        </w:rPr>
        <w:t xml:space="preserve">Vuelva al Juzgado el expediente que contiene el proceso </w:t>
      </w:r>
      <w:r>
        <w:rPr>
          <w:rFonts w:ascii="Arial" w:hAnsi="Arial" w:cs="Arial"/>
          <w:sz w:val="26"/>
          <w:szCs w:val="26"/>
          <w:lang w:val="es-ES_tradnl"/>
        </w:rPr>
        <w:t>ordinario de simulación</w:t>
      </w:r>
      <w:r w:rsidRPr="009D7BE6">
        <w:rPr>
          <w:rFonts w:ascii="Arial" w:hAnsi="Arial" w:cs="Arial"/>
          <w:sz w:val="26"/>
          <w:szCs w:val="26"/>
          <w:lang w:val="es-ES_tradnl"/>
        </w:rPr>
        <w:t xml:space="preserve">, acompañado de copia auténtica de este proveído, </w:t>
      </w:r>
      <w:r w:rsidRPr="00F21CC3">
        <w:rPr>
          <w:rFonts w:ascii="Arial" w:hAnsi="Arial" w:cs="Arial"/>
          <w:sz w:val="26"/>
          <w:szCs w:val="26"/>
          <w:lang w:val="es-ES_tradnl"/>
        </w:rPr>
        <w:t>salvo el cuaderno de</w:t>
      </w:r>
      <w:r>
        <w:rPr>
          <w:rFonts w:ascii="Arial" w:hAnsi="Arial" w:cs="Arial"/>
          <w:sz w:val="26"/>
          <w:szCs w:val="26"/>
          <w:lang w:val="es-ES_tradnl"/>
        </w:rPr>
        <w:t>l Tribunal</w:t>
      </w:r>
      <w:r w:rsidRPr="00F21CC3">
        <w:rPr>
          <w:rFonts w:ascii="Arial" w:hAnsi="Arial" w:cs="Arial"/>
          <w:sz w:val="26"/>
          <w:szCs w:val="26"/>
          <w:lang w:val="es-ES_tradnl"/>
        </w:rPr>
        <w:t>. Por secretaría, líbrese el correspondiente oficio.</w:t>
      </w:r>
    </w:p>
    <w:p w:rsidR="006B0B0C" w:rsidRPr="00D5654B" w:rsidRDefault="006B0B0C" w:rsidP="006B0B0C">
      <w:pPr>
        <w:pStyle w:val="Sinespaciado1"/>
        <w:spacing w:line="360" w:lineRule="auto"/>
        <w:ind w:firstLine="2268"/>
        <w:jc w:val="both"/>
        <w:rPr>
          <w:rFonts w:ascii="Arial" w:hAnsi="Arial" w:cs="Arial"/>
          <w:sz w:val="16"/>
          <w:szCs w:val="26"/>
          <w:lang w:val="es-ES_tradnl"/>
        </w:rPr>
      </w:pPr>
    </w:p>
    <w:p w:rsidR="006B0B0C" w:rsidRDefault="002221A6" w:rsidP="006B0B0C">
      <w:pPr>
        <w:pStyle w:val="Sinespaciado1"/>
        <w:spacing w:line="360" w:lineRule="auto"/>
        <w:ind w:firstLine="2268"/>
        <w:jc w:val="both"/>
        <w:rPr>
          <w:rFonts w:ascii="Arial" w:hAnsi="Arial" w:cs="Arial"/>
          <w:sz w:val="26"/>
          <w:szCs w:val="26"/>
          <w:lang w:val="es-ES_tradnl"/>
        </w:rPr>
      </w:pPr>
      <w:r>
        <w:rPr>
          <w:rFonts w:ascii="Arial" w:hAnsi="Arial" w:cs="Arial"/>
          <w:b/>
          <w:sz w:val="26"/>
          <w:szCs w:val="26"/>
          <w:lang w:val="es-ES_tradnl"/>
        </w:rPr>
        <w:t>Cuarto:</w:t>
      </w:r>
      <w:r w:rsidR="006B0B0C" w:rsidRPr="00D86942">
        <w:rPr>
          <w:rFonts w:ascii="Arial" w:hAnsi="Arial" w:cs="Arial"/>
          <w:bCs/>
          <w:sz w:val="26"/>
          <w:szCs w:val="26"/>
          <w:lang w:val="es-ES_tradnl"/>
        </w:rPr>
        <w:t xml:space="preserve"> </w:t>
      </w:r>
      <w:r w:rsidR="006B0B0C" w:rsidRPr="00F21CC3">
        <w:rPr>
          <w:rFonts w:ascii="Arial" w:hAnsi="Arial" w:cs="Arial"/>
          <w:bCs/>
          <w:sz w:val="26"/>
          <w:szCs w:val="26"/>
          <w:lang w:val="es-ES_tradnl"/>
        </w:rPr>
        <w:t>Archivar</w:t>
      </w:r>
      <w:r w:rsidR="006B0B0C" w:rsidRPr="00F21CC3">
        <w:rPr>
          <w:rFonts w:ascii="Arial" w:hAnsi="Arial" w:cs="Arial"/>
          <w:sz w:val="26"/>
          <w:szCs w:val="26"/>
          <w:lang w:val="es-ES_tradnl"/>
        </w:rPr>
        <w:t>, una vez cumplidas las órdenes impartidas, la actuación surtida con ocasión de este trámite.</w:t>
      </w:r>
    </w:p>
    <w:p w:rsidR="006B0B0C" w:rsidRPr="00577CDB" w:rsidRDefault="006B0B0C" w:rsidP="006B0B0C">
      <w:pPr>
        <w:pStyle w:val="Sinespaciado1"/>
        <w:spacing w:line="360" w:lineRule="auto"/>
        <w:ind w:firstLine="2268"/>
        <w:jc w:val="both"/>
        <w:rPr>
          <w:rFonts w:ascii="Arial" w:hAnsi="Arial" w:cs="Arial"/>
          <w:sz w:val="16"/>
          <w:szCs w:val="26"/>
          <w:lang w:val="es-ES_tradnl"/>
        </w:rPr>
      </w:pPr>
    </w:p>
    <w:p w:rsidR="006B0B0C" w:rsidRDefault="006B0B0C" w:rsidP="006B0B0C">
      <w:pPr>
        <w:pStyle w:val="Sinespaciado1"/>
        <w:spacing w:line="360" w:lineRule="auto"/>
        <w:ind w:firstLine="2268"/>
        <w:jc w:val="both"/>
        <w:rPr>
          <w:rFonts w:ascii="Arial" w:hAnsi="Arial" w:cs="Arial"/>
          <w:sz w:val="26"/>
          <w:szCs w:val="26"/>
          <w:lang w:val="es-MX"/>
        </w:rPr>
      </w:pPr>
      <w:r>
        <w:rPr>
          <w:rFonts w:ascii="Arial" w:hAnsi="Arial" w:cs="Arial"/>
          <w:sz w:val="26"/>
          <w:szCs w:val="26"/>
          <w:lang w:val="es-MX"/>
        </w:rPr>
        <w:t>Notifíquese y cúmplase</w:t>
      </w:r>
    </w:p>
    <w:p w:rsidR="006B0B0C" w:rsidRPr="00577CDB" w:rsidRDefault="006B0B0C" w:rsidP="006B0B0C">
      <w:pPr>
        <w:pStyle w:val="Sinespaciado1"/>
        <w:spacing w:line="360" w:lineRule="auto"/>
        <w:ind w:firstLine="2268"/>
        <w:jc w:val="both"/>
        <w:rPr>
          <w:rFonts w:ascii="Arial" w:hAnsi="Arial" w:cs="Arial"/>
          <w:sz w:val="16"/>
          <w:szCs w:val="26"/>
          <w:lang w:val="es-MX"/>
        </w:rPr>
      </w:pPr>
    </w:p>
    <w:p w:rsidR="006B0B0C" w:rsidRPr="00D91FCF" w:rsidRDefault="006B0B0C" w:rsidP="006B0B0C">
      <w:pPr>
        <w:pStyle w:val="Sinespaciado1"/>
        <w:spacing w:line="360" w:lineRule="auto"/>
        <w:ind w:firstLine="2268"/>
        <w:jc w:val="both"/>
        <w:rPr>
          <w:rFonts w:ascii="Arial" w:hAnsi="Arial" w:cs="Arial"/>
          <w:bCs/>
          <w:sz w:val="26"/>
          <w:szCs w:val="26"/>
        </w:rPr>
      </w:pPr>
      <w:r>
        <w:rPr>
          <w:rFonts w:ascii="Arial" w:hAnsi="Arial" w:cs="Arial"/>
          <w:sz w:val="26"/>
          <w:szCs w:val="26"/>
          <w:lang w:val="es-MX"/>
        </w:rPr>
        <w:t>Los Magistrados,</w:t>
      </w:r>
    </w:p>
    <w:p w:rsidR="006B0B0C" w:rsidRDefault="006B0B0C" w:rsidP="006B0B0C">
      <w:pPr>
        <w:pStyle w:val="Sinespaciado1"/>
        <w:spacing w:line="360" w:lineRule="auto"/>
        <w:ind w:firstLine="2268"/>
        <w:jc w:val="both"/>
        <w:rPr>
          <w:rFonts w:ascii="Arial" w:hAnsi="Arial" w:cs="Arial"/>
          <w:sz w:val="26"/>
          <w:szCs w:val="26"/>
          <w:lang w:val="es-MX"/>
        </w:rPr>
      </w:pPr>
    </w:p>
    <w:p w:rsidR="006B0B0C" w:rsidRDefault="006B0B0C" w:rsidP="006B0B0C">
      <w:pPr>
        <w:pStyle w:val="Sinespaciado1"/>
        <w:spacing w:line="360" w:lineRule="auto"/>
        <w:ind w:firstLine="2268"/>
        <w:jc w:val="both"/>
        <w:rPr>
          <w:rFonts w:ascii="Arial" w:hAnsi="Arial" w:cs="Arial"/>
          <w:sz w:val="26"/>
          <w:szCs w:val="26"/>
          <w:lang w:val="es-MX"/>
        </w:rPr>
      </w:pPr>
    </w:p>
    <w:p w:rsidR="006B0B0C" w:rsidRDefault="006B0B0C" w:rsidP="00577CDB">
      <w:pPr>
        <w:pStyle w:val="Sinespaciado1"/>
        <w:spacing w:line="360" w:lineRule="auto"/>
        <w:ind w:firstLine="2268"/>
        <w:jc w:val="both"/>
        <w:rPr>
          <w:rFonts w:ascii="Arial" w:hAnsi="Arial" w:cs="Arial"/>
          <w:b/>
          <w:spacing w:val="-3"/>
        </w:rPr>
      </w:pPr>
      <w:proofErr w:type="spellStart"/>
      <w:r w:rsidRPr="00C01E52">
        <w:rPr>
          <w:rFonts w:ascii="Arial" w:hAnsi="Arial" w:cs="Arial"/>
          <w:b/>
          <w:spacing w:val="-3"/>
        </w:rPr>
        <w:t>EDDER</w:t>
      </w:r>
      <w:proofErr w:type="spellEnd"/>
      <w:r w:rsidRPr="00C01E52">
        <w:rPr>
          <w:rFonts w:ascii="Arial" w:hAnsi="Arial" w:cs="Arial"/>
          <w:b/>
          <w:spacing w:val="-3"/>
        </w:rPr>
        <w:t xml:space="preserve"> JIMMY SÁNCHEZ </w:t>
      </w:r>
      <w:proofErr w:type="spellStart"/>
      <w:r w:rsidRPr="00C01E52">
        <w:rPr>
          <w:rFonts w:ascii="Arial" w:hAnsi="Arial" w:cs="Arial"/>
          <w:b/>
          <w:spacing w:val="-3"/>
        </w:rPr>
        <w:t>CALAMBÁS</w:t>
      </w:r>
      <w:proofErr w:type="spellEnd"/>
    </w:p>
    <w:p w:rsidR="006B0B0C" w:rsidRDefault="006B0B0C" w:rsidP="006B0B0C">
      <w:pPr>
        <w:pStyle w:val="Sinespaciado1"/>
        <w:spacing w:line="360" w:lineRule="auto"/>
        <w:ind w:firstLine="2268"/>
        <w:jc w:val="both"/>
        <w:rPr>
          <w:rFonts w:ascii="Arial" w:hAnsi="Arial" w:cs="Arial"/>
          <w:b/>
          <w:spacing w:val="-3"/>
        </w:rPr>
      </w:pPr>
    </w:p>
    <w:p w:rsidR="006B0B0C" w:rsidRDefault="006B0B0C" w:rsidP="006B0B0C">
      <w:pPr>
        <w:pStyle w:val="Sinespaciado1"/>
        <w:spacing w:line="360" w:lineRule="auto"/>
        <w:ind w:firstLine="2268"/>
        <w:jc w:val="both"/>
        <w:rPr>
          <w:rFonts w:ascii="Arial" w:hAnsi="Arial" w:cs="Arial"/>
          <w:b/>
          <w:spacing w:val="-3"/>
        </w:rPr>
      </w:pPr>
    </w:p>
    <w:p w:rsidR="00577CDB" w:rsidRDefault="00577CDB" w:rsidP="006B0B0C">
      <w:pPr>
        <w:pStyle w:val="Sinespaciado1"/>
        <w:spacing w:line="360" w:lineRule="auto"/>
        <w:ind w:firstLine="2268"/>
        <w:jc w:val="both"/>
        <w:rPr>
          <w:rFonts w:ascii="Arial" w:hAnsi="Arial" w:cs="Arial"/>
          <w:b/>
          <w:spacing w:val="-3"/>
        </w:rPr>
      </w:pPr>
    </w:p>
    <w:p w:rsidR="006B0B0C" w:rsidRDefault="006B0B0C" w:rsidP="006B0B0C">
      <w:pPr>
        <w:pStyle w:val="Sinespaciado1"/>
        <w:spacing w:line="360" w:lineRule="auto"/>
        <w:rPr>
          <w:rFonts w:ascii="Arial" w:hAnsi="Arial" w:cs="Arial"/>
          <w:bCs/>
          <w:sz w:val="26"/>
          <w:szCs w:val="26"/>
        </w:rPr>
      </w:pPr>
      <w:r>
        <w:rPr>
          <w:rFonts w:ascii="Arial" w:hAnsi="Arial" w:cs="Arial"/>
          <w:b/>
        </w:rPr>
        <w:t>CLAUDIA MARÍA ARCILA RÍOS</w:t>
      </w:r>
      <w:r>
        <w:rPr>
          <w:rFonts w:ascii="Arial" w:hAnsi="Arial" w:cs="Arial"/>
          <w:b/>
        </w:rPr>
        <w:tab/>
      </w:r>
      <w:r>
        <w:rPr>
          <w:rFonts w:ascii="Arial" w:hAnsi="Arial" w:cs="Arial"/>
          <w:b/>
        </w:rPr>
        <w:tab/>
        <w:t>J</w:t>
      </w:r>
      <w:r w:rsidRPr="00C01E52">
        <w:rPr>
          <w:rFonts w:ascii="Arial" w:hAnsi="Arial" w:cs="Arial"/>
          <w:b/>
        </w:rPr>
        <w:t xml:space="preserve">AIME </w:t>
      </w:r>
      <w:r>
        <w:rPr>
          <w:rFonts w:ascii="Arial" w:hAnsi="Arial" w:cs="Arial"/>
          <w:b/>
        </w:rPr>
        <w:t>ALBERTO SARAZA NARANJO</w:t>
      </w:r>
      <w:r>
        <w:rPr>
          <w:rFonts w:ascii="Arial" w:hAnsi="Arial" w:cs="Arial"/>
          <w:b/>
        </w:rPr>
        <w:tab/>
      </w:r>
      <w:r>
        <w:rPr>
          <w:rFonts w:ascii="Arial" w:hAnsi="Arial" w:cs="Arial"/>
          <w:bCs/>
          <w:sz w:val="26"/>
          <w:szCs w:val="26"/>
        </w:rPr>
        <w:t xml:space="preserve"> </w:t>
      </w:r>
      <w:r w:rsidRPr="00D43A8D">
        <w:rPr>
          <w:rFonts w:ascii="Arial" w:hAnsi="Arial" w:cs="Arial"/>
          <w:bCs/>
          <w:sz w:val="26"/>
          <w:szCs w:val="26"/>
        </w:rPr>
        <w:t xml:space="preserve"> </w:t>
      </w:r>
    </w:p>
    <w:sectPr w:rsidR="006B0B0C" w:rsidSect="001F3AE7">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AD6" w:rsidRDefault="008E2AD6" w:rsidP="001F2ABF">
      <w:r>
        <w:separator/>
      </w:r>
    </w:p>
  </w:endnote>
  <w:endnote w:type="continuationSeparator" w:id="0">
    <w:p w:rsidR="008E2AD6" w:rsidRDefault="008E2AD6" w:rsidP="001F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BC" w:rsidRPr="00B97631" w:rsidRDefault="00B919BC">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4599E">
      <w:rPr>
        <w:rFonts w:ascii="Arial" w:hAnsi="Arial" w:cs="Arial"/>
        <w:noProof/>
        <w:sz w:val="22"/>
        <w:szCs w:val="22"/>
      </w:rPr>
      <w:t>9</w:t>
    </w:r>
    <w:r w:rsidRPr="00B97631">
      <w:rPr>
        <w:rFonts w:ascii="Arial" w:hAnsi="Arial" w:cs="Arial"/>
        <w:sz w:val="22"/>
        <w:szCs w:val="22"/>
      </w:rPr>
      <w:fldChar w:fldCharType="end"/>
    </w:r>
  </w:p>
  <w:p w:rsidR="00B919BC" w:rsidRDefault="00B919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AD6" w:rsidRDefault="008E2AD6" w:rsidP="001F2ABF">
      <w:r>
        <w:separator/>
      </w:r>
    </w:p>
  </w:footnote>
  <w:footnote w:type="continuationSeparator" w:id="0">
    <w:p w:rsidR="008E2AD6" w:rsidRDefault="008E2AD6" w:rsidP="001F2ABF">
      <w:r>
        <w:continuationSeparator/>
      </w:r>
    </w:p>
  </w:footnote>
  <w:footnote w:id="1">
    <w:p w:rsidR="00E6530A" w:rsidRDefault="00E6530A" w:rsidP="00E6530A">
      <w:pPr>
        <w:pStyle w:val="Textonotapie"/>
      </w:pPr>
      <w:r>
        <w:rPr>
          <w:rStyle w:val="Refdenotaalpie"/>
        </w:rPr>
        <w:footnoteRef/>
      </w:r>
      <w:r>
        <w:t xml:space="preserve"> </w:t>
      </w:r>
      <w:r w:rsidR="004C4336">
        <w:t xml:space="preserve">CORTE SUPREMA DE JUSTICIA – Sala Civil; sentencia </w:t>
      </w:r>
      <w:r>
        <w:t>2008-00825</w:t>
      </w:r>
      <w:r w:rsidR="004C4336">
        <w:t xml:space="preserve"> del 1 de junio de 2010; </w:t>
      </w:r>
      <w:proofErr w:type="spellStart"/>
      <w:r w:rsidR="004C4336">
        <w:t>M.P</w:t>
      </w:r>
      <w:proofErr w:type="spellEnd"/>
      <w:r w:rsidR="004C4336">
        <w:t xml:space="preserve">. </w:t>
      </w:r>
      <w:r>
        <w:t>DÍAZ RUEDA, R</w:t>
      </w:r>
      <w:r w:rsidR="004C4336">
        <w:t xml:space="preserve">uth </w:t>
      </w:r>
      <w:r>
        <w:t>M</w:t>
      </w:r>
      <w:r w:rsidR="004C4336">
        <w:t>arina.</w:t>
      </w:r>
    </w:p>
  </w:footnote>
  <w:footnote w:id="2">
    <w:p w:rsidR="00DC5090" w:rsidRDefault="00DC5090" w:rsidP="00DC5090">
      <w:pPr>
        <w:pStyle w:val="Textonotapie"/>
      </w:pPr>
      <w:r>
        <w:rPr>
          <w:rStyle w:val="Refdenotaalpie"/>
        </w:rPr>
        <w:footnoteRef/>
      </w:r>
      <w:r>
        <w:t xml:space="preserve"> CORTE SUPREMA DE JUSTICIA – Sala Civil, </w:t>
      </w:r>
      <w:proofErr w:type="spellStart"/>
      <w:r w:rsidR="00CD01D8" w:rsidRPr="00CD01D8">
        <w:t>Exp</w:t>
      </w:r>
      <w:proofErr w:type="spellEnd"/>
      <w:r w:rsidR="00CD01D8" w:rsidRPr="00CD01D8">
        <w:t>. No. 11001-0203-000-2004-00729-01</w:t>
      </w:r>
      <w:r w:rsidR="00CD01D8">
        <w:t xml:space="preserve"> del 29</w:t>
      </w:r>
      <w:r>
        <w:t xml:space="preserve"> de </w:t>
      </w:r>
      <w:r w:rsidR="00CD01D8">
        <w:t>agosto</w:t>
      </w:r>
      <w:r>
        <w:t xml:space="preserve"> de 200</w:t>
      </w:r>
      <w:r w:rsidR="00CD01D8">
        <w:t xml:space="preserve">8; </w:t>
      </w:r>
      <w:proofErr w:type="spellStart"/>
      <w:r w:rsidR="00CD01D8">
        <w:t>M.P</w:t>
      </w:r>
      <w:proofErr w:type="spellEnd"/>
      <w:r w:rsidR="00CD01D8">
        <w:t xml:space="preserve">. </w:t>
      </w:r>
      <w:r w:rsidR="00CD01D8" w:rsidRPr="00CD01D8">
        <w:t>EDGARDO VILLAMIL PORTILLA</w:t>
      </w:r>
      <w:r>
        <w:t>.</w:t>
      </w:r>
    </w:p>
    <w:p w:rsidR="00DC5090" w:rsidRDefault="00DC5090" w:rsidP="00DC5090">
      <w:pPr>
        <w:pStyle w:val="Textonotapie"/>
      </w:pPr>
    </w:p>
  </w:footnote>
  <w:footnote w:id="3">
    <w:p w:rsidR="0098450C" w:rsidRDefault="0098450C" w:rsidP="0098450C">
      <w:pPr>
        <w:pStyle w:val="Textonotapie"/>
      </w:pPr>
      <w:r>
        <w:rPr>
          <w:rStyle w:val="Refdenotaalpie"/>
        </w:rPr>
        <w:footnoteRef/>
      </w:r>
      <w:r>
        <w:t xml:space="preserve"> CSJ, Sala Civil. Sentencia del 16-07-2001; </w:t>
      </w:r>
      <w:proofErr w:type="spellStart"/>
      <w:r>
        <w:t>M.P</w:t>
      </w:r>
      <w:proofErr w:type="spellEnd"/>
      <w:r>
        <w:t>. Jorge Santos Caballero, Expediente No. 7403</w:t>
      </w:r>
    </w:p>
    <w:p w:rsidR="0098450C" w:rsidRDefault="0098450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2B" w:rsidRDefault="00F7292B" w:rsidP="00F7292B">
    <w:pPr>
      <w:pStyle w:val="NoSpacing1"/>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6150DF67" wp14:editId="76975CBD">
          <wp:simplePos x="0" y="0"/>
          <wp:positionH relativeFrom="column">
            <wp:posOffset>-118110</wp:posOffset>
          </wp:positionH>
          <wp:positionV relativeFrom="paragraph">
            <wp:posOffset>-231140</wp:posOffset>
          </wp:positionV>
          <wp:extent cx="2943225" cy="990244"/>
          <wp:effectExtent l="0" t="0" r="0" b="635"/>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902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R</w:t>
    </w:r>
  </w:p>
  <w:p w:rsidR="00F7292B" w:rsidRDefault="00F7292B" w:rsidP="00F7292B">
    <w:pPr>
      <w:pStyle w:val="NoSpacing1"/>
      <w:rPr>
        <w:rFonts w:ascii="Arial" w:hAnsi="Arial" w:cs="Arial"/>
        <w:sz w:val="16"/>
        <w:szCs w:val="16"/>
      </w:rPr>
    </w:pPr>
  </w:p>
  <w:p w:rsidR="00F7292B" w:rsidRDefault="00F7292B" w:rsidP="00F7292B">
    <w:pPr>
      <w:pStyle w:val="NoSpacing1"/>
      <w:rPr>
        <w:rFonts w:ascii="Arial" w:hAnsi="Arial" w:cs="Arial"/>
        <w:sz w:val="16"/>
        <w:szCs w:val="16"/>
      </w:rPr>
    </w:pPr>
  </w:p>
  <w:p w:rsidR="00F7292B" w:rsidRDefault="00F7292B" w:rsidP="00F7292B">
    <w:pPr>
      <w:pStyle w:val="NoSpacing1"/>
      <w:rPr>
        <w:rFonts w:ascii="Arial" w:hAnsi="Arial" w:cs="Arial"/>
        <w:sz w:val="16"/>
        <w:szCs w:val="16"/>
      </w:rPr>
    </w:pPr>
  </w:p>
  <w:p w:rsidR="00F7292B" w:rsidRDefault="00F7292B" w:rsidP="00F7292B">
    <w:pPr>
      <w:pStyle w:val="NoSpacing1"/>
      <w:rPr>
        <w:rFonts w:ascii="Arial" w:hAnsi="Arial" w:cs="Arial"/>
        <w:sz w:val="16"/>
        <w:szCs w:val="16"/>
      </w:rPr>
    </w:pPr>
  </w:p>
  <w:p w:rsidR="00F7292B" w:rsidRDefault="00F7292B" w:rsidP="00F7292B">
    <w:pPr>
      <w:pStyle w:val="NoSpacing1"/>
      <w:rPr>
        <w:rFonts w:ascii="Arial" w:hAnsi="Arial" w:cs="Arial"/>
        <w:sz w:val="16"/>
        <w:szCs w:val="16"/>
      </w:rPr>
    </w:pPr>
  </w:p>
  <w:p w:rsidR="00F7292B" w:rsidRDefault="00F7292B" w:rsidP="00F7292B">
    <w:pPr>
      <w:pStyle w:val="NoSpacing1"/>
      <w:rPr>
        <w:rFonts w:ascii="Arial" w:hAnsi="Arial" w:cs="Arial"/>
        <w:sz w:val="16"/>
        <w:szCs w:val="16"/>
      </w:rPr>
    </w:pPr>
  </w:p>
  <w:p w:rsidR="00F7292B" w:rsidRPr="005643A9" w:rsidRDefault="00F7292B" w:rsidP="00F7292B">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041B32">
      <w:rPr>
        <w:rFonts w:ascii="Arial" w:hAnsi="Arial" w:cs="Arial"/>
        <w:sz w:val="16"/>
        <w:szCs w:val="16"/>
      </w:rPr>
      <w:t xml:space="preserve">               </w:t>
    </w:r>
    <w:proofErr w:type="spellStart"/>
    <w:r>
      <w:rPr>
        <w:rFonts w:ascii="Arial" w:hAnsi="Arial" w:cs="Arial"/>
        <w:sz w:val="16"/>
        <w:szCs w:val="16"/>
      </w:rPr>
      <w:t>EXP</w:t>
    </w:r>
    <w:proofErr w:type="spellEnd"/>
    <w:r>
      <w:rPr>
        <w:rFonts w:ascii="Arial" w:hAnsi="Arial" w:cs="Arial"/>
        <w:sz w:val="16"/>
        <w:szCs w:val="16"/>
      </w:rPr>
      <w:t>. Rec. Revisión  66001-22-13-000-2015-00525-00</w:t>
    </w:r>
  </w:p>
  <w:p w:rsidR="00F7292B" w:rsidRDefault="00F7292B" w:rsidP="00F7292B">
    <w:pPr>
      <w:pStyle w:val="Encabezado"/>
      <w:rPr>
        <w:rFonts w:ascii="Arial" w:hAnsi="Arial" w:cs="Arial"/>
        <w:sz w:val="16"/>
        <w:szCs w:val="16"/>
      </w:rPr>
    </w:pPr>
  </w:p>
  <w:p w:rsidR="00B919BC" w:rsidRPr="005643A9" w:rsidRDefault="00B919BC">
    <w:pPr>
      <w:pStyle w:val="Encabezado"/>
      <w:rPr>
        <w:rFonts w:ascii="Arial" w:hAnsi="Arial" w:cs="Arial"/>
        <w:sz w:val="16"/>
        <w:szCs w:val="16"/>
      </w:rPr>
    </w:pPr>
    <w:r>
      <w:rPr>
        <w:rFonts w:ascii="Arial" w:hAnsi="Arial" w:cs="Arial"/>
        <w:sz w:val="16"/>
        <w:szCs w:val="16"/>
      </w:rPr>
      <w:t>_________________________________</w:t>
    </w:r>
    <w:r w:rsidR="00F7292B">
      <w:rPr>
        <w:rFonts w:ascii="Arial" w:hAnsi="Arial" w:cs="Arial"/>
        <w:sz w:val="16"/>
        <w:szCs w:val="16"/>
      </w:rPr>
      <w:softHyphen/>
    </w:r>
    <w:r w:rsidR="00F7292B">
      <w:rPr>
        <w:rFonts w:ascii="Arial" w:hAnsi="Arial" w:cs="Arial"/>
        <w:sz w:val="16"/>
        <w:szCs w:val="16"/>
      </w:rPr>
      <w:softHyphen/>
    </w:r>
    <w:r w:rsidR="00F7292B">
      <w:rPr>
        <w:rFonts w:ascii="Arial" w:hAnsi="Arial" w:cs="Arial"/>
        <w:sz w:val="16"/>
        <w:szCs w:val="16"/>
      </w:rPr>
      <w:softHyphen/>
    </w:r>
    <w:r w:rsidR="00F7292B">
      <w:rPr>
        <w:rFonts w:ascii="Arial" w:hAnsi="Arial" w:cs="Arial"/>
        <w:sz w:val="16"/>
        <w:szCs w:val="16"/>
      </w:rPr>
      <w:softHyphen/>
    </w:r>
    <w:r w:rsidR="00F7292B">
      <w:rPr>
        <w:rFonts w:ascii="Arial" w:hAnsi="Arial" w:cs="Arial"/>
        <w:sz w:val="16"/>
        <w:szCs w:val="16"/>
      </w:rPr>
      <w:softHyphen/>
    </w:r>
    <w:r w:rsidR="00F7292B">
      <w:rPr>
        <w:rFonts w:ascii="Arial" w:hAnsi="Arial" w:cs="Arial"/>
        <w:sz w:val="16"/>
        <w:szCs w:val="16"/>
      </w:rPr>
      <w:softHyphen/>
    </w:r>
    <w:r w:rsidR="00F7292B">
      <w:rPr>
        <w:rFonts w:ascii="Arial" w:hAnsi="Arial" w:cs="Arial"/>
        <w:sz w:val="16"/>
        <w:szCs w:val="16"/>
      </w:rPr>
      <w:softHyphen/>
    </w:r>
    <w:r w:rsidR="00F7292B">
      <w:rPr>
        <w:rFonts w:ascii="Arial" w:hAnsi="Arial" w:cs="Arial"/>
        <w:sz w:val="16"/>
        <w:szCs w:val="16"/>
      </w:rPr>
      <w:softHyphen/>
    </w:r>
    <w:r w:rsidR="00F7292B">
      <w:rPr>
        <w:rFonts w:ascii="Arial" w:hAnsi="Arial" w:cs="Arial"/>
        <w:sz w:val="16"/>
        <w:szCs w:val="16"/>
      </w:rPr>
      <w:softHyphen/>
    </w:r>
    <w:r w:rsidR="00F7292B">
      <w:rPr>
        <w:rFonts w:ascii="Arial" w:hAnsi="Arial" w:cs="Arial"/>
        <w:sz w:val="16"/>
        <w:szCs w:val="16"/>
      </w:rPr>
      <w:softHyphen/>
    </w:r>
    <w:r w:rsidR="00F7292B">
      <w:rPr>
        <w:rFonts w:ascii="Arial" w:hAnsi="Arial" w:cs="Arial"/>
        <w:sz w:val="16"/>
        <w:szCs w:val="16"/>
      </w:rPr>
      <w:softHyphen/>
    </w:r>
    <w:r w:rsidR="00F7292B">
      <w:rPr>
        <w:rFonts w:ascii="Arial" w:hAnsi="Arial" w:cs="Arial"/>
        <w:sz w:val="16"/>
        <w:szCs w:val="16"/>
      </w:rPr>
      <w:softHyphen/>
    </w:r>
    <w:r w:rsidR="00F7292B">
      <w:rPr>
        <w:rFonts w:ascii="Arial" w:hAnsi="Arial" w:cs="Arial"/>
        <w:sz w:val="16"/>
        <w:szCs w:val="16"/>
      </w:rPr>
      <w:softHyphen/>
    </w:r>
    <w:r w:rsidR="00F7292B">
      <w:rPr>
        <w:rFonts w:ascii="Arial" w:hAnsi="Arial" w:cs="Arial"/>
        <w:sz w:val="16"/>
        <w:szCs w:val="16"/>
      </w:rPr>
      <w:softHyphen/>
    </w:r>
    <w:r w:rsidR="00F7292B">
      <w:rPr>
        <w:rFonts w:ascii="Arial" w:hAnsi="Arial" w:cs="Arial"/>
        <w:sz w:val="16"/>
        <w:szCs w:val="16"/>
      </w:rPr>
      <w:softHyphen/>
    </w:r>
    <w:r>
      <w:rPr>
        <w:rFonts w:ascii="Arial" w:hAnsi="Arial" w:cs="Arial"/>
        <w:sz w:val="16"/>
        <w:szCs w:val="16"/>
      </w:rPr>
      <w:t>_____________________________________________________</w:t>
    </w:r>
    <w:r w:rsidR="001F3AE7">
      <w:rPr>
        <w:rFonts w:ascii="Arial" w:hAnsi="Arial" w:cs="Arial"/>
        <w:sz w:val="16"/>
        <w:szCs w:val="16"/>
      </w:rPr>
      <w:t>_______</w:t>
    </w:r>
    <w:r>
      <w:rPr>
        <w:rFonts w:ascii="Arial" w:hAnsi="Arial" w:cs="Arial"/>
        <w:sz w:val="16"/>
        <w:szCs w:val="16"/>
      </w:rPr>
      <w:t>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BF"/>
    <w:rsid w:val="00015B4F"/>
    <w:rsid w:val="00025237"/>
    <w:rsid w:val="0002767C"/>
    <w:rsid w:val="000276B6"/>
    <w:rsid w:val="000338BF"/>
    <w:rsid w:val="00037EC0"/>
    <w:rsid w:val="00041B32"/>
    <w:rsid w:val="000650DA"/>
    <w:rsid w:val="00076CCA"/>
    <w:rsid w:val="000A0B69"/>
    <w:rsid w:val="001243CB"/>
    <w:rsid w:val="00142014"/>
    <w:rsid w:val="001430B2"/>
    <w:rsid w:val="001622A5"/>
    <w:rsid w:val="00166BEB"/>
    <w:rsid w:val="0017176B"/>
    <w:rsid w:val="0017217D"/>
    <w:rsid w:val="00180F4C"/>
    <w:rsid w:val="00185662"/>
    <w:rsid w:val="001953CA"/>
    <w:rsid w:val="001977A8"/>
    <w:rsid w:val="001F2ABF"/>
    <w:rsid w:val="001F2C0C"/>
    <w:rsid w:val="001F3AE7"/>
    <w:rsid w:val="001F491B"/>
    <w:rsid w:val="002220D3"/>
    <w:rsid w:val="002221A6"/>
    <w:rsid w:val="0022284D"/>
    <w:rsid w:val="00227875"/>
    <w:rsid w:val="002376A7"/>
    <w:rsid w:val="00243605"/>
    <w:rsid w:val="002A41B7"/>
    <w:rsid w:val="002A506E"/>
    <w:rsid w:val="002D606D"/>
    <w:rsid w:val="002E5DF3"/>
    <w:rsid w:val="002E6B9C"/>
    <w:rsid w:val="003010BC"/>
    <w:rsid w:val="00301BF2"/>
    <w:rsid w:val="0032680A"/>
    <w:rsid w:val="00331865"/>
    <w:rsid w:val="0033601A"/>
    <w:rsid w:val="003505B2"/>
    <w:rsid w:val="00350F85"/>
    <w:rsid w:val="00387384"/>
    <w:rsid w:val="00392640"/>
    <w:rsid w:val="00396D07"/>
    <w:rsid w:val="003B1285"/>
    <w:rsid w:val="003B1C81"/>
    <w:rsid w:val="003E08B1"/>
    <w:rsid w:val="003E39C7"/>
    <w:rsid w:val="003F098F"/>
    <w:rsid w:val="003F153F"/>
    <w:rsid w:val="00405874"/>
    <w:rsid w:val="004177CC"/>
    <w:rsid w:val="0042553B"/>
    <w:rsid w:val="0043282D"/>
    <w:rsid w:val="00441B4E"/>
    <w:rsid w:val="0044599E"/>
    <w:rsid w:val="00447E07"/>
    <w:rsid w:val="00451BB6"/>
    <w:rsid w:val="004617C6"/>
    <w:rsid w:val="004675A7"/>
    <w:rsid w:val="00471245"/>
    <w:rsid w:val="004729AA"/>
    <w:rsid w:val="00476B09"/>
    <w:rsid w:val="004A3640"/>
    <w:rsid w:val="004A775C"/>
    <w:rsid w:val="004C39FD"/>
    <w:rsid w:val="004C3AEF"/>
    <w:rsid w:val="004C4336"/>
    <w:rsid w:val="004D07D0"/>
    <w:rsid w:val="00505952"/>
    <w:rsid w:val="00513A41"/>
    <w:rsid w:val="00526174"/>
    <w:rsid w:val="005510EE"/>
    <w:rsid w:val="005541BA"/>
    <w:rsid w:val="0056097A"/>
    <w:rsid w:val="005643A9"/>
    <w:rsid w:val="00577CDB"/>
    <w:rsid w:val="005A3E4E"/>
    <w:rsid w:val="005D5BAA"/>
    <w:rsid w:val="005D6325"/>
    <w:rsid w:val="005E1295"/>
    <w:rsid w:val="005F4872"/>
    <w:rsid w:val="005F5A57"/>
    <w:rsid w:val="006039DD"/>
    <w:rsid w:val="0062358D"/>
    <w:rsid w:val="00634A04"/>
    <w:rsid w:val="00640F37"/>
    <w:rsid w:val="006902E8"/>
    <w:rsid w:val="006A4C77"/>
    <w:rsid w:val="006B0B0C"/>
    <w:rsid w:val="006C726B"/>
    <w:rsid w:val="006D3853"/>
    <w:rsid w:val="006E0089"/>
    <w:rsid w:val="006E4250"/>
    <w:rsid w:val="006F0943"/>
    <w:rsid w:val="0070709D"/>
    <w:rsid w:val="00710EC0"/>
    <w:rsid w:val="0072429A"/>
    <w:rsid w:val="00735077"/>
    <w:rsid w:val="007354C5"/>
    <w:rsid w:val="007478EF"/>
    <w:rsid w:val="0076670B"/>
    <w:rsid w:val="00792A3F"/>
    <w:rsid w:val="007F0654"/>
    <w:rsid w:val="007F4752"/>
    <w:rsid w:val="007F7F98"/>
    <w:rsid w:val="0082786C"/>
    <w:rsid w:val="008445EF"/>
    <w:rsid w:val="008453FF"/>
    <w:rsid w:val="00852A1C"/>
    <w:rsid w:val="00882B89"/>
    <w:rsid w:val="00895927"/>
    <w:rsid w:val="008A0180"/>
    <w:rsid w:val="008A59CC"/>
    <w:rsid w:val="008C7F6C"/>
    <w:rsid w:val="008E1B9C"/>
    <w:rsid w:val="008E2AD6"/>
    <w:rsid w:val="009263CD"/>
    <w:rsid w:val="00926964"/>
    <w:rsid w:val="0093136B"/>
    <w:rsid w:val="00962796"/>
    <w:rsid w:val="0098450C"/>
    <w:rsid w:val="009845AF"/>
    <w:rsid w:val="009A2D11"/>
    <w:rsid w:val="009A2EA6"/>
    <w:rsid w:val="009B2963"/>
    <w:rsid w:val="009D4FA3"/>
    <w:rsid w:val="009D7BE6"/>
    <w:rsid w:val="00A17923"/>
    <w:rsid w:val="00A26DF3"/>
    <w:rsid w:val="00A65D83"/>
    <w:rsid w:val="00A909EA"/>
    <w:rsid w:val="00AA08BF"/>
    <w:rsid w:val="00AD07BE"/>
    <w:rsid w:val="00AE296B"/>
    <w:rsid w:val="00AE496F"/>
    <w:rsid w:val="00AF4092"/>
    <w:rsid w:val="00B23D6E"/>
    <w:rsid w:val="00B400C6"/>
    <w:rsid w:val="00B4090E"/>
    <w:rsid w:val="00B55928"/>
    <w:rsid w:val="00B64644"/>
    <w:rsid w:val="00B65715"/>
    <w:rsid w:val="00B83636"/>
    <w:rsid w:val="00B919BC"/>
    <w:rsid w:val="00B97631"/>
    <w:rsid w:val="00BA219A"/>
    <w:rsid w:val="00BB7B5D"/>
    <w:rsid w:val="00BD5580"/>
    <w:rsid w:val="00BD63A1"/>
    <w:rsid w:val="00BE7EA2"/>
    <w:rsid w:val="00C01E52"/>
    <w:rsid w:val="00C07403"/>
    <w:rsid w:val="00C22B6D"/>
    <w:rsid w:val="00C27D02"/>
    <w:rsid w:val="00C30E6D"/>
    <w:rsid w:val="00C457D3"/>
    <w:rsid w:val="00C46733"/>
    <w:rsid w:val="00C5006A"/>
    <w:rsid w:val="00C500B6"/>
    <w:rsid w:val="00C77063"/>
    <w:rsid w:val="00C847BF"/>
    <w:rsid w:val="00C9061C"/>
    <w:rsid w:val="00CD01D8"/>
    <w:rsid w:val="00CE2878"/>
    <w:rsid w:val="00D00C2A"/>
    <w:rsid w:val="00D063A2"/>
    <w:rsid w:val="00D07122"/>
    <w:rsid w:val="00D24785"/>
    <w:rsid w:val="00D26DFA"/>
    <w:rsid w:val="00D34161"/>
    <w:rsid w:val="00D34CD9"/>
    <w:rsid w:val="00D43A8D"/>
    <w:rsid w:val="00D5654B"/>
    <w:rsid w:val="00D658FB"/>
    <w:rsid w:val="00D7658C"/>
    <w:rsid w:val="00D86942"/>
    <w:rsid w:val="00D91FCF"/>
    <w:rsid w:val="00DA5BFB"/>
    <w:rsid w:val="00DC5090"/>
    <w:rsid w:val="00DC592C"/>
    <w:rsid w:val="00DD4975"/>
    <w:rsid w:val="00DF542E"/>
    <w:rsid w:val="00E03586"/>
    <w:rsid w:val="00E06893"/>
    <w:rsid w:val="00E55064"/>
    <w:rsid w:val="00E6530A"/>
    <w:rsid w:val="00E80618"/>
    <w:rsid w:val="00E83C26"/>
    <w:rsid w:val="00EF1A78"/>
    <w:rsid w:val="00F07795"/>
    <w:rsid w:val="00F21CC3"/>
    <w:rsid w:val="00F26606"/>
    <w:rsid w:val="00F336D5"/>
    <w:rsid w:val="00F505E7"/>
    <w:rsid w:val="00F52946"/>
    <w:rsid w:val="00F61430"/>
    <w:rsid w:val="00F658B3"/>
    <w:rsid w:val="00F67078"/>
    <w:rsid w:val="00F7292B"/>
    <w:rsid w:val="00F74A21"/>
    <w:rsid w:val="00F87126"/>
    <w:rsid w:val="00FE48AD"/>
    <w:rsid w:val="00FF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AABF62-7AFB-42D6-B0F5-F09C3294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ABF"/>
    <w:rPr>
      <w:rFonts w:ascii="Times New Roman" w:hAnsi="Times New Roman"/>
      <w:lang w:val="es-ES" w:eastAsia="es-ES"/>
    </w:rPr>
  </w:style>
  <w:style w:type="paragraph" w:styleId="Ttulo1">
    <w:name w:val="heading 1"/>
    <w:basedOn w:val="Normal"/>
    <w:link w:val="Ttulo1Car"/>
    <w:uiPriority w:val="99"/>
    <w:qFormat/>
    <w:rsid w:val="001F2ABF"/>
    <w:pPr>
      <w:spacing w:before="100" w:beforeAutospacing="1" w:after="100" w:afterAutospacing="1"/>
      <w:outlineLvl w:val="0"/>
    </w:pPr>
    <w:rPr>
      <w:rFonts w:eastAsia="Times New Roman"/>
      <w:b/>
      <w:bCs/>
      <w:kern w:val="36"/>
      <w:sz w:val="48"/>
      <w:szCs w:val="48"/>
      <w:lang w:val="es-CO" w:eastAsia="es-CO"/>
    </w:rPr>
  </w:style>
  <w:style w:type="paragraph" w:styleId="Ttulo2">
    <w:name w:val="heading 2"/>
    <w:basedOn w:val="Normal"/>
    <w:link w:val="Ttulo2Car"/>
    <w:uiPriority w:val="99"/>
    <w:qFormat/>
    <w:rsid w:val="001F2ABF"/>
    <w:pPr>
      <w:spacing w:before="100" w:beforeAutospacing="1" w:after="100" w:afterAutospacing="1"/>
      <w:outlineLvl w:val="1"/>
    </w:pPr>
    <w:rPr>
      <w:rFonts w:eastAsia="Times New Roman"/>
      <w:b/>
      <w:bCs/>
      <w:sz w:val="36"/>
      <w:szCs w:val="36"/>
      <w:lang w:val="es-CO" w:eastAsia="es-CO"/>
    </w:rPr>
  </w:style>
  <w:style w:type="paragraph" w:styleId="Ttulo4">
    <w:name w:val="heading 4"/>
    <w:basedOn w:val="Normal"/>
    <w:link w:val="Ttulo4Car"/>
    <w:uiPriority w:val="99"/>
    <w:qFormat/>
    <w:rsid w:val="001F2ABF"/>
    <w:pPr>
      <w:spacing w:before="100" w:beforeAutospacing="1" w:after="100" w:afterAutospacing="1"/>
      <w:outlineLvl w:val="3"/>
    </w:pPr>
    <w:rPr>
      <w:rFonts w:eastAsia="Times New Roman"/>
      <w:b/>
      <w:bCs/>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F2ABF"/>
    <w:rPr>
      <w:rFonts w:ascii="Times New Roman" w:hAnsi="Times New Roman" w:cs="Times New Roman"/>
      <w:b/>
      <w:bCs/>
      <w:kern w:val="36"/>
      <w:sz w:val="48"/>
      <w:szCs w:val="48"/>
      <w:lang w:eastAsia="es-CO"/>
    </w:rPr>
  </w:style>
  <w:style w:type="character" w:customStyle="1" w:styleId="Ttulo2Car">
    <w:name w:val="Título 2 Car"/>
    <w:link w:val="Ttulo2"/>
    <w:uiPriority w:val="99"/>
    <w:locked/>
    <w:rsid w:val="001F2ABF"/>
    <w:rPr>
      <w:rFonts w:ascii="Times New Roman" w:hAnsi="Times New Roman" w:cs="Times New Roman"/>
      <w:b/>
      <w:bCs/>
      <w:sz w:val="36"/>
      <w:szCs w:val="36"/>
      <w:lang w:eastAsia="es-CO"/>
    </w:rPr>
  </w:style>
  <w:style w:type="character" w:customStyle="1" w:styleId="Ttulo4Car">
    <w:name w:val="Título 4 Car"/>
    <w:link w:val="Ttulo4"/>
    <w:uiPriority w:val="99"/>
    <w:locked/>
    <w:rsid w:val="001F2ABF"/>
    <w:rPr>
      <w:rFonts w:ascii="Times New Roman" w:hAnsi="Times New Roman" w:cs="Times New Roman"/>
      <w:b/>
      <w:bCs/>
      <w:sz w:val="24"/>
      <w:szCs w:val="24"/>
      <w:lang w:eastAsia="es-CO"/>
    </w:rPr>
  </w:style>
  <w:style w:type="paragraph" w:customStyle="1" w:styleId="Sinespaciado1">
    <w:name w:val="Sin espaciado1"/>
    <w:uiPriority w:val="99"/>
    <w:rsid w:val="001F2ABF"/>
    <w:rPr>
      <w:sz w:val="22"/>
      <w:szCs w:val="22"/>
      <w:lang w:eastAsia="en-US"/>
    </w:rPr>
  </w:style>
  <w:style w:type="paragraph" w:styleId="Encabezado">
    <w:name w:val="header"/>
    <w:basedOn w:val="Normal"/>
    <w:link w:val="EncabezadoCar"/>
    <w:rsid w:val="001F2ABF"/>
    <w:pPr>
      <w:tabs>
        <w:tab w:val="center" w:pos="4419"/>
        <w:tab w:val="right" w:pos="8838"/>
      </w:tabs>
    </w:pPr>
  </w:style>
  <w:style w:type="character" w:customStyle="1" w:styleId="EncabezadoCar">
    <w:name w:val="Encabezado Car"/>
    <w:link w:val="Encabezado"/>
    <w:locked/>
    <w:rsid w:val="001F2ABF"/>
    <w:rPr>
      <w:rFonts w:ascii="Times New Roman" w:hAnsi="Times New Roman" w:cs="Times New Roman"/>
      <w:sz w:val="20"/>
      <w:szCs w:val="20"/>
      <w:lang w:val="es-ES" w:eastAsia="es-ES"/>
    </w:rPr>
  </w:style>
  <w:style w:type="paragraph" w:styleId="Piedepgina">
    <w:name w:val="footer"/>
    <w:basedOn w:val="Normal"/>
    <w:link w:val="PiedepginaCar"/>
    <w:uiPriority w:val="99"/>
    <w:rsid w:val="001F2ABF"/>
    <w:pPr>
      <w:tabs>
        <w:tab w:val="center" w:pos="4419"/>
        <w:tab w:val="right" w:pos="8838"/>
      </w:tabs>
    </w:pPr>
  </w:style>
  <w:style w:type="character" w:customStyle="1" w:styleId="PiedepginaCar">
    <w:name w:val="Pie de página Car"/>
    <w:link w:val="Piedepgina"/>
    <w:uiPriority w:val="99"/>
    <w:locked/>
    <w:rsid w:val="001F2ABF"/>
    <w:rPr>
      <w:rFonts w:ascii="Times New Roman" w:hAnsi="Times New Roman" w:cs="Times New Roman"/>
      <w:sz w:val="20"/>
      <w:szCs w:val="20"/>
      <w:lang w:val="es-ES" w:eastAsia="es-ES"/>
    </w:rPr>
  </w:style>
  <w:style w:type="paragraph" w:customStyle="1" w:styleId="Sinespaciado2">
    <w:name w:val="Sin espaciado2"/>
    <w:uiPriority w:val="99"/>
    <w:rsid w:val="001F2ABF"/>
    <w:rPr>
      <w:rFonts w:ascii="Times New Roman" w:hAnsi="Times New Roman"/>
      <w:lang w:val="es-ES" w:eastAsia="es-ES"/>
    </w:rPr>
  </w:style>
  <w:style w:type="paragraph" w:styleId="Textonotapie">
    <w:name w:val="footnote text"/>
    <w:basedOn w:val="Normal"/>
    <w:link w:val="TextonotapieCar"/>
    <w:uiPriority w:val="99"/>
    <w:rsid w:val="001F2ABF"/>
    <w:rPr>
      <w:rFonts w:ascii="Arial" w:hAnsi="Arial"/>
      <w:lang w:val="es-CO"/>
    </w:rPr>
  </w:style>
  <w:style w:type="character" w:customStyle="1" w:styleId="TextonotapieCar">
    <w:name w:val="Texto nota pie Car"/>
    <w:link w:val="Textonotapie"/>
    <w:uiPriority w:val="99"/>
    <w:locked/>
    <w:rsid w:val="001F2ABF"/>
    <w:rPr>
      <w:rFonts w:ascii="Arial" w:hAnsi="Arial" w:cs="Times New Roman"/>
      <w:sz w:val="20"/>
      <w:szCs w:val="20"/>
      <w:lang w:eastAsia="es-ES"/>
    </w:rPr>
  </w:style>
  <w:style w:type="character" w:styleId="Hipervnculo">
    <w:name w:val="Hyperlink"/>
    <w:uiPriority w:val="99"/>
    <w:rsid w:val="001F2ABF"/>
    <w:rPr>
      <w:rFonts w:cs="Times New Roman"/>
      <w:color w:val="0000FF"/>
      <w:u w:val="single"/>
    </w:rPr>
  </w:style>
  <w:style w:type="character" w:styleId="Refdenotaalpie">
    <w:name w:val="footnote reference"/>
    <w:uiPriority w:val="99"/>
    <w:semiHidden/>
    <w:rsid w:val="001F2ABF"/>
    <w:rPr>
      <w:rFonts w:cs="Times New Roman"/>
      <w:vertAlign w:val="superscript"/>
    </w:rPr>
  </w:style>
  <w:style w:type="paragraph" w:styleId="NormalWeb">
    <w:name w:val="Normal (Web)"/>
    <w:basedOn w:val="Normal"/>
    <w:uiPriority w:val="99"/>
    <w:rsid w:val="001F2ABF"/>
    <w:pPr>
      <w:spacing w:before="100" w:beforeAutospacing="1" w:after="100" w:afterAutospacing="1"/>
    </w:pPr>
    <w:rPr>
      <w:rFonts w:eastAsia="Times New Roman"/>
      <w:sz w:val="24"/>
      <w:szCs w:val="24"/>
      <w:lang w:val="es-CO" w:eastAsia="es-CO"/>
    </w:rPr>
  </w:style>
  <w:style w:type="character" w:styleId="nfasis">
    <w:name w:val="Emphasis"/>
    <w:uiPriority w:val="99"/>
    <w:qFormat/>
    <w:rsid w:val="001F2ABF"/>
    <w:rPr>
      <w:rFonts w:cs="Times New Roman"/>
      <w:i/>
      <w:iCs/>
    </w:rPr>
  </w:style>
  <w:style w:type="character" w:styleId="Textoennegrita">
    <w:name w:val="Strong"/>
    <w:uiPriority w:val="99"/>
    <w:qFormat/>
    <w:rsid w:val="001F2ABF"/>
    <w:rPr>
      <w:rFonts w:cs="Times New Roman"/>
      <w:b/>
      <w:bCs/>
    </w:rPr>
  </w:style>
  <w:style w:type="paragraph" w:styleId="Sinespaciado">
    <w:name w:val="No Spacing"/>
    <w:link w:val="SinespaciadoCar"/>
    <w:uiPriority w:val="1"/>
    <w:qFormat/>
    <w:rsid w:val="001F2ABF"/>
    <w:rPr>
      <w:sz w:val="22"/>
      <w:szCs w:val="22"/>
      <w:lang w:eastAsia="en-US"/>
    </w:rPr>
  </w:style>
  <w:style w:type="paragraph" w:customStyle="1" w:styleId="Default">
    <w:name w:val="Default"/>
    <w:uiPriority w:val="99"/>
    <w:rsid w:val="001F2ABF"/>
    <w:pPr>
      <w:autoSpaceDE w:val="0"/>
      <w:autoSpaceDN w:val="0"/>
      <w:adjustRightInd w:val="0"/>
    </w:pPr>
    <w:rPr>
      <w:rFonts w:ascii="Arial" w:hAnsi="Arial" w:cs="Arial"/>
      <w:color w:val="000000"/>
      <w:sz w:val="24"/>
      <w:szCs w:val="24"/>
      <w:lang w:val="es-ES" w:eastAsia="es-ES"/>
    </w:rPr>
  </w:style>
  <w:style w:type="paragraph" w:customStyle="1" w:styleId="centrado">
    <w:name w:val="centrado"/>
    <w:basedOn w:val="Normal"/>
    <w:uiPriority w:val="99"/>
    <w:rsid w:val="005A3E4E"/>
    <w:pPr>
      <w:spacing w:before="100" w:beforeAutospacing="1" w:after="100" w:afterAutospacing="1"/>
      <w:jc w:val="center"/>
    </w:pPr>
    <w:rPr>
      <w:rFonts w:ascii="Arial" w:eastAsia="Times New Roman" w:hAnsi="Arial" w:cs="Arial"/>
      <w:sz w:val="24"/>
      <w:szCs w:val="24"/>
      <w:lang w:val="es-CO" w:eastAsia="es-CO"/>
    </w:rPr>
  </w:style>
  <w:style w:type="character" w:customStyle="1" w:styleId="baj1">
    <w:name w:val="b_aj1"/>
    <w:uiPriority w:val="99"/>
    <w:rsid w:val="005A3E4E"/>
    <w:rPr>
      <w:rFonts w:cs="Times New Roman"/>
      <w:b/>
      <w:bCs/>
      <w:color w:val="244700"/>
    </w:rPr>
  </w:style>
  <w:style w:type="character" w:customStyle="1" w:styleId="iaj1">
    <w:name w:val="i_aj1"/>
    <w:uiPriority w:val="99"/>
    <w:rsid w:val="005A3E4E"/>
    <w:rPr>
      <w:rFonts w:cs="Times New Roman"/>
      <w:i/>
      <w:iCs/>
    </w:rPr>
  </w:style>
  <w:style w:type="paragraph" w:customStyle="1" w:styleId="NoSpacing1">
    <w:name w:val="No Spacing1"/>
    <w:rsid w:val="00F7292B"/>
    <w:rPr>
      <w:rFonts w:ascii="Times New Roman" w:eastAsia="Times New Roman" w:hAnsi="Times New Roman"/>
      <w:lang w:val="es-ES" w:eastAsia="es-ES"/>
    </w:rPr>
  </w:style>
  <w:style w:type="paragraph" w:styleId="Textodeglobo">
    <w:name w:val="Balloon Text"/>
    <w:basedOn w:val="Normal"/>
    <w:link w:val="TextodegloboCar"/>
    <w:uiPriority w:val="99"/>
    <w:semiHidden/>
    <w:unhideWhenUsed/>
    <w:rsid w:val="003F15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153F"/>
    <w:rPr>
      <w:rFonts w:ascii="Segoe UI" w:hAnsi="Segoe UI" w:cs="Segoe UI"/>
      <w:sz w:val="18"/>
      <w:szCs w:val="18"/>
      <w:lang w:val="es-ES" w:eastAsia="es-ES"/>
    </w:rPr>
  </w:style>
  <w:style w:type="character" w:customStyle="1" w:styleId="SinespaciadoCar">
    <w:name w:val="Sin espaciado Car"/>
    <w:link w:val="Sinespaciado"/>
    <w:uiPriority w:val="1"/>
    <w:locked/>
    <w:rsid w:val="006A4C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8E6B7-9ABC-47DE-A2B0-60C3C07E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9</Pages>
  <Words>2971</Words>
  <Characters>16343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19276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subject/>
  <dc:creator>Pavilion</dc:creator>
  <cp:keywords/>
  <dc:description/>
  <cp:lastModifiedBy>Henry Lora Rodriguez</cp:lastModifiedBy>
  <cp:revision>109</cp:revision>
  <cp:lastPrinted>2017-06-05T13:35:00Z</cp:lastPrinted>
  <dcterms:created xsi:type="dcterms:W3CDTF">2017-02-20T15:00:00Z</dcterms:created>
  <dcterms:modified xsi:type="dcterms:W3CDTF">2017-09-07T20:01:00Z</dcterms:modified>
</cp:coreProperties>
</file>