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13" w:rsidRPr="00596B13" w:rsidRDefault="00596B13" w:rsidP="00596B13">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8"/>
          <w:szCs w:val="18"/>
          <w:lang w:eastAsia="fr-FR"/>
        </w:rPr>
      </w:pPr>
      <w:r w:rsidRPr="00596B13">
        <w:rPr>
          <w:rFonts w:ascii="Calibri" w:eastAsia="Batang" w:hAnsi="Calibri" w:cs="Calibri"/>
          <w:color w:val="FF0000"/>
          <w:sz w:val="18"/>
          <w:szCs w:val="18"/>
          <w:lang w:eastAsia="fr-FR"/>
        </w:rPr>
        <w:t>El siguiente es el docu</w:t>
      </w:r>
      <w:bookmarkStart w:id="0" w:name="_GoBack"/>
      <w:bookmarkEnd w:id="0"/>
      <w:r w:rsidRPr="00596B13">
        <w:rPr>
          <w:rFonts w:ascii="Calibri" w:eastAsia="Batang" w:hAnsi="Calibri" w:cs="Calibri"/>
          <w:color w:val="FF0000"/>
          <w:sz w:val="18"/>
          <w:szCs w:val="18"/>
          <w:lang w:eastAsia="fr-FR"/>
        </w:rPr>
        <w:t>mento presentado por el Magistrado Ponente</w:t>
      </w:r>
      <w:r w:rsidRPr="00596B13">
        <w:rPr>
          <w:rFonts w:ascii="Calibri" w:eastAsia="Batang" w:hAnsi="Calibri" w:cs="Calibri"/>
          <w:color w:val="FF0000"/>
          <w:spacing w:val="-10"/>
          <w:sz w:val="18"/>
          <w:szCs w:val="18"/>
          <w:lang w:eastAsia="fr-FR"/>
        </w:rPr>
        <w:t>.</w:t>
      </w:r>
    </w:p>
    <w:p w:rsidR="00596B13" w:rsidRPr="00596B13" w:rsidRDefault="00596B13" w:rsidP="00596B13">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eastAsia="fr-FR"/>
        </w:rPr>
      </w:pPr>
      <w:r w:rsidRPr="00596B13">
        <w:rPr>
          <w:rFonts w:ascii="Calibri" w:eastAsia="Batang" w:hAnsi="Calibri" w:cs="Calibri"/>
          <w:color w:val="FF0000"/>
          <w:sz w:val="18"/>
          <w:szCs w:val="18"/>
          <w:lang w:eastAsia="fr-FR"/>
        </w:rPr>
        <w:t>El contenido total y fiel de la decisión debe ser verificado en la Secretaría de esta Sala.</w:t>
      </w:r>
    </w:p>
    <w:p w:rsidR="00596B13" w:rsidRPr="00596B13" w:rsidRDefault="00596B13" w:rsidP="00596B13">
      <w:pPr>
        <w:shd w:val="clear" w:color="auto" w:fill="FFFFFF"/>
        <w:ind w:left="2124" w:hanging="2124"/>
        <w:jc w:val="both"/>
        <w:rPr>
          <w:rFonts w:ascii="Calibri" w:hAnsi="Calibri" w:cs="Calibri"/>
          <w:color w:val="222222"/>
          <w:sz w:val="18"/>
          <w:szCs w:val="18"/>
          <w:lang w:eastAsia="fr-FR"/>
        </w:rPr>
      </w:pPr>
    </w:p>
    <w:p w:rsidR="00596B13" w:rsidRPr="00596B13" w:rsidRDefault="00596B13" w:rsidP="00596B13">
      <w:pPr>
        <w:shd w:val="clear" w:color="auto" w:fill="FFFFFF"/>
        <w:ind w:left="2124" w:hanging="2124"/>
        <w:jc w:val="both"/>
        <w:rPr>
          <w:rFonts w:ascii="Calibri" w:eastAsia="Calibri" w:hAnsi="Calibri" w:cs="Calibri"/>
          <w:color w:val="222222"/>
          <w:sz w:val="18"/>
          <w:szCs w:val="18"/>
          <w:lang w:val="es-CO" w:eastAsia="fr-FR"/>
        </w:rPr>
      </w:pPr>
      <w:r w:rsidRPr="00596B13">
        <w:rPr>
          <w:rFonts w:ascii="Calibri" w:hAnsi="Calibri" w:cs="Calibri"/>
          <w:color w:val="222222"/>
          <w:sz w:val="18"/>
          <w:szCs w:val="18"/>
          <w:lang w:val="es-CO" w:eastAsia="fr-FR"/>
        </w:rPr>
        <w:t>Providencia:</w:t>
      </w:r>
      <w:r w:rsidRPr="00596B13">
        <w:rPr>
          <w:rFonts w:ascii="Calibri" w:hAnsi="Calibri" w:cs="Calibri"/>
          <w:color w:val="222222"/>
          <w:sz w:val="18"/>
          <w:szCs w:val="18"/>
          <w:lang w:val="es-CO" w:eastAsia="fr-FR"/>
        </w:rPr>
        <w:tab/>
        <w:t>Auto - 22 de septiembre de 2017</w:t>
      </w:r>
    </w:p>
    <w:p w:rsidR="00596B13" w:rsidRPr="00596B13" w:rsidRDefault="00596B13" w:rsidP="00596B13">
      <w:pPr>
        <w:shd w:val="clear" w:color="auto" w:fill="FFFFFF"/>
        <w:tabs>
          <w:tab w:val="left" w:pos="1418"/>
        </w:tabs>
        <w:jc w:val="both"/>
        <w:rPr>
          <w:rFonts w:ascii="Calibri" w:eastAsia="Calibri" w:hAnsi="Calibri" w:cs="Calibri"/>
          <w:color w:val="222222"/>
          <w:sz w:val="18"/>
          <w:szCs w:val="18"/>
          <w:lang w:eastAsia="fr-FR"/>
        </w:rPr>
      </w:pPr>
      <w:r w:rsidRPr="00596B13">
        <w:rPr>
          <w:rFonts w:ascii="Calibri" w:eastAsia="Calibri" w:hAnsi="Calibri" w:cs="Calibri"/>
          <w:color w:val="222222"/>
          <w:sz w:val="18"/>
          <w:szCs w:val="18"/>
          <w:lang w:val="es-CO" w:eastAsia="fr-FR"/>
        </w:rPr>
        <w:t>Proceso:                </w:t>
      </w:r>
      <w:r w:rsidRPr="00596B13">
        <w:rPr>
          <w:rFonts w:ascii="Calibri" w:eastAsia="Calibri" w:hAnsi="Calibri" w:cs="Calibri"/>
          <w:color w:val="222222"/>
          <w:sz w:val="18"/>
          <w:szCs w:val="18"/>
          <w:lang w:val="es-CO" w:eastAsia="fr-FR"/>
        </w:rPr>
        <w:tab/>
      </w:r>
      <w:r w:rsidRPr="00596B13">
        <w:rPr>
          <w:rFonts w:ascii="Calibri" w:eastAsia="Calibri" w:hAnsi="Calibri" w:cs="Calibri"/>
          <w:color w:val="222222"/>
          <w:sz w:val="18"/>
          <w:szCs w:val="18"/>
          <w:lang w:val="es-CO" w:eastAsia="fr-FR"/>
        </w:rPr>
        <w:tab/>
        <w:t>Acción de Tutela  – Declara incompetencia y remite</w:t>
      </w:r>
    </w:p>
    <w:p w:rsidR="00596B13" w:rsidRPr="00596B13" w:rsidRDefault="00596B13" w:rsidP="00596B13">
      <w:pPr>
        <w:shd w:val="clear" w:color="auto" w:fill="FFFFFF"/>
        <w:tabs>
          <w:tab w:val="left" w:pos="1418"/>
          <w:tab w:val="left" w:pos="2115"/>
        </w:tabs>
        <w:jc w:val="both"/>
        <w:rPr>
          <w:rFonts w:ascii="Calibri" w:eastAsia="Calibri" w:hAnsi="Calibri" w:cs="Calibri"/>
          <w:bCs/>
          <w:color w:val="222222"/>
          <w:sz w:val="18"/>
          <w:szCs w:val="18"/>
          <w:lang w:val="es-MX" w:eastAsia="fr-FR"/>
        </w:rPr>
      </w:pPr>
      <w:r w:rsidRPr="00596B13">
        <w:rPr>
          <w:rFonts w:ascii="Calibri" w:eastAsia="Calibri" w:hAnsi="Calibri" w:cs="Calibri"/>
          <w:color w:val="222222"/>
          <w:sz w:val="18"/>
          <w:szCs w:val="18"/>
          <w:lang w:val="es-CO" w:eastAsia="fr-FR"/>
        </w:rPr>
        <w:t>Radicación Nro. :</w:t>
      </w:r>
      <w:r w:rsidRPr="00596B13">
        <w:rPr>
          <w:rFonts w:ascii="Calibri" w:eastAsia="Calibri" w:hAnsi="Calibri" w:cs="Calibri"/>
          <w:color w:val="222222"/>
          <w:sz w:val="18"/>
          <w:szCs w:val="18"/>
          <w:lang w:val="es-CO" w:eastAsia="fr-FR"/>
        </w:rPr>
        <w:tab/>
        <w:t xml:space="preserve">  </w:t>
      </w:r>
      <w:r w:rsidRPr="00596B13">
        <w:rPr>
          <w:rFonts w:ascii="Calibri" w:eastAsia="Calibri" w:hAnsi="Calibri" w:cs="Calibri"/>
          <w:color w:val="222222"/>
          <w:sz w:val="18"/>
          <w:szCs w:val="18"/>
          <w:lang w:val="es-CO" w:eastAsia="fr-FR"/>
        </w:rPr>
        <w:tab/>
      </w:r>
      <w:r w:rsidRPr="00596B13">
        <w:rPr>
          <w:rFonts w:ascii="Calibri" w:eastAsia="Calibri" w:hAnsi="Calibri" w:cs="Calibri"/>
          <w:color w:val="222222"/>
          <w:sz w:val="18"/>
          <w:szCs w:val="18"/>
          <w:lang w:eastAsia="fr-FR"/>
        </w:rPr>
        <w:t>66001-22-13-000-2017-01057-00</w:t>
      </w:r>
    </w:p>
    <w:p w:rsidR="00596B13" w:rsidRPr="00596B13" w:rsidRDefault="00596B13" w:rsidP="00596B13">
      <w:pPr>
        <w:shd w:val="clear" w:color="auto" w:fill="FFFFFF"/>
        <w:tabs>
          <w:tab w:val="left" w:pos="1418"/>
          <w:tab w:val="left" w:pos="2115"/>
        </w:tabs>
        <w:jc w:val="both"/>
        <w:rPr>
          <w:rFonts w:ascii="Calibri" w:eastAsia="Batang" w:hAnsi="Calibri" w:cs="Calibri"/>
          <w:bCs/>
          <w:sz w:val="18"/>
          <w:szCs w:val="18"/>
          <w:lang w:val="es-CO"/>
        </w:rPr>
      </w:pPr>
      <w:r w:rsidRPr="00596B13">
        <w:rPr>
          <w:rFonts w:ascii="Calibri" w:eastAsia="Batang" w:hAnsi="Calibri" w:cs="Calibri"/>
          <w:bCs/>
          <w:sz w:val="18"/>
          <w:szCs w:val="18"/>
        </w:rPr>
        <w:t xml:space="preserve">Accionante:   </w:t>
      </w:r>
      <w:r w:rsidRPr="00596B13">
        <w:rPr>
          <w:rFonts w:ascii="Calibri" w:eastAsia="Batang" w:hAnsi="Calibri" w:cs="Calibri"/>
          <w:bCs/>
          <w:sz w:val="18"/>
          <w:szCs w:val="18"/>
        </w:rPr>
        <w:tab/>
      </w:r>
      <w:r w:rsidRPr="00596B13">
        <w:rPr>
          <w:rFonts w:ascii="Calibri" w:eastAsia="Batang" w:hAnsi="Calibri" w:cs="Calibri"/>
          <w:bCs/>
          <w:sz w:val="18"/>
          <w:szCs w:val="18"/>
        </w:rPr>
        <w:tab/>
      </w:r>
      <w:r w:rsidRPr="00596B13">
        <w:rPr>
          <w:rFonts w:ascii="Calibri" w:eastAsia="Batang" w:hAnsi="Calibri" w:cs="Calibri"/>
          <w:bCs/>
          <w:iCs/>
          <w:sz w:val="18"/>
          <w:szCs w:val="18"/>
        </w:rPr>
        <w:t>ANDRÉS FELIPE ZULUAGA MOLINA</w:t>
      </w:r>
    </w:p>
    <w:p w:rsidR="00596B13" w:rsidRPr="00596B13" w:rsidRDefault="00596B13" w:rsidP="00596B13">
      <w:pPr>
        <w:shd w:val="clear" w:color="auto" w:fill="FFFFFF"/>
        <w:tabs>
          <w:tab w:val="left" w:pos="1418"/>
        </w:tabs>
        <w:jc w:val="both"/>
        <w:rPr>
          <w:rFonts w:ascii="Calibri" w:eastAsia="Calibri" w:hAnsi="Calibri" w:cs="Calibri"/>
          <w:color w:val="222222"/>
          <w:sz w:val="18"/>
          <w:szCs w:val="18"/>
          <w:lang w:val="es-CO" w:eastAsia="fr-FR"/>
        </w:rPr>
      </w:pPr>
      <w:r w:rsidRPr="00596B13">
        <w:rPr>
          <w:rFonts w:ascii="Calibri" w:eastAsia="Calibri" w:hAnsi="Calibri" w:cs="Calibri"/>
          <w:color w:val="222222"/>
          <w:sz w:val="18"/>
          <w:szCs w:val="18"/>
          <w:lang w:val="es-CO" w:eastAsia="fr-FR"/>
        </w:rPr>
        <w:t xml:space="preserve">Accionado: </w:t>
      </w:r>
      <w:r w:rsidRPr="00596B13">
        <w:rPr>
          <w:rFonts w:ascii="Calibri" w:eastAsia="Calibri" w:hAnsi="Calibri" w:cs="Calibri"/>
          <w:color w:val="222222"/>
          <w:sz w:val="18"/>
          <w:szCs w:val="18"/>
          <w:lang w:val="es-CO" w:eastAsia="fr-FR"/>
        </w:rPr>
        <w:tab/>
      </w:r>
      <w:r w:rsidRPr="00596B13">
        <w:rPr>
          <w:rFonts w:ascii="Calibri" w:eastAsia="Calibri" w:hAnsi="Calibri" w:cs="Calibri"/>
          <w:color w:val="222222"/>
          <w:sz w:val="18"/>
          <w:szCs w:val="18"/>
          <w:lang w:val="es-CO" w:eastAsia="fr-FR"/>
        </w:rPr>
        <w:tab/>
        <w:t>PROCURADURÍA PROVINCIAL DE PEREIRA</w:t>
      </w:r>
    </w:p>
    <w:p w:rsidR="00596B13" w:rsidRPr="00596B13" w:rsidRDefault="00596B13" w:rsidP="00596B13">
      <w:pPr>
        <w:shd w:val="clear" w:color="auto" w:fill="FFFFFF"/>
        <w:tabs>
          <w:tab w:val="left" w:pos="1418"/>
        </w:tabs>
        <w:jc w:val="both"/>
        <w:rPr>
          <w:rFonts w:ascii="Calibri" w:eastAsia="Calibri" w:hAnsi="Calibri" w:cs="Calibri"/>
          <w:bCs/>
          <w:iCs/>
          <w:color w:val="222222"/>
          <w:sz w:val="18"/>
          <w:szCs w:val="18"/>
          <w:lang w:val="es-CO" w:eastAsia="fr-FR"/>
        </w:rPr>
      </w:pPr>
      <w:r w:rsidRPr="00596B13">
        <w:rPr>
          <w:rFonts w:ascii="Calibri" w:eastAsia="Calibri" w:hAnsi="Calibri" w:cs="Calibri"/>
          <w:color w:val="222222"/>
          <w:sz w:val="18"/>
          <w:szCs w:val="18"/>
          <w:lang w:val="es-CO" w:eastAsia="fr-FR"/>
        </w:rPr>
        <w:t>Magistrado Ponente: </w:t>
      </w:r>
      <w:r w:rsidRPr="00596B13">
        <w:rPr>
          <w:rFonts w:ascii="Calibri" w:eastAsia="Calibri" w:hAnsi="Calibri" w:cs="Calibri"/>
          <w:color w:val="222222"/>
          <w:sz w:val="18"/>
          <w:szCs w:val="18"/>
          <w:lang w:val="es-CO" w:eastAsia="fr-FR"/>
        </w:rPr>
        <w:tab/>
      </w:r>
      <w:proofErr w:type="spellStart"/>
      <w:r w:rsidRPr="00596B13">
        <w:rPr>
          <w:rFonts w:ascii="Calibri" w:eastAsia="Batang" w:hAnsi="Calibri" w:cs="Calibri"/>
          <w:bCs/>
          <w:iCs/>
          <w:color w:val="222222"/>
          <w:sz w:val="18"/>
          <w:szCs w:val="18"/>
          <w:lang w:val="es-CO" w:eastAsia="fr-FR"/>
        </w:rPr>
        <w:t>EDDER</w:t>
      </w:r>
      <w:proofErr w:type="spellEnd"/>
      <w:r w:rsidRPr="00596B13">
        <w:rPr>
          <w:rFonts w:ascii="Calibri" w:eastAsia="Batang" w:hAnsi="Calibri" w:cs="Calibri"/>
          <w:bCs/>
          <w:iCs/>
          <w:color w:val="222222"/>
          <w:sz w:val="18"/>
          <w:szCs w:val="18"/>
          <w:lang w:val="es-CO" w:eastAsia="fr-FR"/>
        </w:rPr>
        <w:t xml:space="preserve"> JIMMY SÁNCHEZ </w:t>
      </w:r>
      <w:proofErr w:type="spellStart"/>
      <w:r w:rsidRPr="00596B13">
        <w:rPr>
          <w:rFonts w:ascii="Calibri" w:eastAsia="Batang" w:hAnsi="Calibri" w:cs="Calibri"/>
          <w:bCs/>
          <w:iCs/>
          <w:color w:val="222222"/>
          <w:sz w:val="18"/>
          <w:szCs w:val="18"/>
          <w:lang w:val="es-CO" w:eastAsia="fr-FR"/>
        </w:rPr>
        <w:t>CALAMBÁS</w:t>
      </w:r>
      <w:proofErr w:type="spellEnd"/>
    </w:p>
    <w:p w:rsidR="00596B13" w:rsidRPr="00596B13" w:rsidRDefault="00596B13" w:rsidP="00596B13">
      <w:pPr>
        <w:shd w:val="clear" w:color="auto" w:fill="FFFFFF"/>
        <w:ind w:left="2124" w:hanging="2124"/>
        <w:jc w:val="both"/>
        <w:rPr>
          <w:rFonts w:ascii="Calibri" w:hAnsi="Calibri" w:cs="Calibri"/>
          <w:color w:val="222222"/>
          <w:sz w:val="18"/>
          <w:szCs w:val="18"/>
          <w:lang w:val="es-CO" w:eastAsia="fr-FR"/>
        </w:rPr>
      </w:pPr>
    </w:p>
    <w:p w:rsidR="00596B13" w:rsidRPr="00596B13" w:rsidRDefault="00596B13" w:rsidP="00596B13">
      <w:pPr>
        <w:shd w:val="clear" w:color="auto" w:fill="FFFFFF"/>
        <w:jc w:val="both"/>
        <w:rPr>
          <w:rFonts w:ascii="Calibri" w:hAnsi="Calibri" w:cs="Calibri"/>
          <w:color w:val="222222"/>
          <w:sz w:val="18"/>
          <w:szCs w:val="18"/>
          <w:lang w:eastAsia="fr-FR"/>
        </w:rPr>
      </w:pPr>
      <w:r w:rsidRPr="00596B13">
        <w:rPr>
          <w:rFonts w:ascii="Calibri" w:hAnsi="Calibri" w:cs="Calibri"/>
          <w:b/>
          <w:color w:val="222222"/>
          <w:sz w:val="18"/>
          <w:szCs w:val="18"/>
          <w:lang w:val="es-CO" w:eastAsia="fr-FR"/>
        </w:rPr>
        <w:t>Tema:</w:t>
      </w:r>
      <w:r w:rsidRPr="00596B13">
        <w:rPr>
          <w:rFonts w:ascii="Calibri" w:hAnsi="Calibri" w:cs="Calibri"/>
          <w:b/>
          <w:color w:val="222222"/>
          <w:sz w:val="18"/>
          <w:szCs w:val="18"/>
          <w:lang w:val="es-CO" w:eastAsia="fr-FR"/>
        </w:rPr>
        <w:tab/>
      </w:r>
      <w:r w:rsidRPr="00596B13">
        <w:rPr>
          <w:rFonts w:ascii="Calibri" w:hAnsi="Calibri" w:cs="Calibri"/>
          <w:b/>
          <w:color w:val="222222"/>
          <w:sz w:val="18"/>
          <w:szCs w:val="18"/>
          <w:lang w:val="es-CO" w:eastAsia="fr-FR"/>
        </w:rPr>
        <w:tab/>
      </w:r>
      <w:r w:rsidRPr="00596B13">
        <w:rPr>
          <w:rFonts w:ascii="Calibri" w:hAnsi="Calibri" w:cs="Calibri"/>
          <w:b/>
          <w:color w:val="222222"/>
          <w:sz w:val="18"/>
          <w:szCs w:val="18"/>
          <w:lang w:val="es-CO" w:eastAsia="fr-FR"/>
        </w:rPr>
        <w:tab/>
        <w:t xml:space="preserve">TUTELA CONTRA AUTORIDADES DEL ORDEN DISTRITAL O MUNICIPAL Y PARTICULARES / COMPETENCIA DE LOS JUECES MUNICIPALES. </w:t>
      </w:r>
      <w:r w:rsidRPr="00596B13">
        <w:rPr>
          <w:rFonts w:ascii="Calibri" w:hAnsi="Calibri" w:cs="Calibri"/>
          <w:color w:val="222222"/>
          <w:sz w:val="18"/>
          <w:szCs w:val="18"/>
          <w:lang w:eastAsia="fr-FR"/>
        </w:rPr>
        <w:t>Esta Sala se declarará incompetente para conocer del asunto, en acatamiento al pronunciamiento de la Sala de Casación Civil de la Corte Suprema de Justicia de 19 de mayo de 2016, donde en un asunto similar, declaró la nulidad de todo lo actuado y ordenó remitir el expediente a los jueces municipales, (…).</w:t>
      </w:r>
      <w:r w:rsidRPr="00596B13">
        <w:rPr>
          <w:rFonts w:ascii="Calibri" w:hAnsi="Calibri" w:cs="Calibri"/>
          <w:i/>
          <w:color w:val="222222"/>
          <w:sz w:val="18"/>
          <w:szCs w:val="18"/>
          <w:lang w:val="es-MX" w:eastAsia="fr-FR"/>
        </w:rPr>
        <w:t>“</w:t>
      </w:r>
      <w:r w:rsidRPr="00596B13">
        <w:rPr>
          <w:rFonts w:ascii="Calibri" w:hAnsi="Calibri" w:cs="Calibri"/>
          <w:i/>
          <w:color w:val="222222"/>
          <w:sz w:val="18"/>
          <w:szCs w:val="18"/>
          <w:lang w:eastAsia="fr-FR"/>
        </w:rPr>
        <w:t xml:space="preserve">Así las cosas, el Tribunal no podía asumir el conocimiento de la salvaguarda y, por supuesto, la Corte Suprema de Justicia, Sala de Casación Civil tampoco es competente para desatar la alzada, conforme a la regla contenida en el inciso 1°, numeral 1° del artículo 2.2.3.1.2.1 del Decreto 1069 de 2015, según el cual, (…)A los jueces municipales les serán repartidas para su conocimiento en primera instancia, las acciones de tutela que se interpongan contra cualquier autoridad pública del orden Distrital o municipal y contra particulares. Esto por cuanto, según los artículos 2° y 76 del Decreto 262 de 2000, que modificó la estructura y organización de la Procuraduría General de la Nación, las provinciales ejercen competencias sólo en su territorio, en este caso Facatativá, por lo cual se asemejan a entidades del orden municipal. </w:t>
      </w:r>
      <w:r w:rsidRPr="00596B13">
        <w:rPr>
          <w:rFonts w:ascii="Calibri" w:hAnsi="Calibri" w:cs="Calibri"/>
          <w:i/>
          <w:color w:val="222222"/>
          <w:sz w:val="18"/>
          <w:szCs w:val="18"/>
          <w:lang w:eastAsia="fr-FR"/>
        </w:rPr>
        <w:tab/>
      </w:r>
    </w:p>
    <w:p w:rsidR="00596B13" w:rsidRDefault="00596B13" w:rsidP="009D592A">
      <w:pPr>
        <w:suppressAutoHyphens/>
        <w:spacing w:line="360" w:lineRule="auto"/>
        <w:ind w:firstLine="2835"/>
        <w:jc w:val="both"/>
        <w:rPr>
          <w:rFonts w:ascii="Arial" w:hAnsi="Arial" w:cs="Arial"/>
          <w:b/>
          <w:spacing w:val="-3"/>
          <w:sz w:val="24"/>
          <w:szCs w:val="24"/>
        </w:rPr>
      </w:pPr>
    </w:p>
    <w:p w:rsidR="009D592A" w:rsidRPr="00E70E5D" w:rsidRDefault="009D592A" w:rsidP="009D592A">
      <w:pPr>
        <w:suppressAutoHyphens/>
        <w:spacing w:line="360" w:lineRule="auto"/>
        <w:ind w:firstLine="2835"/>
        <w:jc w:val="both"/>
        <w:rPr>
          <w:rFonts w:ascii="Arial" w:hAnsi="Arial" w:cs="Arial"/>
          <w:b/>
          <w:spacing w:val="-3"/>
          <w:sz w:val="24"/>
          <w:szCs w:val="24"/>
        </w:rPr>
      </w:pPr>
      <w:r w:rsidRPr="00E70E5D">
        <w:rPr>
          <w:rFonts w:ascii="Arial" w:hAnsi="Arial" w:cs="Arial"/>
          <w:b/>
          <w:spacing w:val="-3"/>
          <w:sz w:val="24"/>
          <w:szCs w:val="24"/>
        </w:rPr>
        <w:t>TRIBUNAL SUPERIOR DEL DISTRITO JUDICIAL</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SALA CIVIL-FAMILIA UNITARIA</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 xml:space="preserve">Magistrado: </w:t>
      </w:r>
      <w:r w:rsidRPr="001B3726">
        <w:rPr>
          <w:rFonts w:ascii="Arial" w:hAnsi="Arial" w:cs="Arial"/>
          <w:b/>
          <w:spacing w:val="-3"/>
          <w:sz w:val="24"/>
          <w:szCs w:val="24"/>
        </w:rPr>
        <w:t>Edder Jimmy Sánchez Calambás</w:t>
      </w:r>
    </w:p>
    <w:p w:rsidR="009D592A" w:rsidRPr="00E70E5D" w:rsidRDefault="00F34A56" w:rsidP="009D592A">
      <w:pPr>
        <w:suppressAutoHyphens/>
        <w:spacing w:line="360" w:lineRule="auto"/>
        <w:ind w:firstLine="2835"/>
        <w:jc w:val="both"/>
        <w:rPr>
          <w:rFonts w:ascii="Arial" w:hAnsi="Arial" w:cs="Arial"/>
          <w:spacing w:val="-3"/>
          <w:sz w:val="24"/>
          <w:szCs w:val="24"/>
        </w:rPr>
      </w:pPr>
      <w:r>
        <w:rPr>
          <w:rFonts w:ascii="Arial" w:hAnsi="Arial" w:cs="Arial"/>
          <w:spacing w:val="-3"/>
          <w:sz w:val="24"/>
          <w:szCs w:val="24"/>
        </w:rPr>
        <w:t>Pereira, 22</w:t>
      </w:r>
      <w:r w:rsidR="009D592A" w:rsidRPr="00E70E5D">
        <w:rPr>
          <w:rFonts w:ascii="Arial" w:hAnsi="Arial" w:cs="Arial"/>
          <w:spacing w:val="-3"/>
          <w:sz w:val="24"/>
          <w:szCs w:val="24"/>
        </w:rPr>
        <w:t xml:space="preserve"> de </w:t>
      </w:r>
      <w:r>
        <w:rPr>
          <w:rFonts w:ascii="Arial" w:hAnsi="Arial" w:cs="Arial"/>
          <w:spacing w:val="-3"/>
          <w:sz w:val="24"/>
          <w:szCs w:val="24"/>
        </w:rPr>
        <w:t>septiembre</w:t>
      </w:r>
      <w:r w:rsidR="009D592A" w:rsidRPr="00E70E5D">
        <w:rPr>
          <w:rFonts w:ascii="Arial" w:hAnsi="Arial" w:cs="Arial"/>
          <w:spacing w:val="-3"/>
          <w:sz w:val="24"/>
          <w:szCs w:val="24"/>
        </w:rPr>
        <w:t xml:space="preserve"> de 201</w:t>
      </w:r>
      <w:r w:rsidR="001B3726">
        <w:rPr>
          <w:rFonts w:ascii="Arial" w:hAnsi="Arial" w:cs="Arial"/>
          <w:spacing w:val="-3"/>
          <w:sz w:val="24"/>
          <w:szCs w:val="24"/>
        </w:rPr>
        <w:t>7</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Referencia: 66001-22-13-000-</w:t>
      </w:r>
      <w:r w:rsidRPr="00F34A56">
        <w:rPr>
          <w:rFonts w:ascii="Arial" w:hAnsi="Arial" w:cs="Arial"/>
          <w:b/>
          <w:spacing w:val="-3"/>
          <w:sz w:val="24"/>
          <w:szCs w:val="24"/>
        </w:rPr>
        <w:t>201</w:t>
      </w:r>
      <w:r w:rsidR="004B4EB4" w:rsidRPr="00F34A56">
        <w:rPr>
          <w:rFonts w:ascii="Arial" w:hAnsi="Arial" w:cs="Arial"/>
          <w:b/>
          <w:spacing w:val="-3"/>
          <w:sz w:val="24"/>
          <w:szCs w:val="24"/>
        </w:rPr>
        <w:t>7</w:t>
      </w:r>
      <w:r w:rsidRPr="00F34A56">
        <w:rPr>
          <w:rFonts w:ascii="Arial" w:hAnsi="Arial" w:cs="Arial"/>
          <w:b/>
          <w:spacing w:val="-3"/>
          <w:sz w:val="24"/>
          <w:szCs w:val="24"/>
        </w:rPr>
        <w:t>-0</w:t>
      </w:r>
      <w:r w:rsidR="00F34A56" w:rsidRPr="00F34A56">
        <w:rPr>
          <w:rFonts w:ascii="Arial" w:hAnsi="Arial" w:cs="Arial"/>
          <w:b/>
          <w:spacing w:val="-3"/>
          <w:sz w:val="24"/>
          <w:szCs w:val="24"/>
        </w:rPr>
        <w:t>1</w:t>
      </w:r>
      <w:r w:rsidRPr="00F34A56">
        <w:rPr>
          <w:rFonts w:ascii="Arial" w:hAnsi="Arial" w:cs="Arial"/>
          <w:b/>
          <w:spacing w:val="-3"/>
          <w:sz w:val="24"/>
          <w:szCs w:val="24"/>
        </w:rPr>
        <w:t>0</w:t>
      </w:r>
      <w:r w:rsidR="00F34A56" w:rsidRPr="00F34A56">
        <w:rPr>
          <w:rFonts w:ascii="Arial" w:hAnsi="Arial" w:cs="Arial"/>
          <w:b/>
          <w:spacing w:val="-3"/>
          <w:sz w:val="24"/>
          <w:szCs w:val="24"/>
        </w:rPr>
        <w:t>57</w:t>
      </w:r>
      <w:r w:rsidRPr="00E70E5D">
        <w:rPr>
          <w:rFonts w:ascii="Arial" w:hAnsi="Arial" w:cs="Arial"/>
          <w:spacing w:val="-3"/>
          <w:sz w:val="24"/>
          <w:szCs w:val="24"/>
        </w:rPr>
        <w:t>-00</w:t>
      </w:r>
    </w:p>
    <w:p w:rsidR="00CD3C2D" w:rsidRPr="00AC2D6B" w:rsidRDefault="00CD3C2D" w:rsidP="00DB335C">
      <w:pPr>
        <w:pStyle w:val="Sinespaciado1"/>
        <w:spacing w:line="360" w:lineRule="auto"/>
        <w:ind w:firstLine="2835"/>
        <w:rPr>
          <w:rFonts w:ascii="Arial" w:hAnsi="Arial" w:cs="Arial"/>
          <w:sz w:val="24"/>
          <w:szCs w:val="25"/>
          <w:lang w:val="es-ES" w:eastAsia="es-ES"/>
        </w:rPr>
      </w:pPr>
    </w:p>
    <w:p w:rsidR="00DB335C" w:rsidRPr="00C137A9" w:rsidRDefault="00DB335C" w:rsidP="00DB335C">
      <w:pPr>
        <w:pStyle w:val="Sinespaciado1"/>
        <w:spacing w:line="360" w:lineRule="auto"/>
        <w:ind w:firstLine="2835"/>
        <w:rPr>
          <w:rFonts w:ascii="Arial" w:hAnsi="Arial" w:cs="Arial"/>
          <w:b/>
          <w:szCs w:val="25"/>
          <w:lang w:val="es-ES" w:eastAsia="es-ES"/>
        </w:rPr>
      </w:pPr>
      <w:r w:rsidRPr="00C137A9">
        <w:rPr>
          <w:rFonts w:ascii="Arial" w:hAnsi="Arial" w:cs="Arial"/>
          <w:b/>
          <w:szCs w:val="25"/>
          <w:lang w:val="es-ES" w:eastAsia="es-ES"/>
        </w:rPr>
        <w:t>I. ASUNTO</w:t>
      </w:r>
    </w:p>
    <w:p w:rsidR="00DB335C" w:rsidRPr="004B4EB4" w:rsidRDefault="00DB335C" w:rsidP="00DB335C">
      <w:pPr>
        <w:pStyle w:val="Sinespaciado1"/>
        <w:spacing w:line="360" w:lineRule="auto"/>
        <w:ind w:firstLine="2835"/>
        <w:rPr>
          <w:rFonts w:ascii="Arial" w:hAnsi="Arial" w:cs="Arial"/>
          <w:sz w:val="16"/>
          <w:szCs w:val="16"/>
          <w:lang w:val="es-ES" w:eastAsia="es-ES"/>
        </w:rPr>
      </w:pP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 xml:space="preserve">Correspondería al Tribunal decidir la acción de tutela instaurada por el señor </w:t>
      </w:r>
      <w:r w:rsidR="00F34A56">
        <w:rPr>
          <w:rFonts w:ascii="Arial" w:hAnsi="Arial" w:cs="Arial"/>
          <w:sz w:val="22"/>
          <w:szCs w:val="24"/>
        </w:rPr>
        <w:t>ANDRÉS FELIPE ZULUAGA MOLINA</w:t>
      </w:r>
      <w:r w:rsidRPr="004B4EB4">
        <w:rPr>
          <w:rFonts w:ascii="Arial" w:hAnsi="Arial" w:cs="Arial"/>
          <w:sz w:val="22"/>
          <w:szCs w:val="24"/>
        </w:rPr>
        <w:t xml:space="preserve"> </w:t>
      </w:r>
      <w:r w:rsidRPr="004B4EB4">
        <w:rPr>
          <w:rFonts w:ascii="Arial" w:hAnsi="Arial" w:cs="Arial"/>
          <w:sz w:val="24"/>
          <w:szCs w:val="24"/>
        </w:rPr>
        <w:t>promovida contra l</w:t>
      </w:r>
      <w:r w:rsidR="00F34A56">
        <w:rPr>
          <w:rFonts w:ascii="Arial" w:hAnsi="Arial" w:cs="Arial"/>
          <w:sz w:val="24"/>
          <w:szCs w:val="24"/>
        </w:rPr>
        <w:t>a</w:t>
      </w:r>
      <w:r w:rsidRPr="004B4EB4">
        <w:rPr>
          <w:rFonts w:ascii="Arial" w:hAnsi="Arial" w:cs="Arial"/>
          <w:sz w:val="24"/>
          <w:szCs w:val="24"/>
        </w:rPr>
        <w:t xml:space="preserve"> </w:t>
      </w:r>
      <w:r w:rsidRPr="004B4EB4">
        <w:rPr>
          <w:rFonts w:ascii="Arial" w:hAnsi="Arial" w:cs="Arial"/>
          <w:sz w:val="22"/>
          <w:szCs w:val="24"/>
        </w:rPr>
        <w:t>P</w:t>
      </w:r>
      <w:r w:rsidR="00F34A56">
        <w:rPr>
          <w:rFonts w:ascii="Arial" w:hAnsi="Arial" w:cs="Arial"/>
          <w:sz w:val="22"/>
          <w:szCs w:val="24"/>
        </w:rPr>
        <w:t>ROCURADURÍA PROVINCIAL DE PEREIRA</w:t>
      </w:r>
      <w:r w:rsidRPr="004B4EB4">
        <w:rPr>
          <w:rFonts w:ascii="Arial" w:hAnsi="Arial" w:cs="Arial"/>
          <w:sz w:val="24"/>
          <w:szCs w:val="24"/>
        </w:rPr>
        <w:t>, si no fuese porque se carece de competencia para adelantar su trámite, como pasa a explicarse:</w:t>
      </w:r>
    </w:p>
    <w:p w:rsidR="00DB335C" w:rsidRPr="004B4EB4" w:rsidRDefault="00DB335C" w:rsidP="00DB335C">
      <w:pPr>
        <w:spacing w:line="360" w:lineRule="auto"/>
        <w:ind w:firstLine="2835"/>
        <w:jc w:val="both"/>
        <w:rPr>
          <w:rFonts w:ascii="Arial" w:hAnsi="Arial" w:cs="Arial"/>
          <w:sz w:val="16"/>
          <w:szCs w:val="16"/>
        </w:rPr>
      </w:pPr>
    </w:p>
    <w:p w:rsidR="00DB335C" w:rsidRPr="00A971B5" w:rsidRDefault="00DB335C" w:rsidP="00DB335C">
      <w:pPr>
        <w:pStyle w:val="Sinespaciado1"/>
        <w:spacing w:line="360" w:lineRule="auto"/>
        <w:ind w:firstLine="2835"/>
        <w:rPr>
          <w:rFonts w:ascii="Arial" w:hAnsi="Arial" w:cs="Arial"/>
          <w:b/>
          <w:szCs w:val="25"/>
          <w:lang w:val="es-ES" w:eastAsia="es-ES"/>
        </w:rPr>
      </w:pPr>
      <w:r w:rsidRPr="00A971B5">
        <w:rPr>
          <w:rFonts w:ascii="Arial" w:hAnsi="Arial" w:cs="Arial"/>
          <w:b/>
          <w:szCs w:val="25"/>
          <w:lang w:val="es-ES" w:eastAsia="es-ES"/>
        </w:rPr>
        <w:t xml:space="preserve">II. CONSIDERACIONES </w:t>
      </w:r>
    </w:p>
    <w:p w:rsidR="00DB335C" w:rsidRPr="004B4EB4" w:rsidRDefault="00DB335C" w:rsidP="00DB335C">
      <w:pPr>
        <w:spacing w:line="360" w:lineRule="auto"/>
        <w:ind w:firstLine="2835"/>
        <w:jc w:val="both"/>
        <w:rPr>
          <w:rFonts w:ascii="Arial" w:hAnsi="Arial" w:cs="Arial"/>
          <w:sz w:val="16"/>
          <w:szCs w:val="16"/>
        </w:rPr>
      </w:pPr>
    </w:p>
    <w:p w:rsidR="00DB335C" w:rsidRDefault="00DB335C" w:rsidP="00DB335C">
      <w:pPr>
        <w:spacing w:line="360" w:lineRule="auto"/>
        <w:ind w:firstLine="2835"/>
        <w:jc w:val="both"/>
        <w:rPr>
          <w:rFonts w:ascii="Arial" w:hAnsi="Arial" w:cs="Arial"/>
          <w:i/>
          <w:spacing w:val="-3"/>
          <w:sz w:val="16"/>
          <w:szCs w:val="26"/>
        </w:rPr>
      </w:pPr>
      <w:r w:rsidRPr="004B4EB4">
        <w:rPr>
          <w:rFonts w:ascii="Arial" w:hAnsi="Arial" w:cs="Arial"/>
          <w:sz w:val="24"/>
          <w:szCs w:val="26"/>
        </w:rPr>
        <w:t xml:space="preserve">1. </w:t>
      </w:r>
      <w:r w:rsidR="00BA4305">
        <w:rPr>
          <w:rFonts w:ascii="Arial" w:hAnsi="Arial" w:cs="Arial"/>
          <w:spacing w:val="-3"/>
          <w:sz w:val="24"/>
          <w:szCs w:val="26"/>
        </w:rPr>
        <w:t>E</w:t>
      </w:r>
      <w:r w:rsidR="00BA4305" w:rsidRPr="004B4EB4">
        <w:rPr>
          <w:rFonts w:ascii="Arial" w:hAnsi="Arial" w:cs="Arial"/>
          <w:spacing w:val="-3"/>
          <w:sz w:val="24"/>
          <w:szCs w:val="26"/>
        </w:rPr>
        <w:t>l gestor constitucional, instauró acción de tutela contra la referida autoridad</w:t>
      </w:r>
      <w:r w:rsidR="00BA4305">
        <w:rPr>
          <w:rFonts w:ascii="Arial" w:hAnsi="Arial" w:cs="Arial"/>
          <w:spacing w:val="-3"/>
          <w:sz w:val="24"/>
          <w:szCs w:val="26"/>
        </w:rPr>
        <w:t>,</w:t>
      </w:r>
      <w:r w:rsidR="00BA4305" w:rsidRPr="004B4EB4">
        <w:rPr>
          <w:rFonts w:ascii="Arial" w:hAnsi="Arial" w:cs="Arial"/>
          <w:sz w:val="24"/>
          <w:szCs w:val="26"/>
        </w:rPr>
        <w:t xml:space="preserve"> </w:t>
      </w:r>
      <w:r w:rsidR="00BA4305">
        <w:rPr>
          <w:rFonts w:ascii="Arial" w:hAnsi="Arial" w:cs="Arial"/>
          <w:sz w:val="24"/>
          <w:szCs w:val="26"/>
        </w:rPr>
        <w:t>p</w:t>
      </w:r>
      <w:r w:rsidRPr="004B4EB4">
        <w:rPr>
          <w:rFonts w:ascii="Arial" w:hAnsi="Arial" w:cs="Arial"/>
          <w:sz w:val="24"/>
          <w:szCs w:val="26"/>
        </w:rPr>
        <w:t>or suponer vulnerado</w:t>
      </w:r>
      <w:r w:rsidR="00BA4305">
        <w:rPr>
          <w:rFonts w:ascii="Arial" w:hAnsi="Arial" w:cs="Arial"/>
          <w:sz w:val="24"/>
          <w:szCs w:val="26"/>
        </w:rPr>
        <w:t>s</w:t>
      </w:r>
      <w:r w:rsidRPr="004B4EB4">
        <w:rPr>
          <w:rFonts w:ascii="Arial" w:hAnsi="Arial" w:cs="Arial"/>
          <w:sz w:val="24"/>
          <w:szCs w:val="26"/>
        </w:rPr>
        <w:t xml:space="preserve"> </w:t>
      </w:r>
      <w:r w:rsidRPr="004B4EB4">
        <w:rPr>
          <w:rFonts w:ascii="Arial" w:hAnsi="Arial" w:cs="Arial"/>
          <w:spacing w:val="-3"/>
          <w:sz w:val="24"/>
          <w:szCs w:val="26"/>
        </w:rPr>
        <w:t>su</w:t>
      </w:r>
      <w:r w:rsidR="00F34A56">
        <w:rPr>
          <w:rFonts w:ascii="Arial" w:hAnsi="Arial" w:cs="Arial"/>
          <w:spacing w:val="-3"/>
          <w:sz w:val="24"/>
          <w:szCs w:val="26"/>
        </w:rPr>
        <w:t>s</w:t>
      </w:r>
      <w:r w:rsidRPr="004B4EB4">
        <w:rPr>
          <w:rFonts w:ascii="Arial" w:hAnsi="Arial" w:cs="Arial"/>
          <w:spacing w:val="-3"/>
          <w:sz w:val="24"/>
          <w:szCs w:val="26"/>
        </w:rPr>
        <w:t xml:space="preserve"> derecho</w:t>
      </w:r>
      <w:r w:rsidR="00F34A56">
        <w:rPr>
          <w:rFonts w:ascii="Arial" w:hAnsi="Arial" w:cs="Arial"/>
          <w:spacing w:val="-3"/>
          <w:sz w:val="24"/>
          <w:szCs w:val="26"/>
        </w:rPr>
        <w:t>s</w:t>
      </w:r>
      <w:r w:rsidRPr="004B4EB4">
        <w:rPr>
          <w:rFonts w:ascii="Arial" w:hAnsi="Arial" w:cs="Arial"/>
          <w:spacing w:val="-3"/>
          <w:sz w:val="24"/>
          <w:szCs w:val="26"/>
        </w:rPr>
        <w:t xml:space="preserve"> fundamental</w:t>
      </w:r>
      <w:r w:rsidR="00F34A56">
        <w:rPr>
          <w:rFonts w:ascii="Arial" w:hAnsi="Arial" w:cs="Arial"/>
          <w:spacing w:val="-3"/>
          <w:sz w:val="24"/>
          <w:szCs w:val="26"/>
        </w:rPr>
        <w:t>es</w:t>
      </w:r>
      <w:r w:rsidRPr="004B4EB4">
        <w:rPr>
          <w:rFonts w:ascii="Arial" w:hAnsi="Arial" w:cs="Arial"/>
          <w:spacing w:val="-3"/>
          <w:sz w:val="24"/>
          <w:szCs w:val="26"/>
        </w:rPr>
        <w:t xml:space="preserve"> de </w:t>
      </w:r>
      <w:r w:rsidR="00F34A56">
        <w:rPr>
          <w:rFonts w:ascii="Arial" w:hAnsi="Arial" w:cs="Arial"/>
          <w:spacing w:val="-3"/>
          <w:sz w:val="24"/>
          <w:szCs w:val="26"/>
        </w:rPr>
        <w:t>defensa y debido proceso</w:t>
      </w:r>
      <w:r w:rsidRPr="004B4EB4">
        <w:rPr>
          <w:rFonts w:ascii="Arial" w:hAnsi="Arial" w:cs="Arial"/>
          <w:spacing w:val="-3"/>
          <w:sz w:val="24"/>
          <w:szCs w:val="26"/>
        </w:rPr>
        <w:t xml:space="preserve">, </w:t>
      </w:r>
      <w:r w:rsidR="00F34A56">
        <w:rPr>
          <w:rFonts w:ascii="Arial" w:hAnsi="Arial" w:cs="Arial"/>
          <w:spacing w:val="-3"/>
          <w:sz w:val="24"/>
          <w:szCs w:val="26"/>
        </w:rPr>
        <w:t>en el trámite de un proceso disciplinario iniciado en su contra</w:t>
      </w:r>
      <w:r>
        <w:rPr>
          <w:rFonts w:ascii="Arial" w:hAnsi="Arial" w:cs="Arial"/>
          <w:i/>
          <w:spacing w:val="-3"/>
          <w:sz w:val="26"/>
          <w:szCs w:val="26"/>
        </w:rPr>
        <w:t>.</w:t>
      </w: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2. Esta Sala se declarará incompetente para conoc</w:t>
      </w:r>
      <w:r w:rsidR="006454C9" w:rsidRPr="004B4EB4">
        <w:rPr>
          <w:rFonts w:ascii="Arial" w:hAnsi="Arial" w:cs="Arial"/>
          <w:sz w:val="24"/>
          <w:szCs w:val="24"/>
        </w:rPr>
        <w:t>er del asunto, en acatamiento al</w:t>
      </w:r>
      <w:r w:rsidRPr="004B4EB4">
        <w:rPr>
          <w:rFonts w:ascii="Arial" w:hAnsi="Arial" w:cs="Arial"/>
          <w:sz w:val="24"/>
          <w:szCs w:val="24"/>
        </w:rPr>
        <w:t xml:space="preserve"> pronunciamiento de la Sala de Casación Civil de la</w:t>
      </w:r>
      <w:r w:rsidR="00BA4305">
        <w:rPr>
          <w:rFonts w:ascii="Arial" w:hAnsi="Arial" w:cs="Arial"/>
          <w:sz w:val="24"/>
          <w:szCs w:val="24"/>
        </w:rPr>
        <w:t xml:space="preserve"> Corte Suprema de Justicia de 19</w:t>
      </w:r>
      <w:r w:rsidRPr="004B4EB4">
        <w:rPr>
          <w:rFonts w:ascii="Arial" w:hAnsi="Arial" w:cs="Arial"/>
          <w:sz w:val="24"/>
          <w:szCs w:val="24"/>
        </w:rPr>
        <w:t xml:space="preserve"> de </w:t>
      </w:r>
      <w:r w:rsidR="00BA4305">
        <w:rPr>
          <w:rFonts w:ascii="Arial" w:hAnsi="Arial" w:cs="Arial"/>
          <w:sz w:val="24"/>
          <w:szCs w:val="24"/>
        </w:rPr>
        <w:t>may</w:t>
      </w:r>
      <w:r w:rsidRPr="004B4EB4">
        <w:rPr>
          <w:rFonts w:ascii="Arial" w:hAnsi="Arial" w:cs="Arial"/>
          <w:sz w:val="24"/>
          <w:szCs w:val="24"/>
        </w:rPr>
        <w:t>o de 201</w:t>
      </w:r>
      <w:r w:rsidR="00BA4305">
        <w:rPr>
          <w:rFonts w:ascii="Arial" w:hAnsi="Arial" w:cs="Arial"/>
          <w:sz w:val="24"/>
          <w:szCs w:val="24"/>
        </w:rPr>
        <w:t>6</w:t>
      </w:r>
      <w:r w:rsidRPr="004B4EB4">
        <w:rPr>
          <w:rFonts w:ascii="Arial" w:hAnsi="Arial" w:cs="Arial"/>
          <w:sz w:val="24"/>
          <w:szCs w:val="24"/>
        </w:rPr>
        <w:t xml:space="preserve">, donde en </w:t>
      </w:r>
      <w:r w:rsidR="00BA4305">
        <w:rPr>
          <w:rFonts w:ascii="Arial" w:hAnsi="Arial" w:cs="Arial"/>
          <w:sz w:val="24"/>
          <w:szCs w:val="24"/>
        </w:rPr>
        <w:t xml:space="preserve">un </w:t>
      </w:r>
      <w:r w:rsidRPr="004B4EB4">
        <w:rPr>
          <w:rFonts w:ascii="Arial" w:hAnsi="Arial" w:cs="Arial"/>
          <w:sz w:val="24"/>
          <w:szCs w:val="24"/>
        </w:rPr>
        <w:t xml:space="preserve">asunto similar, </w:t>
      </w:r>
      <w:r w:rsidRPr="004B4EB4">
        <w:rPr>
          <w:rFonts w:ascii="Arial" w:hAnsi="Arial" w:cs="Arial"/>
          <w:sz w:val="24"/>
          <w:szCs w:val="24"/>
        </w:rPr>
        <w:lastRenderedPageBreak/>
        <w:t>declaró la nulidad de todo lo actuado y ordenó remitir el expediente a los jueces municipales, que consideró, eran los competentes para conocer del caso, en donde reseñó:</w:t>
      </w:r>
    </w:p>
    <w:p w:rsidR="00894301" w:rsidRPr="004B4EB4" w:rsidRDefault="00894301" w:rsidP="00DB335C">
      <w:pPr>
        <w:spacing w:line="360" w:lineRule="auto"/>
        <w:ind w:firstLine="2835"/>
        <w:jc w:val="both"/>
        <w:rPr>
          <w:rFonts w:ascii="Arial" w:hAnsi="Arial" w:cs="Arial"/>
          <w:sz w:val="10"/>
          <w:szCs w:val="16"/>
        </w:rPr>
      </w:pPr>
    </w:p>
    <w:p w:rsidR="00BA4305" w:rsidRPr="00BA4305" w:rsidRDefault="00DB335C" w:rsidP="00BA4305">
      <w:pPr>
        <w:pStyle w:val="Sansinterligne"/>
        <w:ind w:right="476" w:firstLine="2835"/>
        <w:jc w:val="both"/>
        <w:rPr>
          <w:rFonts w:ascii="Arial" w:hAnsi="Arial" w:cs="Arial"/>
          <w:i/>
          <w:sz w:val="22"/>
          <w:szCs w:val="24"/>
        </w:rPr>
      </w:pPr>
      <w:r w:rsidRPr="004B4EB4">
        <w:rPr>
          <w:rFonts w:ascii="Arial" w:hAnsi="Arial" w:cs="Arial"/>
          <w:i/>
          <w:sz w:val="22"/>
          <w:szCs w:val="24"/>
          <w:lang w:val="es-MX" w:eastAsia="es-CO"/>
        </w:rPr>
        <w:t>“</w:t>
      </w:r>
      <w:r w:rsidR="00BA4305" w:rsidRPr="00BA4305">
        <w:rPr>
          <w:rFonts w:ascii="Arial" w:hAnsi="Arial" w:cs="Arial"/>
          <w:i/>
          <w:sz w:val="22"/>
          <w:szCs w:val="24"/>
        </w:rPr>
        <w:t xml:space="preserve">Así las cosas, el Tribunal no podía asumir el conocimiento de la salvaguarda y, por supuesto, la Corte Suprema de Justicia, Sala de Casación Civil tampoco es competente para desatar la alzada, conforme a la regla contenida en el inciso 1°, numeral 1° del artículo 2.2.3.1.2.1 del Decreto 1069 de 2015, según el cual, </w:t>
      </w:r>
    </w:p>
    <w:p w:rsidR="00BA4305" w:rsidRPr="00BA4305" w:rsidRDefault="00BA4305" w:rsidP="00BA4305">
      <w:pPr>
        <w:pStyle w:val="Sansinterligne"/>
        <w:ind w:right="476" w:firstLine="2835"/>
        <w:jc w:val="both"/>
        <w:rPr>
          <w:rFonts w:ascii="Arial" w:hAnsi="Arial" w:cs="Arial"/>
          <w:i/>
          <w:sz w:val="22"/>
          <w:szCs w:val="24"/>
        </w:rPr>
      </w:pPr>
    </w:p>
    <w:p w:rsidR="00BA4305" w:rsidRPr="00BA4305" w:rsidRDefault="00BA4305" w:rsidP="00596B13">
      <w:pPr>
        <w:pStyle w:val="Sansinterligne"/>
        <w:ind w:right="851" w:firstLine="2835"/>
        <w:jc w:val="both"/>
        <w:rPr>
          <w:rFonts w:ascii="Arial" w:hAnsi="Arial" w:cs="Arial"/>
          <w:i/>
          <w:sz w:val="22"/>
          <w:szCs w:val="24"/>
        </w:rPr>
      </w:pPr>
      <w:r w:rsidRPr="00BA4305">
        <w:rPr>
          <w:rFonts w:ascii="Arial" w:hAnsi="Arial" w:cs="Arial"/>
          <w:i/>
          <w:sz w:val="22"/>
          <w:szCs w:val="24"/>
        </w:rPr>
        <w:t>(…)A los jueces municipales les serán repartidas para su conocimiento en primera instancia, las acciones de tutela que se interpongan contra cualquier autoridad pública del orden Distrital o municipal y contra particulares.</w:t>
      </w:r>
    </w:p>
    <w:p w:rsidR="00BA4305" w:rsidRPr="00BA4305" w:rsidRDefault="00BA4305" w:rsidP="00BA4305">
      <w:pPr>
        <w:pStyle w:val="Sansinterligne"/>
        <w:ind w:right="476" w:firstLine="2835"/>
        <w:jc w:val="both"/>
        <w:rPr>
          <w:rFonts w:ascii="Arial" w:hAnsi="Arial" w:cs="Arial"/>
          <w:i/>
          <w:sz w:val="22"/>
          <w:szCs w:val="24"/>
        </w:rPr>
      </w:pPr>
    </w:p>
    <w:p w:rsidR="00BA4305" w:rsidRPr="00BA4305" w:rsidRDefault="00BA4305" w:rsidP="00BA4305">
      <w:pPr>
        <w:pStyle w:val="Sansinterligne"/>
        <w:ind w:right="476" w:firstLine="2835"/>
        <w:jc w:val="both"/>
        <w:rPr>
          <w:rFonts w:ascii="Arial" w:hAnsi="Arial" w:cs="Arial"/>
          <w:i/>
          <w:sz w:val="22"/>
          <w:szCs w:val="24"/>
        </w:rPr>
      </w:pPr>
      <w:r w:rsidRPr="00BA4305">
        <w:rPr>
          <w:rFonts w:ascii="Arial" w:hAnsi="Arial" w:cs="Arial"/>
          <w:i/>
          <w:sz w:val="22"/>
          <w:szCs w:val="24"/>
        </w:rPr>
        <w:t xml:space="preserve">        Esto por cuanto, según los artículos 2° y 76 del Decreto 262 de 2000, que modificó la estructura y organización de la Procuraduría General de la Nación, las provinciales ejercen competencias sólo en su territorio, en este caso Facatativá, por lo cual se asemejan a entidades del orden municipal. </w:t>
      </w:r>
      <w:r w:rsidRPr="00BA4305">
        <w:rPr>
          <w:rFonts w:ascii="Arial" w:hAnsi="Arial" w:cs="Arial"/>
          <w:i/>
          <w:sz w:val="22"/>
          <w:szCs w:val="24"/>
        </w:rPr>
        <w:tab/>
      </w:r>
    </w:p>
    <w:p w:rsidR="00BA4305" w:rsidRPr="00BA4305" w:rsidRDefault="00BA4305" w:rsidP="00BA4305">
      <w:pPr>
        <w:pStyle w:val="Sansinterligne"/>
        <w:ind w:right="476" w:firstLine="2835"/>
        <w:jc w:val="both"/>
        <w:rPr>
          <w:rFonts w:ascii="Arial" w:hAnsi="Arial" w:cs="Arial"/>
          <w:i/>
          <w:sz w:val="22"/>
          <w:szCs w:val="24"/>
        </w:rPr>
      </w:pPr>
      <w:r w:rsidRPr="00BA4305">
        <w:rPr>
          <w:rFonts w:ascii="Arial" w:hAnsi="Arial" w:cs="Arial"/>
          <w:i/>
          <w:sz w:val="22"/>
          <w:szCs w:val="24"/>
        </w:rPr>
        <w:t>En situaciones similares, la Sala ha expuesto que,</w:t>
      </w:r>
    </w:p>
    <w:p w:rsidR="00BA4305" w:rsidRPr="00BA4305" w:rsidRDefault="00BA4305" w:rsidP="00BA4305">
      <w:pPr>
        <w:pStyle w:val="Sansinterligne"/>
        <w:ind w:right="476" w:firstLine="2835"/>
        <w:jc w:val="both"/>
        <w:rPr>
          <w:rFonts w:ascii="Arial" w:hAnsi="Arial" w:cs="Arial"/>
          <w:i/>
          <w:sz w:val="22"/>
          <w:szCs w:val="24"/>
        </w:rPr>
      </w:pPr>
    </w:p>
    <w:p w:rsidR="00BA4305" w:rsidRPr="00BA4305" w:rsidRDefault="00BA4305" w:rsidP="00B342CF">
      <w:pPr>
        <w:pStyle w:val="Sansinterligne"/>
        <w:ind w:left="567" w:right="851" w:firstLine="2835"/>
        <w:jc w:val="both"/>
        <w:rPr>
          <w:rFonts w:ascii="Arial" w:hAnsi="Arial" w:cs="Arial"/>
          <w:i/>
          <w:sz w:val="22"/>
          <w:szCs w:val="24"/>
        </w:rPr>
      </w:pPr>
      <w:r w:rsidRPr="00BA4305">
        <w:rPr>
          <w:rFonts w:ascii="Arial" w:hAnsi="Arial" w:cs="Arial"/>
          <w:i/>
          <w:sz w:val="22"/>
          <w:szCs w:val="24"/>
        </w:rPr>
        <w:t>(…) la Procuraduría Provincial de Cali solo tiene competencia en su territorio, conforme lo reglan los cánones 2 y 76 del Decreto 262 de 2000 , por el cual se modificó la estructura y organización de la Procuraduría General de la Nación, en consecuencia, la  queja constitucional frente a las aquí querelladas, no corresponde resolverla al Tribunal, sino a los estrados municipales, por cuanto ese ente se asemeja a una autoridad del orden municipal, precisamente, por su campo de acción (CSJ, ATC6042-2015, 15 oct., rad. 00611-01).</w:t>
      </w:r>
    </w:p>
    <w:p w:rsidR="00BA4305" w:rsidRPr="00BA4305" w:rsidRDefault="00BA4305" w:rsidP="00BA4305">
      <w:pPr>
        <w:pStyle w:val="Sansinterligne"/>
        <w:ind w:right="476" w:firstLine="2835"/>
        <w:jc w:val="both"/>
        <w:rPr>
          <w:rFonts w:ascii="Arial" w:hAnsi="Arial" w:cs="Arial"/>
          <w:i/>
          <w:sz w:val="22"/>
          <w:szCs w:val="24"/>
        </w:rPr>
      </w:pPr>
    </w:p>
    <w:p w:rsidR="00BA4305" w:rsidRPr="00BA4305" w:rsidRDefault="00BA4305" w:rsidP="00BA4305">
      <w:pPr>
        <w:pStyle w:val="Sansinterligne"/>
        <w:ind w:right="476" w:firstLine="2835"/>
        <w:jc w:val="both"/>
        <w:rPr>
          <w:rFonts w:ascii="Arial" w:hAnsi="Arial" w:cs="Arial"/>
          <w:i/>
          <w:sz w:val="22"/>
          <w:szCs w:val="24"/>
        </w:rPr>
      </w:pPr>
      <w:r w:rsidRPr="00BA4305">
        <w:rPr>
          <w:rFonts w:ascii="Arial" w:hAnsi="Arial" w:cs="Arial"/>
          <w:i/>
          <w:sz w:val="22"/>
          <w:szCs w:val="24"/>
        </w:rPr>
        <w:t xml:space="preserve">Con idéntica orientación, justamente en un resguardo que involucraba a la Procuraduría Provincial de Facatativá, se definió que,  </w:t>
      </w:r>
    </w:p>
    <w:p w:rsidR="00BA4305" w:rsidRPr="00BA4305" w:rsidRDefault="00BA4305" w:rsidP="00BA4305">
      <w:pPr>
        <w:pStyle w:val="Sansinterligne"/>
        <w:ind w:right="476" w:firstLine="2835"/>
        <w:jc w:val="both"/>
        <w:rPr>
          <w:rFonts w:ascii="Arial" w:hAnsi="Arial" w:cs="Arial"/>
          <w:i/>
          <w:sz w:val="22"/>
          <w:szCs w:val="24"/>
        </w:rPr>
      </w:pPr>
    </w:p>
    <w:p w:rsidR="00DB335C" w:rsidRPr="004B4EB4" w:rsidRDefault="00BA4305" w:rsidP="00B342CF">
      <w:pPr>
        <w:pStyle w:val="Sansinterligne"/>
        <w:ind w:left="567" w:right="851" w:firstLine="2835"/>
        <w:jc w:val="both"/>
        <w:rPr>
          <w:rFonts w:ascii="Arial" w:hAnsi="Arial" w:cs="Arial"/>
          <w:i/>
          <w:sz w:val="24"/>
          <w:szCs w:val="24"/>
        </w:rPr>
      </w:pPr>
      <w:r w:rsidRPr="00BA4305">
        <w:rPr>
          <w:rFonts w:ascii="Arial" w:hAnsi="Arial" w:cs="Arial"/>
          <w:i/>
          <w:sz w:val="22"/>
          <w:szCs w:val="24"/>
        </w:rPr>
        <w:t xml:space="preserve">(…) en el sub-lite se acciona exclusivamente contra la Procuraduría Provincial de Facatativá, por no responder el derecho de petición presentado por el gestor el 29 de octubre de 2013. Ahora, la entidad denunciada sólo tiene competencia dentro de su territorio conforme a los artículos 2 y 76 del Decreto 262 de 2000, por el cual se modificó la estructura y organización de la Procuraduría General de la Nación. En consecuencia, la queja constitucional frente a la aquí querellada, no corresponde al Tribunal. Esta Sala atendiendo a las referidas disposiciones normativas, ha señalado: “(…) las autoridades acusadas son del orden municipal incluso la Procuraduría Provincial conforme lo prevén los artículos 2º y 76 del Decreto 262 de 2000 mediante el “cual se modifican la estructura y la organización de la Procuraduría General de la Nación y del Instituto de Estudios del Ministerio Público; el régimen de competencias interno de la Procuraduría General; se dictan normas para su funcionamiento; se modifica el régimen de carrera de la Procuraduría General de la Nación, el de inhabilidades e incompatibilidades de sus servidores y se regulan las diversas situaciones administrativas a las que se encuentren sujetos (...)”. En consecuencia, de acuerdo con lo dispuesto en el inciso 3° del numeral 1° del artículo 1º del Decreto 1382 de 2000, el conocimiento de la presente acción de tutela, en primera instancia, le corresponde a los Jueces municipales, por dirigirse la queja frente a una </w:t>
      </w:r>
      <w:r w:rsidRPr="00BA4305">
        <w:rPr>
          <w:rFonts w:ascii="Arial" w:hAnsi="Arial" w:cs="Arial"/>
          <w:i/>
          <w:sz w:val="22"/>
          <w:szCs w:val="24"/>
        </w:rPr>
        <w:lastRenderedPageBreak/>
        <w:t>entidad del orden del municipal (CSJ, ATC344-2014, 4 feb., rad. 2013-00420-01, reiterado en ATC6042-2015, ya citado).</w:t>
      </w:r>
      <w:r w:rsidR="00DB335C" w:rsidRPr="004B4EB4">
        <w:rPr>
          <w:rFonts w:ascii="Arial" w:hAnsi="Arial" w:cs="Arial"/>
          <w:i/>
          <w:sz w:val="22"/>
          <w:szCs w:val="24"/>
        </w:rPr>
        <w:t>”</w:t>
      </w:r>
      <w:r w:rsidR="00DB335C" w:rsidRPr="004B4EB4">
        <w:rPr>
          <w:rStyle w:val="Appelnotedebasdep"/>
          <w:rFonts w:ascii="Arial" w:hAnsi="Arial" w:cs="Arial"/>
          <w:i/>
          <w:sz w:val="22"/>
          <w:szCs w:val="24"/>
        </w:rPr>
        <w:footnoteReference w:id="1"/>
      </w:r>
    </w:p>
    <w:p w:rsidR="00691D92" w:rsidRPr="004B4EB4" w:rsidRDefault="00691D92" w:rsidP="00691D92">
      <w:pPr>
        <w:pStyle w:val="Sansinterligne"/>
        <w:ind w:right="476" w:firstLine="2835"/>
        <w:jc w:val="both"/>
        <w:rPr>
          <w:rFonts w:ascii="Arial" w:hAnsi="Arial" w:cs="Arial"/>
          <w:i/>
          <w:sz w:val="24"/>
          <w:szCs w:val="24"/>
        </w:rPr>
      </w:pPr>
    </w:p>
    <w:p w:rsidR="00DB335C" w:rsidRPr="009B5BE4" w:rsidRDefault="00DB335C" w:rsidP="00DB335C">
      <w:pPr>
        <w:pStyle w:val="Sinespaciado1"/>
        <w:spacing w:line="360" w:lineRule="auto"/>
        <w:ind w:firstLine="2835"/>
        <w:jc w:val="both"/>
        <w:rPr>
          <w:rFonts w:ascii="Arial" w:hAnsi="Arial" w:cs="Arial"/>
          <w:sz w:val="26"/>
          <w:szCs w:val="26"/>
          <w:lang w:val="es-ES"/>
        </w:rPr>
      </w:pPr>
      <w:r w:rsidRPr="004B4EB4">
        <w:rPr>
          <w:rFonts w:ascii="Arial" w:hAnsi="Arial" w:cs="Arial"/>
          <w:sz w:val="24"/>
          <w:szCs w:val="24"/>
          <w:lang w:val="es-ES" w:eastAsia="es-ES"/>
        </w:rPr>
        <w:t xml:space="preserve">Lo anterior es suficiente para concluir que este Tribunal no es el competente para conocer del presente asunto, siendo así, se procederá a ordenar su remisión </w:t>
      </w:r>
      <w:r w:rsidRPr="004B4EB4">
        <w:rPr>
          <w:rFonts w:ascii="Arial" w:hAnsi="Arial" w:cs="Arial"/>
          <w:sz w:val="24"/>
          <w:szCs w:val="24"/>
          <w:lang w:val="es-ES"/>
        </w:rPr>
        <w:t>a la Oficina de Administración Judicial para que sea repartida entre los jueces con categoría de municipales de esta ciudad.</w:t>
      </w:r>
    </w:p>
    <w:p w:rsidR="00DB335C" w:rsidRPr="004B4EB4" w:rsidRDefault="00DB335C" w:rsidP="00DB335C">
      <w:pPr>
        <w:pStyle w:val="Sinespaciado1"/>
        <w:spacing w:line="360" w:lineRule="auto"/>
        <w:ind w:firstLine="2835"/>
        <w:jc w:val="both"/>
        <w:rPr>
          <w:rFonts w:ascii="Verdana" w:hAnsi="Verdana"/>
          <w:sz w:val="16"/>
          <w:szCs w:val="16"/>
          <w:lang w:val="es-ES"/>
        </w:rPr>
      </w:pPr>
    </w:p>
    <w:p w:rsidR="00BD3353" w:rsidRDefault="00BD3353" w:rsidP="00BD3353">
      <w:pPr>
        <w:pStyle w:val="Sinespaciado1"/>
        <w:spacing w:line="360" w:lineRule="auto"/>
        <w:ind w:firstLine="2835"/>
        <w:jc w:val="both"/>
        <w:rPr>
          <w:rFonts w:ascii="Arial" w:hAnsi="Arial" w:cs="Arial"/>
          <w:i/>
          <w:sz w:val="24"/>
          <w:szCs w:val="24"/>
          <w:lang w:val="es-ES_tradnl"/>
        </w:rPr>
      </w:pPr>
      <w:r w:rsidRPr="00BD3353">
        <w:rPr>
          <w:rFonts w:ascii="Arial" w:hAnsi="Arial" w:cs="Arial"/>
          <w:spacing w:val="-3"/>
          <w:sz w:val="24"/>
          <w:szCs w:val="26"/>
        </w:rPr>
        <w:t xml:space="preserve">3. </w:t>
      </w:r>
      <w:r w:rsidRPr="0027272F">
        <w:rPr>
          <w:rFonts w:ascii="Arial" w:hAnsi="Arial" w:cs="Arial"/>
          <w:i/>
          <w:sz w:val="24"/>
          <w:szCs w:val="24"/>
          <w:lang w:val="es-ES_tradnl"/>
        </w:rPr>
        <w:t xml:space="preserve">“Por otra parte, aunque el trámite del amparo se rige por los principios de informalidad, sumariedad y celeridad, la competencia del juez está  indisociablemente [ligada] con el derecho fundamental del debido proceso (artículo 29 de Carta), el acceso al juez natural y la administración de justicia, de donde, ‘según la jurisprudencia constitucional la falta de competencia del juez de tutela genera nulidad insaneable y la constatación de la misma no puede pasarse por alto, por más urgente que sea el pronunciamiento requerido, pues (…) la competencia del juez se relaciona estrechamente con el derecho constitucional fundamental al debido proceso’ (Auto </w:t>
      </w:r>
      <w:smartTag w:uri="urn:schemas-microsoft-com:office:smarttags" w:element="metricconverter">
        <w:smartTagPr>
          <w:attr w:name="ProductID" w:val="304 A"/>
        </w:smartTagPr>
        <w:r w:rsidRPr="0027272F">
          <w:rPr>
            <w:rFonts w:ascii="Arial" w:hAnsi="Arial" w:cs="Arial"/>
            <w:i/>
            <w:sz w:val="24"/>
            <w:szCs w:val="24"/>
            <w:lang w:val="es-ES_tradnl"/>
          </w:rPr>
          <w:t>304 A</w:t>
        </w:r>
      </w:smartTag>
      <w:r w:rsidRPr="0027272F">
        <w:rPr>
          <w:rFonts w:ascii="Arial" w:hAnsi="Arial" w:cs="Arial"/>
          <w:i/>
          <w:sz w:val="24"/>
          <w:szCs w:val="24"/>
          <w:lang w:val="es-ES_tradnl"/>
        </w:rPr>
        <w:t xml:space="preserve">  de 2007), ‘el cual establece que nadie puede ser juzgado sino conforme a leyes preexistentes al acto que se le imputa, ante juez o tribunal competente y con observancia de la plenitud de las formas propias de cada juicio’ (Auto </w:t>
      </w:r>
      <w:smartTag w:uri="urn:schemas-microsoft-com:office:smarttags" w:element="metricconverter">
        <w:smartTagPr>
          <w:attr w:name="ProductID" w:val="072 A"/>
        </w:smartTagPr>
        <w:r w:rsidRPr="0027272F">
          <w:rPr>
            <w:rFonts w:ascii="Arial" w:hAnsi="Arial" w:cs="Arial"/>
            <w:i/>
            <w:sz w:val="24"/>
            <w:szCs w:val="24"/>
            <w:lang w:val="es-ES_tradnl"/>
          </w:rPr>
          <w:t>072 A</w:t>
        </w:r>
      </w:smartTag>
      <w:r w:rsidRPr="0027272F">
        <w:rPr>
          <w:rFonts w:ascii="Arial" w:hAnsi="Arial" w:cs="Arial"/>
          <w:i/>
          <w:sz w:val="24"/>
          <w:szCs w:val="24"/>
          <w:lang w:val="es-ES_tradnl"/>
        </w:rPr>
        <w:t xml:space="preserve"> de 2006, Corte Constitucional).”</w:t>
      </w:r>
      <w:r>
        <w:rPr>
          <w:rStyle w:val="Appelnotedebasdep"/>
          <w:rFonts w:ascii="Arial" w:hAnsi="Arial" w:cs="Arial"/>
          <w:i/>
          <w:sz w:val="24"/>
          <w:szCs w:val="24"/>
          <w:lang w:val="es-ES_tradnl"/>
        </w:rPr>
        <w:footnoteReference w:id="2"/>
      </w:r>
    </w:p>
    <w:p w:rsidR="00BD3353" w:rsidRPr="001671E4" w:rsidRDefault="00BD3353" w:rsidP="00BD3353">
      <w:pPr>
        <w:pStyle w:val="Sinespaciado1"/>
        <w:spacing w:line="360" w:lineRule="auto"/>
        <w:ind w:firstLine="2835"/>
        <w:jc w:val="both"/>
        <w:rPr>
          <w:rFonts w:ascii="Arial" w:hAnsi="Arial" w:cs="Arial"/>
          <w:i/>
          <w:sz w:val="16"/>
          <w:szCs w:val="16"/>
          <w:lang w:val="es-ES_tradnl"/>
        </w:rPr>
      </w:pPr>
    </w:p>
    <w:p w:rsidR="00BD3353" w:rsidRPr="00EA79D6" w:rsidRDefault="00BD3353" w:rsidP="00BD3353">
      <w:pPr>
        <w:pStyle w:val="Sinespaciado1"/>
        <w:spacing w:line="360" w:lineRule="auto"/>
        <w:ind w:firstLine="2835"/>
        <w:jc w:val="both"/>
        <w:rPr>
          <w:rFonts w:ascii="Arial" w:hAnsi="Arial" w:cs="Arial"/>
          <w:sz w:val="26"/>
          <w:szCs w:val="26"/>
          <w:lang w:val="es-ES" w:eastAsia="es-ES"/>
        </w:rPr>
      </w:pPr>
      <w:r w:rsidRPr="00BD3353">
        <w:rPr>
          <w:rFonts w:ascii="Arial" w:hAnsi="Arial" w:cs="Arial"/>
          <w:sz w:val="24"/>
          <w:szCs w:val="26"/>
          <w:lang w:val="es-ES" w:eastAsia="es-ES"/>
        </w:rPr>
        <w:t>4. Es importante aclarar, que con lo expresado anteriormente, la Sala no desconoce el contenido del Auto 124 de 2009, proferido por la Corte Constitucional –el cual impuso como obligación a los funcionarios judiciales avocar el conocimiento de esta clase de acciones y les impide declararse incompetentes cuando de aplicar las reglas de reparto se trata-, sino que respetuosamente se aparta de las consideraciones allí dispuestas, para acogerse a la postura interpretativa que frente al tema de la competencia de los Jueces para conocer de acciones de tutela tiene sentada el máximo órgano de la jurisdicción ordinaria</w:t>
      </w:r>
      <w:r w:rsidRPr="00BD3353">
        <w:rPr>
          <w:rFonts w:ascii="Arial" w:hAnsi="Arial" w:cs="Arial"/>
          <w:sz w:val="24"/>
          <w:szCs w:val="26"/>
          <w:vertAlign w:val="superscript"/>
          <w:lang w:val="es-ES" w:eastAsia="es-ES"/>
        </w:rPr>
        <w:footnoteReference w:id="3"/>
      </w:r>
      <w:r w:rsidRPr="00BD3353">
        <w:rPr>
          <w:rFonts w:ascii="Arial" w:hAnsi="Arial" w:cs="Arial"/>
          <w:sz w:val="24"/>
          <w:szCs w:val="26"/>
          <w:lang w:val="es-ES" w:eastAsia="es-ES"/>
        </w:rPr>
        <w:t>, con sustento en una normativa que aún sigue vigente - Decreto 1382 de 2000-.</w:t>
      </w:r>
    </w:p>
    <w:p w:rsidR="00BD3353" w:rsidRDefault="00BD3353" w:rsidP="00BD3353">
      <w:pPr>
        <w:pStyle w:val="Sansinterligne"/>
        <w:spacing w:line="360" w:lineRule="auto"/>
        <w:rPr>
          <w:rFonts w:ascii="Arial" w:hAnsi="Arial" w:cs="Arial"/>
          <w:b/>
          <w:bCs/>
          <w:sz w:val="22"/>
          <w:szCs w:val="25"/>
        </w:rPr>
      </w:pPr>
    </w:p>
    <w:p w:rsidR="00596B13" w:rsidRDefault="00596B13" w:rsidP="00BD3353">
      <w:pPr>
        <w:pStyle w:val="Sansinterligne"/>
        <w:spacing w:line="360" w:lineRule="auto"/>
        <w:rPr>
          <w:rFonts w:ascii="Arial" w:hAnsi="Arial" w:cs="Arial"/>
          <w:b/>
          <w:bCs/>
          <w:sz w:val="22"/>
          <w:szCs w:val="25"/>
        </w:rPr>
      </w:pPr>
    </w:p>
    <w:p w:rsidR="00DB335C" w:rsidRPr="004F109F" w:rsidRDefault="00DB335C" w:rsidP="00DB335C">
      <w:pPr>
        <w:pStyle w:val="Sansinterligne"/>
        <w:spacing w:line="360" w:lineRule="auto"/>
        <w:ind w:firstLine="2835"/>
        <w:rPr>
          <w:rFonts w:ascii="Arial" w:hAnsi="Arial" w:cs="Arial"/>
          <w:b/>
          <w:bCs/>
          <w:sz w:val="22"/>
          <w:szCs w:val="25"/>
        </w:rPr>
      </w:pPr>
      <w:r w:rsidRPr="004F109F">
        <w:rPr>
          <w:rFonts w:ascii="Arial" w:hAnsi="Arial" w:cs="Arial"/>
          <w:b/>
          <w:bCs/>
          <w:sz w:val="22"/>
          <w:szCs w:val="25"/>
        </w:rPr>
        <w:lastRenderedPageBreak/>
        <w:t>III. DECISIÓN</w:t>
      </w:r>
    </w:p>
    <w:p w:rsidR="00DB335C" w:rsidRPr="004B4EB4" w:rsidRDefault="00DB335C" w:rsidP="00DB335C">
      <w:pPr>
        <w:pStyle w:val="Sansinterligne"/>
        <w:spacing w:line="360" w:lineRule="auto"/>
        <w:ind w:firstLine="2835"/>
        <w:jc w:val="both"/>
        <w:rPr>
          <w:rFonts w:ascii="Arial" w:hAnsi="Arial" w:cs="Arial"/>
          <w:sz w:val="16"/>
          <w:szCs w:val="16"/>
        </w:rPr>
      </w:pPr>
    </w:p>
    <w:p w:rsidR="00DB335C" w:rsidRPr="00662AF5" w:rsidRDefault="00DB335C" w:rsidP="00DB335C">
      <w:pPr>
        <w:pStyle w:val="Sansinterligne"/>
        <w:spacing w:line="360" w:lineRule="auto"/>
        <w:ind w:firstLine="2835"/>
        <w:jc w:val="both"/>
        <w:rPr>
          <w:rFonts w:ascii="Arial" w:hAnsi="Arial" w:cs="Arial"/>
          <w:sz w:val="26"/>
          <w:szCs w:val="26"/>
        </w:rPr>
      </w:pPr>
      <w:r w:rsidRPr="004B4EB4">
        <w:rPr>
          <w:rFonts w:ascii="Arial" w:hAnsi="Arial" w:cs="Arial"/>
          <w:sz w:val="24"/>
          <w:szCs w:val="26"/>
        </w:rPr>
        <w:t xml:space="preserve">En mérito de lo expuesto, la Sala Civil Familia </w:t>
      </w:r>
      <w:r w:rsidR="00E70E5D" w:rsidRPr="004B4EB4">
        <w:rPr>
          <w:rFonts w:ascii="Arial" w:hAnsi="Arial" w:cs="Arial"/>
          <w:sz w:val="24"/>
          <w:szCs w:val="26"/>
        </w:rPr>
        <w:t xml:space="preserve">Unitaria </w:t>
      </w:r>
      <w:r w:rsidRPr="004B4EB4">
        <w:rPr>
          <w:rFonts w:ascii="Arial" w:hAnsi="Arial" w:cs="Arial"/>
          <w:sz w:val="24"/>
          <w:szCs w:val="26"/>
        </w:rPr>
        <w:t>del Tribunal Superior de Pereira,</w:t>
      </w:r>
    </w:p>
    <w:p w:rsidR="00894301" w:rsidRPr="004B4EB4" w:rsidRDefault="00894301" w:rsidP="00DB335C">
      <w:pPr>
        <w:pStyle w:val="Sansinterligne"/>
        <w:spacing w:line="360" w:lineRule="auto"/>
        <w:ind w:firstLine="2835"/>
        <w:jc w:val="both"/>
        <w:rPr>
          <w:rFonts w:ascii="Arial" w:hAnsi="Arial" w:cs="Arial"/>
          <w:sz w:val="16"/>
          <w:szCs w:val="16"/>
        </w:rPr>
      </w:pPr>
    </w:p>
    <w:p w:rsidR="00DB335C" w:rsidRPr="006454C9" w:rsidRDefault="00DB335C" w:rsidP="00DB335C">
      <w:pPr>
        <w:pStyle w:val="Sansinterligne"/>
        <w:spacing w:line="360" w:lineRule="auto"/>
        <w:ind w:firstLine="2835"/>
        <w:rPr>
          <w:rFonts w:ascii="Arial" w:hAnsi="Arial" w:cs="Arial"/>
          <w:b/>
          <w:spacing w:val="-3"/>
          <w:sz w:val="25"/>
          <w:szCs w:val="25"/>
        </w:rPr>
      </w:pPr>
      <w:r w:rsidRPr="006454C9">
        <w:rPr>
          <w:rFonts w:ascii="Arial" w:hAnsi="Arial" w:cs="Arial"/>
          <w:b/>
          <w:spacing w:val="-3"/>
          <w:sz w:val="24"/>
          <w:szCs w:val="25"/>
        </w:rPr>
        <w:t>RESUELVE</w:t>
      </w:r>
      <w:r w:rsidRPr="006454C9">
        <w:rPr>
          <w:rFonts w:ascii="Arial" w:hAnsi="Arial" w:cs="Arial"/>
          <w:b/>
          <w:spacing w:val="-3"/>
          <w:sz w:val="25"/>
          <w:szCs w:val="25"/>
        </w:rPr>
        <w:t>:</w:t>
      </w:r>
    </w:p>
    <w:p w:rsidR="00DB335C" w:rsidRPr="004B4EB4" w:rsidRDefault="00DB335C" w:rsidP="00DB335C">
      <w:pPr>
        <w:pStyle w:val="Sansinterligne"/>
        <w:spacing w:line="360" w:lineRule="auto"/>
        <w:ind w:firstLine="2835"/>
        <w:rPr>
          <w:rFonts w:ascii="Arial" w:hAnsi="Arial" w:cs="Arial"/>
          <w:spacing w:val="-3"/>
          <w:sz w:val="16"/>
          <w:szCs w:val="16"/>
        </w:rPr>
      </w:pPr>
    </w:p>
    <w:p w:rsidR="00DB335C" w:rsidRPr="009B5BE4" w:rsidRDefault="00DB335C" w:rsidP="00DB335C">
      <w:pPr>
        <w:pStyle w:val="Sansinterligne"/>
        <w:spacing w:line="360" w:lineRule="auto"/>
        <w:ind w:firstLine="2835"/>
        <w:jc w:val="both"/>
        <w:rPr>
          <w:rFonts w:ascii="Arial" w:hAnsi="Arial" w:cs="Arial"/>
          <w:sz w:val="26"/>
          <w:szCs w:val="26"/>
        </w:rPr>
      </w:pPr>
      <w:r w:rsidRPr="009B5BE4">
        <w:rPr>
          <w:rFonts w:ascii="Arial" w:hAnsi="Arial" w:cs="Arial"/>
          <w:b/>
          <w:spacing w:val="-3"/>
          <w:sz w:val="26"/>
          <w:szCs w:val="26"/>
        </w:rPr>
        <w:t>Primero</w:t>
      </w:r>
      <w:r w:rsidRPr="009B5BE4">
        <w:rPr>
          <w:rFonts w:ascii="Arial" w:hAnsi="Arial" w:cs="Arial"/>
          <w:spacing w:val="-3"/>
          <w:sz w:val="26"/>
          <w:szCs w:val="26"/>
        </w:rPr>
        <w:t xml:space="preserve">: </w:t>
      </w:r>
      <w:r w:rsidRPr="009B5BE4">
        <w:rPr>
          <w:rFonts w:ascii="Arial" w:hAnsi="Arial" w:cs="Arial"/>
          <w:sz w:val="24"/>
          <w:szCs w:val="26"/>
        </w:rPr>
        <w:t>DECLARAR</w:t>
      </w:r>
      <w:r w:rsidRPr="009B5BE4">
        <w:rPr>
          <w:rFonts w:ascii="Arial" w:hAnsi="Arial" w:cs="Arial"/>
          <w:sz w:val="26"/>
          <w:szCs w:val="26"/>
        </w:rPr>
        <w:t xml:space="preserve"> </w:t>
      </w:r>
      <w:r w:rsidRPr="004B4EB4">
        <w:rPr>
          <w:rFonts w:ascii="Arial" w:hAnsi="Arial" w:cs="Arial"/>
          <w:sz w:val="24"/>
          <w:szCs w:val="26"/>
        </w:rPr>
        <w:t xml:space="preserve">la incompetencia de esta </w:t>
      </w:r>
      <w:r w:rsidRPr="004B4EB4">
        <w:rPr>
          <w:rFonts w:ascii="Arial" w:hAnsi="Arial" w:cs="Arial"/>
          <w:spacing w:val="-3"/>
          <w:sz w:val="24"/>
          <w:szCs w:val="26"/>
        </w:rPr>
        <w:t xml:space="preserve">Sala con ocasión de la acción de tutela </w:t>
      </w:r>
      <w:r w:rsidRPr="004B4EB4">
        <w:rPr>
          <w:rFonts w:ascii="Arial" w:hAnsi="Arial" w:cs="Arial"/>
          <w:sz w:val="24"/>
          <w:szCs w:val="26"/>
        </w:rPr>
        <w:t xml:space="preserve">presentada por el señor </w:t>
      </w:r>
      <w:r w:rsidR="00BD3353">
        <w:rPr>
          <w:rFonts w:ascii="Arial" w:hAnsi="Arial" w:cs="Arial"/>
          <w:sz w:val="22"/>
          <w:szCs w:val="24"/>
        </w:rPr>
        <w:t>ANDRÉS FELIPE ZULUAGA MOLINA</w:t>
      </w:r>
      <w:r w:rsidR="00BD3353" w:rsidRPr="004B4EB4">
        <w:rPr>
          <w:rFonts w:ascii="Arial" w:hAnsi="Arial" w:cs="Arial"/>
          <w:sz w:val="22"/>
          <w:szCs w:val="24"/>
        </w:rPr>
        <w:t xml:space="preserve"> </w:t>
      </w:r>
      <w:r w:rsidR="00BD3353" w:rsidRPr="004B4EB4">
        <w:rPr>
          <w:rFonts w:ascii="Arial" w:hAnsi="Arial" w:cs="Arial"/>
          <w:sz w:val="24"/>
          <w:szCs w:val="24"/>
        </w:rPr>
        <w:t>contra l</w:t>
      </w:r>
      <w:r w:rsidR="00BD3353">
        <w:rPr>
          <w:rFonts w:ascii="Arial" w:hAnsi="Arial" w:cs="Arial"/>
          <w:sz w:val="24"/>
          <w:szCs w:val="24"/>
        </w:rPr>
        <w:t>a</w:t>
      </w:r>
      <w:r w:rsidR="00BD3353" w:rsidRPr="004B4EB4">
        <w:rPr>
          <w:rFonts w:ascii="Arial" w:hAnsi="Arial" w:cs="Arial"/>
          <w:sz w:val="24"/>
          <w:szCs w:val="24"/>
        </w:rPr>
        <w:t xml:space="preserve"> </w:t>
      </w:r>
      <w:r w:rsidR="00BD3353" w:rsidRPr="004B4EB4">
        <w:rPr>
          <w:rFonts w:ascii="Arial" w:hAnsi="Arial" w:cs="Arial"/>
          <w:sz w:val="22"/>
          <w:szCs w:val="24"/>
        </w:rPr>
        <w:t>P</w:t>
      </w:r>
      <w:r w:rsidR="00BD3353">
        <w:rPr>
          <w:rFonts w:ascii="Arial" w:hAnsi="Arial" w:cs="Arial"/>
          <w:sz w:val="22"/>
          <w:szCs w:val="24"/>
        </w:rPr>
        <w:t>ROCURADURÍA PROVINCIAL DE PEREIRA</w:t>
      </w:r>
      <w:r w:rsidRPr="009B5BE4">
        <w:rPr>
          <w:rFonts w:ascii="Arial" w:hAnsi="Arial" w:cs="Arial"/>
          <w:sz w:val="26"/>
          <w:szCs w:val="26"/>
        </w:rPr>
        <w:t>.</w:t>
      </w:r>
    </w:p>
    <w:p w:rsidR="00DB335C" w:rsidRPr="006059A9" w:rsidRDefault="00DB335C" w:rsidP="00DB335C">
      <w:pPr>
        <w:pStyle w:val="Sansinterligne"/>
        <w:spacing w:line="360" w:lineRule="auto"/>
        <w:ind w:firstLine="2835"/>
        <w:jc w:val="both"/>
        <w:rPr>
          <w:rFonts w:ascii="Arial" w:hAnsi="Arial" w:cs="Arial"/>
          <w:spacing w:val="-3"/>
          <w:sz w:val="16"/>
          <w:szCs w:val="25"/>
        </w:rPr>
      </w:pPr>
    </w:p>
    <w:p w:rsidR="00DB335C" w:rsidRDefault="00DB335C" w:rsidP="00DB335C">
      <w:pPr>
        <w:suppressAutoHyphens/>
        <w:spacing w:line="360" w:lineRule="auto"/>
        <w:ind w:firstLine="2835"/>
        <w:jc w:val="both"/>
        <w:rPr>
          <w:rFonts w:ascii="Arial" w:hAnsi="Arial" w:cs="Arial"/>
          <w:spacing w:val="-3"/>
          <w:sz w:val="16"/>
          <w:szCs w:val="26"/>
        </w:rPr>
      </w:pPr>
      <w:r w:rsidRPr="00201E98">
        <w:rPr>
          <w:rFonts w:ascii="Arial" w:hAnsi="Arial" w:cs="Arial"/>
          <w:b/>
          <w:spacing w:val="-3"/>
          <w:sz w:val="26"/>
          <w:szCs w:val="26"/>
        </w:rPr>
        <w:t>Segundo</w:t>
      </w:r>
      <w:r w:rsidRPr="00BA2C66">
        <w:rPr>
          <w:rFonts w:ascii="Arial" w:hAnsi="Arial" w:cs="Arial"/>
          <w:spacing w:val="-3"/>
          <w:sz w:val="26"/>
          <w:szCs w:val="26"/>
        </w:rPr>
        <w:t xml:space="preserve">: </w:t>
      </w:r>
      <w:r w:rsidRPr="004B4EB4">
        <w:rPr>
          <w:rFonts w:ascii="Arial" w:hAnsi="Arial" w:cs="Arial"/>
          <w:spacing w:val="-3"/>
          <w:sz w:val="24"/>
          <w:szCs w:val="26"/>
        </w:rPr>
        <w:t xml:space="preserve">Remitir el expediente </w:t>
      </w:r>
      <w:r w:rsidRPr="004B4EB4">
        <w:rPr>
          <w:rFonts w:ascii="Arial" w:hAnsi="Arial" w:cs="Arial"/>
          <w:sz w:val="24"/>
          <w:szCs w:val="26"/>
        </w:rPr>
        <w:t>a la Oficina de Administración Judicial para que sea repartida entre los jueces con categoría de municipales de esta ciudad</w:t>
      </w:r>
      <w:r w:rsidRPr="004B4EB4">
        <w:rPr>
          <w:rFonts w:ascii="Arial" w:hAnsi="Arial" w:cs="Arial"/>
          <w:spacing w:val="-3"/>
          <w:sz w:val="24"/>
          <w:szCs w:val="26"/>
        </w:rPr>
        <w:t>.</w:t>
      </w:r>
    </w:p>
    <w:p w:rsidR="00DB335C" w:rsidRPr="00201E98" w:rsidRDefault="00DB335C" w:rsidP="00DB335C">
      <w:pPr>
        <w:suppressAutoHyphens/>
        <w:spacing w:line="360" w:lineRule="auto"/>
        <w:ind w:firstLine="2835"/>
        <w:jc w:val="both"/>
        <w:rPr>
          <w:rFonts w:ascii="Arial" w:hAnsi="Arial" w:cs="Arial"/>
          <w:spacing w:val="-3"/>
          <w:sz w:val="16"/>
          <w:szCs w:val="26"/>
        </w:rPr>
      </w:pPr>
    </w:p>
    <w:p w:rsidR="00DB335C" w:rsidRDefault="00DB335C" w:rsidP="00DB335C">
      <w:pPr>
        <w:suppressAutoHyphens/>
        <w:spacing w:line="360" w:lineRule="auto"/>
        <w:ind w:firstLine="2835"/>
        <w:jc w:val="both"/>
        <w:rPr>
          <w:rFonts w:ascii="Arial" w:hAnsi="Arial" w:cs="Arial"/>
          <w:spacing w:val="-3"/>
          <w:sz w:val="26"/>
          <w:szCs w:val="26"/>
        </w:rPr>
      </w:pPr>
      <w:r w:rsidRPr="00201E98">
        <w:rPr>
          <w:rFonts w:ascii="Arial" w:hAnsi="Arial" w:cs="Arial"/>
          <w:b/>
          <w:spacing w:val="-3"/>
          <w:sz w:val="26"/>
          <w:szCs w:val="26"/>
        </w:rPr>
        <w:t>Tercero</w:t>
      </w:r>
      <w:r w:rsidRPr="00035335">
        <w:rPr>
          <w:rFonts w:ascii="Arial" w:hAnsi="Arial" w:cs="Arial"/>
          <w:spacing w:val="-3"/>
          <w:sz w:val="26"/>
          <w:szCs w:val="26"/>
        </w:rPr>
        <w:t xml:space="preserve">: </w:t>
      </w:r>
      <w:r w:rsidRPr="004B4EB4">
        <w:rPr>
          <w:rFonts w:ascii="Arial" w:hAnsi="Arial" w:cs="Arial"/>
          <w:spacing w:val="-3"/>
          <w:sz w:val="24"/>
          <w:szCs w:val="26"/>
        </w:rPr>
        <w:t>Notifíquese esta decisión al demandante por el medio más eficaz.</w:t>
      </w:r>
    </w:p>
    <w:p w:rsidR="00DB335C" w:rsidRPr="004B4EB4" w:rsidRDefault="00DB335C" w:rsidP="00DB335C">
      <w:pPr>
        <w:suppressAutoHyphens/>
        <w:spacing w:line="360" w:lineRule="auto"/>
        <w:ind w:firstLine="2835"/>
        <w:jc w:val="both"/>
        <w:rPr>
          <w:rFonts w:ascii="Arial" w:hAnsi="Arial" w:cs="Arial"/>
          <w:spacing w:val="-3"/>
          <w:sz w:val="12"/>
          <w:szCs w:val="26"/>
        </w:rPr>
      </w:pPr>
    </w:p>
    <w:p w:rsidR="00DB335C" w:rsidRPr="004B4EB4" w:rsidRDefault="00DB335C" w:rsidP="00DB335C">
      <w:pPr>
        <w:pStyle w:val="Sansinterligne"/>
        <w:spacing w:line="360" w:lineRule="auto"/>
        <w:ind w:firstLine="2835"/>
        <w:jc w:val="both"/>
        <w:rPr>
          <w:rFonts w:ascii="Arial" w:hAnsi="Arial" w:cs="Arial"/>
          <w:spacing w:val="-3"/>
          <w:sz w:val="14"/>
          <w:szCs w:val="26"/>
        </w:rPr>
      </w:pPr>
      <w:r w:rsidRPr="004B4EB4">
        <w:rPr>
          <w:rFonts w:ascii="Arial" w:hAnsi="Arial" w:cs="Arial"/>
          <w:spacing w:val="-3"/>
          <w:sz w:val="24"/>
          <w:szCs w:val="26"/>
        </w:rPr>
        <w:t>Notifíquese y cúmplase</w:t>
      </w:r>
    </w:p>
    <w:p w:rsidR="00DB335C" w:rsidRPr="00AF3F2B" w:rsidRDefault="00DB335C" w:rsidP="00DB335C">
      <w:pPr>
        <w:pStyle w:val="Sansinterligne"/>
        <w:spacing w:line="360" w:lineRule="auto"/>
        <w:ind w:firstLine="2835"/>
        <w:jc w:val="both"/>
        <w:rPr>
          <w:rFonts w:ascii="Arial" w:hAnsi="Arial" w:cs="Arial"/>
          <w:spacing w:val="-3"/>
          <w:sz w:val="16"/>
          <w:szCs w:val="26"/>
        </w:rPr>
      </w:pPr>
    </w:p>
    <w:p w:rsidR="00DB335C" w:rsidRPr="004B4EB4" w:rsidRDefault="00DB335C" w:rsidP="00DB335C">
      <w:pPr>
        <w:pStyle w:val="Sansinterligne"/>
        <w:spacing w:line="360" w:lineRule="auto"/>
        <w:ind w:firstLine="2835"/>
        <w:jc w:val="both"/>
        <w:rPr>
          <w:rFonts w:ascii="Arial" w:hAnsi="Arial" w:cs="Arial"/>
          <w:spacing w:val="-3"/>
          <w:sz w:val="24"/>
          <w:szCs w:val="26"/>
        </w:rPr>
      </w:pPr>
      <w:r w:rsidRPr="004B4EB4">
        <w:rPr>
          <w:rFonts w:ascii="Arial" w:hAnsi="Arial" w:cs="Arial"/>
          <w:spacing w:val="-3"/>
          <w:sz w:val="24"/>
          <w:szCs w:val="26"/>
        </w:rPr>
        <w:t>El Magistrado,</w:t>
      </w:r>
    </w:p>
    <w:p w:rsidR="00DB335C" w:rsidRDefault="00DB335C" w:rsidP="00DB335C">
      <w:pPr>
        <w:pStyle w:val="Sansinterligne"/>
        <w:spacing w:line="360" w:lineRule="auto"/>
        <w:ind w:firstLine="2835"/>
        <w:jc w:val="both"/>
        <w:rPr>
          <w:rFonts w:ascii="Arial" w:hAnsi="Arial" w:cs="Arial"/>
          <w:spacing w:val="-3"/>
          <w:sz w:val="24"/>
          <w:szCs w:val="26"/>
        </w:rPr>
      </w:pPr>
    </w:p>
    <w:p w:rsidR="00F33E7C" w:rsidRDefault="00F33E7C" w:rsidP="00DB335C">
      <w:pPr>
        <w:pStyle w:val="Sansinterligne"/>
        <w:spacing w:line="360" w:lineRule="auto"/>
        <w:ind w:firstLine="2835"/>
        <w:jc w:val="both"/>
        <w:rPr>
          <w:rFonts w:ascii="Arial" w:hAnsi="Arial" w:cs="Arial"/>
          <w:spacing w:val="-3"/>
          <w:sz w:val="24"/>
          <w:szCs w:val="26"/>
        </w:rPr>
      </w:pPr>
    </w:p>
    <w:p w:rsidR="00F33E7C" w:rsidRPr="00AF3F2B" w:rsidRDefault="00F33E7C" w:rsidP="00DB335C">
      <w:pPr>
        <w:pStyle w:val="Sansinterligne"/>
        <w:spacing w:line="360" w:lineRule="auto"/>
        <w:ind w:firstLine="2835"/>
        <w:jc w:val="both"/>
        <w:rPr>
          <w:rFonts w:ascii="Arial" w:hAnsi="Arial" w:cs="Arial"/>
          <w:spacing w:val="-3"/>
          <w:sz w:val="24"/>
          <w:szCs w:val="26"/>
        </w:rPr>
      </w:pPr>
    </w:p>
    <w:p w:rsidR="00DB335C" w:rsidRPr="00AF3F2B" w:rsidRDefault="00DB335C" w:rsidP="00DB335C">
      <w:pPr>
        <w:pStyle w:val="Sansinterligne"/>
        <w:spacing w:line="360" w:lineRule="auto"/>
        <w:ind w:firstLine="2835"/>
        <w:jc w:val="both"/>
        <w:rPr>
          <w:rFonts w:ascii="Arial" w:hAnsi="Arial" w:cs="Arial"/>
          <w:spacing w:val="-3"/>
          <w:sz w:val="24"/>
          <w:szCs w:val="26"/>
        </w:rPr>
      </w:pPr>
    </w:p>
    <w:p w:rsidR="004B4EB4" w:rsidRPr="004B4EB4" w:rsidRDefault="00DB335C" w:rsidP="004B4EB4">
      <w:pPr>
        <w:pStyle w:val="Sansinterligne"/>
        <w:spacing w:line="360" w:lineRule="auto"/>
        <w:ind w:firstLine="2835"/>
        <w:rPr>
          <w:rFonts w:ascii="Arial" w:hAnsi="Arial" w:cs="Arial"/>
          <w:b/>
          <w:spacing w:val="-3"/>
          <w:sz w:val="22"/>
          <w:szCs w:val="24"/>
        </w:rPr>
      </w:pPr>
      <w:r w:rsidRPr="00271B07">
        <w:rPr>
          <w:rFonts w:ascii="Arial" w:hAnsi="Arial" w:cs="Arial"/>
          <w:b/>
          <w:spacing w:val="-3"/>
          <w:sz w:val="22"/>
          <w:szCs w:val="24"/>
        </w:rPr>
        <w:t>EDDER JIMMY SÁNCHEZ CALAMBÁS</w:t>
      </w:r>
    </w:p>
    <w:sectPr w:rsidR="004B4EB4" w:rsidRPr="004B4EB4" w:rsidSect="00A6150C">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50" w:rsidRDefault="00653B50" w:rsidP="004A622B">
      <w:r>
        <w:separator/>
      </w:r>
    </w:p>
  </w:endnote>
  <w:endnote w:type="continuationSeparator" w:id="0">
    <w:p w:rsidR="00653B50" w:rsidRDefault="00653B50" w:rsidP="004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B97631" w:rsidRDefault="00181A5D">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96B13">
      <w:rPr>
        <w:rFonts w:ascii="Arial" w:hAnsi="Arial" w:cs="Arial"/>
        <w:noProof/>
        <w:sz w:val="22"/>
        <w:szCs w:val="22"/>
      </w:rPr>
      <w:t>1</w:t>
    </w:r>
    <w:r w:rsidRPr="00B97631">
      <w:rPr>
        <w:rFonts w:ascii="Arial" w:hAnsi="Arial" w:cs="Arial"/>
        <w:sz w:val="22"/>
        <w:szCs w:val="22"/>
      </w:rPr>
      <w:fldChar w:fldCharType="end"/>
    </w:r>
  </w:p>
  <w:p w:rsidR="005851FB" w:rsidRDefault="00653B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50" w:rsidRDefault="00653B50" w:rsidP="004A622B">
      <w:r>
        <w:separator/>
      </w:r>
    </w:p>
  </w:footnote>
  <w:footnote w:type="continuationSeparator" w:id="0">
    <w:p w:rsidR="00653B50" w:rsidRDefault="00653B50" w:rsidP="004A622B">
      <w:r>
        <w:continuationSeparator/>
      </w:r>
    </w:p>
  </w:footnote>
  <w:footnote w:id="1">
    <w:p w:rsidR="00DB335C" w:rsidRPr="00446BDD" w:rsidRDefault="00DB335C" w:rsidP="00DB335C">
      <w:pPr>
        <w:pStyle w:val="Notedebasdepage"/>
        <w:rPr>
          <w:rFonts w:ascii="Arial" w:hAnsi="Arial" w:cs="Arial"/>
          <w:lang w:val="es-CO"/>
        </w:rPr>
      </w:pPr>
      <w:r w:rsidRPr="00446BDD">
        <w:rPr>
          <w:rStyle w:val="Appelnotedebasdep"/>
          <w:rFonts w:ascii="Arial" w:hAnsi="Arial" w:cs="Arial"/>
        </w:rPr>
        <w:footnoteRef/>
      </w:r>
      <w:r w:rsidRPr="00446BDD">
        <w:rPr>
          <w:rFonts w:ascii="Arial" w:hAnsi="Arial" w:cs="Arial"/>
        </w:rPr>
        <w:t xml:space="preserve"> Auto </w:t>
      </w:r>
      <w:r w:rsidR="00B342CF" w:rsidRPr="00B342CF">
        <w:rPr>
          <w:rFonts w:ascii="Arial" w:hAnsi="Arial" w:cs="Arial"/>
        </w:rPr>
        <w:t>ATC3100-2016</w:t>
      </w:r>
      <w:r w:rsidR="00B342CF">
        <w:rPr>
          <w:rFonts w:ascii="Arial" w:hAnsi="Arial" w:cs="Arial"/>
        </w:rPr>
        <w:t xml:space="preserve"> </w:t>
      </w:r>
      <w:r w:rsidRPr="00446BDD">
        <w:rPr>
          <w:rFonts w:ascii="Arial" w:hAnsi="Arial" w:cs="Arial"/>
        </w:rPr>
        <w:t>del 1</w:t>
      </w:r>
      <w:r w:rsidR="00B342CF">
        <w:rPr>
          <w:rFonts w:ascii="Arial" w:hAnsi="Arial" w:cs="Arial"/>
        </w:rPr>
        <w:t>9</w:t>
      </w:r>
      <w:r w:rsidRPr="00446BDD">
        <w:rPr>
          <w:rFonts w:ascii="Arial" w:hAnsi="Arial" w:cs="Arial"/>
        </w:rPr>
        <w:t xml:space="preserve"> de </w:t>
      </w:r>
      <w:r w:rsidR="00B342CF">
        <w:rPr>
          <w:rFonts w:ascii="Arial" w:hAnsi="Arial" w:cs="Arial"/>
        </w:rPr>
        <w:t>may</w:t>
      </w:r>
      <w:r w:rsidRPr="00446BDD">
        <w:rPr>
          <w:rFonts w:ascii="Arial" w:hAnsi="Arial" w:cs="Arial"/>
        </w:rPr>
        <w:t>o</w:t>
      </w:r>
      <w:r w:rsidR="00B342CF">
        <w:rPr>
          <w:rFonts w:ascii="Arial" w:hAnsi="Arial" w:cs="Arial"/>
        </w:rPr>
        <w:t xml:space="preserve"> de 2016</w:t>
      </w:r>
      <w:r w:rsidRPr="00446BDD">
        <w:rPr>
          <w:rFonts w:ascii="Arial" w:hAnsi="Arial" w:cs="Arial"/>
        </w:rPr>
        <w:t xml:space="preserve">, MP. Fernando Giraldo Gutiérrez, expediente </w:t>
      </w:r>
      <w:r w:rsidR="00B342CF" w:rsidRPr="00B342CF">
        <w:rPr>
          <w:rFonts w:ascii="Arial" w:hAnsi="Arial" w:cs="Arial"/>
        </w:rPr>
        <w:t>11001-22-03-000-2016-00651-01</w:t>
      </w:r>
      <w:r w:rsidR="00894301">
        <w:rPr>
          <w:rFonts w:ascii="Arial" w:hAnsi="Arial" w:cs="Arial"/>
        </w:rPr>
        <w:t>.</w:t>
      </w:r>
    </w:p>
  </w:footnote>
  <w:footnote w:id="2">
    <w:p w:rsidR="00BD3353" w:rsidRPr="00BD002F" w:rsidRDefault="00BD3353" w:rsidP="00BD3353">
      <w:pPr>
        <w:pStyle w:val="Notedebasdepage"/>
        <w:rPr>
          <w:rFonts w:ascii="Arial" w:hAnsi="Arial" w:cs="Arial"/>
          <w:lang w:val="es-CO"/>
        </w:rPr>
      </w:pPr>
      <w:r w:rsidRPr="00BD002F">
        <w:rPr>
          <w:rStyle w:val="Appelnotedebasdep"/>
          <w:rFonts w:ascii="Arial" w:hAnsi="Arial" w:cs="Arial"/>
        </w:rPr>
        <w:footnoteRef/>
      </w:r>
      <w:r w:rsidRPr="00BD002F">
        <w:rPr>
          <w:rFonts w:ascii="Arial" w:hAnsi="Arial" w:cs="Arial"/>
        </w:rPr>
        <w:t xml:space="preserve"> </w:t>
      </w:r>
      <w:r w:rsidRPr="00BD002F">
        <w:rPr>
          <w:rFonts w:ascii="Arial" w:hAnsi="Arial" w:cs="Arial"/>
          <w:lang w:val="es-CO"/>
        </w:rPr>
        <w:t>Corte Suprema de Justicia, auto ATC4720-2014 de 14 de agosto de 2014.</w:t>
      </w:r>
    </w:p>
  </w:footnote>
  <w:footnote w:id="3">
    <w:p w:rsidR="00BD3353" w:rsidRDefault="00BD3353" w:rsidP="00BD3353">
      <w:pPr>
        <w:pStyle w:val="Notedebasdepage"/>
        <w:jc w:val="both"/>
      </w:pPr>
      <w:r w:rsidRPr="00ED08F8">
        <w:rPr>
          <w:rFonts w:ascii="Arial" w:hAnsi="Arial" w:cs="Arial"/>
          <w:vertAlign w:val="superscript"/>
        </w:rPr>
        <w:footnoteRef/>
      </w:r>
      <w:r w:rsidRPr="00ED08F8">
        <w:rPr>
          <w:rFonts w:ascii="Arial" w:hAnsi="Arial" w:cs="Arial"/>
        </w:rPr>
        <w:t xml:space="preserve"> Ver por ejemplo Autos del 30 de abril de 2010, Magistrado Ponente: Arturo Solarte Rodríguez y del 5 de julio de 2011, Magistrado Ponente: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FB" w:rsidRPr="005643A9" w:rsidRDefault="00181A5D"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851FB" w:rsidRPr="005643A9" w:rsidRDefault="00181A5D"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413CF4B6" wp14:editId="5A84A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1FB" w:rsidRPr="005643A9" w:rsidRDefault="00653B50" w:rsidP="005643A9">
    <w:pPr>
      <w:pStyle w:val="Sinespaciado1"/>
      <w:rPr>
        <w:rFonts w:ascii="Arial" w:hAnsi="Arial" w:cs="Arial"/>
        <w:sz w:val="16"/>
        <w:szCs w:val="16"/>
      </w:rPr>
    </w:pPr>
  </w:p>
  <w:p w:rsidR="005851FB" w:rsidRPr="005643A9" w:rsidRDefault="00653B50" w:rsidP="005643A9">
    <w:pPr>
      <w:pStyle w:val="Sansinterligne"/>
      <w:rPr>
        <w:rFonts w:ascii="Arial" w:hAnsi="Arial" w:cs="Arial"/>
        <w:sz w:val="16"/>
        <w:szCs w:val="16"/>
      </w:rPr>
    </w:pPr>
  </w:p>
  <w:p w:rsidR="005851FB" w:rsidRDefault="00181A5D"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181A5D" w:rsidP="005643A9">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A6150C">
      <w:rPr>
        <w:rFonts w:ascii="Arial" w:hAnsi="Arial" w:cs="Arial"/>
        <w:sz w:val="16"/>
        <w:szCs w:val="16"/>
      </w:rPr>
      <w:t xml:space="preserve">              </w:t>
    </w:r>
    <w:r>
      <w:rPr>
        <w:rFonts w:ascii="Arial" w:hAnsi="Arial" w:cs="Arial"/>
        <w:sz w:val="16"/>
        <w:szCs w:val="16"/>
      </w:rPr>
      <w:t>EXPEDIENTE. T-1a. 66001-22-13-000-201</w:t>
    </w:r>
    <w:r w:rsidR="001B3726">
      <w:rPr>
        <w:rFonts w:ascii="Arial" w:hAnsi="Arial" w:cs="Arial"/>
        <w:sz w:val="16"/>
        <w:szCs w:val="16"/>
      </w:rPr>
      <w:t>7-0</w:t>
    </w:r>
    <w:r w:rsidR="00F34A56">
      <w:rPr>
        <w:rFonts w:ascii="Arial" w:hAnsi="Arial" w:cs="Arial"/>
        <w:sz w:val="16"/>
        <w:szCs w:val="16"/>
      </w:rPr>
      <w:t>1</w:t>
    </w:r>
    <w:r w:rsidR="00C5186E">
      <w:rPr>
        <w:rFonts w:ascii="Arial" w:hAnsi="Arial" w:cs="Arial"/>
        <w:sz w:val="16"/>
        <w:szCs w:val="16"/>
      </w:rPr>
      <w:t>0</w:t>
    </w:r>
    <w:r w:rsidR="00F34A56">
      <w:rPr>
        <w:rFonts w:ascii="Arial" w:hAnsi="Arial" w:cs="Arial"/>
        <w:sz w:val="16"/>
        <w:szCs w:val="16"/>
      </w:rPr>
      <w:t>57</w:t>
    </w:r>
    <w:r w:rsidR="00A6150C">
      <w:rPr>
        <w:rFonts w:ascii="Arial" w:hAnsi="Arial" w:cs="Arial"/>
        <w:sz w:val="16"/>
        <w:szCs w:val="16"/>
      </w:rPr>
      <w:t>-</w:t>
    </w:r>
    <w:r>
      <w:rPr>
        <w:rFonts w:ascii="Arial" w:hAnsi="Arial" w:cs="Arial"/>
        <w:sz w:val="16"/>
        <w:szCs w:val="16"/>
      </w:rPr>
      <w:t>-00</w:t>
    </w:r>
  </w:p>
  <w:p w:rsidR="005851FB" w:rsidRPr="005643A9" w:rsidRDefault="00181A5D">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A6150C">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2B"/>
    <w:rsid w:val="00010679"/>
    <w:rsid w:val="00041277"/>
    <w:rsid w:val="000B5B46"/>
    <w:rsid w:val="00143C81"/>
    <w:rsid w:val="00181A5D"/>
    <w:rsid w:val="00195906"/>
    <w:rsid w:val="001B3726"/>
    <w:rsid w:val="00201E98"/>
    <w:rsid w:val="00204626"/>
    <w:rsid w:val="002227EC"/>
    <w:rsid w:val="00271B07"/>
    <w:rsid w:val="002822ED"/>
    <w:rsid w:val="003578A6"/>
    <w:rsid w:val="0044216B"/>
    <w:rsid w:val="00445A32"/>
    <w:rsid w:val="00446BDD"/>
    <w:rsid w:val="00481B03"/>
    <w:rsid w:val="004A622B"/>
    <w:rsid w:val="004B4EB4"/>
    <w:rsid w:val="004D4D38"/>
    <w:rsid w:val="00555010"/>
    <w:rsid w:val="00596B13"/>
    <w:rsid w:val="006059A9"/>
    <w:rsid w:val="006454C9"/>
    <w:rsid w:val="00653B50"/>
    <w:rsid w:val="00691D92"/>
    <w:rsid w:val="007036F5"/>
    <w:rsid w:val="0075646B"/>
    <w:rsid w:val="00770F85"/>
    <w:rsid w:val="00807610"/>
    <w:rsid w:val="00890C3F"/>
    <w:rsid w:val="00894301"/>
    <w:rsid w:val="008C2DE2"/>
    <w:rsid w:val="00970AC4"/>
    <w:rsid w:val="009B5BE4"/>
    <w:rsid w:val="009D592A"/>
    <w:rsid w:val="00A55831"/>
    <w:rsid w:val="00A6150C"/>
    <w:rsid w:val="00A81EA6"/>
    <w:rsid w:val="00AA6055"/>
    <w:rsid w:val="00AC2D6B"/>
    <w:rsid w:val="00AF3F2B"/>
    <w:rsid w:val="00B342CF"/>
    <w:rsid w:val="00BA4305"/>
    <w:rsid w:val="00BD3353"/>
    <w:rsid w:val="00C5186E"/>
    <w:rsid w:val="00CD3C2D"/>
    <w:rsid w:val="00DB335C"/>
    <w:rsid w:val="00E52CCD"/>
    <w:rsid w:val="00E70E5D"/>
    <w:rsid w:val="00E9406E"/>
    <w:rsid w:val="00F33E7C"/>
    <w:rsid w:val="00F34A56"/>
    <w:rsid w:val="00F44037"/>
    <w:rsid w:val="00F45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2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4A622B"/>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4A622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4A622B"/>
    <w:rPr>
      <w:vertAlign w:val="superscript"/>
    </w:rPr>
  </w:style>
  <w:style w:type="paragraph" w:customStyle="1" w:styleId="Sinespaciado1">
    <w:name w:val="Sin espaciado1"/>
    <w:link w:val="NoSpacingChar"/>
    <w:uiPriority w:val="99"/>
    <w:qFormat/>
    <w:rsid w:val="004A622B"/>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4A622B"/>
    <w:pPr>
      <w:tabs>
        <w:tab w:val="center" w:pos="4419"/>
        <w:tab w:val="right" w:pos="8838"/>
      </w:tabs>
    </w:pPr>
  </w:style>
  <w:style w:type="character" w:customStyle="1" w:styleId="En-tteCar">
    <w:name w:val="En-tête Car"/>
    <w:basedOn w:val="Policepardfaut"/>
    <w:link w:val="En-tte"/>
    <w:uiPriority w:val="99"/>
    <w:rsid w:val="004A622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4A622B"/>
    <w:pPr>
      <w:tabs>
        <w:tab w:val="center" w:pos="4419"/>
        <w:tab w:val="right" w:pos="8838"/>
      </w:tabs>
    </w:pPr>
  </w:style>
  <w:style w:type="character" w:customStyle="1" w:styleId="PieddepageCar">
    <w:name w:val="Pied de page Car"/>
    <w:basedOn w:val="Policepardfaut"/>
    <w:link w:val="Pieddepage"/>
    <w:uiPriority w:val="99"/>
    <w:rsid w:val="004A622B"/>
    <w:rPr>
      <w:rFonts w:ascii="Times New Roman" w:eastAsia="Times New Roman" w:hAnsi="Times New Roman" w:cs="Times New Roman"/>
      <w:sz w:val="20"/>
      <w:szCs w:val="20"/>
      <w:lang w:eastAsia="es-ES"/>
    </w:rPr>
  </w:style>
  <w:style w:type="paragraph" w:styleId="Sansinterligne">
    <w:name w:val="No Spacing"/>
    <w:uiPriority w:val="1"/>
    <w:qFormat/>
    <w:rsid w:val="004A622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059A9"/>
    <w:pPr>
      <w:ind w:left="720"/>
      <w:contextualSpacing/>
    </w:pPr>
  </w:style>
  <w:style w:type="paragraph" w:styleId="Textedebulles">
    <w:name w:val="Balloon Text"/>
    <w:basedOn w:val="Normal"/>
    <w:link w:val="TextedebullesCar"/>
    <w:uiPriority w:val="99"/>
    <w:semiHidden/>
    <w:unhideWhenUsed/>
    <w:rsid w:val="006454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4C9"/>
    <w:rPr>
      <w:rFonts w:ascii="Segoe UI" w:eastAsia="Times New Roman" w:hAnsi="Segoe UI" w:cs="Segoe UI"/>
      <w:sz w:val="18"/>
      <w:szCs w:val="18"/>
      <w:lang w:eastAsia="es-ES"/>
    </w:rPr>
  </w:style>
  <w:style w:type="character" w:customStyle="1" w:styleId="NoSpacingChar">
    <w:name w:val="No Spacing Char"/>
    <w:link w:val="Sinespaciado1"/>
    <w:uiPriority w:val="99"/>
    <w:locked/>
    <w:rsid w:val="00BD3353"/>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22B"/>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4A622B"/>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4A622B"/>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qFormat/>
    <w:rsid w:val="004A622B"/>
    <w:rPr>
      <w:vertAlign w:val="superscript"/>
    </w:rPr>
  </w:style>
  <w:style w:type="paragraph" w:customStyle="1" w:styleId="Sinespaciado1">
    <w:name w:val="Sin espaciado1"/>
    <w:link w:val="NoSpacingChar"/>
    <w:uiPriority w:val="99"/>
    <w:qFormat/>
    <w:rsid w:val="004A622B"/>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4A622B"/>
    <w:pPr>
      <w:tabs>
        <w:tab w:val="center" w:pos="4419"/>
        <w:tab w:val="right" w:pos="8838"/>
      </w:tabs>
    </w:pPr>
  </w:style>
  <w:style w:type="character" w:customStyle="1" w:styleId="En-tteCar">
    <w:name w:val="En-tête Car"/>
    <w:basedOn w:val="Policepardfaut"/>
    <w:link w:val="En-tte"/>
    <w:uiPriority w:val="99"/>
    <w:rsid w:val="004A622B"/>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4A622B"/>
    <w:pPr>
      <w:tabs>
        <w:tab w:val="center" w:pos="4419"/>
        <w:tab w:val="right" w:pos="8838"/>
      </w:tabs>
    </w:pPr>
  </w:style>
  <w:style w:type="character" w:customStyle="1" w:styleId="PieddepageCar">
    <w:name w:val="Pied de page Car"/>
    <w:basedOn w:val="Policepardfaut"/>
    <w:link w:val="Pieddepage"/>
    <w:uiPriority w:val="99"/>
    <w:rsid w:val="004A622B"/>
    <w:rPr>
      <w:rFonts w:ascii="Times New Roman" w:eastAsia="Times New Roman" w:hAnsi="Times New Roman" w:cs="Times New Roman"/>
      <w:sz w:val="20"/>
      <w:szCs w:val="20"/>
      <w:lang w:eastAsia="es-ES"/>
    </w:rPr>
  </w:style>
  <w:style w:type="paragraph" w:styleId="Sansinterligne">
    <w:name w:val="No Spacing"/>
    <w:uiPriority w:val="1"/>
    <w:qFormat/>
    <w:rsid w:val="004A622B"/>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6059A9"/>
    <w:pPr>
      <w:ind w:left="720"/>
      <w:contextualSpacing/>
    </w:pPr>
  </w:style>
  <w:style w:type="paragraph" w:styleId="Textedebulles">
    <w:name w:val="Balloon Text"/>
    <w:basedOn w:val="Normal"/>
    <w:link w:val="TextedebullesCar"/>
    <w:uiPriority w:val="99"/>
    <w:semiHidden/>
    <w:unhideWhenUsed/>
    <w:rsid w:val="006454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4C9"/>
    <w:rPr>
      <w:rFonts w:ascii="Segoe UI" w:eastAsia="Times New Roman" w:hAnsi="Segoe UI" w:cs="Segoe UI"/>
      <w:sz w:val="18"/>
      <w:szCs w:val="18"/>
      <w:lang w:eastAsia="es-ES"/>
    </w:rPr>
  </w:style>
  <w:style w:type="character" w:customStyle="1" w:styleId="NoSpacingChar">
    <w:name w:val="No Spacing Char"/>
    <w:link w:val="Sinespaciado1"/>
    <w:uiPriority w:val="99"/>
    <w:locked/>
    <w:rsid w:val="00BD3353"/>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1314</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cp:revision>
  <cp:lastPrinted>2017-09-22T19:42:00Z</cp:lastPrinted>
  <dcterms:created xsi:type="dcterms:W3CDTF">2017-09-22T19:10:00Z</dcterms:created>
  <dcterms:modified xsi:type="dcterms:W3CDTF">2017-11-01T14:56:00Z</dcterms:modified>
</cp:coreProperties>
</file>