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88" w:rsidRPr="0094372D" w:rsidRDefault="00060588" w:rsidP="0006058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60588" w:rsidRPr="00060588" w:rsidRDefault="00060588" w:rsidP="004609D0">
      <w:pPr>
        <w:spacing w:line="360" w:lineRule="auto"/>
        <w:jc w:val="both"/>
        <w:rPr>
          <w:rFonts w:ascii="Arial Narrow" w:hAnsi="Arial Narrow" w:cs="Arial"/>
          <w:bCs/>
          <w:i/>
          <w:iCs/>
          <w:sz w:val="16"/>
          <w:szCs w:val="16"/>
          <w:u w:val="single"/>
        </w:rPr>
      </w:pPr>
    </w:p>
    <w:p w:rsidR="004609D0" w:rsidRPr="002A742A" w:rsidRDefault="004609D0" w:rsidP="004609D0">
      <w:pPr>
        <w:spacing w:line="360" w:lineRule="auto"/>
        <w:jc w:val="both"/>
        <w:rPr>
          <w:rFonts w:ascii="Arial Narrow" w:hAnsi="Arial Narrow" w:cs="Arial"/>
          <w:bCs/>
          <w:i/>
          <w:iCs/>
          <w:sz w:val="36"/>
          <w:szCs w:val="36"/>
          <w:u w:val="single"/>
        </w:rPr>
      </w:pPr>
      <w:r w:rsidRPr="002A742A">
        <w:rPr>
          <w:rFonts w:ascii="Arial Narrow" w:hAnsi="Arial Narrow" w:cs="Arial"/>
          <w:bCs/>
          <w:i/>
          <w:iCs/>
          <w:sz w:val="36"/>
          <w:szCs w:val="36"/>
          <w:u w:val="single"/>
        </w:rPr>
        <w:t>ORALIDAD</w:t>
      </w:r>
    </w:p>
    <w:p w:rsidR="00EC6062" w:rsidRDefault="004609D0" w:rsidP="004609D0">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w:t>
      </w:r>
      <w:r w:rsidR="00EC6062">
        <w:rPr>
          <w:rFonts w:ascii="Arial Narrow" w:hAnsi="Arial Narrow" w:cs="Arial"/>
          <w:sz w:val="18"/>
          <w:szCs w:val="18"/>
        </w:rPr>
        <w:t>2 de febrero de 2017</w:t>
      </w:r>
    </w:p>
    <w:p w:rsidR="00060588" w:rsidRPr="001A3D6C" w:rsidRDefault="00060588" w:rsidP="00060588">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r>
        <w:rPr>
          <w:rFonts w:ascii="Arial Narrow" w:hAnsi="Arial Narrow" w:cs="Arial"/>
          <w:iCs/>
          <w:sz w:val="18"/>
          <w:szCs w:val="18"/>
        </w:rPr>
        <w:t xml:space="preserve"> – Modifica sentencia que accedió a las pretensiones</w:t>
      </w:r>
    </w:p>
    <w:p w:rsidR="004609D0" w:rsidRDefault="004609D0" w:rsidP="004609D0">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1-201</w:t>
      </w:r>
      <w:r w:rsidR="00EC6062">
        <w:rPr>
          <w:rFonts w:ascii="Arial Narrow" w:hAnsi="Arial Narrow" w:cs="Arial"/>
          <w:bCs/>
          <w:sz w:val="18"/>
          <w:szCs w:val="18"/>
        </w:rPr>
        <w:t>3-00442-01</w:t>
      </w:r>
    </w:p>
    <w:p w:rsidR="004609D0" w:rsidRPr="001A3D6C" w:rsidRDefault="004609D0" w:rsidP="004609D0">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sidR="00EC6062">
        <w:rPr>
          <w:rFonts w:ascii="Arial Narrow" w:hAnsi="Arial Narrow" w:cs="Arial"/>
          <w:iCs/>
          <w:sz w:val="18"/>
          <w:szCs w:val="18"/>
        </w:rPr>
        <w:t>William Valencia Gutiérrez</w:t>
      </w:r>
    </w:p>
    <w:p w:rsidR="004609D0" w:rsidRPr="002E0A65" w:rsidRDefault="004609D0" w:rsidP="004609D0">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4609D0" w:rsidRPr="002E0A65" w:rsidRDefault="004609D0" w:rsidP="004609D0">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sidR="001212BE">
        <w:rPr>
          <w:rFonts w:ascii="Arial Narrow" w:hAnsi="Arial Narrow" w:cs="Arial"/>
          <w:sz w:val="18"/>
          <w:szCs w:val="18"/>
        </w:rPr>
        <w:t xml:space="preserve">Primero </w:t>
      </w:r>
      <w:r w:rsidRPr="002E0A65">
        <w:rPr>
          <w:rFonts w:ascii="Arial Narrow" w:hAnsi="Arial Narrow" w:cs="Arial"/>
          <w:sz w:val="18"/>
          <w:szCs w:val="18"/>
        </w:rPr>
        <w:t>Laboral del Circuito de Pereira.</w:t>
      </w:r>
    </w:p>
    <w:p w:rsidR="004609D0" w:rsidRDefault="004609D0" w:rsidP="004609D0">
      <w:pPr>
        <w:jc w:val="both"/>
        <w:rPr>
          <w:rFonts w:ascii="Arial Narrow" w:hAnsi="Arial Narrow" w:cs="Arial"/>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060588" w:rsidRPr="002E0A65" w:rsidRDefault="00060588" w:rsidP="004609D0">
      <w:pPr>
        <w:jc w:val="both"/>
        <w:rPr>
          <w:rFonts w:ascii="Arial Narrow" w:hAnsi="Arial Narrow" w:cs="Arial"/>
          <w:b/>
          <w:iCs/>
          <w:sz w:val="18"/>
          <w:szCs w:val="18"/>
        </w:rPr>
      </w:pPr>
    </w:p>
    <w:p w:rsidR="004609D0" w:rsidRPr="00EC6062" w:rsidRDefault="004609D0" w:rsidP="00060588">
      <w:pPr>
        <w:pStyle w:val="Corpsdetexte"/>
        <w:ind w:right="51"/>
        <w:jc w:val="both"/>
        <w:rPr>
          <w:rFonts w:ascii="Arial Narrow" w:hAnsi="Arial Narrow" w:cs="Arial"/>
          <w:color w:val="FF0000"/>
          <w:spacing w:val="-3"/>
          <w:sz w:val="18"/>
          <w:szCs w:val="18"/>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00060588">
        <w:rPr>
          <w:rFonts w:ascii="Arial Narrow" w:hAnsi="Arial Narrow" w:cs="Arial"/>
          <w:b/>
          <w:bCs/>
          <w:sz w:val="18"/>
          <w:szCs w:val="18"/>
        </w:rPr>
        <w:tab/>
        <w:t xml:space="preserve">PENSIÓN DE JUBILACIÓN - </w:t>
      </w:r>
      <w:r w:rsidR="00060588" w:rsidRPr="00060588">
        <w:rPr>
          <w:rFonts w:ascii="Arial Narrow" w:hAnsi="Arial Narrow" w:cs="Arial"/>
          <w:b/>
          <w:bCs/>
          <w:sz w:val="18"/>
          <w:szCs w:val="18"/>
        </w:rPr>
        <w:t>R</w:t>
      </w:r>
      <w:r w:rsidR="00060588" w:rsidRPr="00060588">
        <w:rPr>
          <w:rFonts w:ascii="Arial Narrow" w:hAnsi="Arial Narrow"/>
          <w:b/>
          <w:sz w:val="18"/>
          <w:szCs w:val="18"/>
        </w:rPr>
        <w:t>ÉGIMEN DE TRANSICIÓN – VIGENCIA</w:t>
      </w:r>
      <w:r w:rsidRPr="002A742A">
        <w:rPr>
          <w:rFonts w:ascii="Arial Narrow" w:hAnsi="Arial Narrow"/>
          <w:sz w:val="18"/>
          <w:szCs w:val="18"/>
        </w:rPr>
        <w:t>:</w:t>
      </w:r>
      <w:r w:rsidRPr="002A742A">
        <w:rPr>
          <w:rFonts w:ascii="Arial Narrow" w:hAnsi="Arial Narrow"/>
          <w:b/>
          <w:sz w:val="18"/>
          <w:szCs w:val="18"/>
        </w:rPr>
        <w:t xml:space="preserve"> </w:t>
      </w:r>
      <w:r w:rsidRPr="002A742A">
        <w:rPr>
          <w:rFonts w:ascii="Arial Narrow" w:hAnsi="Arial Narrow"/>
          <w:sz w:val="18"/>
          <w:szCs w:val="18"/>
        </w:rPr>
        <w:t>conforme lo dispuesto en el Acto Legislativo 01 de 2005, el régimen de transición contemplado en la Ley 100 de 1993 estuvo vigente hasta el 31 de julio de 2010, excepto para aquellos trabajadores que antes de que este acto legislativo empezara a surtir efectos jurídicos -29 de julio de 2005- tenían cotizadas 750 semanas o más, o su equivalente en tiempo de servicios, para quienes dicho régimen se mantiene vigente hasta el 31 de diciembre de 2014.</w:t>
      </w:r>
    </w:p>
    <w:p w:rsidR="004609D0" w:rsidRPr="002E0A65" w:rsidRDefault="004609D0" w:rsidP="004609D0">
      <w:pPr>
        <w:autoSpaceDE w:val="0"/>
        <w:autoSpaceDN w:val="0"/>
        <w:adjustRightInd w:val="0"/>
        <w:spacing w:line="360" w:lineRule="auto"/>
        <w:ind w:left="2127" w:hanging="2127"/>
        <w:jc w:val="both"/>
        <w:rPr>
          <w:rFonts w:ascii="Arial Narrow" w:hAnsi="Arial Narrow" w:cs="Arial"/>
          <w:bCs/>
          <w:iCs/>
          <w:sz w:val="18"/>
          <w:szCs w:val="18"/>
        </w:rPr>
      </w:pPr>
    </w:p>
    <w:p w:rsidR="004609D0" w:rsidRPr="002A742A" w:rsidRDefault="004609D0" w:rsidP="004609D0">
      <w:pPr>
        <w:spacing w:line="360" w:lineRule="auto"/>
        <w:ind w:firstLine="840"/>
        <w:rPr>
          <w:rFonts w:ascii="Arial Narrow" w:hAnsi="Arial Narrow" w:cs="Arial"/>
          <w:sz w:val="28"/>
          <w:szCs w:val="28"/>
        </w:rPr>
      </w:pPr>
      <w:r w:rsidRPr="002A742A">
        <w:rPr>
          <w:rFonts w:ascii="Arial Narrow" w:hAnsi="Arial Narrow" w:cs="Arial"/>
          <w:sz w:val="28"/>
          <w:szCs w:val="28"/>
          <w:u w:val="single"/>
        </w:rPr>
        <w:t>AUDIENCIA PÚBLICA</w:t>
      </w:r>
      <w:r w:rsidRPr="002A742A">
        <w:rPr>
          <w:rFonts w:ascii="Arial Narrow" w:hAnsi="Arial Narrow" w:cs="Arial"/>
          <w:sz w:val="28"/>
          <w:szCs w:val="28"/>
        </w:rPr>
        <w:t>:</w:t>
      </w:r>
    </w:p>
    <w:p w:rsidR="004609D0" w:rsidRPr="002E0A65" w:rsidRDefault="004609D0" w:rsidP="004609D0">
      <w:pPr>
        <w:pStyle w:val="Sansinterligne"/>
      </w:pPr>
    </w:p>
    <w:p w:rsidR="004609D0" w:rsidRPr="00F51071" w:rsidRDefault="001212BE" w:rsidP="004609D0">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004609D0" w:rsidRPr="008105C9">
        <w:rPr>
          <w:rFonts w:ascii="Arial Narrow" w:eastAsia="Calibri" w:hAnsi="Arial Narrow" w:cs="Arial"/>
          <w:sz w:val="28"/>
          <w:szCs w:val="28"/>
          <w:lang w:val="es-CO" w:eastAsia="en-US"/>
        </w:rPr>
        <w:t xml:space="preserve">n Pereira, a los </w:t>
      </w:r>
      <w:r w:rsidR="00EC6062">
        <w:rPr>
          <w:rFonts w:ascii="Arial Narrow" w:eastAsia="Calibri" w:hAnsi="Arial Narrow" w:cs="Arial"/>
          <w:sz w:val="28"/>
          <w:szCs w:val="28"/>
          <w:lang w:val="es-CO" w:eastAsia="en-US"/>
        </w:rPr>
        <w:t>dos</w:t>
      </w:r>
      <w:r>
        <w:rPr>
          <w:rFonts w:ascii="Arial Narrow" w:eastAsia="Calibri" w:hAnsi="Arial Narrow" w:cs="Arial"/>
          <w:sz w:val="28"/>
          <w:szCs w:val="28"/>
          <w:lang w:val="es-CO" w:eastAsia="en-US"/>
        </w:rPr>
        <w:t xml:space="preserve"> </w:t>
      </w:r>
      <w:r w:rsidR="004609D0">
        <w:rPr>
          <w:rFonts w:ascii="Arial Narrow" w:eastAsia="Calibri" w:hAnsi="Arial Narrow" w:cs="Arial"/>
          <w:sz w:val="28"/>
          <w:szCs w:val="28"/>
          <w:lang w:val="es-CO" w:eastAsia="en-US"/>
        </w:rPr>
        <w:t>(</w:t>
      </w:r>
      <w:r w:rsidR="00EC6062">
        <w:rPr>
          <w:rFonts w:ascii="Arial Narrow" w:eastAsia="Calibri" w:hAnsi="Arial Narrow" w:cs="Arial"/>
          <w:sz w:val="28"/>
          <w:szCs w:val="28"/>
          <w:lang w:val="es-CO" w:eastAsia="en-US"/>
        </w:rPr>
        <w:t>02</w:t>
      </w:r>
      <w:r w:rsidR="004609D0">
        <w:rPr>
          <w:rFonts w:ascii="Arial Narrow" w:eastAsia="Calibri" w:hAnsi="Arial Narrow" w:cs="Arial"/>
          <w:sz w:val="28"/>
          <w:szCs w:val="28"/>
          <w:lang w:val="es-CO" w:eastAsia="en-US"/>
        </w:rPr>
        <w:t xml:space="preserve">) </w:t>
      </w:r>
      <w:r w:rsidR="004609D0" w:rsidRPr="008105C9">
        <w:rPr>
          <w:rFonts w:ascii="Arial Narrow" w:eastAsia="Calibri" w:hAnsi="Arial Narrow" w:cs="Arial"/>
          <w:sz w:val="28"/>
          <w:szCs w:val="28"/>
          <w:lang w:val="es-CO" w:eastAsia="en-US"/>
        </w:rPr>
        <w:t xml:space="preserve">días del mes de </w:t>
      </w:r>
      <w:r w:rsidR="00EC6062">
        <w:rPr>
          <w:rFonts w:ascii="Arial Narrow" w:eastAsia="Calibri" w:hAnsi="Arial Narrow" w:cs="Arial"/>
          <w:sz w:val="28"/>
          <w:szCs w:val="28"/>
          <w:lang w:val="es-CO" w:eastAsia="en-US"/>
        </w:rPr>
        <w:t>febrero de d</w:t>
      </w:r>
      <w:r w:rsidR="004609D0" w:rsidRPr="008105C9">
        <w:rPr>
          <w:rFonts w:ascii="Arial Narrow" w:eastAsia="Calibri" w:hAnsi="Arial Narrow" w:cs="Arial"/>
          <w:sz w:val="28"/>
          <w:szCs w:val="28"/>
          <w:lang w:val="es-CO" w:eastAsia="en-US"/>
        </w:rPr>
        <w:t xml:space="preserve">os mil </w:t>
      </w:r>
      <w:r w:rsidR="00EC6062" w:rsidRPr="008105C9">
        <w:rPr>
          <w:rFonts w:ascii="Arial Narrow" w:eastAsia="Calibri" w:hAnsi="Arial Narrow" w:cs="Arial"/>
          <w:sz w:val="28"/>
          <w:szCs w:val="28"/>
          <w:lang w:val="es-CO" w:eastAsia="en-US"/>
        </w:rPr>
        <w:t>die</w:t>
      </w:r>
      <w:r w:rsidR="00EC6062">
        <w:rPr>
          <w:rFonts w:ascii="Arial Narrow" w:eastAsia="Calibri" w:hAnsi="Arial Narrow" w:cs="Arial"/>
          <w:sz w:val="28"/>
          <w:szCs w:val="28"/>
          <w:lang w:val="es-CO" w:eastAsia="en-US"/>
        </w:rPr>
        <w:t xml:space="preserve">cisiete </w:t>
      </w:r>
      <w:r w:rsidR="004609D0" w:rsidRPr="008105C9">
        <w:rPr>
          <w:rFonts w:ascii="Arial Narrow" w:eastAsia="Calibri" w:hAnsi="Arial Narrow" w:cs="Arial"/>
          <w:sz w:val="28"/>
          <w:szCs w:val="28"/>
          <w:lang w:val="es-CO" w:eastAsia="en-US"/>
        </w:rPr>
        <w:t>(201</w:t>
      </w:r>
      <w:r w:rsidR="00EC6062">
        <w:rPr>
          <w:rFonts w:ascii="Arial Narrow" w:eastAsia="Calibri" w:hAnsi="Arial Narrow" w:cs="Arial"/>
          <w:sz w:val="28"/>
          <w:szCs w:val="28"/>
          <w:lang w:val="es-CO" w:eastAsia="en-US"/>
        </w:rPr>
        <w:t>7</w:t>
      </w:r>
      <w:r w:rsidR="004609D0" w:rsidRPr="008105C9">
        <w:rPr>
          <w:rFonts w:ascii="Arial Narrow" w:eastAsia="Calibri" w:hAnsi="Arial Narrow" w:cs="Arial"/>
          <w:sz w:val="28"/>
          <w:szCs w:val="28"/>
          <w:lang w:val="es-CO" w:eastAsia="en-US"/>
        </w:rPr>
        <w:t xml:space="preserve">), siendo las </w:t>
      </w:r>
      <w:r w:rsidR="00EC6062">
        <w:rPr>
          <w:rFonts w:ascii="Arial Narrow" w:eastAsia="Calibri" w:hAnsi="Arial Narrow" w:cs="Arial"/>
          <w:sz w:val="28"/>
          <w:szCs w:val="28"/>
          <w:lang w:val="es-CO" w:eastAsia="en-US"/>
        </w:rPr>
        <w:t xml:space="preserve">diez </w:t>
      </w:r>
      <w:r w:rsidR="004609D0">
        <w:rPr>
          <w:rFonts w:ascii="Arial Narrow" w:eastAsia="Calibri" w:hAnsi="Arial Narrow" w:cs="Arial"/>
          <w:sz w:val="28"/>
          <w:szCs w:val="28"/>
          <w:lang w:val="es-CO" w:eastAsia="en-US"/>
        </w:rPr>
        <w:t>y treinta d</w:t>
      </w:r>
      <w:r w:rsidR="004609D0" w:rsidRPr="008105C9">
        <w:rPr>
          <w:rFonts w:ascii="Arial Narrow" w:eastAsia="Calibri" w:hAnsi="Arial Narrow" w:cs="Arial"/>
          <w:sz w:val="28"/>
          <w:szCs w:val="28"/>
          <w:lang w:val="es-CO" w:eastAsia="en-US"/>
        </w:rPr>
        <w:t>e la mañana (</w:t>
      </w:r>
      <w:r w:rsidR="00EC6062">
        <w:rPr>
          <w:rFonts w:ascii="Arial Narrow" w:eastAsia="Calibri" w:hAnsi="Arial Narrow" w:cs="Arial"/>
          <w:sz w:val="28"/>
          <w:szCs w:val="28"/>
          <w:lang w:val="es-CO" w:eastAsia="en-US"/>
        </w:rPr>
        <w:t>10</w:t>
      </w:r>
      <w:r w:rsidR="004609D0">
        <w:rPr>
          <w:rFonts w:ascii="Arial Narrow" w:eastAsia="Calibri" w:hAnsi="Arial Narrow" w:cs="Arial"/>
          <w:sz w:val="28"/>
          <w:szCs w:val="28"/>
          <w:lang w:val="es-CO" w:eastAsia="en-US"/>
        </w:rPr>
        <w:t xml:space="preserve">:30 </w:t>
      </w:r>
      <w:r w:rsidR="004609D0" w:rsidRPr="008105C9">
        <w:rPr>
          <w:rFonts w:ascii="Arial Narrow" w:eastAsia="Calibri" w:hAnsi="Arial Narrow" w:cs="Arial"/>
          <w:sz w:val="28"/>
          <w:szCs w:val="28"/>
          <w:lang w:val="es-CO" w:eastAsia="en-US"/>
        </w:rPr>
        <w:t xml:space="preserve">a.m.), </w:t>
      </w:r>
      <w:r w:rsidR="004609D0" w:rsidRPr="008105C9">
        <w:rPr>
          <w:rFonts w:ascii="Arial Narrow" w:hAnsi="Arial Narrow" w:cs="Tahoma"/>
          <w:bCs/>
          <w:color w:val="000000"/>
          <w:sz w:val="28"/>
          <w:szCs w:val="28"/>
          <w:lang w:eastAsia="es-CO"/>
        </w:rPr>
        <w:t>reunidos en la Sala de Audiencia la</w:t>
      </w:r>
      <w:r w:rsidR="004609D0">
        <w:rPr>
          <w:rFonts w:ascii="Arial Narrow" w:hAnsi="Arial Narrow" w:cs="Tahoma"/>
          <w:bCs/>
          <w:color w:val="000000"/>
          <w:sz w:val="28"/>
          <w:szCs w:val="28"/>
          <w:lang w:eastAsia="es-CO"/>
        </w:rPr>
        <w:t>s</w:t>
      </w:r>
      <w:r w:rsidR="004609D0" w:rsidRPr="008105C9">
        <w:rPr>
          <w:rFonts w:ascii="Arial Narrow" w:hAnsi="Arial Narrow" w:cs="Tahoma"/>
          <w:bCs/>
          <w:color w:val="000000"/>
          <w:sz w:val="28"/>
          <w:szCs w:val="28"/>
          <w:lang w:eastAsia="es-CO"/>
        </w:rPr>
        <w:t xml:space="preserve"> magistrada</w:t>
      </w:r>
      <w:r w:rsidR="004609D0">
        <w:rPr>
          <w:rFonts w:ascii="Arial Narrow" w:hAnsi="Arial Narrow" w:cs="Tahoma"/>
          <w:bCs/>
          <w:color w:val="000000"/>
          <w:sz w:val="28"/>
          <w:szCs w:val="28"/>
          <w:lang w:eastAsia="es-CO"/>
        </w:rPr>
        <w:t>s</w:t>
      </w:r>
      <w:r w:rsidR="004609D0" w:rsidRPr="008105C9">
        <w:rPr>
          <w:rFonts w:ascii="Arial Narrow" w:hAnsi="Arial Narrow" w:cs="Tahoma"/>
          <w:bCs/>
          <w:color w:val="000000"/>
          <w:sz w:val="28"/>
          <w:szCs w:val="28"/>
          <w:lang w:eastAsia="es-CO"/>
        </w:rPr>
        <w:t xml:space="preserve"> y</w:t>
      </w:r>
      <w:r w:rsidR="004609D0">
        <w:rPr>
          <w:rFonts w:ascii="Arial Narrow" w:hAnsi="Arial Narrow" w:cs="Tahoma"/>
          <w:bCs/>
          <w:color w:val="000000"/>
          <w:sz w:val="28"/>
          <w:szCs w:val="28"/>
          <w:lang w:eastAsia="es-CO"/>
        </w:rPr>
        <w:t xml:space="preserve"> el suscrito magistrado </w:t>
      </w:r>
      <w:r w:rsidR="004609D0"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sidR="004609D0">
        <w:rPr>
          <w:rFonts w:ascii="Arial Narrow" w:hAnsi="Arial Narrow" w:cs="Tahoma"/>
          <w:bCs/>
          <w:color w:val="000000"/>
          <w:sz w:val="28"/>
          <w:szCs w:val="28"/>
          <w:lang w:eastAsia="es-CO"/>
        </w:rPr>
        <w:t xml:space="preserve">grado jurisdiccional de consulta frente a </w:t>
      </w:r>
      <w:r w:rsidR="004609D0" w:rsidRPr="008105C9">
        <w:rPr>
          <w:rFonts w:ascii="Arial Narrow" w:hAnsi="Arial Narrow" w:cs="Arial"/>
          <w:sz w:val="28"/>
          <w:szCs w:val="28"/>
        </w:rPr>
        <w:t>la sentencia proferida el</w:t>
      </w:r>
      <w:r w:rsidR="004609D0">
        <w:rPr>
          <w:rFonts w:ascii="Arial Narrow" w:hAnsi="Arial Narrow" w:cs="Arial"/>
          <w:sz w:val="28"/>
          <w:szCs w:val="28"/>
        </w:rPr>
        <w:t xml:space="preserve"> </w:t>
      </w:r>
      <w:r w:rsidR="00EC6062">
        <w:rPr>
          <w:rFonts w:ascii="Arial Narrow" w:hAnsi="Arial Narrow" w:cs="Arial"/>
          <w:sz w:val="28"/>
          <w:szCs w:val="28"/>
        </w:rPr>
        <w:t xml:space="preserve">17 de febrero de 2014 </w:t>
      </w:r>
      <w:r w:rsidR="004609D0" w:rsidRPr="008105C9">
        <w:rPr>
          <w:rFonts w:ascii="Arial Narrow" w:hAnsi="Arial Narrow" w:cs="Arial"/>
          <w:sz w:val="28"/>
          <w:szCs w:val="28"/>
        </w:rPr>
        <w:t xml:space="preserve">por el Juzgado </w:t>
      </w:r>
      <w:r>
        <w:rPr>
          <w:rFonts w:ascii="Arial Narrow" w:hAnsi="Arial Narrow" w:cs="Arial"/>
          <w:sz w:val="28"/>
          <w:szCs w:val="28"/>
        </w:rPr>
        <w:t xml:space="preserve">Primero </w:t>
      </w:r>
      <w:r w:rsidR="004609D0" w:rsidRPr="008105C9">
        <w:rPr>
          <w:rFonts w:ascii="Arial Narrow" w:hAnsi="Arial Narrow" w:cs="Arial"/>
          <w:sz w:val="28"/>
          <w:szCs w:val="28"/>
        </w:rPr>
        <w:t xml:space="preserve">Laboral del Circuito de Pereira, dentro del proceso ordinario laboral promovido por </w:t>
      </w:r>
      <w:r w:rsidR="000413E2" w:rsidRPr="000413E2">
        <w:rPr>
          <w:rFonts w:ascii="Arial Narrow" w:hAnsi="Arial Narrow" w:cs="Arial"/>
          <w:i/>
          <w:sz w:val="28"/>
          <w:szCs w:val="28"/>
        </w:rPr>
        <w:t>William Valencia Gutiérrez</w:t>
      </w:r>
      <w:r w:rsidR="000413E2">
        <w:rPr>
          <w:rFonts w:ascii="Arial Narrow" w:hAnsi="Arial Narrow" w:cs="Arial"/>
          <w:sz w:val="28"/>
          <w:szCs w:val="28"/>
        </w:rPr>
        <w:t xml:space="preserve"> </w:t>
      </w:r>
      <w:r w:rsidR="004609D0" w:rsidRPr="00F51071">
        <w:rPr>
          <w:rFonts w:ascii="Arial Narrow" w:hAnsi="Arial Narrow" w:cs="Arial"/>
          <w:sz w:val="28"/>
          <w:szCs w:val="28"/>
        </w:rPr>
        <w:t xml:space="preserve">contra la </w:t>
      </w:r>
      <w:r w:rsidR="004609D0" w:rsidRPr="00F51071">
        <w:rPr>
          <w:rFonts w:ascii="Arial Narrow" w:hAnsi="Arial Narrow" w:cs="Arial"/>
          <w:i/>
          <w:sz w:val="28"/>
          <w:szCs w:val="28"/>
        </w:rPr>
        <w:t xml:space="preserve">Administradora Colombiana de Pensiones </w:t>
      </w:r>
      <w:proofErr w:type="spellStart"/>
      <w:r w:rsidR="004609D0" w:rsidRPr="00F51071">
        <w:rPr>
          <w:rFonts w:ascii="Arial Narrow" w:hAnsi="Arial Narrow" w:cs="Arial"/>
          <w:i/>
          <w:sz w:val="28"/>
          <w:szCs w:val="28"/>
        </w:rPr>
        <w:t>Colpensiones</w:t>
      </w:r>
      <w:proofErr w:type="spellEnd"/>
      <w:r w:rsidR="004609D0" w:rsidRPr="00F51071">
        <w:rPr>
          <w:rFonts w:ascii="Arial Narrow" w:hAnsi="Arial Narrow" w:cs="Arial"/>
          <w:i/>
          <w:sz w:val="28"/>
          <w:szCs w:val="28"/>
        </w:rPr>
        <w:t xml:space="preserve">. </w:t>
      </w:r>
    </w:p>
    <w:p w:rsidR="004609D0" w:rsidRPr="00837C04" w:rsidRDefault="004609D0" w:rsidP="000413E2">
      <w:pPr>
        <w:pStyle w:val="Sansinterligne"/>
        <w:spacing w:line="276" w:lineRule="auto"/>
      </w:pPr>
    </w:p>
    <w:p w:rsidR="00085561" w:rsidRPr="001E679A" w:rsidRDefault="00085561" w:rsidP="00085561">
      <w:pPr>
        <w:shd w:val="clear" w:color="auto" w:fill="FFFFFF"/>
        <w:spacing w:line="360" w:lineRule="atLeast"/>
        <w:ind w:firstLine="708"/>
        <w:jc w:val="both"/>
        <w:rPr>
          <w:rFonts w:ascii="Arial Narrow" w:hAnsi="Arial Narrow" w:cs="Tahoma"/>
          <w:bCs/>
          <w:color w:val="000000"/>
          <w:sz w:val="28"/>
          <w:szCs w:val="28"/>
          <w:lang w:eastAsia="es-CO"/>
        </w:rPr>
      </w:pPr>
      <w:r w:rsidRPr="001E679A">
        <w:rPr>
          <w:rFonts w:ascii="Arial Narrow" w:hAnsi="Arial Narrow" w:cs="Tahoma"/>
          <w:bCs/>
          <w:color w:val="000000"/>
          <w:sz w:val="28"/>
          <w:szCs w:val="28"/>
          <w:lang w:eastAsia="es-CO"/>
        </w:rPr>
        <w:t>IDENTIFICACIÓN DE LOS PRESENTES:</w:t>
      </w:r>
    </w:p>
    <w:p w:rsidR="00085561" w:rsidRPr="001E679A" w:rsidRDefault="00085561" w:rsidP="00085561">
      <w:pPr>
        <w:shd w:val="clear" w:color="auto" w:fill="FFFFFF"/>
        <w:spacing w:line="360" w:lineRule="atLeast"/>
        <w:jc w:val="both"/>
        <w:rPr>
          <w:rFonts w:ascii="Arial Narrow" w:hAnsi="Arial Narrow" w:cs="Tahoma"/>
          <w:bCs/>
          <w:color w:val="000000"/>
          <w:sz w:val="28"/>
          <w:szCs w:val="28"/>
          <w:lang w:eastAsia="es-CO"/>
        </w:rPr>
      </w:pPr>
    </w:p>
    <w:p w:rsidR="00085561" w:rsidRPr="001E679A" w:rsidRDefault="00085561" w:rsidP="00085561">
      <w:pPr>
        <w:spacing w:line="360" w:lineRule="auto"/>
        <w:ind w:firstLine="851"/>
        <w:rPr>
          <w:rFonts w:ascii="Arial Narrow" w:hAnsi="Arial Narrow" w:cs="Tahoma"/>
          <w:sz w:val="28"/>
          <w:szCs w:val="28"/>
        </w:rPr>
      </w:pPr>
      <w:r w:rsidRPr="001E679A">
        <w:rPr>
          <w:rFonts w:ascii="Arial Narrow" w:hAnsi="Arial Narrow" w:cs="Tahoma"/>
          <w:i/>
          <w:sz w:val="28"/>
          <w:szCs w:val="28"/>
        </w:rPr>
        <w:t>INTRODUCCIÓN</w:t>
      </w:r>
    </w:p>
    <w:p w:rsidR="004609D0" w:rsidRPr="000413E2" w:rsidRDefault="004609D0" w:rsidP="000413E2">
      <w:pPr>
        <w:pStyle w:val="Sansinterligne"/>
      </w:pPr>
    </w:p>
    <w:p w:rsidR="004609D0" w:rsidRPr="008105C9" w:rsidRDefault="000413E2" w:rsidP="004609D0">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demandante </w:t>
      </w:r>
      <w:r w:rsidR="004609D0" w:rsidRPr="008105C9">
        <w:rPr>
          <w:rFonts w:ascii="Arial Narrow" w:hAnsi="Arial Narrow" w:cs="Tahoma"/>
          <w:sz w:val="28"/>
          <w:szCs w:val="28"/>
        </w:rPr>
        <w:t>que</w:t>
      </w:r>
      <w:r w:rsidR="004609D0">
        <w:rPr>
          <w:rFonts w:ascii="Arial Narrow" w:hAnsi="Arial Narrow" w:cs="Tahoma"/>
          <w:sz w:val="28"/>
          <w:szCs w:val="28"/>
        </w:rPr>
        <w:t xml:space="preserve"> </w:t>
      </w:r>
      <w:r w:rsidR="00780B31">
        <w:rPr>
          <w:rFonts w:ascii="Arial Narrow" w:hAnsi="Arial Narrow" w:cs="Tahoma"/>
          <w:sz w:val="28"/>
          <w:szCs w:val="28"/>
        </w:rPr>
        <w:t>se declare que es beneficiario del régimen de transición establecido en el artículo 36 de la Ley 100 de 1993, y</w:t>
      </w:r>
      <w:r>
        <w:rPr>
          <w:rFonts w:ascii="Arial Narrow" w:hAnsi="Arial Narrow" w:cs="Tahoma"/>
          <w:sz w:val="28"/>
          <w:szCs w:val="28"/>
        </w:rPr>
        <w:t xml:space="preserve"> sufragó un total de 1.336,71 semanas al régimen de prima media con prestación definida. Que como consecuencia, </w:t>
      </w:r>
      <w:r w:rsidR="00780B31">
        <w:rPr>
          <w:rFonts w:ascii="Arial Narrow" w:hAnsi="Arial Narrow" w:cs="Tahoma"/>
          <w:sz w:val="28"/>
          <w:szCs w:val="28"/>
        </w:rPr>
        <w:t xml:space="preserve">se </w:t>
      </w:r>
      <w:r w:rsidR="004609D0">
        <w:rPr>
          <w:rFonts w:ascii="Arial Narrow" w:hAnsi="Arial Narrow" w:cs="Tahoma"/>
          <w:sz w:val="28"/>
          <w:szCs w:val="28"/>
        </w:rPr>
        <w:t xml:space="preserve">condene a la entidad demandada a reconocer y pagar </w:t>
      </w:r>
      <w:r w:rsidR="004609D0" w:rsidRPr="008105C9">
        <w:rPr>
          <w:rFonts w:ascii="Arial Narrow" w:hAnsi="Arial Narrow" w:cs="Tahoma"/>
          <w:sz w:val="28"/>
          <w:szCs w:val="28"/>
        </w:rPr>
        <w:t>la pensión de vejez</w:t>
      </w:r>
      <w:r w:rsidR="004609D0">
        <w:rPr>
          <w:rFonts w:ascii="Arial Narrow" w:hAnsi="Arial Narrow" w:cs="Tahoma"/>
          <w:sz w:val="28"/>
          <w:szCs w:val="28"/>
        </w:rPr>
        <w:t xml:space="preserve"> </w:t>
      </w:r>
      <w:r w:rsidR="004609D0" w:rsidRPr="008105C9">
        <w:rPr>
          <w:rFonts w:ascii="Arial Narrow" w:hAnsi="Arial Narrow" w:cs="Tahoma"/>
          <w:sz w:val="28"/>
          <w:szCs w:val="28"/>
        </w:rPr>
        <w:t xml:space="preserve">a partir del </w:t>
      </w:r>
      <w:r>
        <w:rPr>
          <w:rFonts w:ascii="Arial Narrow" w:hAnsi="Arial Narrow" w:cs="Tahoma"/>
          <w:sz w:val="28"/>
          <w:szCs w:val="28"/>
        </w:rPr>
        <w:t>19 de febrero de 2012</w:t>
      </w:r>
      <w:r w:rsidR="004609D0">
        <w:rPr>
          <w:rFonts w:ascii="Arial Narrow" w:hAnsi="Arial Narrow" w:cs="Tahoma"/>
          <w:sz w:val="28"/>
          <w:szCs w:val="28"/>
        </w:rPr>
        <w:t xml:space="preserve">, </w:t>
      </w:r>
      <w:r>
        <w:rPr>
          <w:rFonts w:ascii="Arial Narrow" w:hAnsi="Arial Narrow" w:cs="Tahoma"/>
          <w:sz w:val="28"/>
          <w:szCs w:val="28"/>
        </w:rPr>
        <w:t xml:space="preserve">el retroactivo, los </w:t>
      </w:r>
      <w:r w:rsidR="004609D0">
        <w:rPr>
          <w:rFonts w:ascii="Arial Narrow" w:hAnsi="Arial Narrow" w:cs="Tahoma"/>
          <w:sz w:val="28"/>
          <w:szCs w:val="28"/>
        </w:rPr>
        <w:t xml:space="preserve">intereses de mora </w:t>
      </w:r>
      <w:r>
        <w:rPr>
          <w:rFonts w:ascii="Arial Narrow" w:hAnsi="Arial Narrow" w:cs="Tahoma"/>
          <w:sz w:val="28"/>
          <w:szCs w:val="28"/>
        </w:rPr>
        <w:t xml:space="preserve">de que trata el artículo 141 de la Ley 100/93 </w:t>
      </w:r>
      <w:r w:rsidR="004609D0">
        <w:rPr>
          <w:rFonts w:ascii="Arial Narrow" w:hAnsi="Arial Narrow" w:cs="Tahoma"/>
          <w:sz w:val="28"/>
          <w:szCs w:val="28"/>
        </w:rPr>
        <w:t>y las costas del proceso.</w:t>
      </w:r>
    </w:p>
    <w:p w:rsidR="004609D0" w:rsidRPr="00CA3A5A" w:rsidRDefault="004609D0" w:rsidP="004609D0">
      <w:pPr>
        <w:pStyle w:val="Sansinterligne"/>
      </w:pPr>
    </w:p>
    <w:p w:rsidR="005243CB" w:rsidRDefault="004609D0" w:rsidP="00FB2BE4">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w:t>
      </w:r>
      <w:r w:rsidR="008B4369">
        <w:rPr>
          <w:rFonts w:ascii="Arial Narrow" w:hAnsi="Arial Narrow" w:cs="Tahoma"/>
          <w:color w:val="000000"/>
          <w:sz w:val="28"/>
          <w:szCs w:val="28"/>
          <w:lang w:eastAsia="es-CO"/>
        </w:rPr>
        <w:t>uso que nació el 19 de febrero de 2012; que sufragó 1.336,71 semanas al régimen de prima media</w:t>
      </w:r>
      <w:r w:rsidR="005243CB">
        <w:rPr>
          <w:rFonts w:ascii="Arial Narrow" w:hAnsi="Arial Narrow" w:cs="Tahoma"/>
          <w:color w:val="000000"/>
          <w:sz w:val="28"/>
          <w:szCs w:val="28"/>
          <w:lang w:eastAsia="es-CO"/>
        </w:rPr>
        <w:t xml:space="preserve">, sin embargo su historia </w:t>
      </w:r>
      <w:r w:rsidR="008B4369">
        <w:rPr>
          <w:rFonts w:ascii="Arial Narrow" w:hAnsi="Arial Narrow" w:cs="Tahoma"/>
          <w:color w:val="000000"/>
          <w:sz w:val="28"/>
          <w:szCs w:val="28"/>
          <w:lang w:eastAsia="es-CO"/>
        </w:rPr>
        <w:t>laboral solo reporta 809.86 semanas, omitiendo el tiempo cotizado entre el 1º de julio de 1974 y el 4 de septiembre de 1984, esto</w:t>
      </w:r>
      <w:r w:rsidR="005243CB">
        <w:rPr>
          <w:rFonts w:ascii="Arial Narrow" w:hAnsi="Arial Narrow" w:cs="Tahoma"/>
          <w:color w:val="000000"/>
          <w:sz w:val="28"/>
          <w:szCs w:val="28"/>
          <w:lang w:eastAsia="es-CO"/>
        </w:rPr>
        <w:t xml:space="preserve"> es, 526.85 semanas. Indica </w:t>
      </w:r>
      <w:r w:rsidR="008B4369">
        <w:rPr>
          <w:rFonts w:ascii="Arial Narrow" w:hAnsi="Arial Narrow" w:cs="Tahoma"/>
          <w:color w:val="000000"/>
          <w:sz w:val="28"/>
          <w:szCs w:val="28"/>
          <w:lang w:eastAsia="es-CO"/>
        </w:rPr>
        <w:t xml:space="preserve">que al </w:t>
      </w:r>
      <w:r w:rsidR="008B4369">
        <w:rPr>
          <w:rFonts w:ascii="Arial Narrow" w:hAnsi="Arial Narrow" w:cs="Tahoma"/>
          <w:color w:val="000000"/>
          <w:sz w:val="28"/>
          <w:szCs w:val="28"/>
          <w:lang w:eastAsia="es-CO"/>
        </w:rPr>
        <w:lastRenderedPageBreak/>
        <w:t>1º de abril de 1994 tenía más de 750 cotizadas al sistema pensional</w:t>
      </w:r>
      <w:r w:rsidR="005243CB">
        <w:rPr>
          <w:rFonts w:ascii="Arial Narrow" w:hAnsi="Arial Narrow" w:cs="Tahoma"/>
          <w:color w:val="000000"/>
          <w:sz w:val="28"/>
          <w:szCs w:val="28"/>
          <w:lang w:eastAsia="es-CO"/>
        </w:rPr>
        <w:t>; que el 21 de abril de 2012 presentó la solicitud pensional ante en el antiguo ISS, la cual fue negada por no cumplir con la densidad de semanas requeridas.</w:t>
      </w:r>
      <w:r w:rsidR="00FB2BE4">
        <w:rPr>
          <w:rFonts w:ascii="Arial Narrow" w:hAnsi="Arial Narrow" w:cs="Tahoma"/>
          <w:color w:val="000000"/>
          <w:sz w:val="28"/>
          <w:szCs w:val="28"/>
          <w:lang w:eastAsia="es-CO"/>
        </w:rPr>
        <w:t xml:space="preserve"> </w:t>
      </w:r>
      <w:r w:rsidR="005243CB">
        <w:rPr>
          <w:rFonts w:ascii="Arial Narrow" w:hAnsi="Arial Narrow" w:cs="Tahoma"/>
          <w:color w:val="000000"/>
          <w:sz w:val="28"/>
          <w:szCs w:val="28"/>
          <w:lang w:eastAsia="es-CO"/>
        </w:rPr>
        <w:t xml:space="preserve">Refiere que el 19 de junio de 2013 radicó ante </w:t>
      </w:r>
      <w:proofErr w:type="spellStart"/>
      <w:r w:rsidR="005243CB">
        <w:rPr>
          <w:rFonts w:ascii="Arial Narrow" w:hAnsi="Arial Narrow" w:cs="Tahoma"/>
          <w:color w:val="000000"/>
          <w:sz w:val="28"/>
          <w:szCs w:val="28"/>
          <w:lang w:eastAsia="es-CO"/>
        </w:rPr>
        <w:t>Colpensiones</w:t>
      </w:r>
      <w:proofErr w:type="spellEnd"/>
      <w:r w:rsidR="005243CB">
        <w:rPr>
          <w:rFonts w:ascii="Arial Narrow" w:hAnsi="Arial Narrow" w:cs="Tahoma"/>
          <w:color w:val="000000"/>
          <w:sz w:val="28"/>
          <w:szCs w:val="28"/>
          <w:lang w:eastAsia="es-CO"/>
        </w:rPr>
        <w:t xml:space="preserve">, la solicitud de corrección </w:t>
      </w:r>
      <w:r w:rsidR="001E0BC4">
        <w:rPr>
          <w:rFonts w:ascii="Arial Narrow" w:hAnsi="Arial Narrow" w:cs="Tahoma"/>
          <w:color w:val="000000"/>
          <w:sz w:val="28"/>
          <w:szCs w:val="28"/>
          <w:lang w:eastAsia="es-CO"/>
        </w:rPr>
        <w:t>de historia laboral, de la cual no ha recibido respuesta.</w:t>
      </w:r>
    </w:p>
    <w:p w:rsidR="004609D0" w:rsidRPr="00085561" w:rsidRDefault="004609D0" w:rsidP="00085561">
      <w:pPr>
        <w:pStyle w:val="Sansinterligne"/>
      </w:pPr>
    </w:p>
    <w:p w:rsidR="004609D0" w:rsidRDefault="001E0BC4" w:rsidP="004609D0">
      <w:pPr>
        <w:spacing w:line="360" w:lineRule="auto"/>
        <w:ind w:firstLine="708"/>
        <w:jc w:val="both"/>
        <w:rPr>
          <w:rFonts w:ascii="Arial Narrow" w:hAnsi="Arial Narrow" w:cs="Arial"/>
          <w:sz w:val="28"/>
          <w:szCs w:val="28"/>
        </w:rPr>
      </w:pPr>
      <w:r>
        <w:rPr>
          <w:rFonts w:ascii="Arial Narrow" w:hAnsi="Arial Narrow" w:cs="Arial"/>
          <w:sz w:val="28"/>
          <w:szCs w:val="28"/>
        </w:rPr>
        <w:t xml:space="preserve">En respuesta a la demanda, </w:t>
      </w:r>
      <w:proofErr w:type="spellStart"/>
      <w:r w:rsidR="004609D0" w:rsidRPr="009868D1">
        <w:rPr>
          <w:rFonts w:ascii="Arial Narrow" w:hAnsi="Arial Narrow" w:cs="Arial"/>
          <w:sz w:val="28"/>
          <w:szCs w:val="28"/>
        </w:rPr>
        <w:t>Colpensiones</w:t>
      </w:r>
      <w:proofErr w:type="spellEnd"/>
      <w:r w:rsidR="004609D0">
        <w:rPr>
          <w:rFonts w:ascii="Arial Narrow" w:hAnsi="Arial Narrow" w:cs="Arial"/>
          <w:b/>
          <w:sz w:val="28"/>
          <w:szCs w:val="28"/>
        </w:rPr>
        <w:t xml:space="preserve"> </w:t>
      </w:r>
      <w:r w:rsidR="004609D0">
        <w:rPr>
          <w:rFonts w:ascii="Arial Narrow" w:hAnsi="Arial Narrow" w:cs="Arial"/>
          <w:sz w:val="28"/>
          <w:szCs w:val="28"/>
        </w:rPr>
        <w:t>se opuso a las pretensiones, arguy</w:t>
      </w:r>
      <w:r w:rsidR="00D4096E">
        <w:rPr>
          <w:rFonts w:ascii="Arial Narrow" w:hAnsi="Arial Narrow" w:cs="Arial"/>
          <w:sz w:val="28"/>
          <w:szCs w:val="28"/>
        </w:rPr>
        <w:t xml:space="preserve">endo que el demandante no acredita los requisitos legales para acceder a la prestación. </w:t>
      </w:r>
      <w:r w:rsidR="00E57179">
        <w:rPr>
          <w:rFonts w:ascii="Arial Narrow" w:hAnsi="Arial Narrow" w:cs="Arial"/>
          <w:sz w:val="28"/>
          <w:szCs w:val="28"/>
        </w:rPr>
        <w:t>En su defe</w:t>
      </w:r>
      <w:r w:rsidR="0077608B">
        <w:rPr>
          <w:rFonts w:ascii="Arial Narrow" w:hAnsi="Arial Narrow" w:cs="Arial"/>
          <w:sz w:val="28"/>
          <w:szCs w:val="28"/>
        </w:rPr>
        <w:t xml:space="preserve">nsa, propuso como excepciones las de “Inexistencia de la obligación demandada”, y “Prescripción”. </w:t>
      </w:r>
    </w:p>
    <w:p w:rsidR="00D4096E" w:rsidRDefault="00D4096E" w:rsidP="00FB2BE4">
      <w:pPr>
        <w:pStyle w:val="Sansinterligne"/>
        <w:spacing w:line="360" w:lineRule="auto"/>
      </w:pPr>
    </w:p>
    <w:p w:rsidR="00D4096E" w:rsidRPr="00FB2BE4" w:rsidRDefault="00D4096E" w:rsidP="00FB2BE4">
      <w:pPr>
        <w:pStyle w:val="Paragraphedeliste"/>
        <w:numPr>
          <w:ilvl w:val="0"/>
          <w:numId w:val="4"/>
        </w:numPr>
        <w:spacing w:line="360" w:lineRule="auto"/>
        <w:jc w:val="both"/>
        <w:rPr>
          <w:rFonts w:ascii="Arial Narrow" w:hAnsi="Arial Narrow" w:cs="Arial"/>
          <w:sz w:val="28"/>
          <w:szCs w:val="28"/>
        </w:rPr>
      </w:pPr>
      <w:r w:rsidRPr="00FB2BE4">
        <w:rPr>
          <w:rFonts w:ascii="Arial Narrow" w:hAnsi="Arial Narrow" w:cs="Arial"/>
          <w:sz w:val="28"/>
          <w:szCs w:val="28"/>
        </w:rPr>
        <w:t>SENTENCIA DEL JUZGADO</w:t>
      </w:r>
    </w:p>
    <w:p w:rsidR="004609D0" w:rsidRPr="00085561" w:rsidRDefault="004609D0" w:rsidP="00085561">
      <w:pPr>
        <w:pStyle w:val="Sansinterligne"/>
      </w:pPr>
    </w:p>
    <w:p w:rsidR="00D53127" w:rsidRDefault="004609D0" w:rsidP="008217DA">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sidR="00D53127">
        <w:rPr>
          <w:rFonts w:ascii="Arial Narrow" w:hAnsi="Arial Narrow" w:cs="Arial"/>
          <w:sz w:val="28"/>
          <w:szCs w:val="28"/>
        </w:rPr>
        <w:t xml:space="preserve">de conocimiento </w:t>
      </w:r>
      <w:r w:rsidRPr="00BE4D77">
        <w:rPr>
          <w:rFonts w:ascii="Arial Narrow" w:hAnsi="Arial Narrow" w:cs="Arial"/>
          <w:sz w:val="28"/>
          <w:szCs w:val="28"/>
        </w:rPr>
        <w:t>mediante fallo del</w:t>
      </w:r>
      <w:r w:rsidR="00D4096E">
        <w:rPr>
          <w:rFonts w:ascii="Arial Narrow" w:hAnsi="Arial Narrow" w:cs="Arial"/>
          <w:sz w:val="28"/>
          <w:szCs w:val="28"/>
        </w:rPr>
        <w:t xml:space="preserve"> 17 de febrero de 2014</w:t>
      </w:r>
      <w:r w:rsidR="0077608B">
        <w:rPr>
          <w:rFonts w:ascii="Arial Narrow" w:hAnsi="Arial Narrow" w:cs="Arial"/>
          <w:sz w:val="28"/>
          <w:szCs w:val="28"/>
        </w:rPr>
        <w:t xml:space="preserve">, </w:t>
      </w:r>
      <w:r w:rsidRPr="00BE4D77">
        <w:rPr>
          <w:rFonts w:ascii="Arial Narrow" w:hAnsi="Arial Narrow" w:cs="Arial"/>
          <w:sz w:val="28"/>
          <w:szCs w:val="28"/>
        </w:rPr>
        <w:t>accedió a las pretensiones de la demanda</w:t>
      </w:r>
      <w:r w:rsidR="0077608B">
        <w:rPr>
          <w:rFonts w:ascii="Arial Narrow" w:hAnsi="Arial Narrow" w:cs="Arial"/>
          <w:sz w:val="28"/>
          <w:szCs w:val="28"/>
        </w:rPr>
        <w:t xml:space="preserve">, declarando que el demandante es </w:t>
      </w:r>
      <w:r>
        <w:rPr>
          <w:rFonts w:ascii="Arial Narrow" w:hAnsi="Arial Narrow" w:cs="Arial"/>
          <w:sz w:val="28"/>
          <w:szCs w:val="28"/>
        </w:rPr>
        <w:t>beneficiario del régimen de transición contemplado en el art. 36 de la Ley 100 de 1993, p</w:t>
      </w:r>
      <w:r w:rsidR="0077608B">
        <w:rPr>
          <w:rFonts w:ascii="Arial Narrow" w:hAnsi="Arial Narrow" w:cs="Arial"/>
          <w:sz w:val="28"/>
          <w:szCs w:val="28"/>
        </w:rPr>
        <w:t xml:space="preserve">or haber acreditado </w:t>
      </w:r>
      <w:r>
        <w:rPr>
          <w:rFonts w:ascii="Arial Narrow" w:hAnsi="Arial Narrow" w:cs="Arial"/>
          <w:sz w:val="28"/>
          <w:szCs w:val="28"/>
        </w:rPr>
        <w:t xml:space="preserve">más de 40 años de edad y </w:t>
      </w:r>
      <w:r w:rsidR="0077608B">
        <w:rPr>
          <w:rFonts w:ascii="Arial Narrow" w:hAnsi="Arial Narrow" w:cs="Arial"/>
          <w:sz w:val="28"/>
          <w:szCs w:val="28"/>
        </w:rPr>
        <w:t>más de 750 semanas a la entrada en vigencia del Acto Legislativo 01 de 2005</w:t>
      </w:r>
      <w:r w:rsidR="00AE070C">
        <w:rPr>
          <w:rFonts w:ascii="Arial Narrow" w:hAnsi="Arial Narrow" w:cs="Arial"/>
          <w:sz w:val="28"/>
          <w:szCs w:val="28"/>
        </w:rPr>
        <w:t xml:space="preserve">, </w:t>
      </w:r>
      <w:r w:rsidR="0077608B">
        <w:rPr>
          <w:rFonts w:ascii="Arial Narrow" w:hAnsi="Arial Narrow" w:cs="Arial"/>
          <w:sz w:val="28"/>
          <w:szCs w:val="28"/>
        </w:rPr>
        <w:t xml:space="preserve">y </w:t>
      </w:r>
      <w:r w:rsidR="00D53127">
        <w:rPr>
          <w:rFonts w:ascii="Arial Narrow" w:hAnsi="Arial Narrow" w:cs="Arial"/>
          <w:sz w:val="28"/>
          <w:szCs w:val="28"/>
        </w:rPr>
        <w:t xml:space="preserve">que </w:t>
      </w:r>
      <w:r>
        <w:rPr>
          <w:rFonts w:ascii="Arial Narrow" w:hAnsi="Arial Narrow" w:cs="Arial"/>
          <w:sz w:val="28"/>
          <w:szCs w:val="28"/>
        </w:rPr>
        <w:t xml:space="preserve">por ende, tiene derecho al reconocimiento y pago de la pensión de </w:t>
      </w:r>
      <w:r w:rsidR="008217DA">
        <w:rPr>
          <w:rFonts w:ascii="Arial Narrow" w:hAnsi="Arial Narrow" w:cs="Arial"/>
          <w:sz w:val="28"/>
          <w:szCs w:val="28"/>
        </w:rPr>
        <w:t>jubilación por contar con más de 60 años de edad y 1.356 semanas de aportes en toda su vida.</w:t>
      </w:r>
      <w:r w:rsidR="00C131FA">
        <w:rPr>
          <w:rFonts w:ascii="Arial Narrow" w:hAnsi="Arial Narrow" w:cs="Arial"/>
          <w:sz w:val="28"/>
          <w:szCs w:val="28"/>
        </w:rPr>
        <w:t xml:space="preserve"> </w:t>
      </w:r>
    </w:p>
    <w:p w:rsidR="00D53127" w:rsidRPr="00FB2BE4" w:rsidRDefault="00D53127" w:rsidP="00FB2BE4">
      <w:pPr>
        <w:pStyle w:val="Sansinterligne"/>
      </w:pPr>
    </w:p>
    <w:p w:rsidR="00E16963" w:rsidRDefault="008217DA" w:rsidP="004609D0">
      <w:pPr>
        <w:spacing w:line="360" w:lineRule="auto"/>
        <w:ind w:firstLine="708"/>
        <w:jc w:val="both"/>
        <w:rPr>
          <w:rFonts w:ascii="Arial Narrow" w:hAnsi="Arial Narrow"/>
          <w:sz w:val="28"/>
          <w:szCs w:val="28"/>
        </w:rPr>
      </w:pPr>
      <w:r>
        <w:rPr>
          <w:rFonts w:ascii="Arial Narrow" w:hAnsi="Arial Narrow" w:cs="Arial"/>
          <w:sz w:val="28"/>
          <w:szCs w:val="28"/>
        </w:rPr>
        <w:t xml:space="preserve">Condenó a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a reconocer la prestación a partir del 12 de febrero de 2012, fecha en que arribó a la edad requerida, </w:t>
      </w:r>
      <w:r w:rsidR="00735C38">
        <w:rPr>
          <w:rFonts w:ascii="Arial Narrow" w:hAnsi="Arial Narrow" w:cs="Arial"/>
          <w:sz w:val="28"/>
          <w:szCs w:val="28"/>
        </w:rPr>
        <w:t xml:space="preserve">con una </w:t>
      </w:r>
      <w:r>
        <w:rPr>
          <w:rFonts w:ascii="Arial Narrow" w:hAnsi="Arial Narrow" w:cs="Arial"/>
          <w:sz w:val="28"/>
          <w:szCs w:val="28"/>
        </w:rPr>
        <w:t xml:space="preserve">mesada pensional de $ 952.784, </w:t>
      </w:r>
      <w:r w:rsidR="00735C38">
        <w:rPr>
          <w:rFonts w:ascii="Arial Narrow" w:hAnsi="Arial Narrow" w:cs="Arial"/>
          <w:sz w:val="28"/>
          <w:szCs w:val="28"/>
        </w:rPr>
        <w:t>y a pagar como retroactivo pensional causado hasta el 17 de febrero de 2014, la suma de $25`083.676,</w:t>
      </w:r>
      <w:r w:rsidR="00735C38" w:rsidRPr="0074541A">
        <w:rPr>
          <w:rFonts w:ascii="Arial Narrow" w:hAnsi="Arial Narrow" w:cs="Arial"/>
          <w:sz w:val="20"/>
        </w:rPr>
        <w:t>19</w:t>
      </w:r>
      <w:r w:rsidR="00735C38" w:rsidRPr="0074541A">
        <w:rPr>
          <w:rFonts w:ascii="Arial Narrow" w:hAnsi="Arial Narrow" w:cs="Arial"/>
          <w:sz w:val="28"/>
          <w:szCs w:val="28"/>
        </w:rPr>
        <w:t xml:space="preserve">. Absolvió a la entidad del pago de los intereses moratorios, </w:t>
      </w:r>
      <w:r w:rsidR="0074541A">
        <w:rPr>
          <w:rFonts w:ascii="Arial Narrow" w:hAnsi="Arial Narrow" w:cs="Arial"/>
          <w:sz w:val="28"/>
          <w:szCs w:val="28"/>
        </w:rPr>
        <w:t xml:space="preserve">basada </w:t>
      </w:r>
      <w:r w:rsidR="00735C38" w:rsidRPr="0074541A">
        <w:rPr>
          <w:rFonts w:ascii="Arial Narrow" w:hAnsi="Arial Narrow" w:cs="Arial"/>
          <w:sz w:val="28"/>
          <w:szCs w:val="28"/>
        </w:rPr>
        <w:t xml:space="preserve"> en que </w:t>
      </w:r>
      <w:r w:rsidR="0074541A" w:rsidRPr="0074541A">
        <w:rPr>
          <w:rFonts w:ascii="Arial Narrow" w:hAnsi="Arial Narrow" w:cs="Arial"/>
          <w:sz w:val="28"/>
          <w:szCs w:val="28"/>
        </w:rPr>
        <w:t xml:space="preserve">la pensión fue reconocida con </w:t>
      </w:r>
      <w:r w:rsidR="0074541A">
        <w:rPr>
          <w:rFonts w:ascii="Arial Narrow" w:hAnsi="Arial Narrow"/>
          <w:sz w:val="28"/>
          <w:szCs w:val="28"/>
        </w:rPr>
        <w:t>fundamente en la Ley 71 de 1988, y no  con sujeción a la Ley 10</w:t>
      </w:r>
      <w:r w:rsidR="00E16963">
        <w:rPr>
          <w:rFonts w:ascii="Arial Narrow" w:hAnsi="Arial Narrow"/>
          <w:sz w:val="28"/>
          <w:szCs w:val="28"/>
        </w:rPr>
        <w:t xml:space="preserve">0 de 1993. </w:t>
      </w:r>
    </w:p>
    <w:p w:rsidR="00E16963" w:rsidRDefault="00E16963" w:rsidP="00E16963">
      <w:pPr>
        <w:pStyle w:val="Sansinterligne"/>
      </w:pPr>
    </w:p>
    <w:p w:rsidR="00735C38" w:rsidRDefault="00735C38" w:rsidP="004609D0">
      <w:pPr>
        <w:spacing w:line="360" w:lineRule="auto"/>
        <w:ind w:firstLine="708"/>
        <w:jc w:val="both"/>
        <w:rPr>
          <w:rFonts w:ascii="Arial Narrow" w:hAnsi="Arial Narrow" w:cs="Arial"/>
          <w:sz w:val="28"/>
          <w:szCs w:val="28"/>
        </w:rPr>
      </w:pPr>
      <w:r>
        <w:rPr>
          <w:rFonts w:ascii="Arial Narrow" w:hAnsi="Arial Narrow" w:cs="Arial"/>
          <w:sz w:val="28"/>
          <w:szCs w:val="28"/>
        </w:rPr>
        <w:t xml:space="preserve">Por último, condenó en costas a la parte vencida en juicio y fijó las agencias en </w:t>
      </w:r>
      <w:r w:rsidR="00085561">
        <w:rPr>
          <w:rFonts w:ascii="Arial Narrow" w:hAnsi="Arial Narrow" w:cs="Arial"/>
          <w:sz w:val="28"/>
          <w:szCs w:val="28"/>
        </w:rPr>
        <w:t xml:space="preserve">derecho </w:t>
      </w:r>
      <w:r>
        <w:rPr>
          <w:rFonts w:ascii="Arial Narrow" w:hAnsi="Arial Narrow" w:cs="Arial"/>
          <w:sz w:val="28"/>
          <w:szCs w:val="28"/>
        </w:rPr>
        <w:t>cuantía de $3`942.400</w:t>
      </w:r>
      <w:r w:rsidR="00085561">
        <w:rPr>
          <w:rFonts w:ascii="Arial Narrow" w:hAnsi="Arial Narrow" w:cs="Arial"/>
          <w:sz w:val="28"/>
          <w:szCs w:val="28"/>
        </w:rPr>
        <w:t>.</w:t>
      </w:r>
    </w:p>
    <w:p w:rsidR="00085561" w:rsidRDefault="00085561" w:rsidP="00BA1F8C">
      <w:pPr>
        <w:ind w:firstLine="708"/>
        <w:jc w:val="both"/>
        <w:rPr>
          <w:rFonts w:ascii="Arial Narrow" w:hAnsi="Arial Narrow" w:cs="Arial"/>
          <w:sz w:val="28"/>
          <w:szCs w:val="28"/>
        </w:rPr>
      </w:pPr>
    </w:p>
    <w:p w:rsidR="00085561" w:rsidRPr="00FB2BE4" w:rsidRDefault="00085561" w:rsidP="00FB2BE4">
      <w:pPr>
        <w:pStyle w:val="Paragraphedeliste"/>
        <w:numPr>
          <w:ilvl w:val="0"/>
          <w:numId w:val="4"/>
        </w:numPr>
        <w:spacing w:line="360" w:lineRule="auto"/>
        <w:jc w:val="both"/>
        <w:rPr>
          <w:rFonts w:ascii="Arial Narrow" w:hAnsi="Arial Narrow" w:cs="Arial"/>
          <w:sz w:val="28"/>
          <w:szCs w:val="28"/>
        </w:rPr>
      </w:pPr>
      <w:r w:rsidRPr="00FB2BE4">
        <w:rPr>
          <w:rFonts w:ascii="Arial Narrow" w:hAnsi="Arial Narrow" w:cs="Arial"/>
          <w:sz w:val="28"/>
          <w:szCs w:val="28"/>
        </w:rPr>
        <w:t>CONSULTA</w:t>
      </w:r>
    </w:p>
    <w:p w:rsidR="004609D0" w:rsidRPr="00CA3A5A" w:rsidRDefault="004609D0" w:rsidP="004609D0">
      <w:pPr>
        <w:pStyle w:val="Sansinterligne"/>
      </w:pPr>
    </w:p>
    <w:p w:rsidR="004609D0" w:rsidRDefault="004609D0" w:rsidP="004609D0">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FB2BE4" w:rsidRPr="00E16963" w:rsidRDefault="00FB2BE4" w:rsidP="00FB2BE4">
      <w:pPr>
        <w:pStyle w:val="Retraitcorpsdetexte"/>
        <w:ind w:left="0" w:firstLine="851"/>
        <w:rPr>
          <w:rFonts w:ascii="Arial Narrow" w:hAnsi="Arial Narrow" w:cs="Tahoma"/>
          <w:sz w:val="28"/>
          <w:szCs w:val="28"/>
        </w:rPr>
      </w:pPr>
      <w:r w:rsidRPr="00E16963">
        <w:rPr>
          <w:rFonts w:ascii="Arial Narrow" w:hAnsi="Arial Narrow" w:cs="Tahoma"/>
          <w:sz w:val="28"/>
          <w:szCs w:val="28"/>
        </w:rPr>
        <w:lastRenderedPageBreak/>
        <w:t>Problema jurídico.</w:t>
      </w:r>
    </w:p>
    <w:p w:rsidR="00FB2BE4" w:rsidRPr="00753AE0" w:rsidRDefault="00FB2BE4" w:rsidP="00FB2BE4">
      <w:pPr>
        <w:pStyle w:val="Sansinterligne"/>
      </w:pPr>
      <w:r>
        <w:tab/>
      </w:r>
    </w:p>
    <w:p w:rsidR="00D13B47" w:rsidRDefault="004609D0" w:rsidP="00D13B4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r w:rsidR="00D13B47">
        <w:rPr>
          <w:rFonts w:ascii="Arial Narrow" w:hAnsi="Arial Narrow" w:cs="Tahoma"/>
          <w:color w:val="000000"/>
          <w:sz w:val="28"/>
          <w:szCs w:val="28"/>
          <w:lang w:eastAsia="es-CO"/>
        </w:rPr>
        <w:t xml:space="preserve">    </w:t>
      </w:r>
    </w:p>
    <w:p w:rsidR="00D13B47" w:rsidRPr="00E16963" w:rsidRDefault="00D13B47" w:rsidP="00E16963">
      <w:pPr>
        <w:pStyle w:val="Sansinterligne"/>
      </w:pPr>
    </w:p>
    <w:p w:rsidR="00FB2BE4" w:rsidRDefault="00FB2BE4" w:rsidP="00D13B47">
      <w:pPr>
        <w:shd w:val="clear" w:color="auto" w:fill="FFFFFF"/>
        <w:tabs>
          <w:tab w:val="left" w:pos="5197"/>
        </w:tabs>
        <w:spacing w:line="360" w:lineRule="auto"/>
        <w:ind w:firstLine="851"/>
        <w:jc w:val="both"/>
        <w:rPr>
          <w:rFonts w:ascii="Arial Narrow" w:hAnsi="Arial Narrow" w:cs="Tahoma"/>
          <w:bCs/>
          <w:iCs/>
          <w:sz w:val="28"/>
          <w:szCs w:val="28"/>
        </w:rPr>
      </w:pPr>
      <w:r w:rsidRPr="00D13B47">
        <w:rPr>
          <w:rFonts w:ascii="Arial Narrow" w:hAnsi="Arial Narrow" w:cs="Tahoma"/>
          <w:bCs/>
          <w:iCs/>
          <w:sz w:val="28"/>
          <w:szCs w:val="28"/>
        </w:rPr>
        <w:t>¿El actor</w:t>
      </w:r>
      <w:r w:rsidR="009A49E6">
        <w:rPr>
          <w:rFonts w:ascii="Arial Narrow" w:hAnsi="Arial Narrow" w:cs="Tahoma"/>
          <w:bCs/>
          <w:iCs/>
          <w:sz w:val="28"/>
          <w:szCs w:val="28"/>
        </w:rPr>
        <w:t xml:space="preserve"> es beneficiario del régimen de transición que establece el artículo 36 de la Ley 100/93</w:t>
      </w:r>
      <w:r w:rsidRPr="00D13B47">
        <w:rPr>
          <w:rFonts w:ascii="Arial Narrow" w:hAnsi="Arial Narrow" w:cs="Tahoma"/>
          <w:bCs/>
          <w:iCs/>
          <w:sz w:val="28"/>
          <w:szCs w:val="28"/>
        </w:rPr>
        <w:t>?</w:t>
      </w:r>
    </w:p>
    <w:p w:rsidR="009A49E6" w:rsidRDefault="009A49E6" w:rsidP="009A49E6">
      <w:pPr>
        <w:pStyle w:val="Sansinterligne"/>
      </w:pPr>
    </w:p>
    <w:p w:rsidR="009A49E6" w:rsidRPr="00D13B47" w:rsidRDefault="009A49E6" w:rsidP="00D13B47">
      <w:pPr>
        <w:shd w:val="clear" w:color="auto" w:fill="FFFFFF"/>
        <w:tabs>
          <w:tab w:val="left" w:pos="5197"/>
        </w:tabs>
        <w:spacing w:line="360" w:lineRule="auto"/>
        <w:ind w:firstLine="851"/>
        <w:jc w:val="both"/>
        <w:rPr>
          <w:rFonts w:ascii="Arial Narrow" w:hAnsi="Arial Narrow" w:cs="Tahoma"/>
          <w:bCs/>
          <w:iCs/>
          <w:sz w:val="28"/>
          <w:szCs w:val="28"/>
        </w:rPr>
      </w:pPr>
      <w:r>
        <w:rPr>
          <w:rFonts w:ascii="Arial Narrow" w:hAnsi="Arial Narrow" w:cs="Tahoma"/>
          <w:bCs/>
          <w:iCs/>
          <w:sz w:val="28"/>
          <w:szCs w:val="28"/>
        </w:rPr>
        <w:t>¿Tiene derecho a la pensión de vejez que reclama?</w:t>
      </w:r>
    </w:p>
    <w:p w:rsidR="00FB2BE4" w:rsidRPr="00FB2BE4" w:rsidRDefault="00FB2BE4" w:rsidP="00D13B47">
      <w:pPr>
        <w:pStyle w:val="Sansinterligne"/>
        <w:spacing w:line="360" w:lineRule="auto"/>
      </w:pPr>
    </w:p>
    <w:p w:rsidR="00FB2BE4" w:rsidRPr="00D13B47" w:rsidRDefault="00CC2A8E" w:rsidP="00FB2BE4">
      <w:pPr>
        <w:tabs>
          <w:tab w:val="left" w:pos="0"/>
          <w:tab w:val="left" w:pos="8647"/>
        </w:tabs>
        <w:suppressAutoHyphens/>
        <w:spacing w:line="360" w:lineRule="auto"/>
        <w:ind w:firstLine="900"/>
        <w:jc w:val="both"/>
        <w:rPr>
          <w:rFonts w:ascii="Arial Narrow" w:hAnsi="Arial Narrow" w:cs="Tahoma"/>
          <w:sz w:val="28"/>
          <w:szCs w:val="28"/>
        </w:rPr>
      </w:pPr>
      <w:r w:rsidRPr="00D13B47">
        <w:rPr>
          <w:rFonts w:ascii="Arial Narrow" w:hAnsi="Arial Narrow" w:cs="Tahoma"/>
          <w:color w:val="000000"/>
          <w:sz w:val="28"/>
          <w:szCs w:val="28"/>
          <w:lang w:eastAsia="es-CO"/>
        </w:rPr>
        <w:t xml:space="preserve"> </w:t>
      </w:r>
      <w:r w:rsidR="00FB2BE4" w:rsidRPr="00D13B47">
        <w:rPr>
          <w:rFonts w:ascii="Arial Narrow" w:hAnsi="Arial Narrow" w:cs="Tahoma"/>
          <w:i/>
          <w:sz w:val="28"/>
          <w:szCs w:val="28"/>
        </w:rPr>
        <w:t>Alegatos en esta instancia</w:t>
      </w:r>
      <w:r w:rsidR="00FB2BE4" w:rsidRPr="00D13B47">
        <w:rPr>
          <w:rFonts w:ascii="Arial Narrow" w:hAnsi="Arial Narrow" w:cs="Tahoma"/>
          <w:sz w:val="28"/>
          <w:szCs w:val="28"/>
        </w:rPr>
        <w:t>:</w:t>
      </w:r>
    </w:p>
    <w:p w:rsidR="00FB2BE4" w:rsidRPr="00E16963" w:rsidRDefault="00FB2BE4" w:rsidP="00E16963">
      <w:pPr>
        <w:pStyle w:val="Sansinterligne"/>
      </w:pPr>
    </w:p>
    <w:p w:rsidR="00FB2BE4" w:rsidRPr="00D07EA4" w:rsidRDefault="00FB2BE4" w:rsidP="00FB2BE4">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la Colegiatura, de respuesta al problema jurídico planteado, con el propósito de desatar </w:t>
      </w:r>
      <w:r>
        <w:rPr>
          <w:rFonts w:ascii="Arial Narrow" w:hAnsi="Arial Narrow" w:cs="Tahoma"/>
          <w:sz w:val="28"/>
          <w:szCs w:val="28"/>
        </w:rPr>
        <w:t>la consulta</w:t>
      </w:r>
      <w:r w:rsidRPr="00D07EA4">
        <w:rPr>
          <w:rFonts w:ascii="Arial Narrow" w:hAnsi="Arial Narrow" w:cs="Tahoma"/>
          <w:sz w:val="28"/>
          <w:szCs w:val="28"/>
        </w:rPr>
        <w:t xml:space="preserve">, se corre traslado por el término de 8 minutos para alegar, a cada uno de los voceros judiciales de las partes asistentes a </w:t>
      </w:r>
      <w:r>
        <w:rPr>
          <w:rFonts w:ascii="Arial Narrow" w:hAnsi="Arial Narrow" w:cs="Tahoma"/>
          <w:sz w:val="28"/>
          <w:szCs w:val="28"/>
        </w:rPr>
        <w:t xml:space="preserve">la audiencia, empezando por la demandante. </w:t>
      </w:r>
      <w:r w:rsidRPr="00D07EA4">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0D562C" w:rsidRPr="00D13B47" w:rsidRDefault="000D562C" w:rsidP="00D13B47">
      <w:pPr>
        <w:spacing w:line="276" w:lineRule="auto"/>
        <w:jc w:val="center"/>
        <w:rPr>
          <w:rFonts w:ascii="Arial Narrow" w:hAnsi="Arial Narrow"/>
          <w:sz w:val="28"/>
          <w:szCs w:val="28"/>
        </w:rPr>
      </w:pPr>
    </w:p>
    <w:p w:rsidR="00D13B47" w:rsidRDefault="00D13B47" w:rsidP="00D13B47">
      <w:pPr>
        <w:pStyle w:val="Textoindependiente33"/>
        <w:numPr>
          <w:ilvl w:val="0"/>
          <w:numId w:val="4"/>
        </w:numPr>
        <w:rPr>
          <w:rFonts w:ascii="Arial Narrow" w:hAnsi="Arial Narrow" w:cs="Tahoma"/>
          <w:bCs/>
          <w:i/>
          <w:iCs/>
          <w:sz w:val="28"/>
          <w:szCs w:val="28"/>
        </w:rPr>
      </w:pPr>
      <w:r w:rsidRPr="00D13B47">
        <w:rPr>
          <w:rFonts w:ascii="Arial Narrow" w:hAnsi="Arial Narrow" w:cs="Tahoma"/>
          <w:bCs/>
          <w:i/>
          <w:iCs/>
          <w:sz w:val="28"/>
          <w:szCs w:val="28"/>
        </w:rPr>
        <w:t>CONSIDERACIONES</w:t>
      </w:r>
    </w:p>
    <w:p w:rsidR="009A49E6" w:rsidRPr="00E16963" w:rsidRDefault="009A49E6" w:rsidP="00E16963">
      <w:pPr>
        <w:pStyle w:val="Sansinterligne"/>
      </w:pPr>
    </w:p>
    <w:p w:rsidR="009A49E6" w:rsidRDefault="009A49E6" w:rsidP="009A49E6">
      <w:pPr>
        <w:spacing w:line="360" w:lineRule="auto"/>
        <w:ind w:firstLine="851"/>
        <w:jc w:val="both"/>
        <w:rPr>
          <w:rFonts w:ascii="Arial Narrow" w:hAnsi="Arial Narrow" w:cs="Arial"/>
          <w:spacing w:val="-3"/>
          <w:sz w:val="28"/>
          <w:szCs w:val="28"/>
        </w:rPr>
      </w:pPr>
      <w:r w:rsidRPr="00DE15CA">
        <w:rPr>
          <w:rFonts w:ascii="Arial Narrow" w:hAnsi="Arial Narrow" w:cs="Arial"/>
          <w:spacing w:val="-3"/>
          <w:sz w:val="28"/>
          <w:szCs w:val="28"/>
        </w:rPr>
        <w:t xml:space="preserve">En el sub-lite, </w:t>
      </w:r>
      <w:r w:rsidR="00E61667">
        <w:rPr>
          <w:rFonts w:ascii="Arial Narrow" w:hAnsi="Arial Narrow" w:cs="Arial"/>
          <w:spacing w:val="-3"/>
          <w:sz w:val="28"/>
          <w:szCs w:val="28"/>
        </w:rPr>
        <w:t xml:space="preserve">según se colige del registro civil de nacimiento visible a folio 8, el natalicio del </w:t>
      </w:r>
      <w:r>
        <w:rPr>
          <w:rFonts w:ascii="Arial Narrow" w:hAnsi="Arial Narrow" w:cs="Arial"/>
          <w:spacing w:val="-3"/>
          <w:sz w:val="28"/>
          <w:szCs w:val="28"/>
        </w:rPr>
        <w:t xml:space="preserve">demandante se dio del 19 de febrero de 1952, </w:t>
      </w:r>
      <w:r w:rsidR="00E61667">
        <w:rPr>
          <w:rFonts w:ascii="Arial Narrow" w:hAnsi="Arial Narrow" w:cs="Arial"/>
          <w:spacing w:val="-3"/>
          <w:sz w:val="28"/>
          <w:szCs w:val="28"/>
        </w:rPr>
        <w:t xml:space="preserve">de modo que, </w:t>
      </w:r>
      <w:r>
        <w:rPr>
          <w:rFonts w:ascii="Arial Narrow" w:hAnsi="Arial Narrow" w:cs="Arial"/>
          <w:spacing w:val="-3"/>
          <w:sz w:val="28"/>
          <w:szCs w:val="28"/>
        </w:rPr>
        <w:t xml:space="preserve">al 1º de abril de 1994 contaba con 42 años de edad, </w:t>
      </w:r>
      <w:r w:rsidR="00E61667">
        <w:rPr>
          <w:rFonts w:ascii="Arial Narrow" w:hAnsi="Arial Narrow" w:cs="Arial"/>
          <w:spacing w:val="-3"/>
          <w:sz w:val="28"/>
          <w:szCs w:val="28"/>
        </w:rPr>
        <w:t xml:space="preserve">siendo entonces, </w:t>
      </w:r>
      <w:r>
        <w:rPr>
          <w:rFonts w:ascii="Arial Narrow" w:hAnsi="Arial Narrow" w:cs="Arial"/>
          <w:spacing w:val="-3"/>
          <w:sz w:val="28"/>
          <w:szCs w:val="28"/>
        </w:rPr>
        <w:t xml:space="preserve">en principio, </w:t>
      </w:r>
      <w:r w:rsidRPr="00992B61">
        <w:rPr>
          <w:rFonts w:ascii="Arial Narrow" w:hAnsi="Arial Narrow" w:cs="Arial"/>
          <w:spacing w:val="-3"/>
          <w:sz w:val="28"/>
          <w:szCs w:val="28"/>
        </w:rPr>
        <w:t>beneficiari</w:t>
      </w:r>
      <w:r>
        <w:rPr>
          <w:rFonts w:ascii="Arial Narrow" w:hAnsi="Arial Narrow" w:cs="Arial"/>
          <w:spacing w:val="-3"/>
          <w:sz w:val="28"/>
          <w:szCs w:val="28"/>
        </w:rPr>
        <w:t>o</w:t>
      </w:r>
      <w:r w:rsidRPr="00992B61">
        <w:rPr>
          <w:rFonts w:ascii="Arial Narrow" w:hAnsi="Arial Narrow" w:cs="Arial"/>
          <w:spacing w:val="-3"/>
          <w:sz w:val="28"/>
          <w:szCs w:val="28"/>
        </w:rPr>
        <w:t xml:space="preserve"> del régimen de transición consagrado en el ar</w:t>
      </w:r>
      <w:r>
        <w:rPr>
          <w:rFonts w:ascii="Arial Narrow" w:hAnsi="Arial Narrow" w:cs="Arial"/>
          <w:spacing w:val="-3"/>
          <w:sz w:val="28"/>
          <w:szCs w:val="28"/>
        </w:rPr>
        <w:t xml:space="preserve">tículo 36 de la Ley 100 de 1994, pues, posiblemente reunió los requisitos para la pensión de vejez en una </w:t>
      </w:r>
      <w:r w:rsidRPr="008105C9">
        <w:rPr>
          <w:rFonts w:ascii="Arial Narrow" w:hAnsi="Arial Narrow" w:cs="Arial"/>
          <w:spacing w:val="-3"/>
          <w:sz w:val="28"/>
          <w:szCs w:val="28"/>
        </w:rPr>
        <w:t xml:space="preserve">calenda posterior al 31 de julio de 2010, </w:t>
      </w:r>
      <w:r w:rsidR="008110EE">
        <w:rPr>
          <w:rFonts w:ascii="Arial Narrow" w:hAnsi="Arial Narrow" w:cs="Arial"/>
          <w:spacing w:val="-3"/>
          <w:sz w:val="28"/>
          <w:szCs w:val="28"/>
        </w:rPr>
        <w:t>siendo</w:t>
      </w:r>
      <w:r w:rsidR="00DD0C84">
        <w:rPr>
          <w:rFonts w:ascii="Arial Narrow" w:hAnsi="Arial Narrow" w:cs="Arial"/>
          <w:spacing w:val="-3"/>
          <w:sz w:val="28"/>
          <w:szCs w:val="28"/>
        </w:rPr>
        <w:t xml:space="preserve"> </w:t>
      </w:r>
      <w:r w:rsidR="008110EE">
        <w:rPr>
          <w:rFonts w:ascii="Arial Narrow" w:hAnsi="Arial Narrow" w:cs="Arial"/>
          <w:spacing w:val="-3"/>
          <w:sz w:val="28"/>
          <w:szCs w:val="28"/>
        </w:rPr>
        <w:t xml:space="preserve">del caso </w:t>
      </w:r>
      <w:r>
        <w:rPr>
          <w:rFonts w:ascii="Arial Narrow" w:hAnsi="Arial Narrow" w:cs="Arial"/>
          <w:spacing w:val="-3"/>
          <w:sz w:val="28"/>
          <w:szCs w:val="28"/>
        </w:rPr>
        <w:t xml:space="preserve">verificar si a la fecha de </w:t>
      </w:r>
      <w:r w:rsidRPr="008105C9">
        <w:rPr>
          <w:rFonts w:ascii="Arial Narrow" w:hAnsi="Arial Narrow" w:cs="Arial"/>
          <w:spacing w:val="-3"/>
          <w:sz w:val="28"/>
          <w:szCs w:val="28"/>
        </w:rPr>
        <w:t>expedición d</w:t>
      </w:r>
      <w:r w:rsidR="00B90975">
        <w:rPr>
          <w:rFonts w:ascii="Arial Narrow" w:hAnsi="Arial Narrow" w:cs="Arial"/>
          <w:spacing w:val="-3"/>
          <w:sz w:val="28"/>
          <w:szCs w:val="28"/>
        </w:rPr>
        <w:t xml:space="preserve">el Acto Legislativo 01 de 2005 (29 julio de 2005), </w:t>
      </w:r>
      <w:r w:rsidRPr="008105C9">
        <w:rPr>
          <w:rFonts w:ascii="Arial Narrow" w:hAnsi="Arial Narrow" w:cs="Arial"/>
          <w:spacing w:val="-3"/>
          <w:sz w:val="28"/>
          <w:szCs w:val="28"/>
        </w:rPr>
        <w:t>agluti</w:t>
      </w:r>
      <w:r>
        <w:rPr>
          <w:rFonts w:ascii="Arial Narrow" w:hAnsi="Arial Narrow" w:cs="Arial"/>
          <w:spacing w:val="-3"/>
          <w:sz w:val="28"/>
          <w:szCs w:val="28"/>
        </w:rPr>
        <w:t xml:space="preserve">nó al menos 750 semanas, </w:t>
      </w:r>
      <w:r w:rsidRPr="008105C9">
        <w:rPr>
          <w:rFonts w:ascii="Arial Narrow" w:hAnsi="Arial Narrow" w:cs="Arial"/>
          <w:spacing w:val="-3"/>
          <w:sz w:val="28"/>
          <w:szCs w:val="28"/>
        </w:rPr>
        <w:t>en orden a que</w:t>
      </w:r>
      <w:r>
        <w:rPr>
          <w:rFonts w:ascii="Arial Narrow" w:hAnsi="Arial Narrow" w:cs="Arial"/>
          <w:spacing w:val="-3"/>
          <w:sz w:val="28"/>
          <w:szCs w:val="28"/>
        </w:rPr>
        <w:t xml:space="preserve"> el citado beneficio le fuera extendido </w:t>
      </w:r>
      <w:r w:rsidRPr="008105C9">
        <w:rPr>
          <w:rFonts w:ascii="Arial Narrow" w:hAnsi="Arial Narrow" w:cs="Arial"/>
          <w:spacing w:val="-3"/>
          <w:sz w:val="28"/>
          <w:szCs w:val="28"/>
        </w:rPr>
        <w:t xml:space="preserve">hasta </w:t>
      </w:r>
      <w:r>
        <w:rPr>
          <w:rFonts w:ascii="Arial Narrow" w:hAnsi="Arial Narrow" w:cs="Arial"/>
          <w:spacing w:val="-3"/>
          <w:sz w:val="28"/>
          <w:szCs w:val="28"/>
        </w:rPr>
        <w:t xml:space="preserve">el 31 dic de </w:t>
      </w:r>
      <w:r w:rsidRPr="008105C9">
        <w:rPr>
          <w:rFonts w:ascii="Arial Narrow" w:hAnsi="Arial Narrow" w:cs="Arial"/>
          <w:spacing w:val="-3"/>
          <w:sz w:val="28"/>
          <w:szCs w:val="28"/>
        </w:rPr>
        <w:t xml:space="preserve">2014. </w:t>
      </w:r>
    </w:p>
    <w:p w:rsidR="009A49E6" w:rsidRDefault="009A49E6" w:rsidP="009A49E6">
      <w:pPr>
        <w:pStyle w:val="Sansinterligne"/>
      </w:pPr>
    </w:p>
    <w:p w:rsidR="009A49E6" w:rsidRDefault="009A49E6" w:rsidP="009A49E6">
      <w:pPr>
        <w:spacing w:line="360" w:lineRule="auto"/>
        <w:ind w:firstLine="851"/>
        <w:jc w:val="both"/>
        <w:rPr>
          <w:rFonts w:ascii="Arial Narrow" w:hAnsi="Arial Narrow" w:cs="Arial"/>
          <w:sz w:val="28"/>
          <w:szCs w:val="28"/>
        </w:rPr>
      </w:pPr>
      <w:r>
        <w:rPr>
          <w:rFonts w:ascii="Arial Narrow" w:hAnsi="Arial Narrow" w:cs="Arial"/>
          <w:spacing w:val="-3"/>
          <w:sz w:val="28"/>
          <w:szCs w:val="28"/>
        </w:rPr>
        <w:t xml:space="preserve">En ese orden, </w:t>
      </w:r>
      <w:r w:rsidR="006167F1">
        <w:rPr>
          <w:rFonts w:ascii="Arial Narrow" w:hAnsi="Arial Narrow" w:cs="Arial"/>
          <w:spacing w:val="-3"/>
          <w:sz w:val="28"/>
          <w:szCs w:val="28"/>
        </w:rPr>
        <w:t xml:space="preserve">de conformidad con el reporte de semanas cotizadas en pensión </w:t>
      </w:r>
      <w:r>
        <w:rPr>
          <w:rFonts w:ascii="Arial Narrow" w:hAnsi="Arial Narrow" w:cs="Arial"/>
          <w:spacing w:val="-3"/>
          <w:sz w:val="28"/>
          <w:szCs w:val="28"/>
        </w:rPr>
        <w:t xml:space="preserve">allegado por la entidad demandada, visible a folio </w:t>
      </w:r>
      <w:r w:rsidR="006167F1">
        <w:rPr>
          <w:rFonts w:ascii="Arial Narrow" w:hAnsi="Arial Narrow" w:cs="Arial"/>
          <w:spacing w:val="-3"/>
          <w:sz w:val="28"/>
          <w:szCs w:val="28"/>
        </w:rPr>
        <w:t xml:space="preserve">51 y </w:t>
      </w:r>
      <w:proofErr w:type="spellStart"/>
      <w:r w:rsidR="006167F1">
        <w:rPr>
          <w:rFonts w:ascii="Arial Narrow" w:hAnsi="Arial Narrow" w:cs="Arial"/>
          <w:spacing w:val="-3"/>
          <w:sz w:val="28"/>
          <w:szCs w:val="28"/>
        </w:rPr>
        <w:t>ss</w:t>
      </w:r>
      <w:proofErr w:type="spellEnd"/>
      <w:r w:rsidR="006167F1">
        <w:rPr>
          <w:rFonts w:ascii="Arial Narrow" w:hAnsi="Arial Narrow" w:cs="Arial"/>
          <w:spacing w:val="-3"/>
          <w:sz w:val="28"/>
          <w:szCs w:val="28"/>
        </w:rPr>
        <w:t xml:space="preserve">, </w:t>
      </w:r>
      <w:r>
        <w:rPr>
          <w:rFonts w:ascii="Arial Narrow" w:hAnsi="Arial Narrow" w:cs="Arial"/>
          <w:spacing w:val="-3"/>
          <w:sz w:val="28"/>
          <w:szCs w:val="28"/>
        </w:rPr>
        <w:t xml:space="preserve">al 29 de julio de 2005 </w:t>
      </w:r>
      <w:r w:rsidR="00B104ED">
        <w:rPr>
          <w:rFonts w:ascii="Arial Narrow" w:hAnsi="Arial Narrow" w:cs="Arial"/>
          <w:spacing w:val="-3"/>
          <w:sz w:val="28"/>
          <w:szCs w:val="28"/>
        </w:rPr>
        <w:t xml:space="preserve">el actor </w:t>
      </w:r>
      <w:r>
        <w:rPr>
          <w:rFonts w:ascii="Arial Narrow" w:hAnsi="Arial Narrow" w:cs="Arial"/>
          <w:spacing w:val="-3"/>
          <w:sz w:val="28"/>
          <w:szCs w:val="28"/>
        </w:rPr>
        <w:t xml:space="preserve">había aglutinado </w:t>
      </w:r>
      <w:r w:rsidR="006167F1">
        <w:rPr>
          <w:rFonts w:ascii="Arial Narrow" w:hAnsi="Arial Narrow" w:cs="Arial"/>
          <w:spacing w:val="-3"/>
          <w:sz w:val="28"/>
          <w:szCs w:val="28"/>
        </w:rPr>
        <w:t>más de 800</w:t>
      </w:r>
      <w:r w:rsidR="00E935A5">
        <w:rPr>
          <w:rFonts w:ascii="Arial Narrow" w:hAnsi="Arial Narrow" w:cs="Arial"/>
          <w:spacing w:val="-3"/>
          <w:sz w:val="28"/>
          <w:szCs w:val="28"/>
        </w:rPr>
        <w:t xml:space="preserve"> semanas </w:t>
      </w:r>
      <w:r w:rsidR="00DD0C84">
        <w:rPr>
          <w:rFonts w:ascii="Arial Narrow" w:hAnsi="Arial Narrow" w:cs="Arial"/>
          <w:spacing w:val="-3"/>
          <w:sz w:val="28"/>
          <w:szCs w:val="28"/>
        </w:rPr>
        <w:t xml:space="preserve">de aportes </w:t>
      </w:r>
      <w:r w:rsidR="00E935A5">
        <w:rPr>
          <w:rFonts w:ascii="Arial Narrow" w:hAnsi="Arial Narrow" w:cs="Arial"/>
          <w:spacing w:val="-3"/>
          <w:sz w:val="28"/>
          <w:szCs w:val="28"/>
        </w:rPr>
        <w:t xml:space="preserve">al sistema, </w:t>
      </w:r>
      <w:r>
        <w:rPr>
          <w:rFonts w:ascii="Arial Narrow" w:hAnsi="Arial Narrow" w:cs="Arial"/>
          <w:sz w:val="28"/>
          <w:szCs w:val="28"/>
        </w:rPr>
        <w:t>por lo que, el régimen de transición le era extensible ha</w:t>
      </w:r>
      <w:r w:rsidR="00B104ED">
        <w:rPr>
          <w:rFonts w:ascii="Arial Narrow" w:hAnsi="Arial Narrow" w:cs="Arial"/>
          <w:sz w:val="28"/>
          <w:szCs w:val="28"/>
        </w:rPr>
        <w:t>sta el 31 de diciembre de 2014, tal cual lo concluyó la sentenciadora de primer grado.</w:t>
      </w:r>
    </w:p>
    <w:p w:rsidR="009A49E6" w:rsidRDefault="009A49E6" w:rsidP="009A49E6">
      <w:pPr>
        <w:pStyle w:val="Textoindependiente33"/>
        <w:rPr>
          <w:rFonts w:ascii="Arial Narrow" w:hAnsi="Arial Narrow" w:cs="Tahoma"/>
          <w:bCs/>
          <w:i/>
          <w:iCs/>
          <w:sz w:val="28"/>
          <w:szCs w:val="28"/>
        </w:rPr>
      </w:pPr>
    </w:p>
    <w:p w:rsidR="005C5CAD" w:rsidRPr="00106F56" w:rsidRDefault="00DD0C84" w:rsidP="003D0425">
      <w:pPr>
        <w:pStyle w:val="Textoindependiente33"/>
        <w:ind w:firstLine="708"/>
        <w:rPr>
          <w:rFonts w:ascii="Arial Narrow" w:hAnsi="Arial Narrow" w:cs="Tahoma"/>
          <w:bCs/>
          <w:iCs/>
          <w:sz w:val="28"/>
          <w:szCs w:val="28"/>
        </w:rPr>
      </w:pPr>
      <w:r w:rsidRPr="00106F56">
        <w:rPr>
          <w:rFonts w:ascii="Arial Narrow" w:hAnsi="Arial Narrow" w:cs="Tahoma"/>
          <w:bCs/>
          <w:iCs/>
          <w:sz w:val="28"/>
          <w:szCs w:val="28"/>
        </w:rPr>
        <w:lastRenderedPageBreak/>
        <w:t>Ahora</w:t>
      </w:r>
      <w:r w:rsidR="00106F56" w:rsidRPr="00106F56">
        <w:rPr>
          <w:rFonts w:ascii="Arial Narrow" w:hAnsi="Arial Narrow" w:cs="Tahoma"/>
          <w:bCs/>
          <w:iCs/>
          <w:sz w:val="28"/>
          <w:szCs w:val="28"/>
        </w:rPr>
        <w:t xml:space="preserve"> bien, en vista de que el señor </w:t>
      </w:r>
      <w:r w:rsidR="003D0425" w:rsidRPr="00106F56">
        <w:rPr>
          <w:rFonts w:ascii="Arial Narrow" w:hAnsi="Arial Narrow" w:cs="Tahoma"/>
          <w:bCs/>
          <w:iCs/>
          <w:sz w:val="28"/>
          <w:szCs w:val="28"/>
        </w:rPr>
        <w:t>William</w:t>
      </w:r>
      <w:r w:rsidR="00106F56" w:rsidRPr="00106F56">
        <w:rPr>
          <w:rFonts w:ascii="Arial Narrow" w:hAnsi="Arial Narrow" w:cs="Tahoma"/>
          <w:bCs/>
          <w:iCs/>
          <w:sz w:val="28"/>
          <w:szCs w:val="28"/>
        </w:rPr>
        <w:t xml:space="preserve"> Valencia </w:t>
      </w:r>
      <w:r w:rsidR="003D0425" w:rsidRPr="00106F56">
        <w:rPr>
          <w:rFonts w:ascii="Arial Narrow" w:hAnsi="Arial Narrow" w:cs="Tahoma"/>
          <w:bCs/>
          <w:iCs/>
          <w:sz w:val="28"/>
          <w:szCs w:val="28"/>
        </w:rPr>
        <w:t>Gutiérrez</w:t>
      </w:r>
      <w:r w:rsidR="00106F56" w:rsidRPr="00106F56">
        <w:rPr>
          <w:rFonts w:ascii="Arial Narrow" w:hAnsi="Arial Narrow" w:cs="Tahoma"/>
          <w:bCs/>
          <w:iCs/>
          <w:sz w:val="28"/>
          <w:szCs w:val="28"/>
        </w:rPr>
        <w:t xml:space="preserve"> para la fecha en que empezó a regir el Sistema General de Pensiones había prestado sus servicios en el sector público y en el privado, el régimen pensional al que se encontraba afiliado era el previsto en la Ley 71 de 1988</w:t>
      </w:r>
      <w:r w:rsidR="003D0425">
        <w:rPr>
          <w:rFonts w:ascii="Arial Narrow" w:hAnsi="Arial Narrow" w:cs="Tahoma"/>
          <w:bCs/>
          <w:iCs/>
          <w:sz w:val="28"/>
          <w:szCs w:val="28"/>
        </w:rPr>
        <w:t>, el cual prevé en su artículo 1º:</w:t>
      </w:r>
    </w:p>
    <w:p w:rsidR="00D13B47" w:rsidRPr="000200D8" w:rsidRDefault="00D13B47" w:rsidP="00D13B47">
      <w:pPr>
        <w:shd w:val="clear" w:color="auto" w:fill="FFFFFF"/>
        <w:spacing w:before="100" w:beforeAutospacing="1" w:after="100" w:afterAutospacing="1"/>
        <w:jc w:val="both"/>
        <w:rPr>
          <w:rFonts w:ascii="Arial Narrow" w:hAnsi="Arial Narrow" w:cs="Arial"/>
          <w:i/>
          <w:sz w:val="28"/>
          <w:szCs w:val="28"/>
          <w:lang w:val="es-ES"/>
        </w:rPr>
      </w:pPr>
      <w:r w:rsidRPr="000200D8">
        <w:rPr>
          <w:rFonts w:ascii="Arial Narrow" w:hAnsi="Arial Narrow" w:cs="Arial"/>
          <w:b/>
          <w:bCs/>
          <w:i/>
          <w:sz w:val="28"/>
          <w:szCs w:val="28"/>
          <w:lang w:val="es-ES"/>
        </w:rPr>
        <w:tab/>
      </w:r>
      <w:r w:rsidRPr="00D13B47">
        <w:rPr>
          <w:rFonts w:ascii="Arial Narrow" w:hAnsi="Arial Narrow" w:cs="Arial"/>
          <w:bCs/>
          <w:szCs w:val="24"/>
          <w:lang w:val="es-ES"/>
        </w:rPr>
        <w:t>“</w:t>
      </w:r>
      <w:r w:rsidRPr="00D13B47">
        <w:rPr>
          <w:rFonts w:ascii="Arial Narrow" w:hAnsi="Arial Narrow" w:cs="Arial"/>
          <w:bCs/>
          <w:sz w:val="28"/>
          <w:szCs w:val="28"/>
          <w:lang w:val="es-ES"/>
        </w:rPr>
        <w:t>Artículo 1°. </w:t>
      </w:r>
      <w:r w:rsidRPr="000200D8">
        <w:rPr>
          <w:rFonts w:ascii="Arial Narrow" w:hAnsi="Arial Narrow" w:cs="Arial"/>
          <w:i/>
          <w:sz w:val="28"/>
          <w:szCs w:val="28"/>
          <w:lang w:val="es-ES"/>
        </w:rPr>
        <w:t>Pensión de jubilación por aportes. La pensión a que se refiere el artículo 7º de la Ley 71 de 1988, se denomina pensión de jubilación por aportes.</w:t>
      </w:r>
    </w:p>
    <w:p w:rsidR="00D13B47" w:rsidRDefault="00D13B47" w:rsidP="00D13B47">
      <w:pPr>
        <w:shd w:val="clear" w:color="auto" w:fill="FFFFFF"/>
        <w:spacing w:before="100" w:beforeAutospacing="1" w:after="100" w:afterAutospacing="1"/>
        <w:jc w:val="both"/>
        <w:rPr>
          <w:rFonts w:ascii="Arial Narrow" w:hAnsi="Arial Narrow" w:cs="Arial"/>
          <w:i/>
          <w:szCs w:val="24"/>
          <w:lang w:val="es-ES"/>
        </w:rPr>
      </w:pPr>
      <w:r w:rsidRPr="000200D8">
        <w:rPr>
          <w:rFonts w:ascii="Arial Narrow" w:hAnsi="Arial Narrow" w:cs="Arial"/>
          <w:i/>
          <w:sz w:val="28"/>
          <w:szCs w:val="28"/>
          <w:lang w:val="es-ES"/>
        </w:rPr>
        <w:tab/>
        <w:t xml:space="preserve">Tendrán derecho a la pensión de jubilación por aportes quienes al cumplir 60 años o más de </w:t>
      </w:r>
      <w:r>
        <w:rPr>
          <w:rFonts w:ascii="Arial Narrow" w:hAnsi="Arial Narrow" w:cs="Arial"/>
          <w:i/>
          <w:sz w:val="28"/>
          <w:szCs w:val="28"/>
          <w:lang w:val="es-ES"/>
        </w:rPr>
        <w:t xml:space="preserve">60 </w:t>
      </w:r>
      <w:r w:rsidRPr="000200D8">
        <w:rPr>
          <w:rFonts w:ascii="Arial Narrow" w:hAnsi="Arial Narrow" w:cs="Arial"/>
          <w:i/>
          <w:sz w:val="28"/>
          <w:szCs w:val="28"/>
          <w:lang w:val="es-ES"/>
        </w:rPr>
        <w:t>edad si es varón, o 55 años o más si se es mujer, acrediten en cualquier tiempo, 20 años o más de cotizaciones o aportes continuos o discontinuos en el Instituto de Seguros Sociales y en una o varias de las entidades de previsión social del sector público”.</w:t>
      </w:r>
    </w:p>
    <w:p w:rsidR="00D13B47" w:rsidRPr="003D0425" w:rsidRDefault="00D13B47" w:rsidP="003D0425">
      <w:pPr>
        <w:pStyle w:val="Sansinterligne"/>
      </w:pPr>
    </w:p>
    <w:p w:rsidR="00C1213A" w:rsidRDefault="00635CBB" w:rsidP="00D13B47">
      <w:pPr>
        <w:spacing w:line="360" w:lineRule="auto"/>
        <w:ind w:right="51" w:firstLine="708"/>
        <w:jc w:val="both"/>
        <w:rPr>
          <w:rFonts w:ascii="Arial Narrow" w:hAnsi="Arial Narrow" w:cs="Arial"/>
          <w:spacing w:val="-3"/>
          <w:sz w:val="28"/>
          <w:szCs w:val="28"/>
        </w:rPr>
      </w:pPr>
      <w:r>
        <w:rPr>
          <w:rFonts w:ascii="Arial Narrow" w:hAnsi="Arial Narrow" w:cs="Arial"/>
          <w:spacing w:val="-3"/>
          <w:sz w:val="28"/>
          <w:szCs w:val="28"/>
        </w:rPr>
        <w:t>Con el propósito de acreditar el cumplimiento de los requisitos, se tiene</w:t>
      </w:r>
      <w:r w:rsidR="00E16963">
        <w:rPr>
          <w:rFonts w:ascii="Arial Narrow" w:hAnsi="Arial Narrow" w:cs="Arial"/>
          <w:spacing w:val="-3"/>
          <w:sz w:val="28"/>
          <w:szCs w:val="28"/>
        </w:rPr>
        <w:t xml:space="preserve"> </w:t>
      </w:r>
      <w:r w:rsidR="00A37931">
        <w:rPr>
          <w:rFonts w:ascii="Arial Narrow" w:hAnsi="Arial Narrow" w:cs="Arial"/>
          <w:spacing w:val="-3"/>
          <w:sz w:val="28"/>
          <w:szCs w:val="28"/>
        </w:rPr>
        <w:t xml:space="preserve">conforme los Certificados de Información Laboral expedidos por </w:t>
      </w:r>
      <w:r w:rsidR="009C16AA">
        <w:rPr>
          <w:rFonts w:ascii="Arial Narrow" w:hAnsi="Arial Narrow" w:cs="Arial"/>
          <w:spacing w:val="-3"/>
          <w:sz w:val="28"/>
          <w:szCs w:val="28"/>
        </w:rPr>
        <w:t xml:space="preserve">el Ministerio de Agricultura y Desarrollo Rural y, el reporte de semanas cotizadas en pensiones allegada por </w:t>
      </w:r>
      <w:proofErr w:type="spellStart"/>
      <w:r w:rsidR="009C16AA">
        <w:rPr>
          <w:rFonts w:ascii="Arial Narrow" w:hAnsi="Arial Narrow" w:cs="Arial"/>
          <w:spacing w:val="-3"/>
          <w:sz w:val="28"/>
          <w:szCs w:val="28"/>
        </w:rPr>
        <w:t>Colpensiones</w:t>
      </w:r>
      <w:proofErr w:type="spellEnd"/>
      <w:r w:rsidR="009C16AA">
        <w:rPr>
          <w:rFonts w:ascii="Arial Narrow" w:hAnsi="Arial Narrow" w:cs="Arial"/>
          <w:spacing w:val="-3"/>
          <w:sz w:val="28"/>
          <w:szCs w:val="28"/>
        </w:rPr>
        <w:t xml:space="preserve"> (visibles </w:t>
      </w:r>
      <w:proofErr w:type="spellStart"/>
      <w:r w:rsidR="009C16AA">
        <w:rPr>
          <w:rFonts w:ascii="Arial Narrow" w:hAnsi="Arial Narrow" w:cs="Arial"/>
          <w:spacing w:val="-3"/>
          <w:sz w:val="28"/>
          <w:szCs w:val="28"/>
        </w:rPr>
        <w:t>fl.9</w:t>
      </w:r>
      <w:proofErr w:type="spellEnd"/>
      <w:r w:rsidR="009C16AA">
        <w:rPr>
          <w:rFonts w:ascii="Arial Narrow" w:hAnsi="Arial Narrow" w:cs="Arial"/>
          <w:spacing w:val="-3"/>
          <w:sz w:val="28"/>
          <w:szCs w:val="28"/>
        </w:rPr>
        <w:t xml:space="preserve"> a 15 y 5, respectivamente), </w:t>
      </w:r>
      <w:r w:rsidR="00E16963">
        <w:rPr>
          <w:rFonts w:ascii="Arial Narrow" w:hAnsi="Arial Narrow" w:cs="Arial"/>
          <w:spacing w:val="-3"/>
          <w:sz w:val="28"/>
          <w:szCs w:val="28"/>
        </w:rPr>
        <w:t xml:space="preserve">que </w:t>
      </w:r>
      <w:r>
        <w:rPr>
          <w:rFonts w:ascii="Arial Narrow" w:hAnsi="Arial Narrow" w:cs="Arial"/>
          <w:spacing w:val="-3"/>
          <w:sz w:val="28"/>
          <w:szCs w:val="28"/>
        </w:rPr>
        <w:t xml:space="preserve">el demandante </w:t>
      </w:r>
      <w:r w:rsidR="00C1213A">
        <w:rPr>
          <w:rFonts w:ascii="Arial Narrow" w:hAnsi="Arial Narrow" w:cs="Arial"/>
          <w:spacing w:val="-3"/>
          <w:sz w:val="28"/>
          <w:szCs w:val="28"/>
        </w:rPr>
        <w:t xml:space="preserve">tiene acreditadas en toda su vida laboral un total de </w:t>
      </w:r>
      <w:r w:rsidR="009C16AA">
        <w:rPr>
          <w:rFonts w:ascii="Arial Narrow" w:hAnsi="Arial Narrow" w:cs="Arial"/>
          <w:spacing w:val="-3"/>
          <w:sz w:val="28"/>
          <w:szCs w:val="28"/>
        </w:rPr>
        <w:t>1.341 semanas</w:t>
      </w:r>
      <w:r w:rsidR="00C1213A">
        <w:rPr>
          <w:rFonts w:ascii="Arial Narrow" w:hAnsi="Arial Narrow" w:cs="Arial"/>
          <w:spacing w:val="-3"/>
          <w:sz w:val="28"/>
          <w:szCs w:val="28"/>
        </w:rPr>
        <w:t xml:space="preserve"> de servicios en el sector público y en el privado, las cuales equivalen a más de los 20 años exigidos en la citada disposición</w:t>
      </w:r>
      <w:r w:rsidR="00950FD2">
        <w:rPr>
          <w:rFonts w:ascii="Arial Narrow" w:hAnsi="Arial Narrow" w:cs="Arial"/>
          <w:spacing w:val="-3"/>
          <w:sz w:val="28"/>
          <w:szCs w:val="28"/>
        </w:rPr>
        <w:t xml:space="preserve">. </w:t>
      </w:r>
    </w:p>
    <w:p w:rsidR="00C1213A" w:rsidRPr="004B1959" w:rsidRDefault="00C1213A" w:rsidP="004B1959">
      <w:pPr>
        <w:pStyle w:val="Sansinterligne"/>
      </w:pPr>
    </w:p>
    <w:p w:rsidR="00950FD2" w:rsidRDefault="00950FD2" w:rsidP="00950FD2">
      <w:pPr>
        <w:spacing w:line="360" w:lineRule="auto"/>
        <w:ind w:right="51" w:firstLine="708"/>
        <w:jc w:val="both"/>
        <w:rPr>
          <w:rFonts w:ascii="Arial Narrow" w:hAnsi="Arial Narrow" w:cs="Arial"/>
          <w:spacing w:val="-3"/>
          <w:sz w:val="28"/>
          <w:szCs w:val="28"/>
        </w:rPr>
      </w:pPr>
      <w:r w:rsidRPr="00957F27">
        <w:rPr>
          <w:rFonts w:ascii="Arial Narrow" w:hAnsi="Arial Narrow"/>
          <w:sz w:val="28"/>
          <w:szCs w:val="28"/>
        </w:rPr>
        <w:t xml:space="preserve">Ahora, como quiera que </w:t>
      </w:r>
      <w:r>
        <w:rPr>
          <w:rFonts w:ascii="Arial Narrow" w:hAnsi="Arial Narrow"/>
          <w:sz w:val="28"/>
          <w:szCs w:val="28"/>
        </w:rPr>
        <w:t xml:space="preserve">el </w:t>
      </w:r>
      <w:r w:rsidRPr="00957F27">
        <w:rPr>
          <w:rFonts w:ascii="Arial Narrow" w:hAnsi="Arial Narrow"/>
          <w:sz w:val="28"/>
          <w:szCs w:val="28"/>
        </w:rPr>
        <w:t xml:space="preserve">demandante cumplió los </w:t>
      </w:r>
      <w:r>
        <w:rPr>
          <w:rFonts w:ascii="Arial Narrow" w:hAnsi="Arial Narrow"/>
          <w:sz w:val="28"/>
          <w:szCs w:val="28"/>
        </w:rPr>
        <w:t>60</w:t>
      </w:r>
      <w:r w:rsidRPr="00957F27">
        <w:rPr>
          <w:rFonts w:ascii="Arial Narrow" w:hAnsi="Arial Narrow"/>
          <w:sz w:val="28"/>
          <w:szCs w:val="28"/>
        </w:rPr>
        <w:t xml:space="preserve"> años de edad el </w:t>
      </w:r>
      <w:r>
        <w:rPr>
          <w:rFonts w:ascii="Arial Narrow" w:hAnsi="Arial Narrow"/>
          <w:sz w:val="28"/>
          <w:szCs w:val="28"/>
        </w:rPr>
        <w:t xml:space="preserve">19 de febrero de 2012, es viable el reconocimiento </w:t>
      </w:r>
      <w:r w:rsidRPr="00957F27">
        <w:rPr>
          <w:rFonts w:ascii="Arial Narrow" w:hAnsi="Arial Narrow"/>
          <w:sz w:val="28"/>
          <w:szCs w:val="28"/>
        </w:rPr>
        <w:t xml:space="preserve">de la pensión consagrada en </w:t>
      </w:r>
      <w:r w:rsidRPr="0020361A">
        <w:rPr>
          <w:rFonts w:ascii="Arial Narrow" w:hAnsi="Arial Narrow" w:cs="Arial"/>
          <w:spacing w:val="-3"/>
          <w:sz w:val="28"/>
          <w:szCs w:val="28"/>
        </w:rPr>
        <w:t>el art</w:t>
      </w:r>
      <w:r>
        <w:rPr>
          <w:rFonts w:ascii="Arial Narrow" w:hAnsi="Arial Narrow" w:cs="Arial"/>
          <w:spacing w:val="-3"/>
          <w:sz w:val="28"/>
          <w:szCs w:val="28"/>
        </w:rPr>
        <w:t>.</w:t>
      </w:r>
      <w:r w:rsidRPr="0020361A">
        <w:rPr>
          <w:rFonts w:ascii="Arial Narrow" w:hAnsi="Arial Narrow" w:cs="Arial"/>
          <w:spacing w:val="-3"/>
          <w:sz w:val="28"/>
          <w:szCs w:val="28"/>
        </w:rPr>
        <w:t>1º de</w:t>
      </w:r>
      <w:r>
        <w:rPr>
          <w:rFonts w:ascii="Arial Narrow" w:hAnsi="Arial Narrow" w:cs="Arial"/>
          <w:spacing w:val="-3"/>
          <w:sz w:val="28"/>
          <w:szCs w:val="28"/>
        </w:rPr>
        <w:t xml:space="preserve">l Dcto.2709 de 1994 que reglamentó el 7º de la Ley 71 de 1988. </w:t>
      </w:r>
    </w:p>
    <w:p w:rsidR="00950FD2" w:rsidRPr="004B1959" w:rsidRDefault="00950FD2" w:rsidP="004B1959">
      <w:pPr>
        <w:pStyle w:val="Sansinterligne"/>
      </w:pPr>
    </w:p>
    <w:p w:rsidR="00D13B47" w:rsidRDefault="00D13B47" w:rsidP="00351DDD">
      <w:pPr>
        <w:pStyle w:val="Textoindependiente32"/>
        <w:ind w:right="51" w:firstLine="708"/>
        <w:rPr>
          <w:rFonts w:ascii="Arial Narrow" w:hAnsi="Arial Narrow"/>
          <w:sz w:val="28"/>
          <w:szCs w:val="28"/>
          <w:lang w:val="es-ES"/>
        </w:rPr>
      </w:pPr>
      <w:r>
        <w:rPr>
          <w:rFonts w:ascii="Arial Narrow" w:hAnsi="Arial Narrow" w:cs="Tahoma"/>
          <w:sz w:val="28"/>
          <w:szCs w:val="28"/>
        </w:rPr>
        <w:t>Tal prestación debe reconocerse desde el 1</w:t>
      </w:r>
      <w:r w:rsidR="00402A12">
        <w:rPr>
          <w:rFonts w:ascii="Arial Narrow" w:hAnsi="Arial Narrow" w:cs="Tahoma"/>
          <w:sz w:val="28"/>
          <w:szCs w:val="28"/>
        </w:rPr>
        <w:t>9 de febrero de 2012</w:t>
      </w:r>
      <w:r>
        <w:rPr>
          <w:rFonts w:ascii="Arial Narrow" w:hAnsi="Arial Narrow" w:cs="Tahoma"/>
          <w:sz w:val="28"/>
          <w:szCs w:val="28"/>
        </w:rPr>
        <w:t xml:space="preserve">, atendiendo la fecha de cumplimiento de la edad mínima, amén de que la solicitud pensional fue radicada ante la entidad de seguridad social el </w:t>
      </w:r>
      <w:r w:rsidR="007803A2">
        <w:rPr>
          <w:rFonts w:ascii="Arial Narrow" w:hAnsi="Arial Narrow" w:cs="Tahoma"/>
          <w:sz w:val="28"/>
          <w:szCs w:val="28"/>
        </w:rPr>
        <w:t>27 de febrero de 2012 (ver fl.53).</w:t>
      </w:r>
      <w:r w:rsidRPr="0065756A">
        <w:rPr>
          <w:rFonts w:ascii="Arial Narrow" w:hAnsi="Arial Narrow" w:cs="Tahoma"/>
          <w:sz w:val="28"/>
          <w:szCs w:val="28"/>
        </w:rPr>
        <w:t xml:space="preserve"> Se reconocerán 13 mesadas, de conformidad con </w:t>
      </w:r>
      <w:r w:rsidRPr="00C16021">
        <w:rPr>
          <w:rFonts w:ascii="Arial Narrow" w:hAnsi="Arial Narrow"/>
          <w:sz w:val="28"/>
          <w:szCs w:val="28"/>
        </w:rPr>
        <w:t xml:space="preserve">el Acto Legislativo 001 de 2005, </w:t>
      </w:r>
      <w:r>
        <w:rPr>
          <w:rFonts w:ascii="Arial Narrow" w:hAnsi="Arial Narrow"/>
          <w:sz w:val="28"/>
          <w:szCs w:val="28"/>
        </w:rPr>
        <w:t xml:space="preserve">toda vez que </w:t>
      </w:r>
      <w:r w:rsidRPr="00C16021">
        <w:rPr>
          <w:rFonts w:ascii="Arial Narrow" w:hAnsi="Arial Narrow"/>
          <w:sz w:val="28"/>
          <w:szCs w:val="28"/>
          <w:lang w:val="es-ES"/>
        </w:rPr>
        <w:t xml:space="preserve">el derecho </w:t>
      </w:r>
      <w:r>
        <w:rPr>
          <w:rFonts w:ascii="Arial Narrow" w:hAnsi="Arial Narrow"/>
          <w:sz w:val="28"/>
          <w:szCs w:val="28"/>
          <w:lang w:val="es-ES"/>
        </w:rPr>
        <w:t xml:space="preserve">pensional se causó </w:t>
      </w:r>
      <w:r w:rsidRPr="00C16021">
        <w:rPr>
          <w:rFonts w:ascii="Arial Narrow" w:hAnsi="Arial Narrow"/>
          <w:sz w:val="28"/>
          <w:szCs w:val="28"/>
          <w:lang w:val="es-ES"/>
        </w:rPr>
        <w:t xml:space="preserve">con </w:t>
      </w:r>
      <w:r>
        <w:rPr>
          <w:rFonts w:ascii="Arial Narrow" w:hAnsi="Arial Narrow"/>
          <w:sz w:val="28"/>
          <w:szCs w:val="28"/>
          <w:lang w:val="es-ES"/>
        </w:rPr>
        <w:t xml:space="preserve">posterioridad al 31 de julio de 2011, tal como lo concluyó la a-quo. </w:t>
      </w:r>
    </w:p>
    <w:p w:rsidR="00D13B47" w:rsidRPr="004B1959" w:rsidRDefault="00D13B47" w:rsidP="004B1959">
      <w:pPr>
        <w:pStyle w:val="Sansinterligne"/>
      </w:pPr>
    </w:p>
    <w:p w:rsidR="00D13B47" w:rsidRDefault="00D13B47" w:rsidP="00D13B47">
      <w:pPr>
        <w:pStyle w:val="Textoindependiente32"/>
        <w:ind w:right="51" w:firstLine="851"/>
        <w:rPr>
          <w:rFonts w:ascii="Arial Narrow" w:hAnsi="Arial Narrow" w:cs="Tahoma"/>
          <w:sz w:val="28"/>
          <w:szCs w:val="28"/>
        </w:rPr>
      </w:pPr>
      <w:r>
        <w:rPr>
          <w:rFonts w:ascii="Arial Narrow" w:hAnsi="Arial Narrow" w:cs="Tahoma"/>
          <w:sz w:val="28"/>
          <w:szCs w:val="28"/>
        </w:rPr>
        <w:t>El valor de la mesada pensional, siguiendo las voces del artículo 21 de la Ley 100 de 1993,</w:t>
      </w:r>
      <w:r w:rsidR="00CE6D7F">
        <w:rPr>
          <w:rFonts w:ascii="Arial Narrow" w:hAnsi="Arial Narrow" w:cs="Tahoma"/>
          <w:sz w:val="28"/>
          <w:szCs w:val="28"/>
        </w:rPr>
        <w:t xml:space="preserve"> deberá establecerse con el IBL del promedio de lo devengado en toda la vida, </w:t>
      </w:r>
      <w:r>
        <w:rPr>
          <w:rFonts w:ascii="Arial Narrow" w:hAnsi="Arial Narrow" w:cs="Tahoma"/>
          <w:sz w:val="28"/>
          <w:szCs w:val="28"/>
        </w:rPr>
        <w:t>suma a la que se le aplicará una tasa de reemplazo del</w:t>
      </w:r>
      <w:r w:rsidR="00CE6D7F">
        <w:rPr>
          <w:rFonts w:ascii="Arial Narrow" w:hAnsi="Arial Narrow" w:cs="Tahoma"/>
          <w:sz w:val="28"/>
          <w:szCs w:val="28"/>
        </w:rPr>
        <w:t xml:space="preserve"> 75%, tal cual lo efectuó la a-quo. </w:t>
      </w:r>
    </w:p>
    <w:p w:rsidR="00646BAD" w:rsidRDefault="00A00216" w:rsidP="00817A16">
      <w:pPr>
        <w:pStyle w:val="Textoindependiente32"/>
        <w:ind w:right="51" w:firstLine="851"/>
        <w:rPr>
          <w:rFonts w:ascii="Arial Narrow" w:hAnsi="Arial Narrow" w:cs="Tahoma"/>
          <w:sz w:val="28"/>
          <w:szCs w:val="28"/>
        </w:rPr>
      </w:pPr>
      <w:r>
        <w:rPr>
          <w:rFonts w:ascii="Arial Narrow" w:hAnsi="Arial Narrow" w:cs="Tahoma"/>
          <w:sz w:val="28"/>
          <w:szCs w:val="28"/>
        </w:rPr>
        <w:lastRenderedPageBreak/>
        <w:t xml:space="preserve">Efectuado el cálculo respectivo, </w:t>
      </w:r>
      <w:r w:rsidR="00D13B47">
        <w:rPr>
          <w:rFonts w:ascii="Arial Narrow" w:hAnsi="Arial Narrow" w:cs="Tahoma"/>
          <w:sz w:val="28"/>
          <w:szCs w:val="28"/>
        </w:rPr>
        <w:t>el valor de la p</w:t>
      </w:r>
      <w:r w:rsidR="00424C22">
        <w:rPr>
          <w:rFonts w:ascii="Arial Narrow" w:hAnsi="Arial Narrow" w:cs="Tahoma"/>
          <w:sz w:val="28"/>
          <w:szCs w:val="28"/>
        </w:rPr>
        <w:t>rimera mesada pensional equivale a</w:t>
      </w:r>
      <w:r>
        <w:rPr>
          <w:rFonts w:ascii="Arial Narrow" w:hAnsi="Arial Narrow" w:cs="Tahoma"/>
          <w:sz w:val="28"/>
          <w:szCs w:val="28"/>
        </w:rPr>
        <w:t xml:space="preserve"> </w:t>
      </w:r>
      <w:r w:rsidR="00D13B47">
        <w:rPr>
          <w:rFonts w:ascii="Arial Narrow" w:hAnsi="Arial Narrow" w:cs="Tahoma"/>
          <w:sz w:val="28"/>
          <w:szCs w:val="28"/>
        </w:rPr>
        <w:t>$</w:t>
      </w:r>
      <w:r w:rsidR="00637705">
        <w:rPr>
          <w:rFonts w:ascii="Arial Narrow" w:hAnsi="Arial Narrow" w:cs="Tahoma"/>
          <w:sz w:val="28"/>
          <w:szCs w:val="28"/>
        </w:rPr>
        <w:t>713.615</w:t>
      </w:r>
      <w:r w:rsidR="00D13B47">
        <w:rPr>
          <w:rFonts w:ascii="Arial Narrow" w:hAnsi="Arial Narrow" w:cs="Tahoma"/>
          <w:sz w:val="28"/>
          <w:szCs w:val="28"/>
        </w:rPr>
        <w:t xml:space="preserve">, </w:t>
      </w:r>
      <w:r>
        <w:rPr>
          <w:rFonts w:ascii="Arial Narrow" w:hAnsi="Arial Narrow" w:cs="Tahoma"/>
          <w:sz w:val="28"/>
          <w:szCs w:val="28"/>
        </w:rPr>
        <w:t xml:space="preserve">que se </w:t>
      </w:r>
      <w:r w:rsidR="00144D39">
        <w:rPr>
          <w:rFonts w:ascii="Arial Narrow" w:hAnsi="Arial Narrow" w:cs="Tahoma"/>
          <w:sz w:val="28"/>
          <w:szCs w:val="28"/>
        </w:rPr>
        <w:t xml:space="preserve">obtiene de un </w:t>
      </w:r>
      <w:r w:rsidR="00D13B47">
        <w:rPr>
          <w:rFonts w:ascii="Arial Narrow" w:hAnsi="Arial Narrow" w:cs="Tahoma"/>
          <w:sz w:val="28"/>
          <w:szCs w:val="28"/>
        </w:rPr>
        <w:t>IBL de $</w:t>
      </w:r>
      <w:r w:rsidR="00637705">
        <w:rPr>
          <w:rFonts w:ascii="Arial Narrow" w:hAnsi="Arial Narrow" w:cs="Tahoma"/>
          <w:sz w:val="28"/>
          <w:szCs w:val="28"/>
        </w:rPr>
        <w:t>951.487</w:t>
      </w:r>
      <w:r>
        <w:rPr>
          <w:rFonts w:ascii="Arial Narrow" w:hAnsi="Arial Narrow" w:cs="Tahoma"/>
          <w:sz w:val="28"/>
          <w:szCs w:val="28"/>
        </w:rPr>
        <w:t xml:space="preserve">, </w:t>
      </w:r>
      <w:r w:rsidR="00144D39">
        <w:rPr>
          <w:rFonts w:ascii="Arial Narrow" w:hAnsi="Arial Narrow" w:cs="Tahoma"/>
          <w:sz w:val="28"/>
          <w:szCs w:val="28"/>
        </w:rPr>
        <w:t xml:space="preserve">al cual se le </w:t>
      </w:r>
      <w:r w:rsidR="00BE6011">
        <w:rPr>
          <w:rFonts w:ascii="Arial Narrow" w:hAnsi="Arial Narrow" w:cs="Tahoma"/>
          <w:sz w:val="28"/>
          <w:szCs w:val="28"/>
        </w:rPr>
        <w:t xml:space="preserve">aplicó </w:t>
      </w:r>
      <w:r w:rsidR="00144D39">
        <w:rPr>
          <w:rFonts w:ascii="Arial Narrow" w:hAnsi="Arial Narrow" w:cs="Tahoma"/>
          <w:sz w:val="28"/>
          <w:szCs w:val="28"/>
        </w:rPr>
        <w:t>la tasa de remplazo d</w:t>
      </w:r>
      <w:r w:rsidR="00D13B47">
        <w:rPr>
          <w:rFonts w:ascii="Arial Narrow" w:hAnsi="Arial Narrow" w:cs="Tahoma"/>
          <w:sz w:val="28"/>
          <w:szCs w:val="28"/>
        </w:rPr>
        <w:t xml:space="preserve">el 75 %. </w:t>
      </w:r>
    </w:p>
    <w:p w:rsidR="00817A16" w:rsidRDefault="00817A16" w:rsidP="00817A16">
      <w:pPr>
        <w:pStyle w:val="Sansinterligne"/>
      </w:pPr>
    </w:p>
    <w:p w:rsidR="00657A07" w:rsidRDefault="00646BAD" w:rsidP="00D13B47">
      <w:pPr>
        <w:pStyle w:val="Textoindependiente32"/>
        <w:ind w:right="51" w:firstLine="851"/>
        <w:rPr>
          <w:rFonts w:ascii="Arial Narrow" w:hAnsi="Arial Narrow" w:cs="Tahoma"/>
          <w:sz w:val="28"/>
          <w:szCs w:val="28"/>
        </w:rPr>
      </w:pPr>
      <w:r>
        <w:rPr>
          <w:rFonts w:ascii="Arial Narrow" w:hAnsi="Arial Narrow" w:cs="Tahoma"/>
          <w:sz w:val="28"/>
          <w:szCs w:val="28"/>
        </w:rPr>
        <w:t>En este punto, es preciso aclara</w:t>
      </w:r>
      <w:r w:rsidR="00421883">
        <w:rPr>
          <w:rFonts w:ascii="Arial Narrow" w:hAnsi="Arial Narrow" w:cs="Tahoma"/>
          <w:sz w:val="28"/>
          <w:szCs w:val="28"/>
        </w:rPr>
        <w:t>r</w:t>
      </w:r>
      <w:r>
        <w:rPr>
          <w:rFonts w:ascii="Arial Narrow" w:hAnsi="Arial Narrow" w:cs="Tahoma"/>
          <w:sz w:val="28"/>
          <w:szCs w:val="28"/>
        </w:rPr>
        <w:t xml:space="preserve"> </w:t>
      </w:r>
      <w:r w:rsidR="001D5035">
        <w:rPr>
          <w:rFonts w:ascii="Arial Narrow" w:hAnsi="Arial Narrow" w:cs="Tahoma"/>
          <w:sz w:val="28"/>
          <w:szCs w:val="28"/>
        </w:rPr>
        <w:t xml:space="preserve">que la jueza del conocimiento </w:t>
      </w:r>
      <w:r w:rsidR="00A87A4F">
        <w:rPr>
          <w:rFonts w:ascii="Arial Narrow" w:hAnsi="Arial Narrow" w:cs="Tahoma"/>
          <w:sz w:val="28"/>
          <w:szCs w:val="28"/>
        </w:rPr>
        <w:t>erró en la determinación del monto de l</w:t>
      </w:r>
      <w:r w:rsidR="00BE6011">
        <w:rPr>
          <w:rFonts w:ascii="Arial Narrow" w:hAnsi="Arial Narrow" w:cs="Tahoma"/>
          <w:sz w:val="28"/>
          <w:szCs w:val="28"/>
        </w:rPr>
        <w:t>a primera mesada pensional</w:t>
      </w:r>
      <w:r w:rsidR="000B7D88">
        <w:rPr>
          <w:rFonts w:ascii="Arial Narrow" w:hAnsi="Arial Narrow" w:cs="Tahoma"/>
          <w:sz w:val="28"/>
          <w:szCs w:val="28"/>
        </w:rPr>
        <w:t>, pues</w:t>
      </w:r>
      <w:r w:rsidR="00A87A4F">
        <w:rPr>
          <w:rFonts w:ascii="Arial Narrow" w:hAnsi="Arial Narrow" w:cs="Tahoma"/>
          <w:sz w:val="28"/>
          <w:szCs w:val="28"/>
        </w:rPr>
        <w:t xml:space="preserve"> luego de </w:t>
      </w:r>
      <w:r w:rsidR="000B7D88">
        <w:rPr>
          <w:rFonts w:ascii="Arial Narrow" w:hAnsi="Arial Narrow" w:cs="Tahoma"/>
          <w:sz w:val="28"/>
          <w:szCs w:val="28"/>
        </w:rPr>
        <w:t xml:space="preserve">calcularla en cuantía de $ 623.218, </w:t>
      </w:r>
      <w:r w:rsidR="00A87A4F">
        <w:rPr>
          <w:rFonts w:ascii="Arial Narrow" w:hAnsi="Arial Narrow" w:cs="Tahoma"/>
          <w:sz w:val="28"/>
          <w:szCs w:val="28"/>
        </w:rPr>
        <w:t xml:space="preserve">actualizó dicho </w:t>
      </w:r>
      <w:r w:rsidR="000B7D88">
        <w:rPr>
          <w:rFonts w:ascii="Arial Narrow" w:hAnsi="Arial Narrow" w:cs="Tahoma"/>
          <w:sz w:val="28"/>
          <w:szCs w:val="28"/>
        </w:rPr>
        <w:t xml:space="preserve">monto desde el 2003 hasta el 2012, es decir, desde la última cotización </w:t>
      </w:r>
      <w:r w:rsidR="00BE6011">
        <w:rPr>
          <w:rFonts w:ascii="Arial Narrow" w:hAnsi="Arial Narrow" w:cs="Tahoma"/>
          <w:sz w:val="28"/>
          <w:szCs w:val="28"/>
        </w:rPr>
        <w:t xml:space="preserve">del actor hasta la causación de la pensión, </w:t>
      </w:r>
      <w:r w:rsidR="00C52CDB">
        <w:rPr>
          <w:rFonts w:ascii="Arial Narrow" w:hAnsi="Arial Narrow" w:cs="Tahoma"/>
          <w:sz w:val="28"/>
          <w:szCs w:val="28"/>
        </w:rPr>
        <w:t xml:space="preserve">estableciendo finalmente </w:t>
      </w:r>
      <w:r w:rsidR="00ED0F86">
        <w:rPr>
          <w:rFonts w:ascii="Arial Narrow" w:hAnsi="Arial Narrow" w:cs="Tahoma"/>
          <w:sz w:val="28"/>
          <w:szCs w:val="28"/>
        </w:rPr>
        <w:t xml:space="preserve">la primera </w:t>
      </w:r>
      <w:r w:rsidR="00C52CDB">
        <w:rPr>
          <w:rFonts w:ascii="Arial Narrow" w:hAnsi="Arial Narrow" w:cs="Tahoma"/>
          <w:sz w:val="28"/>
          <w:szCs w:val="28"/>
        </w:rPr>
        <w:t>mesada pensional en cuantía de $</w:t>
      </w:r>
      <w:r w:rsidR="00657A07">
        <w:rPr>
          <w:rFonts w:ascii="Arial Narrow" w:hAnsi="Arial Narrow" w:cs="Tahoma"/>
          <w:sz w:val="28"/>
          <w:szCs w:val="28"/>
        </w:rPr>
        <w:t xml:space="preserve">952.3784, lo cual </w:t>
      </w:r>
      <w:r w:rsidR="00CD26BB">
        <w:rPr>
          <w:rFonts w:ascii="Arial Narrow" w:hAnsi="Arial Narrow" w:cs="Tahoma"/>
          <w:sz w:val="28"/>
          <w:szCs w:val="28"/>
        </w:rPr>
        <w:t>implica una doble actualización de la mesada</w:t>
      </w:r>
      <w:r w:rsidR="00657A07">
        <w:rPr>
          <w:rFonts w:ascii="Arial Narrow" w:hAnsi="Arial Narrow" w:cs="Tahoma"/>
          <w:sz w:val="28"/>
          <w:szCs w:val="28"/>
        </w:rPr>
        <w:t xml:space="preserve">, puesto que </w:t>
      </w:r>
      <w:r w:rsidR="00CD26BB">
        <w:rPr>
          <w:rFonts w:ascii="Arial Narrow" w:hAnsi="Arial Narrow" w:cs="Tahoma"/>
          <w:sz w:val="28"/>
          <w:szCs w:val="28"/>
        </w:rPr>
        <w:t>al momento de efectuarse la</w:t>
      </w:r>
      <w:r w:rsidR="00657A07">
        <w:rPr>
          <w:rFonts w:ascii="Arial Narrow" w:hAnsi="Arial Narrow" w:cs="Tahoma"/>
          <w:sz w:val="28"/>
          <w:szCs w:val="28"/>
        </w:rPr>
        <w:t xml:space="preserve"> liquidación del IBL se tien</w:t>
      </w:r>
      <w:r w:rsidR="00A04608">
        <w:rPr>
          <w:rFonts w:ascii="Arial Narrow" w:hAnsi="Arial Narrow" w:cs="Tahoma"/>
          <w:sz w:val="28"/>
          <w:szCs w:val="28"/>
        </w:rPr>
        <w:t xml:space="preserve">en en cuenta los salarios cotizados debidamente actualizados al momento del disfrute de la pensión, </w:t>
      </w:r>
      <w:r w:rsidR="00657A07">
        <w:rPr>
          <w:rFonts w:ascii="Arial Narrow" w:hAnsi="Arial Narrow" w:cs="Tahoma"/>
          <w:sz w:val="28"/>
          <w:szCs w:val="28"/>
        </w:rPr>
        <w:t>con base en la variación del IPC</w:t>
      </w:r>
      <w:r w:rsidR="00A04608">
        <w:rPr>
          <w:rFonts w:ascii="Arial Narrow" w:hAnsi="Arial Narrow" w:cs="Tahoma"/>
          <w:sz w:val="28"/>
          <w:szCs w:val="28"/>
        </w:rPr>
        <w:t xml:space="preserve">. </w:t>
      </w:r>
    </w:p>
    <w:p w:rsidR="00A87A4F" w:rsidRDefault="00A87A4F" w:rsidP="0090196D">
      <w:pPr>
        <w:pStyle w:val="Sansinterligne"/>
        <w:spacing w:line="360" w:lineRule="auto"/>
      </w:pPr>
    </w:p>
    <w:p w:rsidR="00A04608" w:rsidRDefault="00A87A4F" w:rsidP="0042015F">
      <w:pPr>
        <w:pStyle w:val="Textoindependiente32"/>
        <w:ind w:right="51" w:firstLine="851"/>
        <w:rPr>
          <w:rFonts w:ascii="Arial Narrow" w:hAnsi="Arial Narrow" w:cs="Tahoma"/>
          <w:sz w:val="28"/>
          <w:szCs w:val="28"/>
        </w:rPr>
      </w:pPr>
      <w:r>
        <w:rPr>
          <w:rFonts w:ascii="Arial Narrow" w:hAnsi="Arial Narrow" w:cs="Tahoma"/>
          <w:sz w:val="28"/>
          <w:szCs w:val="28"/>
        </w:rPr>
        <w:t xml:space="preserve">Así las cosas, </w:t>
      </w:r>
      <w:r w:rsidR="00A04608">
        <w:rPr>
          <w:rFonts w:ascii="Arial Narrow" w:hAnsi="Arial Narrow" w:cs="Tahoma"/>
          <w:sz w:val="28"/>
          <w:szCs w:val="28"/>
        </w:rPr>
        <w:t xml:space="preserve">como quiera que </w:t>
      </w:r>
      <w:r>
        <w:rPr>
          <w:rFonts w:ascii="Arial Narrow" w:hAnsi="Arial Narrow" w:cs="Tahoma"/>
          <w:sz w:val="28"/>
          <w:szCs w:val="28"/>
        </w:rPr>
        <w:t xml:space="preserve">la sentencia está siendo </w:t>
      </w:r>
      <w:r w:rsidR="00815A4F">
        <w:rPr>
          <w:rFonts w:ascii="Arial Narrow" w:hAnsi="Arial Narrow" w:cs="Tahoma"/>
          <w:sz w:val="28"/>
          <w:szCs w:val="28"/>
        </w:rPr>
        <w:t xml:space="preserve">analizada en virtud del grado jurisdiccional de consulta </w:t>
      </w:r>
      <w:r>
        <w:rPr>
          <w:rFonts w:ascii="Arial Narrow" w:hAnsi="Arial Narrow" w:cs="Tahoma"/>
          <w:sz w:val="28"/>
          <w:szCs w:val="28"/>
        </w:rPr>
        <w:t xml:space="preserve">en favor de la entidad de seguridad social, se dispondrá la modificación del ordinal </w:t>
      </w:r>
      <w:r w:rsidR="00193F61">
        <w:rPr>
          <w:rFonts w:ascii="Arial Narrow" w:hAnsi="Arial Narrow" w:cs="Tahoma"/>
          <w:sz w:val="28"/>
          <w:szCs w:val="28"/>
        </w:rPr>
        <w:t xml:space="preserve">4º de la providencia, </w:t>
      </w:r>
      <w:r w:rsidR="00A04608">
        <w:rPr>
          <w:rFonts w:ascii="Arial Narrow" w:hAnsi="Arial Narrow" w:cs="Tahoma"/>
          <w:sz w:val="28"/>
          <w:szCs w:val="28"/>
        </w:rPr>
        <w:t xml:space="preserve">en orden a que </w:t>
      </w:r>
      <w:r w:rsidR="00817A16">
        <w:rPr>
          <w:rFonts w:ascii="Arial Narrow" w:hAnsi="Arial Narrow" w:cs="Tahoma"/>
          <w:sz w:val="28"/>
          <w:szCs w:val="28"/>
        </w:rPr>
        <w:t xml:space="preserve">se atienda </w:t>
      </w:r>
      <w:r w:rsidR="00CF0582">
        <w:rPr>
          <w:rFonts w:ascii="Arial Narrow" w:hAnsi="Arial Narrow" w:cs="Tahoma"/>
          <w:sz w:val="28"/>
          <w:szCs w:val="28"/>
        </w:rPr>
        <w:t>el valor de mesada pensional calculado en esta instancia, en cuantía de $713.615.</w:t>
      </w:r>
    </w:p>
    <w:p w:rsidR="006D5E49" w:rsidRPr="00CF0582" w:rsidRDefault="006D5E49" w:rsidP="00CF0582">
      <w:pPr>
        <w:pStyle w:val="Sansinterligne"/>
      </w:pPr>
    </w:p>
    <w:p w:rsidR="00E87A10" w:rsidRPr="00B03F22" w:rsidRDefault="00E87A10" w:rsidP="00E87A10">
      <w:pPr>
        <w:pStyle w:val="Sansinterligne"/>
        <w:spacing w:line="360" w:lineRule="auto"/>
        <w:jc w:val="both"/>
        <w:rPr>
          <w:rFonts w:ascii="Arial Narrow" w:hAnsi="Arial Narrow" w:cs="Arial"/>
          <w:sz w:val="28"/>
          <w:szCs w:val="28"/>
        </w:rPr>
      </w:pPr>
      <w:r w:rsidRPr="00B03F22">
        <w:rPr>
          <w:rFonts w:ascii="Arial Narrow" w:hAnsi="Arial Narrow"/>
          <w:sz w:val="28"/>
          <w:szCs w:val="28"/>
        </w:rPr>
        <w:tab/>
      </w:r>
      <w:r>
        <w:rPr>
          <w:rFonts w:ascii="Arial Narrow" w:hAnsi="Arial Narrow" w:cs="Arial"/>
          <w:sz w:val="28"/>
          <w:szCs w:val="28"/>
        </w:rPr>
        <w:t xml:space="preserve">No prospera la </w:t>
      </w:r>
      <w:r w:rsidRPr="00B03F22">
        <w:rPr>
          <w:rFonts w:ascii="Arial Narrow" w:hAnsi="Arial Narrow" w:cs="Arial"/>
          <w:sz w:val="28"/>
          <w:szCs w:val="28"/>
        </w:rPr>
        <w:t xml:space="preserve">excepción de prescripción, </w:t>
      </w:r>
      <w:r>
        <w:rPr>
          <w:rFonts w:ascii="Arial Narrow" w:hAnsi="Arial Narrow" w:cs="Arial"/>
          <w:sz w:val="28"/>
          <w:szCs w:val="28"/>
        </w:rPr>
        <w:t xml:space="preserve">habida cuenta que en los términos del artículo 155 del C.P.T y S.S, </w:t>
      </w:r>
      <w:r w:rsidRPr="00B03F22">
        <w:rPr>
          <w:rFonts w:ascii="Arial Narrow" w:hAnsi="Arial Narrow" w:cs="Arial"/>
          <w:sz w:val="28"/>
          <w:szCs w:val="28"/>
        </w:rPr>
        <w:t xml:space="preserve">no transcurrieron más de tres años desde que la respectiva obligación se hizo exigible y la </w:t>
      </w:r>
      <w:r>
        <w:rPr>
          <w:rFonts w:ascii="Arial Narrow" w:hAnsi="Arial Narrow" w:cs="Arial"/>
          <w:sz w:val="28"/>
          <w:szCs w:val="28"/>
        </w:rPr>
        <w:t>presentación d</w:t>
      </w:r>
      <w:r w:rsidRPr="00B03F22">
        <w:rPr>
          <w:rFonts w:ascii="Arial Narrow" w:hAnsi="Arial Narrow" w:cs="Arial"/>
          <w:sz w:val="28"/>
          <w:szCs w:val="28"/>
        </w:rPr>
        <w:t>e la demanda</w:t>
      </w:r>
      <w:r>
        <w:rPr>
          <w:rFonts w:ascii="Arial Narrow" w:hAnsi="Arial Narrow" w:cs="Arial"/>
          <w:sz w:val="28"/>
          <w:szCs w:val="28"/>
        </w:rPr>
        <w:t xml:space="preserve">, la cual tuvo lugar el </w:t>
      </w:r>
      <w:r w:rsidR="00935C9A">
        <w:rPr>
          <w:rFonts w:ascii="Arial Narrow" w:hAnsi="Arial Narrow" w:cs="Arial"/>
          <w:sz w:val="28"/>
          <w:szCs w:val="28"/>
        </w:rPr>
        <w:t>8 de julio de 2013</w:t>
      </w:r>
      <w:r>
        <w:rPr>
          <w:rFonts w:ascii="Arial Narrow" w:hAnsi="Arial Narrow" w:cs="Arial"/>
          <w:sz w:val="28"/>
          <w:szCs w:val="28"/>
        </w:rPr>
        <w:t xml:space="preserve"> (fl.</w:t>
      </w:r>
      <w:r w:rsidR="00935C9A">
        <w:rPr>
          <w:rFonts w:ascii="Arial Narrow" w:hAnsi="Arial Narrow" w:cs="Arial"/>
          <w:sz w:val="28"/>
          <w:szCs w:val="28"/>
        </w:rPr>
        <w:t>7</w:t>
      </w:r>
      <w:r>
        <w:rPr>
          <w:rFonts w:ascii="Arial Narrow" w:hAnsi="Arial Narrow" w:cs="Arial"/>
          <w:sz w:val="28"/>
          <w:szCs w:val="28"/>
        </w:rPr>
        <w:t>).</w:t>
      </w:r>
    </w:p>
    <w:p w:rsidR="00637705" w:rsidRPr="00CF0582" w:rsidRDefault="00E87A10" w:rsidP="00CF0582">
      <w:pPr>
        <w:pStyle w:val="Sansinterligne"/>
      </w:pPr>
      <w:r>
        <w:t xml:space="preserve"> </w:t>
      </w:r>
    </w:p>
    <w:p w:rsidR="004A5502" w:rsidRDefault="00E16963" w:rsidP="00E16963">
      <w:pPr>
        <w:spacing w:line="360" w:lineRule="auto"/>
        <w:ind w:firstLine="708"/>
        <w:jc w:val="both"/>
        <w:rPr>
          <w:rFonts w:ascii="Arial Narrow" w:hAnsi="Arial Narrow" w:cs="Tahoma"/>
          <w:sz w:val="28"/>
          <w:szCs w:val="28"/>
        </w:rPr>
      </w:pPr>
      <w:r>
        <w:rPr>
          <w:rFonts w:ascii="Arial Narrow" w:hAnsi="Arial Narrow" w:cs="Arial"/>
          <w:sz w:val="28"/>
          <w:szCs w:val="28"/>
        </w:rPr>
        <w:t xml:space="preserve">Ahora bien, con el fin de concretar el valor de las condenas, se tiene que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debe cancelar un retroactivo pensional a favor del actor por valor de </w:t>
      </w:r>
      <w:r w:rsidRPr="006D2B2B">
        <w:rPr>
          <w:rFonts w:ascii="Arial Narrow" w:hAnsi="Arial Narrow" w:cs="Arial"/>
          <w:sz w:val="28"/>
          <w:szCs w:val="28"/>
        </w:rPr>
        <w:t>$</w:t>
      </w:r>
      <w:r>
        <w:rPr>
          <w:rFonts w:ascii="Arial Narrow" w:hAnsi="Arial Narrow" w:cs="Tahoma"/>
          <w:sz w:val="28"/>
          <w:szCs w:val="28"/>
        </w:rPr>
        <w:t>4</w:t>
      </w:r>
      <w:r w:rsidR="00CF0582">
        <w:rPr>
          <w:rFonts w:ascii="Arial Narrow" w:hAnsi="Arial Narrow" w:cs="Tahoma"/>
          <w:sz w:val="28"/>
          <w:szCs w:val="28"/>
        </w:rPr>
        <w:t>8`912.977</w:t>
      </w:r>
      <w:r>
        <w:rPr>
          <w:rFonts w:ascii="Arial Narrow" w:hAnsi="Arial Narrow" w:cs="Tahoma"/>
          <w:sz w:val="28"/>
          <w:szCs w:val="28"/>
        </w:rPr>
        <w:t xml:space="preserve">, </w:t>
      </w:r>
      <w:r w:rsidRPr="006D2B2B">
        <w:rPr>
          <w:rFonts w:ascii="Arial Narrow" w:hAnsi="Arial Narrow" w:cs="Arial"/>
          <w:sz w:val="28"/>
          <w:szCs w:val="28"/>
        </w:rPr>
        <w:t xml:space="preserve"> correspondiente a las mesadas causadas desde el </w:t>
      </w:r>
      <w:r w:rsidR="00935C9A">
        <w:rPr>
          <w:rFonts w:ascii="Arial Narrow" w:hAnsi="Arial Narrow" w:cs="Tahoma"/>
          <w:sz w:val="28"/>
          <w:szCs w:val="28"/>
        </w:rPr>
        <w:t xml:space="preserve">19 de febrero de 2012 al 31 de enero de 2017, </w:t>
      </w:r>
      <w:r w:rsidR="004A5502">
        <w:rPr>
          <w:rFonts w:ascii="Arial Narrow" w:hAnsi="Arial Narrow" w:cs="Tahoma"/>
          <w:sz w:val="28"/>
          <w:szCs w:val="28"/>
        </w:rPr>
        <w:t xml:space="preserve">tal cual se ilustra en el cuadro elaborado por la Sala, el cual se pone de presente a los asistentes y hará parte integrante del acta final que se suscriba al final de la diligencia. </w:t>
      </w:r>
      <w:r>
        <w:rPr>
          <w:rFonts w:ascii="Arial Narrow" w:hAnsi="Arial Narrow" w:cs="Tahoma"/>
          <w:sz w:val="28"/>
          <w:szCs w:val="28"/>
        </w:rPr>
        <w:t xml:space="preserve">Se modificará el ordinal 5º de la sentencia. </w:t>
      </w:r>
    </w:p>
    <w:p w:rsidR="00CF5F93" w:rsidRDefault="00CF5F93" w:rsidP="00CF5F93">
      <w:pPr>
        <w:pStyle w:val="Sansinterligne"/>
      </w:pPr>
    </w:p>
    <w:p w:rsidR="00CF5F93" w:rsidRPr="00B03F22" w:rsidRDefault="00CF5F93" w:rsidP="00CF5F93">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Vale </w:t>
      </w:r>
      <w:r w:rsidRPr="00B03F22">
        <w:rPr>
          <w:rFonts w:ascii="Arial Narrow" w:hAnsi="Arial Narrow" w:cs="Arial"/>
          <w:sz w:val="28"/>
          <w:szCs w:val="28"/>
        </w:rPr>
        <w:t xml:space="preserve">anotar que el guarismo anterior contiene el valor de las mesadas causadas hasta la fecha de la presente sentencia, por lo que se modificará el ordinal </w:t>
      </w:r>
      <w:r>
        <w:rPr>
          <w:rFonts w:ascii="Arial Narrow" w:hAnsi="Arial Narrow" w:cs="Arial"/>
          <w:sz w:val="28"/>
          <w:szCs w:val="28"/>
        </w:rPr>
        <w:t>4º</w:t>
      </w:r>
      <w:r w:rsidRPr="00B03F22">
        <w:rPr>
          <w:rFonts w:ascii="Arial Narrow" w:hAnsi="Arial Narrow" w:cs="Arial"/>
          <w:sz w:val="28"/>
          <w:szCs w:val="28"/>
        </w:rPr>
        <w:t xml:space="preserve"> de la sentencia </w:t>
      </w:r>
      <w:r>
        <w:rPr>
          <w:rFonts w:ascii="Arial Narrow" w:hAnsi="Arial Narrow" w:cs="Arial"/>
          <w:sz w:val="28"/>
          <w:szCs w:val="28"/>
        </w:rPr>
        <w:t>objeto de consulta</w:t>
      </w:r>
      <w:r w:rsidRPr="00B03F22">
        <w:rPr>
          <w:rFonts w:ascii="Arial Narrow" w:hAnsi="Arial Narrow" w:cs="Arial"/>
          <w:sz w:val="28"/>
          <w:szCs w:val="28"/>
        </w:rPr>
        <w:t>.</w:t>
      </w:r>
    </w:p>
    <w:p w:rsidR="00637705" w:rsidRPr="00CF5F93" w:rsidRDefault="00637705" w:rsidP="00CF5F93">
      <w:pPr>
        <w:pStyle w:val="Sansinterligne"/>
      </w:pPr>
    </w:p>
    <w:p w:rsidR="00D13B47" w:rsidRDefault="00CF5F93" w:rsidP="00D13B47">
      <w:pPr>
        <w:spacing w:line="360" w:lineRule="auto"/>
        <w:ind w:firstLine="708"/>
        <w:jc w:val="both"/>
        <w:rPr>
          <w:rFonts w:ascii="Arial Narrow" w:hAnsi="Arial Narrow"/>
          <w:sz w:val="28"/>
          <w:szCs w:val="28"/>
        </w:rPr>
      </w:pPr>
      <w:r>
        <w:rPr>
          <w:rFonts w:ascii="Arial Narrow" w:hAnsi="Arial Narrow"/>
          <w:sz w:val="28"/>
          <w:szCs w:val="28"/>
        </w:rPr>
        <w:t>Sin costas en este grado.</w:t>
      </w:r>
    </w:p>
    <w:p w:rsidR="00193282" w:rsidRPr="00AA6BC4" w:rsidRDefault="00193282" w:rsidP="00193282">
      <w:pPr>
        <w:pStyle w:val="Sansinterligne"/>
      </w:pPr>
    </w:p>
    <w:p w:rsidR="00CF5F93" w:rsidRPr="004A44C7" w:rsidRDefault="00CF5F93" w:rsidP="00CF5F93">
      <w:pPr>
        <w:pStyle w:val="Prrafodelista1"/>
        <w:spacing w:after="0" w:line="360" w:lineRule="auto"/>
        <w:ind w:left="0" w:firstLine="708"/>
        <w:jc w:val="both"/>
        <w:rPr>
          <w:rFonts w:ascii="Arial Narrow" w:hAnsi="Arial Narrow" w:cs="Arial Narrow"/>
          <w:b/>
          <w:i/>
          <w:sz w:val="28"/>
          <w:szCs w:val="28"/>
        </w:rPr>
      </w:pPr>
      <w:r w:rsidRPr="004A44C7">
        <w:rPr>
          <w:rFonts w:ascii="Arial Narrow" w:hAnsi="Arial Narrow" w:cs="Arial Narrow"/>
          <w:sz w:val="28"/>
          <w:szCs w:val="28"/>
        </w:rPr>
        <w:t>En mérito de lo expuesto, el Tribunal Superior del Distrito Judicial de Pereira - Risaralda, Sala Laboral, administrando justicia en nombre de la República y por autoridad de la ley,</w:t>
      </w:r>
    </w:p>
    <w:p w:rsidR="00CF5F93" w:rsidRPr="00957F27" w:rsidRDefault="00CF5F93" w:rsidP="00CF5F93">
      <w:pPr>
        <w:pStyle w:val="Sansinterligne"/>
      </w:pPr>
    </w:p>
    <w:p w:rsidR="00CF5F93" w:rsidRPr="00193282" w:rsidRDefault="00CF5F93" w:rsidP="00CF5F93">
      <w:pPr>
        <w:spacing w:line="360" w:lineRule="auto"/>
        <w:jc w:val="center"/>
        <w:rPr>
          <w:rFonts w:ascii="Arial Narrow" w:hAnsi="Arial Narrow" w:cs="Arial Narrow"/>
          <w:i/>
          <w:sz w:val="28"/>
          <w:szCs w:val="28"/>
        </w:rPr>
      </w:pPr>
      <w:r w:rsidRPr="00193282">
        <w:rPr>
          <w:rFonts w:ascii="Arial Narrow" w:hAnsi="Arial Narrow" w:cs="Arial Narrow"/>
          <w:i/>
          <w:sz w:val="28"/>
          <w:szCs w:val="28"/>
        </w:rPr>
        <w:t>FALLA</w:t>
      </w:r>
    </w:p>
    <w:p w:rsidR="00CF5F93" w:rsidRPr="00193282" w:rsidRDefault="00CF5F93" w:rsidP="00CF5F93">
      <w:pPr>
        <w:pStyle w:val="Sansinterligne"/>
      </w:pPr>
    </w:p>
    <w:p w:rsidR="00CF5F93" w:rsidRPr="002C658B" w:rsidRDefault="00CF5F93" w:rsidP="00EF6151">
      <w:pPr>
        <w:pStyle w:val="Paragraphedeliste"/>
        <w:numPr>
          <w:ilvl w:val="0"/>
          <w:numId w:val="5"/>
        </w:numPr>
        <w:spacing w:line="360" w:lineRule="auto"/>
        <w:ind w:left="0" w:firstLine="708"/>
        <w:contextualSpacing/>
        <w:jc w:val="both"/>
        <w:rPr>
          <w:sz w:val="28"/>
          <w:szCs w:val="28"/>
        </w:rPr>
      </w:pPr>
      <w:r w:rsidRPr="002C658B">
        <w:rPr>
          <w:rFonts w:ascii="Arial Narrow" w:hAnsi="Arial Narrow" w:cs="Arial"/>
          <w:i/>
          <w:spacing w:val="-2"/>
          <w:sz w:val="28"/>
          <w:szCs w:val="28"/>
        </w:rPr>
        <w:t xml:space="preserve">Modifica </w:t>
      </w:r>
      <w:r w:rsidRPr="002C658B">
        <w:rPr>
          <w:rFonts w:ascii="Arial Narrow" w:hAnsi="Arial Narrow" w:cs="Arial"/>
          <w:spacing w:val="-2"/>
          <w:sz w:val="28"/>
          <w:szCs w:val="28"/>
        </w:rPr>
        <w:t>el ordinal 4º de l</w:t>
      </w:r>
      <w:r w:rsidRPr="002C658B">
        <w:rPr>
          <w:rFonts w:ascii="Arial Narrow" w:hAnsi="Arial Narrow" w:cs="Arial"/>
          <w:sz w:val="28"/>
          <w:szCs w:val="28"/>
        </w:rPr>
        <w:t>a sentencia proferida el 17 de febrero de 2014, por el Juzgado Primero Laboral del Circuito de Pereira, dentro del proceso de la referencia, en el sentido de que el valor de la primera mesada pensional corresponde a la suma de $</w:t>
      </w:r>
      <w:r w:rsidR="00CF0582">
        <w:rPr>
          <w:rFonts w:ascii="Arial Narrow" w:hAnsi="Arial Narrow" w:cs="Arial"/>
          <w:sz w:val="28"/>
          <w:szCs w:val="28"/>
        </w:rPr>
        <w:t xml:space="preserve"> 713.615</w:t>
      </w:r>
      <w:r w:rsidR="002C658B">
        <w:rPr>
          <w:rFonts w:ascii="Arial Narrow" w:hAnsi="Arial Narrow" w:cs="Arial"/>
          <w:sz w:val="28"/>
          <w:szCs w:val="28"/>
        </w:rPr>
        <w:t xml:space="preserve">. </w:t>
      </w:r>
    </w:p>
    <w:p w:rsidR="002C658B" w:rsidRDefault="002C658B" w:rsidP="002C658B">
      <w:pPr>
        <w:pStyle w:val="Sansinterligne"/>
      </w:pPr>
    </w:p>
    <w:p w:rsidR="002C658B" w:rsidRPr="002C658B" w:rsidRDefault="002C658B" w:rsidP="002C658B">
      <w:pPr>
        <w:pStyle w:val="Paragraphedeliste"/>
        <w:numPr>
          <w:ilvl w:val="0"/>
          <w:numId w:val="5"/>
        </w:numPr>
        <w:spacing w:line="360" w:lineRule="auto"/>
        <w:ind w:left="0" w:firstLine="709"/>
        <w:contextualSpacing/>
        <w:jc w:val="both"/>
        <w:rPr>
          <w:rFonts w:ascii="Arial Narrow" w:hAnsi="Arial Narrow"/>
          <w:sz w:val="28"/>
          <w:szCs w:val="28"/>
        </w:rPr>
      </w:pPr>
      <w:r w:rsidRPr="002C658B">
        <w:rPr>
          <w:rFonts w:ascii="Arial Narrow" w:hAnsi="Arial Narrow"/>
          <w:i/>
          <w:sz w:val="28"/>
          <w:szCs w:val="28"/>
        </w:rPr>
        <w:t>Modifica</w:t>
      </w:r>
      <w:r w:rsidRPr="002C658B">
        <w:rPr>
          <w:rFonts w:ascii="Arial Narrow" w:hAnsi="Arial Narrow"/>
          <w:sz w:val="28"/>
          <w:szCs w:val="28"/>
        </w:rPr>
        <w:t xml:space="preserve"> el ordinal 5º de la sentencia, para indicar que el valor del retroactivo pensional causado desde el 19 de febrero de 2012 al 31 de enero de 2017, es decir incluyendo las mesadas generadas hasta la fecha de emisión de esta sentencia, corresponde a </w:t>
      </w:r>
      <w:r w:rsidRPr="002C658B">
        <w:rPr>
          <w:rFonts w:ascii="Arial Narrow" w:hAnsi="Arial Narrow" w:cs="Arial"/>
          <w:sz w:val="28"/>
          <w:szCs w:val="28"/>
        </w:rPr>
        <w:t>$</w:t>
      </w:r>
      <w:r w:rsidR="00CF0582">
        <w:rPr>
          <w:rFonts w:ascii="Arial Narrow" w:hAnsi="Arial Narrow" w:cs="Tahoma"/>
          <w:sz w:val="28"/>
          <w:szCs w:val="28"/>
        </w:rPr>
        <w:t>48`912</w:t>
      </w:r>
      <w:bookmarkStart w:id="0" w:name="_GoBack"/>
      <w:bookmarkEnd w:id="0"/>
      <w:r w:rsidR="00CF0582">
        <w:rPr>
          <w:rFonts w:ascii="Arial Narrow" w:hAnsi="Arial Narrow" w:cs="Tahoma"/>
          <w:sz w:val="28"/>
          <w:szCs w:val="28"/>
        </w:rPr>
        <w:t>.977.</w:t>
      </w:r>
    </w:p>
    <w:p w:rsidR="002C658B" w:rsidRPr="002C658B" w:rsidRDefault="002C658B" w:rsidP="002C658B">
      <w:pPr>
        <w:pStyle w:val="Sansinterligne"/>
      </w:pPr>
    </w:p>
    <w:p w:rsidR="00CF5F93" w:rsidRPr="00E87F25" w:rsidRDefault="00CF5F93" w:rsidP="00CF5F93">
      <w:pPr>
        <w:pStyle w:val="Textoindependiente31"/>
        <w:widowControl/>
        <w:numPr>
          <w:ilvl w:val="0"/>
          <w:numId w:val="5"/>
        </w:numPr>
        <w:suppressAutoHyphens w:val="0"/>
        <w:rPr>
          <w:rFonts w:ascii="Arial Narrow" w:hAnsi="Arial Narrow"/>
          <w:iCs/>
          <w:kern w:val="28"/>
          <w:szCs w:val="28"/>
        </w:rPr>
      </w:pPr>
      <w:r w:rsidRPr="00300E14">
        <w:rPr>
          <w:rFonts w:ascii="Arial Narrow" w:hAnsi="Arial Narrow"/>
          <w:i/>
          <w:spacing w:val="-2"/>
          <w:szCs w:val="28"/>
        </w:rPr>
        <w:t>Confirma</w:t>
      </w:r>
      <w:r w:rsidRPr="00E87F25">
        <w:rPr>
          <w:rFonts w:ascii="Arial Narrow" w:hAnsi="Arial Narrow"/>
          <w:b/>
          <w:i/>
          <w:spacing w:val="-2"/>
          <w:szCs w:val="28"/>
        </w:rPr>
        <w:t xml:space="preserve"> </w:t>
      </w:r>
      <w:r w:rsidRPr="00E87F25">
        <w:rPr>
          <w:rFonts w:ascii="Arial Narrow" w:hAnsi="Arial Narrow"/>
          <w:spacing w:val="-2"/>
          <w:szCs w:val="28"/>
        </w:rPr>
        <w:t>en todo lo demás la sentencia consultada.</w:t>
      </w:r>
    </w:p>
    <w:p w:rsidR="00CF5F93" w:rsidRPr="0090196D" w:rsidRDefault="00CF5F93" w:rsidP="0090196D">
      <w:pPr>
        <w:pStyle w:val="Sansinterligne"/>
      </w:pPr>
    </w:p>
    <w:p w:rsidR="00CF5F93" w:rsidRPr="00F14659" w:rsidRDefault="00CF5F93" w:rsidP="00CF5F93">
      <w:pPr>
        <w:pStyle w:val="Textoindependiente31"/>
        <w:widowControl/>
        <w:numPr>
          <w:ilvl w:val="0"/>
          <w:numId w:val="5"/>
        </w:numPr>
        <w:suppressAutoHyphens w:val="0"/>
        <w:rPr>
          <w:rFonts w:ascii="Arial Narrow" w:hAnsi="Arial Narrow"/>
          <w:iCs/>
          <w:kern w:val="28"/>
          <w:szCs w:val="28"/>
        </w:rPr>
      </w:pPr>
      <w:r w:rsidRPr="00F14659">
        <w:rPr>
          <w:rFonts w:ascii="Arial Narrow" w:hAnsi="Arial Narrow"/>
          <w:iCs/>
          <w:kern w:val="28"/>
          <w:szCs w:val="28"/>
        </w:rPr>
        <w:t xml:space="preserve">Sin costas en esta instancia. </w:t>
      </w:r>
    </w:p>
    <w:p w:rsidR="00CF5F93" w:rsidRPr="0090196D" w:rsidRDefault="00CF5F93" w:rsidP="0090196D">
      <w:pPr>
        <w:pStyle w:val="Sansinterligne"/>
      </w:pPr>
    </w:p>
    <w:p w:rsidR="00CF5F93" w:rsidRPr="004A44C7" w:rsidRDefault="00CF5F93" w:rsidP="00CF5F93">
      <w:pPr>
        <w:spacing w:line="360" w:lineRule="auto"/>
        <w:ind w:firstLine="709"/>
        <w:jc w:val="both"/>
        <w:rPr>
          <w:rFonts w:ascii="Arial Narrow" w:hAnsi="Arial Narrow" w:cs="Arial Narrow"/>
          <w:bCs/>
          <w:iCs/>
          <w:sz w:val="28"/>
          <w:szCs w:val="28"/>
          <w:lang w:val="es-ES"/>
        </w:rPr>
      </w:pPr>
      <w:r w:rsidRPr="004A44C7">
        <w:rPr>
          <w:rFonts w:ascii="Arial Narrow" w:hAnsi="Arial Narrow" w:cs="Arial Narrow"/>
          <w:bCs/>
          <w:iCs/>
          <w:sz w:val="28"/>
          <w:szCs w:val="28"/>
          <w:lang w:val="es-ES"/>
        </w:rPr>
        <w:t>La anterior decisión queda notificada en estrados.</w:t>
      </w:r>
    </w:p>
    <w:p w:rsidR="00CF5F93" w:rsidRPr="00AF0635" w:rsidRDefault="00CF5F93" w:rsidP="00CF5F93">
      <w:pPr>
        <w:pStyle w:val="Sansinterligne"/>
      </w:pPr>
    </w:p>
    <w:p w:rsidR="00CF5F93" w:rsidRDefault="00CF5F93" w:rsidP="00CF5F93">
      <w:pPr>
        <w:ind w:firstLine="900"/>
        <w:jc w:val="center"/>
        <w:rPr>
          <w:rFonts w:ascii="Arial Narrow" w:hAnsi="Arial Narrow" w:cs="Arial Narrow"/>
          <w:b/>
          <w:bCs/>
          <w:iCs/>
          <w:sz w:val="28"/>
          <w:szCs w:val="28"/>
          <w:lang w:val="es-ES"/>
        </w:rPr>
      </w:pPr>
    </w:p>
    <w:p w:rsidR="0090196D" w:rsidRPr="004A44C7" w:rsidRDefault="0090196D" w:rsidP="00CF5F93">
      <w:pPr>
        <w:ind w:firstLine="900"/>
        <w:jc w:val="center"/>
        <w:rPr>
          <w:rFonts w:ascii="Arial Narrow" w:hAnsi="Arial Narrow" w:cs="Arial Narrow"/>
          <w:b/>
          <w:bCs/>
          <w:iCs/>
          <w:sz w:val="28"/>
          <w:szCs w:val="28"/>
          <w:lang w:val="es-ES"/>
        </w:rPr>
      </w:pPr>
    </w:p>
    <w:p w:rsidR="00CF5F93" w:rsidRPr="00300E14" w:rsidRDefault="00CF5F93" w:rsidP="00CF5F93">
      <w:pPr>
        <w:ind w:firstLine="900"/>
        <w:jc w:val="center"/>
        <w:rPr>
          <w:rFonts w:ascii="Arial Narrow" w:hAnsi="Arial Narrow" w:cs="Arial Narrow"/>
          <w:bCs/>
          <w:iCs/>
          <w:sz w:val="28"/>
          <w:szCs w:val="28"/>
          <w:lang w:val="es-ES"/>
        </w:rPr>
      </w:pPr>
      <w:r w:rsidRPr="00300E14">
        <w:rPr>
          <w:rFonts w:ascii="Arial Narrow" w:hAnsi="Arial Narrow" w:cs="Arial Narrow"/>
          <w:bCs/>
          <w:iCs/>
          <w:sz w:val="28"/>
          <w:szCs w:val="28"/>
          <w:lang w:val="es-ES"/>
        </w:rPr>
        <w:t>FRANCISCO JAVIER TAMAYO TABARES</w:t>
      </w:r>
    </w:p>
    <w:p w:rsidR="00CF5F93" w:rsidRPr="00300E14" w:rsidRDefault="00CF5F93" w:rsidP="00CF5F93">
      <w:pPr>
        <w:ind w:firstLine="900"/>
        <w:jc w:val="center"/>
        <w:rPr>
          <w:rFonts w:ascii="Arial Narrow" w:hAnsi="Arial Narrow" w:cs="Arial Narrow"/>
          <w:sz w:val="28"/>
          <w:szCs w:val="28"/>
          <w:lang w:val="es-ES"/>
        </w:rPr>
      </w:pPr>
      <w:r w:rsidRPr="00300E14">
        <w:rPr>
          <w:rFonts w:ascii="Arial Narrow" w:hAnsi="Arial Narrow" w:cs="Arial Narrow"/>
          <w:bCs/>
          <w:iCs/>
          <w:sz w:val="28"/>
          <w:szCs w:val="28"/>
          <w:lang w:val="es-ES"/>
        </w:rPr>
        <w:t xml:space="preserve">Magistrado Ponente </w:t>
      </w:r>
    </w:p>
    <w:p w:rsidR="00CF5F93" w:rsidRPr="00300E14" w:rsidRDefault="00CF5F93" w:rsidP="00CF5F93">
      <w:pPr>
        <w:spacing w:line="360" w:lineRule="auto"/>
        <w:ind w:firstLine="900"/>
        <w:jc w:val="both"/>
        <w:rPr>
          <w:rFonts w:ascii="Arial Narrow" w:hAnsi="Arial Narrow" w:cs="Arial Narrow"/>
          <w:sz w:val="28"/>
          <w:szCs w:val="28"/>
          <w:lang w:val="es-ES"/>
        </w:rPr>
      </w:pPr>
    </w:p>
    <w:p w:rsidR="00CF5F93" w:rsidRPr="00300E14" w:rsidRDefault="00CF5F93" w:rsidP="00CF5F93">
      <w:pPr>
        <w:pStyle w:val="Sansinterligne"/>
      </w:pPr>
    </w:p>
    <w:p w:rsidR="00CF5F93" w:rsidRPr="00300E14" w:rsidRDefault="00CF5F93" w:rsidP="00CF5F93">
      <w:pPr>
        <w:ind w:firstLine="900"/>
        <w:jc w:val="both"/>
        <w:rPr>
          <w:rFonts w:ascii="Arial Narrow" w:hAnsi="Arial Narrow" w:cs="Arial Narrow"/>
          <w:sz w:val="28"/>
          <w:szCs w:val="28"/>
          <w:lang w:val="es-ES"/>
        </w:rPr>
      </w:pPr>
    </w:p>
    <w:p w:rsidR="00CF5F93" w:rsidRPr="00300E14" w:rsidRDefault="00CF5F93" w:rsidP="00CF5F93">
      <w:pPr>
        <w:jc w:val="both"/>
        <w:rPr>
          <w:rFonts w:ascii="Arial Narrow" w:hAnsi="Arial Narrow" w:cs="Arial Narrow"/>
          <w:sz w:val="28"/>
          <w:szCs w:val="28"/>
          <w:lang w:val="es-ES"/>
        </w:rPr>
      </w:pPr>
      <w:r w:rsidRPr="00300E14">
        <w:rPr>
          <w:rFonts w:ascii="Arial Narrow" w:hAnsi="Arial Narrow" w:cs="Arial Narrow"/>
          <w:bCs/>
          <w:iCs/>
          <w:sz w:val="28"/>
          <w:szCs w:val="28"/>
          <w:lang w:val="es-ES"/>
        </w:rPr>
        <w:t xml:space="preserve">ANA LUCÍA CAICEDO CALDERÓN                     </w:t>
      </w:r>
      <w:r w:rsidR="00E87F25" w:rsidRPr="00300E14">
        <w:rPr>
          <w:rFonts w:ascii="Arial Narrow" w:hAnsi="Arial Narrow" w:cs="Arial Narrow"/>
          <w:bCs/>
          <w:iCs/>
          <w:sz w:val="28"/>
          <w:szCs w:val="28"/>
          <w:lang w:val="es-ES"/>
        </w:rPr>
        <w:t>OLGA LUCÍA HOYOS SEPÚLVEDA</w:t>
      </w:r>
      <w:r w:rsidRPr="00300E14">
        <w:rPr>
          <w:rFonts w:ascii="Arial Narrow" w:hAnsi="Arial Narrow" w:cs="Arial Narrow"/>
          <w:bCs/>
          <w:iCs/>
          <w:sz w:val="28"/>
          <w:szCs w:val="28"/>
          <w:lang w:val="es-ES"/>
        </w:rPr>
        <w:t xml:space="preserve"> </w:t>
      </w:r>
      <w:r w:rsidRPr="00300E14">
        <w:rPr>
          <w:rFonts w:ascii="Arial Narrow" w:hAnsi="Arial Narrow" w:cs="Arial Narrow"/>
          <w:sz w:val="28"/>
          <w:szCs w:val="28"/>
          <w:lang w:val="es-ES"/>
        </w:rPr>
        <w:t xml:space="preserve"> </w:t>
      </w:r>
    </w:p>
    <w:p w:rsidR="00CF5F93" w:rsidRPr="00300E14" w:rsidRDefault="00CF5F93" w:rsidP="00CF5F93">
      <w:pPr>
        <w:ind w:left="192" w:firstLine="708"/>
        <w:jc w:val="both"/>
        <w:rPr>
          <w:rFonts w:ascii="Arial Narrow" w:eastAsia="Arial Narrow" w:hAnsi="Arial Narrow" w:cs="Arial Narrow"/>
          <w:bCs/>
          <w:iCs/>
          <w:sz w:val="28"/>
          <w:szCs w:val="28"/>
          <w:lang w:val="es-ES"/>
        </w:rPr>
      </w:pPr>
      <w:r w:rsidRPr="00300E14">
        <w:rPr>
          <w:rFonts w:ascii="Arial Narrow" w:hAnsi="Arial Narrow" w:cs="Arial Narrow"/>
          <w:sz w:val="28"/>
          <w:szCs w:val="28"/>
          <w:lang w:val="es-ES"/>
        </w:rPr>
        <w:t xml:space="preserve">      Magistrada                                                                </w:t>
      </w:r>
      <w:proofErr w:type="spellStart"/>
      <w:r w:rsidR="00E87F25" w:rsidRPr="00300E14">
        <w:rPr>
          <w:rFonts w:ascii="Arial Narrow" w:hAnsi="Arial Narrow" w:cs="Arial Narrow"/>
          <w:sz w:val="28"/>
          <w:szCs w:val="28"/>
          <w:lang w:val="es-ES"/>
        </w:rPr>
        <w:t>Magistrada</w:t>
      </w:r>
      <w:proofErr w:type="spellEnd"/>
    </w:p>
    <w:p w:rsidR="00CF5F93" w:rsidRPr="00300E14" w:rsidRDefault="00CF5F93" w:rsidP="00CF5F93">
      <w:pPr>
        <w:spacing w:line="360" w:lineRule="auto"/>
        <w:ind w:firstLine="900"/>
        <w:jc w:val="both"/>
        <w:rPr>
          <w:rFonts w:ascii="Arial Narrow" w:eastAsia="Arial Narrow" w:hAnsi="Arial Narrow" w:cs="Arial Narrow"/>
          <w:bCs/>
          <w:iCs/>
          <w:sz w:val="28"/>
          <w:szCs w:val="28"/>
          <w:lang w:val="es-ES"/>
        </w:rPr>
      </w:pPr>
      <w:r w:rsidRPr="00300E14">
        <w:rPr>
          <w:rFonts w:ascii="Arial Narrow" w:eastAsia="Arial Narrow" w:hAnsi="Arial Narrow" w:cs="Arial Narrow"/>
          <w:bCs/>
          <w:iCs/>
          <w:sz w:val="28"/>
          <w:szCs w:val="28"/>
          <w:lang w:val="es-ES"/>
        </w:rPr>
        <w:t xml:space="preserve">                                               </w:t>
      </w:r>
    </w:p>
    <w:p w:rsidR="00CF5F93" w:rsidRPr="00300E14" w:rsidRDefault="00CF5F93" w:rsidP="00CF5F93">
      <w:pPr>
        <w:pStyle w:val="Sansinterligne"/>
        <w:jc w:val="center"/>
        <w:rPr>
          <w:rFonts w:ascii="Arial Narrow" w:hAnsi="Arial Narrow" w:cs="Arial Narrow"/>
          <w:iCs/>
          <w:sz w:val="28"/>
          <w:szCs w:val="28"/>
          <w:lang w:val="es-ES"/>
        </w:rPr>
      </w:pPr>
      <w:r w:rsidRPr="00300E14">
        <w:rPr>
          <w:rFonts w:ascii="Arial Narrow" w:hAnsi="Arial Narrow" w:cs="Arial Narrow"/>
          <w:bCs/>
          <w:iCs/>
          <w:sz w:val="28"/>
          <w:szCs w:val="28"/>
          <w:lang w:val="es-ES"/>
        </w:rPr>
        <w:t xml:space="preserve">             </w:t>
      </w:r>
      <w:r w:rsidR="00E87F25" w:rsidRPr="00300E14">
        <w:rPr>
          <w:rFonts w:ascii="Arial Narrow" w:hAnsi="Arial Narrow" w:cs="Arial Narrow"/>
          <w:bCs/>
          <w:iCs/>
          <w:sz w:val="28"/>
          <w:szCs w:val="28"/>
          <w:lang w:val="es-ES"/>
        </w:rPr>
        <w:t>ALONSO GAVIRIA OCAMPO</w:t>
      </w:r>
    </w:p>
    <w:p w:rsidR="00CF5F93" w:rsidRDefault="00E87F25" w:rsidP="00CF5F93">
      <w:pPr>
        <w:ind w:firstLine="900"/>
        <w:jc w:val="center"/>
        <w:rPr>
          <w:rFonts w:ascii="Arial Narrow" w:hAnsi="Arial Narrow" w:cs="Arial Narrow"/>
          <w:iCs/>
          <w:sz w:val="28"/>
          <w:szCs w:val="28"/>
          <w:lang w:val="es-ES"/>
        </w:rPr>
      </w:pPr>
      <w:r w:rsidRPr="00300E14">
        <w:rPr>
          <w:rFonts w:ascii="Arial Narrow" w:hAnsi="Arial Narrow" w:cs="Arial Narrow"/>
          <w:iCs/>
          <w:sz w:val="28"/>
          <w:szCs w:val="28"/>
          <w:lang w:val="es-ES"/>
        </w:rPr>
        <w:t>Secretario</w:t>
      </w: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CF0582" w:rsidRPr="00300E14" w:rsidRDefault="00CF0582" w:rsidP="00CF5F93">
      <w:pPr>
        <w:ind w:firstLine="900"/>
        <w:jc w:val="center"/>
        <w:rPr>
          <w:rFonts w:ascii="Arial Narrow" w:hAnsi="Arial Narrow" w:cs="Arial Narrow"/>
          <w:iCs/>
          <w:sz w:val="28"/>
          <w:szCs w:val="28"/>
          <w:lang w:val="es-ES"/>
        </w:rPr>
      </w:pPr>
    </w:p>
    <w:p w:rsidR="00CF5F93" w:rsidRPr="0090196D" w:rsidRDefault="00CF5F93" w:rsidP="00CF5F93">
      <w:pPr>
        <w:jc w:val="center"/>
        <w:rPr>
          <w:rFonts w:ascii="Arial Narrow" w:hAnsi="Arial Narrow"/>
          <w:sz w:val="28"/>
          <w:szCs w:val="28"/>
        </w:rPr>
      </w:pPr>
      <w:r w:rsidRPr="0090196D">
        <w:rPr>
          <w:rFonts w:ascii="Arial Narrow" w:hAnsi="Arial Narrow"/>
          <w:sz w:val="28"/>
          <w:szCs w:val="28"/>
        </w:rPr>
        <w:lastRenderedPageBreak/>
        <w:t>ANEXO 1</w:t>
      </w:r>
    </w:p>
    <w:p w:rsidR="000D562C" w:rsidRPr="0090196D" w:rsidRDefault="000D562C" w:rsidP="00E87F25">
      <w:pPr>
        <w:pStyle w:val="Sansinterligne"/>
      </w:pPr>
    </w:p>
    <w:p w:rsidR="000D562C" w:rsidRDefault="000D562C" w:rsidP="004609D0">
      <w:pPr>
        <w:jc w:val="center"/>
        <w:rPr>
          <w:rFonts w:ascii="Arial Narrow" w:hAnsi="Arial Narrow"/>
          <w:sz w:val="28"/>
          <w:szCs w:val="28"/>
        </w:rPr>
      </w:pPr>
    </w:p>
    <w:tbl>
      <w:tblPr>
        <w:tblW w:w="9739" w:type="dxa"/>
        <w:tblInd w:w="-50" w:type="dxa"/>
        <w:tblCellMar>
          <w:left w:w="70" w:type="dxa"/>
          <w:right w:w="70" w:type="dxa"/>
        </w:tblCellMar>
        <w:tblLook w:val="04A0" w:firstRow="1" w:lastRow="0" w:firstColumn="1" w:lastColumn="0" w:noHBand="0" w:noVBand="1"/>
      </w:tblPr>
      <w:tblGrid>
        <w:gridCol w:w="819"/>
        <w:gridCol w:w="1121"/>
        <w:gridCol w:w="165"/>
        <w:gridCol w:w="693"/>
        <w:gridCol w:w="765"/>
        <w:gridCol w:w="888"/>
        <w:gridCol w:w="1095"/>
        <w:gridCol w:w="195"/>
        <w:gridCol w:w="1404"/>
        <w:gridCol w:w="702"/>
        <w:gridCol w:w="723"/>
        <w:gridCol w:w="1169"/>
      </w:tblGrid>
      <w:tr w:rsidR="00E87F25" w:rsidRPr="00E87F25" w:rsidTr="0090196D">
        <w:trPr>
          <w:trHeight w:val="330"/>
        </w:trPr>
        <w:tc>
          <w:tcPr>
            <w:tcW w:w="2105" w:type="dxa"/>
            <w:gridSpan w:val="3"/>
            <w:tcBorders>
              <w:top w:val="single" w:sz="8" w:space="0" w:color="auto"/>
              <w:left w:val="single" w:sz="8" w:space="0" w:color="auto"/>
              <w:bottom w:val="single" w:sz="8" w:space="0" w:color="auto"/>
              <w:right w:val="nil"/>
            </w:tcBorders>
            <w:shd w:val="clear" w:color="000000" w:fill="FFFF99"/>
            <w:vAlign w:val="center"/>
            <w:hideMark/>
          </w:tcPr>
          <w:p w:rsidR="00E87F25" w:rsidRPr="00E87F25" w:rsidRDefault="00E87F25" w:rsidP="00E87F25">
            <w:pPr>
              <w:jc w:val="center"/>
              <w:rPr>
                <w:rFonts w:ascii="Calibri" w:hAnsi="Calibri"/>
                <w:b/>
                <w:bCs/>
                <w:i/>
                <w:iCs/>
                <w:color w:val="000000"/>
                <w:sz w:val="16"/>
                <w:szCs w:val="16"/>
                <w:lang w:val="es-ES"/>
              </w:rPr>
            </w:pPr>
            <w:r w:rsidRPr="00E87F25">
              <w:rPr>
                <w:rFonts w:ascii="Calibri" w:hAnsi="Calibri"/>
                <w:b/>
                <w:bCs/>
                <w:i/>
                <w:iCs/>
                <w:color w:val="000000"/>
                <w:sz w:val="16"/>
                <w:szCs w:val="16"/>
                <w:lang w:val="es-ES"/>
              </w:rPr>
              <w:t>DEMANDANTE</w:t>
            </w:r>
          </w:p>
        </w:tc>
        <w:tc>
          <w:tcPr>
            <w:tcW w:w="7634" w:type="dxa"/>
            <w:gridSpan w:val="9"/>
            <w:tcBorders>
              <w:top w:val="single" w:sz="8" w:space="0" w:color="auto"/>
              <w:left w:val="nil"/>
              <w:bottom w:val="nil"/>
              <w:right w:val="single" w:sz="8" w:space="0" w:color="000000"/>
            </w:tcBorders>
            <w:shd w:val="clear" w:color="000000" w:fill="FFFF99"/>
            <w:vAlign w:val="center"/>
            <w:hideMark/>
          </w:tcPr>
          <w:p w:rsidR="00E87F25" w:rsidRPr="00E87F25" w:rsidRDefault="00E87F25" w:rsidP="00E87F25">
            <w:pPr>
              <w:jc w:val="center"/>
              <w:rPr>
                <w:rFonts w:ascii="Calibri" w:hAnsi="Calibri"/>
                <w:b/>
                <w:bCs/>
                <w:i/>
                <w:iCs/>
                <w:color w:val="000000"/>
                <w:sz w:val="16"/>
                <w:szCs w:val="16"/>
                <w:lang w:val="es-ES"/>
              </w:rPr>
            </w:pPr>
            <w:r w:rsidRPr="00E87F25">
              <w:rPr>
                <w:rFonts w:ascii="Calibri" w:hAnsi="Calibri"/>
                <w:b/>
                <w:bCs/>
                <w:i/>
                <w:iCs/>
                <w:color w:val="000000"/>
                <w:sz w:val="16"/>
                <w:szCs w:val="16"/>
                <w:lang w:val="es-ES"/>
              </w:rPr>
              <w:t>WILLIAM VALENCIA GUTIERREZ</w:t>
            </w:r>
          </w:p>
        </w:tc>
      </w:tr>
      <w:tr w:rsidR="00E87F25" w:rsidRPr="00E87F25" w:rsidTr="0090196D">
        <w:trPr>
          <w:trHeight w:val="225"/>
        </w:trPr>
        <w:tc>
          <w:tcPr>
            <w:tcW w:w="3563" w:type="dxa"/>
            <w:gridSpan w:val="5"/>
            <w:tcBorders>
              <w:top w:val="single" w:sz="8" w:space="0" w:color="auto"/>
              <w:left w:val="single" w:sz="8" w:space="0" w:color="auto"/>
              <w:bottom w:val="single" w:sz="4" w:space="0" w:color="auto"/>
              <w:right w:val="nil"/>
            </w:tcBorders>
            <w:shd w:val="clear" w:color="000000" w:fill="FFFF99"/>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Fecha de nacimiento:</w:t>
            </w:r>
          </w:p>
        </w:tc>
        <w:tc>
          <w:tcPr>
            <w:tcW w:w="888" w:type="dxa"/>
            <w:tcBorders>
              <w:top w:val="single" w:sz="8" w:space="0" w:color="auto"/>
              <w:left w:val="nil"/>
              <w:bottom w:val="single" w:sz="4" w:space="0" w:color="auto"/>
              <w:right w:val="nil"/>
            </w:tcBorders>
            <w:shd w:val="clear" w:color="000000" w:fill="FFFF99"/>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w:t>
            </w:r>
          </w:p>
        </w:tc>
        <w:tc>
          <w:tcPr>
            <w:tcW w:w="1095" w:type="dxa"/>
            <w:tcBorders>
              <w:top w:val="single" w:sz="8" w:space="0" w:color="auto"/>
              <w:left w:val="nil"/>
              <w:bottom w:val="single" w:sz="4" w:space="0" w:color="auto"/>
              <w:right w:val="single" w:sz="8" w:space="0" w:color="auto"/>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19-feb-52</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jc w:val="center"/>
              <w:rPr>
                <w:rFonts w:ascii="Arial Narrow" w:hAnsi="Arial Narrow"/>
                <w:i/>
                <w:iCs/>
                <w:color w:val="000000"/>
                <w:sz w:val="16"/>
                <w:szCs w:val="16"/>
                <w:lang w:val="es-ES"/>
              </w:rPr>
            </w:pPr>
          </w:p>
        </w:tc>
        <w:tc>
          <w:tcPr>
            <w:tcW w:w="1404"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02"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23"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169" w:type="dxa"/>
            <w:tcBorders>
              <w:top w:val="nil"/>
              <w:left w:val="nil"/>
              <w:bottom w:val="nil"/>
              <w:right w:val="single" w:sz="8" w:space="0" w:color="auto"/>
            </w:tcBorders>
            <w:shd w:val="clear" w:color="auto" w:fill="auto"/>
            <w:noWrap/>
            <w:vAlign w:val="bottom"/>
            <w:hideMark/>
          </w:tcPr>
          <w:p w:rsidR="00E87F25" w:rsidRPr="00E87F25" w:rsidRDefault="00E87F25" w:rsidP="00E87F25">
            <w:pPr>
              <w:rPr>
                <w:rFonts w:ascii="Arial Narrow" w:hAnsi="Arial Narrow"/>
                <w:i/>
                <w:iCs/>
                <w:color w:val="000000"/>
                <w:szCs w:val="24"/>
                <w:lang w:val="es-ES"/>
              </w:rPr>
            </w:pPr>
            <w:r w:rsidRPr="00E87F25">
              <w:rPr>
                <w:rFonts w:ascii="Arial Narrow" w:hAnsi="Arial Narrow"/>
                <w:i/>
                <w:iCs/>
                <w:color w:val="000000"/>
                <w:szCs w:val="24"/>
                <w:lang w:val="es-ES"/>
              </w:rPr>
              <w:t> </w:t>
            </w:r>
          </w:p>
        </w:tc>
      </w:tr>
      <w:tr w:rsidR="00E87F25" w:rsidRPr="00E87F25" w:rsidTr="0090196D">
        <w:trPr>
          <w:trHeight w:val="225"/>
        </w:trPr>
        <w:tc>
          <w:tcPr>
            <w:tcW w:w="3563" w:type="dxa"/>
            <w:gridSpan w:val="5"/>
            <w:tcBorders>
              <w:top w:val="single" w:sz="4" w:space="0" w:color="auto"/>
              <w:left w:val="single" w:sz="8" w:space="0" w:color="auto"/>
              <w:bottom w:val="single" w:sz="4" w:space="0" w:color="auto"/>
              <w:right w:val="nil"/>
            </w:tcBorders>
            <w:shd w:val="clear" w:color="000000" w:fill="FFFF99"/>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Fecha reconocimiento pensión:</w:t>
            </w:r>
          </w:p>
        </w:tc>
        <w:tc>
          <w:tcPr>
            <w:tcW w:w="888" w:type="dxa"/>
            <w:tcBorders>
              <w:top w:val="nil"/>
              <w:left w:val="nil"/>
              <w:bottom w:val="single" w:sz="4" w:space="0" w:color="auto"/>
              <w:right w:val="nil"/>
            </w:tcBorders>
            <w:shd w:val="clear" w:color="000000" w:fill="FFFF99"/>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w:t>
            </w:r>
          </w:p>
        </w:tc>
        <w:tc>
          <w:tcPr>
            <w:tcW w:w="1095" w:type="dxa"/>
            <w:tcBorders>
              <w:top w:val="nil"/>
              <w:left w:val="nil"/>
              <w:bottom w:val="single" w:sz="4" w:space="0" w:color="auto"/>
              <w:right w:val="single" w:sz="8" w:space="0" w:color="auto"/>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19/02/2012</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jc w:val="center"/>
              <w:rPr>
                <w:rFonts w:ascii="Arial Narrow" w:hAnsi="Arial Narrow"/>
                <w:i/>
                <w:iCs/>
                <w:color w:val="000000"/>
                <w:sz w:val="16"/>
                <w:szCs w:val="16"/>
                <w:lang w:val="es-ES"/>
              </w:rPr>
            </w:pPr>
          </w:p>
        </w:tc>
        <w:tc>
          <w:tcPr>
            <w:tcW w:w="1404" w:type="dxa"/>
            <w:tcBorders>
              <w:top w:val="nil"/>
              <w:left w:val="nil"/>
              <w:bottom w:val="nil"/>
              <w:right w:val="nil"/>
            </w:tcBorders>
            <w:shd w:val="clear" w:color="auto" w:fill="auto"/>
            <w:noWrap/>
            <w:vAlign w:val="bottom"/>
            <w:hideMark/>
          </w:tcPr>
          <w:p w:rsidR="00E87F25" w:rsidRPr="00E87F25" w:rsidRDefault="00E87F25" w:rsidP="00E87F25">
            <w:pPr>
              <w:jc w:val="center"/>
              <w:rPr>
                <w:sz w:val="20"/>
                <w:lang w:val="es-ES"/>
              </w:rPr>
            </w:pPr>
          </w:p>
        </w:tc>
        <w:tc>
          <w:tcPr>
            <w:tcW w:w="702"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23"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169" w:type="dxa"/>
            <w:tcBorders>
              <w:top w:val="nil"/>
              <w:left w:val="nil"/>
              <w:bottom w:val="nil"/>
              <w:right w:val="single" w:sz="8" w:space="0" w:color="auto"/>
            </w:tcBorders>
            <w:shd w:val="clear" w:color="auto" w:fill="auto"/>
            <w:noWrap/>
            <w:vAlign w:val="bottom"/>
            <w:hideMark/>
          </w:tcPr>
          <w:p w:rsidR="00E87F25" w:rsidRPr="00E87F25" w:rsidRDefault="00E87F25" w:rsidP="00E87F25">
            <w:pPr>
              <w:rPr>
                <w:rFonts w:ascii="Arial Narrow" w:hAnsi="Arial Narrow"/>
                <w:i/>
                <w:iCs/>
                <w:color w:val="000000"/>
                <w:szCs w:val="24"/>
                <w:lang w:val="es-ES"/>
              </w:rPr>
            </w:pPr>
            <w:r w:rsidRPr="00E87F25">
              <w:rPr>
                <w:rFonts w:ascii="Arial Narrow" w:hAnsi="Arial Narrow"/>
                <w:i/>
                <w:iCs/>
                <w:color w:val="000000"/>
                <w:szCs w:val="24"/>
                <w:lang w:val="es-ES"/>
              </w:rPr>
              <w:t> </w:t>
            </w:r>
          </w:p>
        </w:tc>
      </w:tr>
      <w:tr w:rsidR="00E87F25" w:rsidRPr="00E87F25" w:rsidTr="0090196D">
        <w:trPr>
          <w:trHeight w:val="225"/>
        </w:trPr>
        <w:tc>
          <w:tcPr>
            <w:tcW w:w="3563" w:type="dxa"/>
            <w:gridSpan w:val="5"/>
            <w:tcBorders>
              <w:top w:val="single" w:sz="4" w:space="0" w:color="auto"/>
              <w:left w:val="single" w:sz="8" w:space="0" w:color="auto"/>
              <w:bottom w:val="single" w:sz="8" w:space="0" w:color="auto"/>
              <w:right w:val="nil"/>
            </w:tcBorders>
            <w:shd w:val="clear" w:color="000000" w:fill="FFFF99"/>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Total semanas cotizadas:</w:t>
            </w:r>
          </w:p>
        </w:tc>
        <w:tc>
          <w:tcPr>
            <w:tcW w:w="888" w:type="dxa"/>
            <w:tcBorders>
              <w:top w:val="nil"/>
              <w:left w:val="nil"/>
              <w:bottom w:val="single" w:sz="8" w:space="0" w:color="auto"/>
              <w:right w:val="nil"/>
            </w:tcBorders>
            <w:shd w:val="clear" w:color="000000" w:fill="FFFF99"/>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w:t>
            </w:r>
          </w:p>
        </w:tc>
        <w:tc>
          <w:tcPr>
            <w:tcW w:w="1095" w:type="dxa"/>
            <w:tcBorders>
              <w:top w:val="nil"/>
              <w:left w:val="nil"/>
              <w:bottom w:val="single" w:sz="8" w:space="0" w:color="auto"/>
              <w:right w:val="single" w:sz="8" w:space="0" w:color="auto"/>
            </w:tcBorders>
            <w:shd w:val="clear" w:color="auto" w:fill="auto"/>
            <w:noWrap/>
            <w:vAlign w:val="center"/>
            <w:hideMark/>
          </w:tcPr>
          <w:p w:rsidR="00E87F25" w:rsidRPr="00E87F25" w:rsidRDefault="00E87F25" w:rsidP="00E87F25">
            <w:pPr>
              <w:jc w:val="center"/>
              <w:rPr>
                <w:rFonts w:ascii="Arial Narrow" w:hAnsi="Arial Narrow"/>
                <w:color w:val="000000"/>
                <w:szCs w:val="24"/>
                <w:lang w:val="es-ES"/>
              </w:rPr>
            </w:pPr>
            <w:r w:rsidRPr="00E87F25">
              <w:rPr>
                <w:rFonts w:ascii="Arial Narrow" w:hAnsi="Arial Narrow"/>
                <w:color w:val="000000"/>
                <w:szCs w:val="24"/>
                <w:lang w:val="es-ES"/>
              </w:rPr>
              <w:t>1.343,86</w:t>
            </w:r>
          </w:p>
        </w:tc>
        <w:tc>
          <w:tcPr>
            <w:tcW w:w="195" w:type="dxa"/>
            <w:tcBorders>
              <w:top w:val="nil"/>
              <w:left w:val="nil"/>
              <w:bottom w:val="single" w:sz="8" w:space="0" w:color="auto"/>
              <w:right w:val="nil"/>
            </w:tcBorders>
            <w:shd w:val="clear" w:color="auto" w:fill="auto"/>
            <w:noWrap/>
            <w:vAlign w:val="bottom"/>
            <w:hideMark/>
          </w:tcPr>
          <w:p w:rsidR="00E87F25" w:rsidRPr="00E87F25" w:rsidRDefault="00E87F25" w:rsidP="00E87F25">
            <w:pPr>
              <w:rPr>
                <w:rFonts w:ascii="Arial Narrow" w:hAnsi="Arial Narrow"/>
                <w:i/>
                <w:iCs/>
                <w:color w:val="000000"/>
                <w:szCs w:val="24"/>
                <w:lang w:val="es-ES"/>
              </w:rPr>
            </w:pPr>
            <w:r w:rsidRPr="00E87F25">
              <w:rPr>
                <w:rFonts w:ascii="Arial Narrow" w:hAnsi="Arial Narrow"/>
                <w:i/>
                <w:iCs/>
                <w:color w:val="000000"/>
                <w:szCs w:val="24"/>
                <w:lang w:val="es-ES"/>
              </w:rPr>
              <w:t> </w:t>
            </w:r>
          </w:p>
        </w:tc>
        <w:tc>
          <w:tcPr>
            <w:tcW w:w="1404" w:type="dxa"/>
            <w:tcBorders>
              <w:top w:val="single" w:sz="4" w:space="0" w:color="auto"/>
              <w:left w:val="single" w:sz="4" w:space="0" w:color="auto"/>
              <w:bottom w:val="single" w:sz="8" w:space="0" w:color="auto"/>
              <w:right w:val="nil"/>
            </w:tcBorders>
            <w:shd w:val="clear" w:color="000000" w:fill="FFFF99"/>
            <w:noWrap/>
            <w:vAlign w:val="center"/>
            <w:hideMark/>
          </w:tcPr>
          <w:p w:rsidR="00E87F25" w:rsidRPr="00E87F25" w:rsidRDefault="00E87F25" w:rsidP="00E87F25">
            <w:pPr>
              <w:jc w:val="right"/>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Tasa Ley 100/93: </w:t>
            </w:r>
          </w:p>
        </w:tc>
        <w:tc>
          <w:tcPr>
            <w:tcW w:w="702" w:type="dxa"/>
            <w:tcBorders>
              <w:top w:val="single" w:sz="4" w:space="0" w:color="auto"/>
              <w:left w:val="nil"/>
              <w:bottom w:val="single" w:sz="8" w:space="0" w:color="auto"/>
              <w:right w:val="nil"/>
            </w:tcBorders>
            <w:shd w:val="clear" w:color="auto" w:fill="auto"/>
            <w:noWrap/>
            <w:vAlign w:val="center"/>
            <w:hideMark/>
          </w:tcPr>
          <w:p w:rsidR="00E87F25" w:rsidRPr="00E87F25" w:rsidRDefault="00E87F25" w:rsidP="00E87F25">
            <w:pPr>
              <w:jc w:val="center"/>
              <w:rPr>
                <w:rFonts w:ascii="Arial Narrow" w:hAnsi="Arial Narrow"/>
                <w:b/>
                <w:bCs/>
                <w:color w:val="000000"/>
                <w:sz w:val="16"/>
                <w:szCs w:val="16"/>
                <w:lang w:val="es-ES"/>
              </w:rPr>
            </w:pPr>
            <w:r w:rsidRPr="00E87F25">
              <w:rPr>
                <w:rFonts w:ascii="Arial Narrow" w:hAnsi="Arial Narrow"/>
                <w:b/>
                <w:bCs/>
                <w:color w:val="000000"/>
                <w:sz w:val="16"/>
                <w:szCs w:val="16"/>
                <w:lang w:val="es-ES"/>
              </w:rPr>
              <w:t>no</w:t>
            </w:r>
          </w:p>
        </w:tc>
        <w:tc>
          <w:tcPr>
            <w:tcW w:w="723" w:type="dxa"/>
            <w:tcBorders>
              <w:top w:val="single" w:sz="4" w:space="0" w:color="auto"/>
              <w:left w:val="single" w:sz="4" w:space="0" w:color="808000"/>
              <w:bottom w:val="single" w:sz="8" w:space="0" w:color="auto"/>
              <w:right w:val="nil"/>
            </w:tcBorders>
            <w:shd w:val="clear" w:color="000000" w:fill="FFFF99"/>
            <w:noWrap/>
            <w:vAlign w:val="center"/>
            <w:hideMark/>
          </w:tcPr>
          <w:p w:rsidR="00E87F25" w:rsidRPr="00E87F25" w:rsidRDefault="00E87F25" w:rsidP="00E87F25">
            <w:pPr>
              <w:jc w:val="center"/>
              <w:rPr>
                <w:rFonts w:ascii="Arial Narrow" w:hAnsi="Arial Narrow"/>
                <w:b/>
                <w:bCs/>
                <w:i/>
                <w:iCs/>
                <w:color w:val="000000"/>
                <w:sz w:val="16"/>
                <w:szCs w:val="16"/>
                <w:lang w:val="es-ES"/>
              </w:rPr>
            </w:pPr>
            <w:bookmarkStart w:id="1" w:name="RANGE!J5"/>
            <w:r w:rsidRPr="00E87F25">
              <w:rPr>
                <w:rFonts w:ascii="Arial Narrow" w:hAnsi="Arial Narrow"/>
                <w:b/>
                <w:bCs/>
                <w:i/>
                <w:iCs/>
                <w:color w:val="000000"/>
                <w:sz w:val="16"/>
                <w:szCs w:val="16"/>
                <w:lang w:val="es-ES"/>
              </w:rPr>
              <w:t>75,00%</w:t>
            </w:r>
            <w:bookmarkEnd w:id="1"/>
          </w:p>
        </w:tc>
        <w:tc>
          <w:tcPr>
            <w:tcW w:w="1169" w:type="dxa"/>
            <w:tcBorders>
              <w:top w:val="single" w:sz="4" w:space="0" w:color="auto"/>
              <w:left w:val="nil"/>
              <w:bottom w:val="single" w:sz="8" w:space="0" w:color="auto"/>
              <w:right w:val="single" w:sz="8" w:space="0" w:color="auto"/>
            </w:tcBorders>
            <w:shd w:val="clear" w:color="auto" w:fill="auto"/>
            <w:noWrap/>
            <w:vAlign w:val="bottom"/>
            <w:hideMark/>
          </w:tcPr>
          <w:p w:rsidR="00E87F25" w:rsidRPr="00E87F25" w:rsidRDefault="00E87F25" w:rsidP="00E87F25">
            <w:pPr>
              <w:rPr>
                <w:rFonts w:ascii="Arial Narrow" w:hAnsi="Arial Narrow"/>
                <w:i/>
                <w:iCs/>
                <w:color w:val="000000"/>
                <w:szCs w:val="24"/>
                <w:lang w:val="es-ES"/>
              </w:rPr>
            </w:pPr>
            <w:r w:rsidRPr="00E87F25">
              <w:rPr>
                <w:rFonts w:ascii="Arial Narrow" w:hAnsi="Arial Narrow"/>
                <w:i/>
                <w:iCs/>
                <w:color w:val="000000"/>
                <w:szCs w:val="24"/>
                <w:lang w:val="es-ES"/>
              </w:rPr>
              <w:t> </w:t>
            </w:r>
          </w:p>
        </w:tc>
      </w:tr>
      <w:tr w:rsidR="00E87F25" w:rsidRPr="00E87F25" w:rsidTr="0090196D">
        <w:trPr>
          <w:trHeight w:val="45"/>
        </w:trPr>
        <w:tc>
          <w:tcPr>
            <w:tcW w:w="819"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Cs w:val="24"/>
                <w:lang w:val="es-ES"/>
              </w:rPr>
            </w:pPr>
          </w:p>
        </w:tc>
        <w:tc>
          <w:tcPr>
            <w:tcW w:w="1286" w:type="dxa"/>
            <w:gridSpan w:val="2"/>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693"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6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888"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09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404" w:type="dxa"/>
            <w:tcBorders>
              <w:top w:val="nil"/>
              <w:left w:val="single" w:sz="4" w:space="0" w:color="auto"/>
              <w:bottom w:val="nil"/>
              <w:right w:val="nil"/>
            </w:tcBorders>
            <w:shd w:val="clear" w:color="auto" w:fill="auto"/>
            <w:noWrap/>
            <w:vAlign w:val="bottom"/>
            <w:hideMark/>
          </w:tcPr>
          <w:p w:rsidR="00E87F25" w:rsidRPr="00E87F25" w:rsidRDefault="00E87F25" w:rsidP="00E87F25">
            <w:pPr>
              <w:rPr>
                <w:rFonts w:ascii="Arial Narrow" w:hAnsi="Arial Narrow"/>
                <w:i/>
                <w:iCs/>
                <w:color w:val="000000"/>
                <w:szCs w:val="24"/>
                <w:lang w:val="es-ES"/>
              </w:rPr>
            </w:pPr>
            <w:r w:rsidRPr="00E87F25">
              <w:rPr>
                <w:rFonts w:ascii="Arial Narrow" w:hAnsi="Arial Narrow"/>
                <w:i/>
                <w:iCs/>
                <w:color w:val="000000"/>
                <w:szCs w:val="24"/>
                <w:lang w:val="es-ES"/>
              </w:rPr>
              <w:t> </w:t>
            </w:r>
          </w:p>
        </w:tc>
        <w:tc>
          <w:tcPr>
            <w:tcW w:w="702"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Cs w:val="24"/>
                <w:lang w:val="es-ES"/>
              </w:rPr>
            </w:pPr>
          </w:p>
        </w:tc>
        <w:tc>
          <w:tcPr>
            <w:tcW w:w="723"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169" w:type="dxa"/>
            <w:tcBorders>
              <w:top w:val="nil"/>
              <w:left w:val="nil"/>
              <w:bottom w:val="nil"/>
              <w:right w:val="single" w:sz="4" w:space="0" w:color="auto"/>
            </w:tcBorders>
            <w:shd w:val="clear" w:color="auto" w:fill="auto"/>
            <w:noWrap/>
            <w:vAlign w:val="bottom"/>
            <w:hideMark/>
          </w:tcPr>
          <w:p w:rsidR="00E87F25" w:rsidRPr="00E87F25" w:rsidRDefault="00E87F25" w:rsidP="00E87F25">
            <w:pPr>
              <w:rPr>
                <w:rFonts w:ascii="Arial Narrow" w:hAnsi="Arial Narrow"/>
                <w:i/>
                <w:iCs/>
                <w:color w:val="000000"/>
                <w:szCs w:val="24"/>
                <w:lang w:val="es-ES"/>
              </w:rPr>
            </w:pPr>
            <w:r w:rsidRPr="00E87F25">
              <w:rPr>
                <w:rFonts w:ascii="Arial Narrow" w:hAnsi="Arial Narrow"/>
                <w:i/>
                <w:iCs/>
                <w:color w:val="000000"/>
                <w:szCs w:val="24"/>
                <w:lang w:val="es-ES"/>
              </w:rPr>
              <w:t> </w:t>
            </w:r>
          </w:p>
        </w:tc>
      </w:tr>
      <w:tr w:rsidR="00E87F25" w:rsidRPr="00E87F25" w:rsidTr="0090196D">
        <w:trPr>
          <w:trHeight w:val="435"/>
        </w:trPr>
        <w:tc>
          <w:tcPr>
            <w:tcW w:w="5546" w:type="dxa"/>
            <w:gridSpan w:val="7"/>
            <w:tcBorders>
              <w:top w:val="single" w:sz="8" w:space="0" w:color="auto"/>
              <w:left w:val="single" w:sz="8" w:space="0" w:color="auto"/>
              <w:bottom w:val="single" w:sz="4" w:space="0" w:color="808000"/>
              <w:right w:val="single" w:sz="8" w:space="0" w:color="000000"/>
            </w:tcBorders>
            <w:shd w:val="clear" w:color="000000" w:fill="FFFF99"/>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HISTORIA LABORAL DEL AFILIADO</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jc w:val="center"/>
              <w:rPr>
                <w:rFonts w:ascii="Arial Narrow" w:hAnsi="Arial Narrow"/>
                <w:b/>
                <w:bCs/>
                <w:i/>
                <w:iCs/>
                <w:color w:val="000000"/>
                <w:sz w:val="16"/>
                <w:szCs w:val="16"/>
                <w:lang w:val="es-ES"/>
              </w:rPr>
            </w:pPr>
          </w:p>
        </w:tc>
        <w:tc>
          <w:tcPr>
            <w:tcW w:w="1404" w:type="dxa"/>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Ingreso Base de cotización actualizado</w:t>
            </w:r>
          </w:p>
        </w:tc>
        <w:tc>
          <w:tcPr>
            <w:tcW w:w="1425" w:type="dxa"/>
            <w:gridSpan w:val="2"/>
            <w:tcBorders>
              <w:top w:val="single" w:sz="4" w:space="0" w:color="auto"/>
              <w:left w:val="nil"/>
              <w:bottom w:val="single" w:sz="4" w:space="0" w:color="808000"/>
              <w:right w:val="nil"/>
            </w:tcBorders>
            <w:shd w:val="clear" w:color="000000" w:fill="FFFF99"/>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IPC </w:t>
            </w:r>
            <w:proofErr w:type="spellStart"/>
            <w:r w:rsidRPr="00E87F25">
              <w:rPr>
                <w:rFonts w:ascii="Arial Narrow" w:hAnsi="Arial Narrow"/>
                <w:b/>
                <w:bCs/>
                <w:i/>
                <w:iCs/>
                <w:color w:val="000000"/>
                <w:sz w:val="16"/>
                <w:szCs w:val="16"/>
                <w:lang w:val="es-ES"/>
              </w:rPr>
              <w:t>Dane</w:t>
            </w:r>
            <w:proofErr w:type="spellEnd"/>
            <w:r w:rsidRPr="00E87F25">
              <w:rPr>
                <w:rFonts w:ascii="Arial Narrow" w:hAnsi="Arial Narrow"/>
                <w:b/>
                <w:bCs/>
                <w:i/>
                <w:iCs/>
                <w:color w:val="000000"/>
                <w:sz w:val="16"/>
                <w:szCs w:val="16"/>
                <w:lang w:val="es-ES"/>
              </w:rPr>
              <w:t xml:space="preserve">                                    (serie de empalme)</w:t>
            </w:r>
          </w:p>
        </w:tc>
        <w:tc>
          <w:tcPr>
            <w:tcW w:w="1169"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Promedio Salarial        (</w:t>
            </w:r>
            <w:proofErr w:type="spellStart"/>
            <w:r w:rsidRPr="00E87F25">
              <w:rPr>
                <w:rFonts w:ascii="Arial Narrow" w:hAnsi="Arial Narrow"/>
                <w:b/>
                <w:bCs/>
                <w:i/>
                <w:iCs/>
                <w:color w:val="000000"/>
                <w:sz w:val="16"/>
                <w:szCs w:val="16"/>
                <w:lang w:val="es-ES"/>
              </w:rPr>
              <w:t>Dias</w:t>
            </w:r>
            <w:proofErr w:type="spellEnd"/>
            <w:r w:rsidRPr="00E87F25">
              <w:rPr>
                <w:rFonts w:ascii="Arial Narrow" w:hAnsi="Arial Narrow"/>
                <w:b/>
                <w:bCs/>
                <w:i/>
                <w:iCs/>
                <w:color w:val="000000"/>
                <w:sz w:val="16"/>
                <w:szCs w:val="16"/>
                <w:lang w:val="es-ES"/>
              </w:rPr>
              <w:t xml:space="preserve"> x </w:t>
            </w:r>
            <w:proofErr w:type="spellStart"/>
            <w:r w:rsidRPr="00E87F25">
              <w:rPr>
                <w:rFonts w:ascii="Arial Narrow" w:hAnsi="Arial Narrow"/>
                <w:b/>
                <w:bCs/>
                <w:i/>
                <w:iCs/>
                <w:color w:val="000000"/>
                <w:sz w:val="16"/>
                <w:szCs w:val="16"/>
                <w:lang w:val="es-ES"/>
              </w:rPr>
              <w:t>IBC</w:t>
            </w:r>
            <w:proofErr w:type="spellEnd"/>
            <w:r w:rsidRPr="00E87F25">
              <w:rPr>
                <w:rFonts w:ascii="Arial Narrow" w:hAnsi="Arial Narrow"/>
                <w:b/>
                <w:bCs/>
                <w:i/>
                <w:iCs/>
                <w:color w:val="000000"/>
                <w:sz w:val="16"/>
                <w:szCs w:val="16"/>
                <w:lang w:val="es-ES"/>
              </w:rPr>
              <w:t xml:space="preserve"> actualizado/total </w:t>
            </w:r>
            <w:proofErr w:type="spellStart"/>
            <w:r w:rsidRPr="00E87F25">
              <w:rPr>
                <w:rFonts w:ascii="Arial Narrow" w:hAnsi="Arial Narrow"/>
                <w:b/>
                <w:bCs/>
                <w:i/>
                <w:iCs/>
                <w:color w:val="000000"/>
                <w:sz w:val="16"/>
                <w:szCs w:val="16"/>
                <w:lang w:val="es-ES"/>
              </w:rPr>
              <w:t>dias</w:t>
            </w:r>
            <w:proofErr w:type="spellEnd"/>
            <w:r w:rsidRPr="00E87F25">
              <w:rPr>
                <w:rFonts w:ascii="Arial Narrow" w:hAnsi="Arial Narrow"/>
                <w:b/>
                <w:bCs/>
                <w:i/>
                <w:iCs/>
                <w:color w:val="000000"/>
                <w:sz w:val="16"/>
                <w:szCs w:val="16"/>
                <w:lang w:val="es-ES"/>
              </w:rPr>
              <w:t>)</w:t>
            </w:r>
          </w:p>
        </w:tc>
      </w:tr>
      <w:tr w:rsidR="00E87F25" w:rsidRPr="00E87F25" w:rsidTr="0090196D">
        <w:trPr>
          <w:trHeight w:val="315"/>
        </w:trPr>
        <w:tc>
          <w:tcPr>
            <w:tcW w:w="2798" w:type="dxa"/>
            <w:gridSpan w:val="4"/>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Fechas de aporte</w:t>
            </w:r>
          </w:p>
        </w:tc>
        <w:tc>
          <w:tcPr>
            <w:tcW w:w="765"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Número de días</w:t>
            </w:r>
          </w:p>
        </w:tc>
        <w:tc>
          <w:tcPr>
            <w:tcW w:w="88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semanas cotizadas</w:t>
            </w:r>
          </w:p>
        </w:tc>
        <w:tc>
          <w:tcPr>
            <w:tcW w:w="1095"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Ingreso Base de Cotización</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jc w:val="center"/>
              <w:rPr>
                <w:rFonts w:ascii="Arial Narrow" w:hAnsi="Arial Narrow"/>
                <w:b/>
                <w:bCs/>
                <w:i/>
                <w:iCs/>
                <w:color w:val="000000"/>
                <w:sz w:val="16"/>
                <w:szCs w:val="16"/>
                <w:lang w:val="es-ES"/>
              </w:rPr>
            </w:pPr>
          </w:p>
        </w:tc>
        <w:tc>
          <w:tcPr>
            <w:tcW w:w="1404" w:type="dxa"/>
            <w:vMerge/>
            <w:tcBorders>
              <w:top w:val="single" w:sz="4" w:space="0" w:color="auto"/>
              <w:left w:val="single" w:sz="4" w:space="0" w:color="auto"/>
              <w:bottom w:val="single" w:sz="8" w:space="0" w:color="000000"/>
              <w:right w:val="single" w:sz="4" w:space="0" w:color="808000"/>
            </w:tcBorders>
            <w:vAlign w:val="center"/>
            <w:hideMark/>
          </w:tcPr>
          <w:p w:rsidR="00E87F25" w:rsidRPr="00E87F25" w:rsidRDefault="00E87F25" w:rsidP="00E87F25">
            <w:pPr>
              <w:rPr>
                <w:rFonts w:ascii="Arial Narrow" w:hAnsi="Arial Narrow"/>
                <w:b/>
                <w:bCs/>
                <w:i/>
                <w:iCs/>
                <w:color w:val="000000"/>
                <w:sz w:val="16"/>
                <w:szCs w:val="16"/>
                <w:lang w:val="es-ES"/>
              </w:rPr>
            </w:pPr>
          </w:p>
        </w:tc>
        <w:tc>
          <w:tcPr>
            <w:tcW w:w="702"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IPC Final</w:t>
            </w:r>
          </w:p>
        </w:tc>
        <w:tc>
          <w:tcPr>
            <w:tcW w:w="723"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IPC Inicial</w:t>
            </w:r>
          </w:p>
        </w:tc>
        <w:tc>
          <w:tcPr>
            <w:tcW w:w="1169" w:type="dxa"/>
            <w:vMerge/>
            <w:tcBorders>
              <w:top w:val="single" w:sz="4" w:space="0" w:color="auto"/>
              <w:left w:val="single" w:sz="4" w:space="0" w:color="808000"/>
              <w:bottom w:val="single" w:sz="8" w:space="0" w:color="000000"/>
              <w:right w:val="single" w:sz="4" w:space="0" w:color="auto"/>
            </w:tcBorders>
            <w:vAlign w:val="center"/>
            <w:hideMark/>
          </w:tcPr>
          <w:p w:rsidR="00E87F25" w:rsidRPr="00E87F25" w:rsidRDefault="00E87F25" w:rsidP="00E87F25">
            <w:pPr>
              <w:rPr>
                <w:rFonts w:ascii="Arial Narrow" w:hAnsi="Arial Narrow"/>
                <w:b/>
                <w:bCs/>
                <w:i/>
                <w:iCs/>
                <w:color w:val="000000"/>
                <w:sz w:val="16"/>
                <w:szCs w:val="16"/>
                <w:lang w:val="es-ES"/>
              </w:rPr>
            </w:pPr>
          </w:p>
        </w:tc>
      </w:tr>
      <w:tr w:rsidR="00E87F25" w:rsidRPr="00E87F25" w:rsidTr="0090196D">
        <w:trPr>
          <w:trHeight w:val="495"/>
        </w:trPr>
        <w:tc>
          <w:tcPr>
            <w:tcW w:w="819" w:type="dxa"/>
            <w:tcBorders>
              <w:top w:val="nil"/>
              <w:left w:val="single" w:sz="8" w:space="0" w:color="auto"/>
              <w:bottom w:val="single" w:sz="8" w:space="0" w:color="auto"/>
              <w:right w:val="single" w:sz="4" w:space="0" w:color="808000"/>
            </w:tcBorders>
            <w:shd w:val="clear" w:color="000000" w:fill="FFFF99"/>
            <w:noWrap/>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Empleador</w:t>
            </w:r>
          </w:p>
        </w:tc>
        <w:tc>
          <w:tcPr>
            <w:tcW w:w="1121" w:type="dxa"/>
            <w:tcBorders>
              <w:top w:val="nil"/>
              <w:left w:val="nil"/>
              <w:bottom w:val="single" w:sz="8" w:space="0" w:color="auto"/>
              <w:right w:val="single" w:sz="4" w:space="0" w:color="808000"/>
            </w:tcBorders>
            <w:shd w:val="clear" w:color="000000" w:fill="FFFF99"/>
            <w:noWrap/>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Desde</w:t>
            </w:r>
          </w:p>
        </w:tc>
        <w:tc>
          <w:tcPr>
            <w:tcW w:w="858" w:type="dxa"/>
            <w:gridSpan w:val="2"/>
            <w:tcBorders>
              <w:top w:val="nil"/>
              <w:left w:val="nil"/>
              <w:bottom w:val="single" w:sz="8" w:space="0" w:color="auto"/>
              <w:right w:val="single" w:sz="4" w:space="0" w:color="808000"/>
            </w:tcBorders>
            <w:shd w:val="clear" w:color="000000" w:fill="FFFF99"/>
            <w:noWrap/>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Hasta</w:t>
            </w:r>
          </w:p>
        </w:tc>
        <w:tc>
          <w:tcPr>
            <w:tcW w:w="765" w:type="dxa"/>
            <w:vMerge/>
            <w:tcBorders>
              <w:top w:val="nil"/>
              <w:left w:val="single" w:sz="4" w:space="0" w:color="808000"/>
              <w:bottom w:val="single" w:sz="8" w:space="0" w:color="000000"/>
              <w:right w:val="single" w:sz="4" w:space="0" w:color="808000"/>
            </w:tcBorders>
            <w:vAlign w:val="center"/>
            <w:hideMark/>
          </w:tcPr>
          <w:p w:rsidR="00E87F25" w:rsidRPr="00E87F25" w:rsidRDefault="00E87F25" w:rsidP="00E87F25">
            <w:pPr>
              <w:rPr>
                <w:rFonts w:ascii="Arial Narrow" w:hAnsi="Arial Narrow"/>
                <w:b/>
                <w:bCs/>
                <w:i/>
                <w:iCs/>
                <w:color w:val="000000"/>
                <w:sz w:val="16"/>
                <w:szCs w:val="16"/>
                <w:lang w:val="es-ES"/>
              </w:rPr>
            </w:pPr>
          </w:p>
        </w:tc>
        <w:tc>
          <w:tcPr>
            <w:tcW w:w="888" w:type="dxa"/>
            <w:vMerge/>
            <w:tcBorders>
              <w:top w:val="nil"/>
              <w:left w:val="single" w:sz="4" w:space="0" w:color="808000"/>
              <w:bottom w:val="single" w:sz="8" w:space="0" w:color="000000"/>
              <w:right w:val="single" w:sz="4" w:space="0" w:color="808000"/>
            </w:tcBorders>
            <w:vAlign w:val="center"/>
            <w:hideMark/>
          </w:tcPr>
          <w:p w:rsidR="00E87F25" w:rsidRPr="00E87F25" w:rsidRDefault="00E87F25" w:rsidP="00E87F25">
            <w:pPr>
              <w:rPr>
                <w:rFonts w:ascii="Arial Narrow" w:hAnsi="Arial Narrow"/>
                <w:b/>
                <w:bCs/>
                <w:i/>
                <w:iCs/>
                <w:color w:val="000000"/>
                <w:sz w:val="16"/>
                <w:szCs w:val="16"/>
                <w:lang w:val="es-ES"/>
              </w:rPr>
            </w:pPr>
          </w:p>
        </w:tc>
        <w:tc>
          <w:tcPr>
            <w:tcW w:w="1095" w:type="dxa"/>
            <w:vMerge/>
            <w:tcBorders>
              <w:top w:val="nil"/>
              <w:left w:val="single" w:sz="4" w:space="0" w:color="808000"/>
              <w:bottom w:val="single" w:sz="8" w:space="0" w:color="000000"/>
              <w:right w:val="single" w:sz="8" w:space="0" w:color="auto"/>
            </w:tcBorders>
            <w:vAlign w:val="center"/>
            <w:hideMark/>
          </w:tcPr>
          <w:p w:rsidR="00E87F25" w:rsidRPr="00E87F25" w:rsidRDefault="00E87F25" w:rsidP="00E87F25">
            <w:pPr>
              <w:rPr>
                <w:rFonts w:ascii="Arial Narrow" w:hAnsi="Arial Narrow"/>
                <w:b/>
                <w:bCs/>
                <w:i/>
                <w:iCs/>
                <w:color w:val="000000"/>
                <w:sz w:val="16"/>
                <w:szCs w:val="16"/>
                <w:lang w:val="es-ES"/>
              </w:rPr>
            </w:pPr>
          </w:p>
        </w:tc>
        <w:tc>
          <w:tcPr>
            <w:tcW w:w="195" w:type="dxa"/>
            <w:tcBorders>
              <w:top w:val="nil"/>
              <w:left w:val="nil"/>
              <w:bottom w:val="nil"/>
              <w:right w:val="nil"/>
            </w:tcBorders>
            <w:shd w:val="clear" w:color="auto" w:fill="auto"/>
            <w:noWrap/>
            <w:vAlign w:val="bottom"/>
            <w:hideMark/>
          </w:tcPr>
          <w:p w:rsidR="00E87F25" w:rsidRPr="00E87F25" w:rsidRDefault="00E87F25" w:rsidP="00E87F25">
            <w:pPr>
              <w:jc w:val="center"/>
              <w:rPr>
                <w:rFonts w:ascii="Arial Narrow" w:hAnsi="Arial Narrow"/>
                <w:b/>
                <w:bCs/>
                <w:i/>
                <w:iCs/>
                <w:color w:val="000000"/>
                <w:sz w:val="16"/>
                <w:szCs w:val="16"/>
                <w:lang w:val="es-ES"/>
              </w:rPr>
            </w:pPr>
          </w:p>
        </w:tc>
        <w:tc>
          <w:tcPr>
            <w:tcW w:w="1404" w:type="dxa"/>
            <w:vMerge/>
            <w:tcBorders>
              <w:top w:val="single" w:sz="4" w:space="0" w:color="auto"/>
              <w:left w:val="single" w:sz="4" w:space="0" w:color="auto"/>
              <w:bottom w:val="single" w:sz="8" w:space="0" w:color="000000"/>
              <w:right w:val="single" w:sz="4" w:space="0" w:color="808000"/>
            </w:tcBorders>
            <w:vAlign w:val="center"/>
            <w:hideMark/>
          </w:tcPr>
          <w:p w:rsidR="00E87F25" w:rsidRPr="00E87F25" w:rsidRDefault="00E87F25" w:rsidP="00E87F25">
            <w:pPr>
              <w:rPr>
                <w:rFonts w:ascii="Arial Narrow" w:hAnsi="Arial Narrow"/>
                <w:b/>
                <w:bCs/>
                <w:i/>
                <w:iCs/>
                <w:color w:val="000000"/>
                <w:sz w:val="16"/>
                <w:szCs w:val="16"/>
                <w:lang w:val="es-ES"/>
              </w:rPr>
            </w:pPr>
          </w:p>
        </w:tc>
        <w:tc>
          <w:tcPr>
            <w:tcW w:w="702" w:type="dxa"/>
            <w:vMerge/>
            <w:tcBorders>
              <w:top w:val="nil"/>
              <w:left w:val="single" w:sz="4" w:space="0" w:color="808000"/>
              <w:bottom w:val="single" w:sz="8" w:space="0" w:color="000000"/>
              <w:right w:val="single" w:sz="4" w:space="0" w:color="808000"/>
            </w:tcBorders>
            <w:vAlign w:val="center"/>
            <w:hideMark/>
          </w:tcPr>
          <w:p w:rsidR="00E87F25" w:rsidRPr="00E87F25" w:rsidRDefault="00E87F25" w:rsidP="00E87F25">
            <w:pPr>
              <w:rPr>
                <w:rFonts w:ascii="Arial Narrow" w:hAnsi="Arial Narrow"/>
                <w:b/>
                <w:bCs/>
                <w:i/>
                <w:iCs/>
                <w:color w:val="000000"/>
                <w:sz w:val="16"/>
                <w:szCs w:val="16"/>
                <w:lang w:val="es-ES"/>
              </w:rPr>
            </w:pPr>
          </w:p>
        </w:tc>
        <w:tc>
          <w:tcPr>
            <w:tcW w:w="723" w:type="dxa"/>
            <w:vMerge/>
            <w:tcBorders>
              <w:top w:val="nil"/>
              <w:left w:val="single" w:sz="4" w:space="0" w:color="808000"/>
              <w:bottom w:val="single" w:sz="8" w:space="0" w:color="000000"/>
              <w:right w:val="single" w:sz="4" w:space="0" w:color="808000"/>
            </w:tcBorders>
            <w:vAlign w:val="center"/>
            <w:hideMark/>
          </w:tcPr>
          <w:p w:rsidR="00E87F25" w:rsidRPr="00E87F25" w:rsidRDefault="00E87F25" w:rsidP="00E87F25">
            <w:pPr>
              <w:rPr>
                <w:rFonts w:ascii="Arial Narrow" w:hAnsi="Arial Narrow"/>
                <w:b/>
                <w:bCs/>
                <w:i/>
                <w:iCs/>
                <w:color w:val="000000"/>
                <w:sz w:val="16"/>
                <w:szCs w:val="16"/>
                <w:lang w:val="es-ES"/>
              </w:rPr>
            </w:pPr>
          </w:p>
        </w:tc>
        <w:tc>
          <w:tcPr>
            <w:tcW w:w="1169" w:type="dxa"/>
            <w:vMerge/>
            <w:tcBorders>
              <w:top w:val="single" w:sz="4" w:space="0" w:color="auto"/>
              <w:left w:val="single" w:sz="4" w:space="0" w:color="808000"/>
              <w:bottom w:val="single" w:sz="8" w:space="0" w:color="000000"/>
              <w:right w:val="single" w:sz="4" w:space="0" w:color="auto"/>
            </w:tcBorders>
            <w:vAlign w:val="center"/>
            <w:hideMark/>
          </w:tcPr>
          <w:p w:rsidR="00E87F25" w:rsidRPr="00E87F25" w:rsidRDefault="00E87F25" w:rsidP="00E87F25">
            <w:pPr>
              <w:rPr>
                <w:rFonts w:ascii="Arial Narrow" w:hAnsi="Arial Narrow"/>
                <w:b/>
                <w:bCs/>
                <w:i/>
                <w:iCs/>
                <w:color w:val="000000"/>
                <w:sz w:val="16"/>
                <w:szCs w:val="16"/>
                <w:lang w:val="es-ES"/>
              </w:rPr>
            </w:pPr>
          </w:p>
        </w:tc>
      </w:tr>
      <w:tr w:rsidR="00E87F25" w:rsidRPr="00E87F25" w:rsidTr="0090196D">
        <w:trPr>
          <w:trHeight w:val="315"/>
        </w:trPr>
        <w:tc>
          <w:tcPr>
            <w:tcW w:w="819"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01-jul-74</w:t>
            </w:r>
          </w:p>
        </w:tc>
        <w:tc>
          <w:tcPr>
            <w:tcW w:w="858" w:type="dxa"/>
            <w:gridSpan w:val="2"/>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31-oct-74</w:t>
            </w:r>
          </w:p>
        </w:tc>
        <w:tc>
          <w:tcPr>
            <w:tcW w:w="765"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123</w:t>
            </w:r>
          </w:p>
        </w:tc>
        <w:tc>
          <w:tcPr>
            <w:tcW w:w="888" w:type="dxa"/>
            <w:tcBorders>
              <w:top w:val="single" w:sz="4" w:space="0" w:color="808000"/>
              <w:left w:val="single" w:sz="4" w:space="0" w:color="808000"/>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17,57</w:t>
            </w:r>
          </w:p>
        </w:tc>
        <w:tc>
          <w:tcPr>
            <w:tcW w:w="1095"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540,00 </w:t>
            </w:r>
          </w:p>
        </w:tc>
        <w:tc>
          <w:tcPr>
            <w:tcW w:w="195" w:type="dxa"/>
            <w:tcBorders>
              <w:top w:val="single" w:sz="4" w:space="0" w:color="808000"/>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211.404,07 </w:t>
            </w:r>
          </w:p>
        </w:tc>
        <w:tc>
          <w:tcPr>
            <w:tcW w:w="702"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0,28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2.764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01-nov-74</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30-nov-74</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4,29</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586,00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229.412,57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0,28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732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01-dic-74</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31-dic-74</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31</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4,43</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234.893,41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0,28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774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01-ene-75</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28-feb-75</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185.906,33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0,35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1.186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01-mar-75</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31-may-75</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92</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13,14</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708,00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219.369,47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0,35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2.145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01-jun-75</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30-jun-75</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4,29</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873,00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270.493,70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0,35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863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01-jul-75</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31-dic-75</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184</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26,29</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1.416,00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438.738,93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0,35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8.582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01-ene-76</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31-ene-76</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31</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4,43</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1.416,00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372.533,44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0,41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1.228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01-feb-76</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28-feb-76</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4,29</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2.612,00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687.187,39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0,41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2.192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01-mar-76</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31-dic-76</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3.253,00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855.827,17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0,41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27.839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01-ene-77</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28-feb-77</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3.253,00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680.508,29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0,52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4.340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01-mar-77</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31-dic-77</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4.153,00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868.782,95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0,52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28.261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01-ene-78</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28-feb-78</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4.153,00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674.984,29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0,67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4.305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01-mar-78</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31-dic-78</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5.469,00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888.872,88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0,67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28.914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01-ene-79</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28-feb-79</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5.469,00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750.590,43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0,80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4.787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01-mar-79</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31-dic-79</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7.022,00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963.731,21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0,80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31.349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01-ene-80</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28-feb-80</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7.022,00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748.238,80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4.772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01-mar-80</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31-dic-80</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9.097,00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969.343,26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31.532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01-ene-81</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28-feb-81</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9.097,00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770.212,21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1,29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4.913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01-mar-81</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30-jun-81</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122</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17,43</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11.827,00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1.001.352,08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1,29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12.987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01-jul-81</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31-jul-81</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31</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4,43</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3.548,00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300.397,16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1,29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990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01-ago-81</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31-ago-81</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31</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4,43</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8.673,00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734.313,57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1,29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2.420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01-sep-81</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31-dic-81</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122</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17,43</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11.827,00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1.001.352,08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1,29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12.987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01-ene-82</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28-feb-82</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11.827,00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791.839,36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1,63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5.051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01-mar-82</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31-dic-82</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15.307,00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1.024.831,75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1,63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33.337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01-ene-83</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28-feb-83</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15.307,00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826.274,44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2,02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5.270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01-mar-83</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31-dic-83</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19.900,00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1.074.205,35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2,02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34.943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01-ene-84</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28-feb-84</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19.900,00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920.980,15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2,36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5.874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01-mar-84</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31-ago-84</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184</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26,29</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24.278,00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1.123.595,78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2,36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21.977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01-sep-84</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31-dic-84</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122</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17,43</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39.310,00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1.819.282,90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2,36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23.594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01-ene-85</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28-feb-85</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39.310,00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1.538.068,83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2,79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9.810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01-mar-85</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31-dic-85</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41.040,00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1.605.757,94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2,79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52.234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01-ene-86</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31-may-86</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151</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21,57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41.040,00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1.311.351,63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3,42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21.050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01-jun-86</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31-dic-86</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214</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54.630,00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1.745.593,07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3,42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39.711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01-ene-87</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31-mar-87</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90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12,86</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54.630,00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1.443.275,33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4,13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13.808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01-abr-87</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31-dic-87</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275</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39,29</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61.950,00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1.636.663,13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4,13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47.845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01-ene-88</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29-feb-88</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61.950,00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1.319.659,28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5,12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8.417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lastRenderedPageBreak/>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01-mar-88</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31-dic-88</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79.290,00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1.689.036,07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5,12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54.943 </w:t>
            </w:r>
          </w:p>
        </w:tc>
      </w:tr>
      <w:tr w:rsidR="00E87F25" w:rsidRPr="00E87F25" w:rsidTr="0090196D">
        <w:trPr>
          <w:trHeight w:val="315"/>
        </w:trPr>
        <w:tc>
          <w:tcPr>
            <w:tcW w:w="819" w:type="dxa"/>
            <w:tcBorders>
              <w:top w:val="nil"/>
              <w:left w:val="single" w:sz="8" w:space="0" w:color="auto"/>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01-ene-89</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31-mar-89</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90</w:t>
            </w:r>
          </w:p>
        </w:tc>
        <w:tc>
          <w:tcPr>
            <w:tcW w:w="888" w:type="dxa"/>
            <w:tcBorders>
              <w:top w:val="nil"/>
              <w:left w:val="nil"/>
              <w:bottom w:val="single" w:sz="4" w:space="0" w:color="808000"/>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12,86</w:t>
            </w:r>
          </w:p>
        </w:tc>
        <w:tc>
          <w:tcPr>
            <w:tcW w:w="1095" w:type="dxa"/>
            <w:tcBorders>
              <w:top w:val="nil"/>
              <w:left w:val="single" w:sz="4" w:space="0" w:color="808000"/>
              <w:bottom w:val="single" w:sz="4" w:space="0" w:color="808000"/>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79.290,00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single" w:sz="4" w:space="0" w:color="808000"/>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1.318.278,12 </w:t>
            </w:r>
          </w:p>
        </w:tc>
        <w:tc>
          <w:tcPr>
            <w:tcW w:w="702"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6,57 </w:t>
            </w:r>
          </w:p>
        </w:tc>
        <w:tc>
          <w:tcPr>
            <w:tcW w:w="116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12.612 </w:t>
            </w:r>
          </w:p>
        </w:tc>
      </w:tr>
      <w:tr w:rsidR="00E87F25" w:rsidRPr="00E87F25" w:rsidTr="0090196D">
        <w:trPr>
          <w:trHeight w:val="315"/>
        </w:trPr>
        <w:tc>
          <w:tcPr>
            <w:tcW w:w="819" w:type="dxa"/>
            <w:tcBorders>
              <w:top w:val="nil"/>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01-abr-89</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31-dic-89</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275</w:t>
            </w:r>
          </w:p>
        </w:tc>
        <w:tc>
          <w:tcPr>
            <w:tcW w:w="888" w:type="dxa"/>
            <w:tcBorders>
              <w:top w:val="nil"/>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39,29</w:t>
            </w:r>
          </w:p>
        </w:tc>
        <w:tc>
          <w:tcPr>
            <w:tcW w:w="1095" w:type="dxa"/>
            <w:tcBorders>
              <w:top w:val="nil"/>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89.070,00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nil"/>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1.480.880,71 </w:t>
            </w:r>
          </w:p>
        </w:tc>
        <w:tc>
          <w:tcPr>
            <w:tcW w:w="702" w:type="dxa"/>
            <w:tcBorders>
              <w:top w:val="nil"/>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nil"/>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6,57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43.291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01-ene-90</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28-feb-90</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89.070,00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1.174.156,82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8,28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7.489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01-mar-90</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31-dic-90</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306</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43,71</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136.290,00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1.796.629,99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8,28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58.443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01-ene-91</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15-nov-91</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320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45,71</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136.290,00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1.357.302,33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10,96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46.172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23-ene-92</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31-dic-92</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344</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49,14</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61.950,00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486.466,87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13,90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17.789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01-ene-93</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31-dic-93</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365</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52,14</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79.290,00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497.571,77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17,40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19.306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01-abr-94</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31-dic-94</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270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38,57</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98.700,00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505.168,04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21,33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14.499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01-ene-95</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31-jul-95</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210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30,00</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118.933,00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496.529,83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26,15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11.084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01-sep-95</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31-dic-95</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120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17,14</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118.933,00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496.529,83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26,15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6.334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01-ene-96</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31-dic-96</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360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51,43</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142.125,00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496.664,83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31,24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19.007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01-ene-97</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31-may-97</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150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21,43</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172.681,00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496.094,46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38,00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7.911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01-jul-97</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31-dic-97</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180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25,71</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172.681,00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496.094,46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38,00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9.493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01-ene-98</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31-dic-98</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360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51,43</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203.826,00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497.578,06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44,72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19.042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01-ene-99</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31-ene-99</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4,29</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237.000,00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495.755,72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52,18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1.581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01-feb-99</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31-dic-99</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330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47,14</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473.000,00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989.419,65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52,18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34.709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01-ene-00</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31-mar-00</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90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12,86</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520.212,00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996.210,41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57,00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9.531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01-jun-00</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30-jun-00</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4,29</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520.200,00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996.187,43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57,00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3.177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01-nov-01</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31-dic-01</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286.000,00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503.633,65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61,99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3.212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01-ene-02</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31-ene-02</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4,29</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309.000,00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505.484,52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66,73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1.612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01-mar-02</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31-mar-02</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4,29</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309.000,00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505.484,52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66,73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1.612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01-feb-03</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28-feb-03</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30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4,29</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332.000,00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507.578,71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71,40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1.619 </w:t>
            </w:r>
          </w:p>
        </w:tc>
      </w:tr>
      <w:tr w:rsidR="00E87F25" w:rsidRPr="00E87F25" w:rsidTr="0090196D">
        <w:trPr>
          <w:trHeight w:val="315"/>
        </w:trPr>
        <w:tc>
          <w:tcPr>
            <w:tcW w:w="819" w:type="dxa"/>
            <w:tcBorders>
              <w:top w:val="single" w:sz="4" w:space="0" w:color="808000"/>
              <w:left w:val="single" w:sz="8" w:space="0" w:color="auto"/>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w:t>
            </w:r>
          </w:p>
        </w:tc>
        <w:tc>
          <w:tcPr>
            <w:tcW w:w="1121"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01-abr-03</w:t>
            </w:r>
          </w:p>
        </w:tc>
        <w:tc>
          <w:tcPr>
            <w:tcW w:w="858" w:type="dxa"/>
            <w:gridSpan w:val="2"/>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right"/>
              <w:rPr>
                <w:rFonts w:ascii="Arial Narrow" w:hAnsi="Arial Narrow"/>
                <w:i/>
                <w:iCs/>
                <w:color w:val="000000"/>
                <w:sz w:val="16"/>
                <w:szCs w:val="16"/>
                <w:lang w:val="es-ES"/>
              </w:rPr>
            </w:pPr>
            <w:r w:rsidRPr="00E87F25">
              <w:rPr>
                <w:rFonts w:ascii="Arial Narrow" w:hAnsi="Arial Narrow"/>
                <w:i/>
                <w:iCs/>
                <w:color w:val="000000"/>
                <w:sz w:val="16"/>
                <w:szCs w:val="16"/>
                <w:lang w:val="es-ES"/>
              </w:rPr>
              <w:t>31-may-03</w:t>
            </w:r>
          </w:p>
        </w:tc>
        <w:tc>
          <w:tcPr>
            <w:tcW w:w="765" w:type="dxa"/>
            <w:tcBorders>
              <w:top w:val="nil"/>
              <w:left w:val="nil"/>
              <w:bottom w:val="single" w:sz="4" w:space="0" w:color="808000"/>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60</w:t>
            </w:r>
          </w:p>
        </w:tc>
        <w:tc>
          <w:tcPr>
            <w:tcW w:w="888" w:type="dxa"/>
            <w:tcBorders>
              <w:top w:val="single" w:sz="4" w:space="0" w:color="808000"/>
              <w:left w:val="nil"/>
              <w:bottom w:val="nil"/>
              <w:right w:val="nil"/>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8,57</w:t>
            </w:r>
          </w:p>
        </w:tc>
        <w:tc>
          <w:tcPr>
            <w:tcW w:w="1095" w:type="dxa"/>
            <w:tcBorders>
              <w:top w:val="single" w:sz="4" w:space="0" w:color="808000"/>
              <w:left w:val="single" w:sz="4" w:space="0" w:color="808000"/>
              <w:bottom w:val="nil"/>
              <w:right w:val="single" w:sz="8" w:space="0" w:color="auto"/>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332.000,00 </w:t>
            </w: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404" w:type="dxa"/>
            <w:tcBorders>
              <w:top w:val="single" w:sz="4" w:space="0" w:color="808000"/>
              <w:left w:val="single" w:sz="4" w:space="0" w:color="auto"/>
              <w:bottom w:val="nil"/>
              <w:right w:val="single" w:sz="4" w:space="0" w:color="808000"/>
            </w:tcBorders>
            <w:shd w:val="clear" w:color="000000" w:fill="FFFF99"/>
            <w:noWrap/>
            <w:vAlign w:val="center"/>
            <w:hideMark/>
          </w:tcPr>
          <w:p w:rsidR="00E87F25" w:rsidRPr="00E87F25" w:rsidRDefault="00E87F25" w:rsidP="00E87F25">
            <w:pP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507.578,71 </w:t>
            </w:r>
          </w:p>
        </w:tc>
        <w:tc>
          <w:tcPr>
            <w:tcW w:w="702"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109,16 </w:t>
            </w:r>
          </w:p>
        </w:tc>
        <w:tc>
          <w:tcPr>
            <w:tcW w:w="723" w:type="dxa"/>
            <w:tcBorders>
              <w:top w:val="single" w:sz="4" w:space="0" w:color="808000"/>
              <w:left w:val="nil"/>
              <w:bottom w:val="nil"/>
              <w:right w:val="single" w:sz="4" w:space="0" w:color="808000"/>
            </w:tcBorders>
            <w:shd w:val="clear" w:color="auto" w:fill="auto"/>
            <w:noWrap/>
            <w:vAlign w:val="center"/>
            <w:hideMark/>
          </w:tcPr>
          <w:p w:rsidR="00E87F25" w:rsidRPr="00E87F25" w:rsidRDefault="00E87F25" w:rsidP="00E87F25">
            <w:pPr>
              <w:jc w:val="cente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71,40 </w:t>
            </w:r>
          </w:p>
        </w:tc>
        <w:tc>
          <w:tcPr>
            <w:tcW w:w="1169" w:type="dxa"/>
            <w:tcBorders>
              <w:top w:val="single" w:sz="4" w:space="0" w:color="808000"/>
              <w:left w:val="single" w:sz="4" w:space="0" w:color="808000"/>
              <w:bottom w:val="nil"/>
              <w:right w:val="single" w:sz="4" w:space="0" w:color="808000"/>
            </w:tcBorders>
            <w:shd w:val="clear" w:color="auto" w:fill="auto"/>
            <w:noWrap/>
            <w:vAlign w:val="center"/>
            <w:hideMark/>
          </w:tcPr>
          <w:p w:rsidR="00E87F25" w:rsidRPr="00E87F25" w:rsidRDefault="00E87F25" w:rsidP="00E87F25">
            <w:pPr>
              <w:rPr>
                <w:rFonts w:ascii="Arial Narrow" w:hAnsi="Arial Narrow"/>
                <w:i/>
                <w:iCs/>
                <w:color w:val="000000"/>
                <w:sz w:val="16"/>
                <w:szCs w:val="16"/>
                <w:lang w:val="es-ES"/>
              </w:rPr>
            </w:pPr>
            <w:r w:rsidRPr="00E87F25">
              <w:rPr>
                <w:rFonts w:ascii="Arial Narrow" w:hAnsi="Arial Narrow"/>
                <w:i/>
                <w:iCs/>
                <w:color w:val="000000"/>
                <w:sz w:val="16"/>
                <w:szCs w:val="16"/>
                <w:lang w:val="es-ES"/>
              </w:rPr>
              <w:t xml:space="preserve">            3.237 </w:t>
            </w:r>
          </w:p>
        </w:tc>
      </w:tr>
      <w:tr w:rsidR="00E87F25" w:rsidRPr="00E87F25" w:rsidTr="0090196D">
        <w:trPr>
          <w:trHeight w:val="315"/>
        </w:trPr>
        <w:tc>
          <w:tcPr>
            <w:tcW w:w="819" w:type="dxa"/>
            <w:tcBorders>
              <w:top w:val="nil"/>
              <w:left w:val="nil"/>
              <w:bottom w:val="nil"/>
              <w:right w:val="nil"/>
            </w:tcBorders>
            <w:shd w:val="clear" w:color="auto" w:fill="auto"/>
            <w:noWrap/>
            <w:vAlign w:val="bottom"/>
            <w:hideMark/>
          </w:tcPr>
          <w:p w:rsidR="00E87F25" w:rsidRPr="00E87F25" w:rsidRDefault="00E87F25" w:rsidP="00E87F25">
            <w:pPr>
              <w:rPr>
                <w:rFonts w:ascii="Arial Narrow" w:hAnsi="Arial Narrow"/>
                <w:i/>
                <w:iCs/>
                <w:color w:val="000000"/>
                <w:sz w:val="16"/>
                <w:szCs w:val="16"/>
                <w:lang w:val="es-ES"/>
              </w:rPr>
            </w:pPr>
          </w:p>
        </w:tc>
        <w:tc>
          <w:tcPr>
            <w:tcW w:w="1121"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858" w:type="dxa"/>
            <w:gridSpan w:val="2"/>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6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888"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09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404"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02"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23"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169"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r>
      <w:tr w:rsidR="00E87F25" w:rsidRPr="00E87F25" w:rsidTr="0090196D">
        <w:trPr>
          <w:trHeight w:val="315"/>
        </w:trPr>
        <w:tc>
          <w:tcPr>
            <w:tcW w:w="2798" w:type="dxa"/>
            <w:gridSpan w:val="4"/>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TOTAL DIAS</w:t>
            </w:r>
          </w:p>
        </w:tc>
        <w:tc>
          <w:tcPr>
            <w:tcW w:w="1653" w:type="dxa"/>
            <w:gridSpan w:val="2"/>
            <w:tcBorders>
              <w:top w:val="nil"/>
              <w:left w:val="nil"/>
              <w:bottom w:val="nil"/>
              <w:right w:val="nil"/>
            </w:tcBorders>
            <w:shd w:val="clear" w:color="000000" w:fill="FFFF99"/>
            <w:noWrap/>
            <w:vAlign w:val="center"/>
            <w:hideMark/>
          </w:tcPr>
          <w:p w:rsidR="00E87F25" w:rsidRPr="00E87F25" w:rsidRDefault="00E87F25" w:rsidP="00E87F25">
            <w:pPr>
              <w:jc w:val="center"/>
              <w:rPr>
                <w:rFonts w:ascii="Arial Narrow" w:hAnsi="Arial Narrow"/>
                <w:b/>
                <w:bCs/>
                <w:i/>
                <w:iCs/>
                <w:color w:val="000000"/>
                <w:sz w:val="16"/>
                <w:szCs w:val="16"/>
                <w:lang w:val="es-ES"/>
              </w:rPr>
            </w:pPr>
            <w:bookmarkStart w:id="2" w:name="RANGE!D99"/>
            <w:r w:rsidRPr="00E87F25">
              <w:rPr>
                <w:rFonts w:ascii="Arial Narrow" w:hAnsi="Arial Narrow"/>
                <w:b/>
                <w:bCs/>
                <w:i/>
                <w:iCs/>
                <w:color w:val="000000"/>
                <w:sz w:val="16"/>
                <w:szCs w:val="16"/>
                <w:lang w:val="es-ES"/>
              </w:rPr>
              <w:t>9.407</w:t>
            </w:r>
            <w:bookmarkEnd w:id="2"/>
          </w:p>
        </w:tc>
        <w:tc>
          <w:tcPr>
            <w:tcW w:w="1095" w:type="dxa"/>
            <w:tcBorders>
              <w:top w:val="nil"/>
              <w:left w:val="nil"/>
              <w:bottom w:val="nil"/>
              <w:right w:val="nil"/>
            </w:tcBorders>
            <w:shd w:val="clear" w:color="auto" w:fill="auto"/>
            <w:noWrap/>
            <w:vAlign w:val="bottom"/>
            <w:hideMark/>
          </w:tcPr>
          <w:p w:rsidR="00E87F25" w:rsidRPr="00E87F25" w:rsidRDefault="00E87F25" w:rsidP="00E87F25">
            <w:pPr>
              <w:jc w:val="center"/>
              <w:rPr>
                <w:rFonts w:ascii="Arial Narrow" w:hAnsi="Arial Narrow"/>
                <w:b/>
                <w:bCs/>
                <w:i/>
                <w:iCs/>
                <w:color w:val="000000"/>
                <w:sz w:val="16"/>
                <w:szCs w:val="16"/>
                <w:lang w:val="es-ES"/>
              </w:rPr>
            </w:pP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404"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425"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IBL</w:t>
            </w:r>
          </w:p>
        </w:tc>
        <w:tc>
          <w:tcPr>
            <w:tcW w:w="1169" w:type="dxa"/>
            <w:tcBorders>
              <w:top w:val="single" w:sz="4" w:space="0" w:color="333300"/>
              <w:left w:val="nil"/>
              <w:bottom w:val="single" w:sz="4" w:space="0" w:color="333300"/>
              <w:right w:val="single" w:sz="4" w:space="0" w:color="333300"/>
            </w:tcBorders>
            <w:shd w:val="clear" w:color="000000" w:fill="FFFF99"/>
            <w:noWrap/>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951.487,48 </w:t>
            </w:r>
          </w:p>
        </w:tc>
      </w:tr>
      <w:tr w:rsidR="00E87F25" w:rsidRPr="00E87F25" w:rsidTr="0090196D">
        <w:trPr>
          <w:trHeight w:val="315"/>
        </w:trPr>
        <w:tc>
          <w:tcPr>
            <w:tcW w:w="819" w:type="dxa"/>
            <w:tcBorders>
              <w:top w:val="nil"/>
              <w:left w:val="nil"/>
              <w:bottom w:val="nil"/>
              <w:right w:val="nil"/>
            </w:tcBorders>
            <w:shd w:val="clear" w:color="auto" w:fill="auto"/>
            <w:noWrap/>
            <w:vAlign w:val="bottom"/>
            <w:hideMark/>
          </w:tcPr>
          <w:p w:rsidR="00E87F25" w:rsidRPr="00E87F25" w:rsidRDefault="00E87F25" w:rsidP="00E87F25">
            <w:pPr>
              <w:jc w:val="center"/>
              <w:rPr>
                <w:rFonts w:ascii="Arial Narrow" w:hAnsi="Arial Narrow"/>
                <w:b/>
                <w:bCs/>
                <w:i/>
                <w:iCs/>
                <w:color w:val="000000"/>
                <w:sz w:val="16"/>
                <w:szCs w:val="16"/>
                <w:lang w:val="es-ES"/>
              </w:rPr>
            </w:pPr>
          </w:p>
        </w:tc>
        <w:tc>
          <w:tcPr>
            <w:tcW w:w="1286" w:type="dxa"/>
            <w:gridSpan w:val="2"/>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693"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6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888"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09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404"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02"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23"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169"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r>
      <w:tr w:rsidR="00E87F25" w:rsidRPr="00E87F25" w:rsidTr="0090196D">
        <w:trPr>
          <w:trHeight w:val="495"/>
        </w:trPr>
        <w:tc>
          <w:tcPr>
            <w:tcW w:w="819"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286" w:type="dxa"/>
            <w:gridSpan w:val="2"/>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693"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76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888"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09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95"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404" w:type="dxa"/>
            <w:tcBorders>
              <w:top w:val="nil"/>
              <w:left w:val="nil"/>
              <w:bottom w:val="nil"/>
              <w:right w:val="nil"/>
            </w:tcBorders>
            <w:shd w:val="clear" w:color="auto" w:fill="auto"/>
            <w:noWrap/>
            <w:vAlign w:val="bottom"/>
            <w:hideMark/>
          </w:tcPr>
          <w:p w:rsidR="00E87F25" w:rsidRPr="00E87F25" w:rsidRDefault="00E87F25" w:rsidP="00E87F25">
            <w:pPr>
              <w:rPr>
                <w:sz w:val="20"/>
                <w:lang w:val="es-ES"/>
              </w:rPr>
            </w:pPr>
          </w:p>
        </w:tc>
        <w:tc>
          <w:tcPr>
            <w:tcW w:w="1425"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Mesada</w:t>
            </w:r>
          </w:p>
        </w:tc>
        <w:tc>
          <w:tcPr>
            <w:tcW w:w="1169" w:type="dxa"/>
            <w:tcBorders>
              <w:top w:val="single" w:sz="4" w:space="0" w:color="333300"/>
              <w:left w:val="nil"/>
              <w:bottom w:val="single" w:sz="4" w:space="0" w:color="333300"/>
              <w:right w:val="single" w:sz="4" w:space="0" w:color="333300"/>
            </w:tcBorders>
            <w:shd w:val="clear" w:color="000000" w:fill="FFFF99"/>
            <w:noWrap/>
            <w:vAlign w:val="center"/>
            <w:hideMark/>
          </w:tcPr>
          <w:p w:rsidR="00E87F25" w:rsidRPr="00E87F25" w:rsidRDefault="00E87F25" w:rsidP="00E87F25">
            <w:pPr>
              <w:jc w:val="center"/>
              <w:rPr>
                <w:rFonts w:ascii="Arial Narrow" w:hAnsi="Arial Narrow"/>
                <w:b/>
                <w:bCs/>
                <w:i/>
                <w:iCs/>
                <w:color w:val="000000"/>
                <w:sz w:val="16"/>
                <w:szCs w:val="16"/>
                <w:lang w:val="es-ES"/>
              </w:rPr>
            </w:pPr>
            <w:r w:rsidRPr="00E87F25">
              <w:rPr>
                <w:rFonts w:ascii="Arial Narrow" w:hAnsi="Arial Narrow"/>
                <w:b/>
                <w:bCs/>
                <w:i/>
                <w:iCs/>
                <w:color w:val="000000"/>
                <w:sz w:val="16"/>
                <w:szCs w:val="16"/>
                <w:lang w:val="es-ES"/>
              </w:rPr>
              <w:t xml:space="preserve">    713.615,61 </w:t>
            </w:r>
          </w:p>
        </w:tc>
      </w:tr>
    </w:tbl>
    <w:p w:rsidR="00CF5F93" w:rsidRPr="004A44C7" w:rsidRDefault="00CF5F93" w:rsidP="00CF5F93">
      <w:pPr>
        <w:pStyle w:val="Sansinterligne"/>
      </w:pPr>
    </w:p>
    <w:p w:rsidR="00CF5F93" w:rsidRDefault="00CF5F93" w:rsidP="00CF5F93">
      <w:pPr>
        <w:ind w:firstLine="900"/>
        <w:jc w:val="both"/>
        <w:rPr>
          <w:rFonts w:ascii="Arial Narrow" w:hAnsi="Arial Narrow" w:cs="Arial Narrow"/>
          <w:b/>
          <w:sz w:val="28"/>
          <w:szCs w:val="28"/>
          <w:lang w:val="es-ES"/>
        </w:rPr>
      </w:pPr>
    </w:p>
    <w:p w:rsidR="00C35CA1" w:rsidRDefault="00C35CA1"/>
    <w:p w:rsidR="00935C9A" w:rsidRDefault="00935C9A"/>
    <w:tbl>
      <w:tblPr>
        <w:tblW w:w="0" w:type="auto"/>
        <w:tblInd w:w="-10" w:type="dxa"/>
        <w:tblCellMar>
          <w:left w:w="70" w:type="dxa"/>
          <w:right w:w="70" w:type="dxa"/>
        </w:tblCellMar>
        <w:tblLook w:val="04A0" w:firstRow="1" w:lastRow="0" w:firstColumn="1" w:lastColumn="0" w:noHBand="0" w:noVBand="1"/>
      </w:tblPr>
      <w:tblGrid>
        <w:gridCol w:w="546"/>
        <w:gridCol w:w="1715"/>
        <w:gridCol w:w="973"/>
        <w:gridCol w:w="973"/>
        <w:gridCol w:w="762"/>
        <w:gridCol w:w="2092"/>
        <w:gridCol w:w="1626"/>
      </w:tblGrid>
      <w:tr w:rsidR="00CF0582" w:rsidRPr="00CF0582" w:rsidTr="00CF0582">
        <w:trPr>
          <w:trHeight w:val="465"/>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CF0582" w:rsidRPr="00CF0582" w:rsidRDefault="00CF0582" w:rsidP="00CF0582">
            <w:pPr>
              <w:jc w:val="center"/>
              <w:rPr>
                <w:rFonts w:ascii="Calibri" w:hAnsi="Calibri"/>
                <w:b/>
                <w:bCs/>
                <w:color w:val="000000"/>
                <w:sz w:val="16"/>
                <w:szCs w:val="16"/>
                <w:lang w:val="es-ES"/>
              </w:rPr>
            </w:pPr>
            <w:r w:rsidRPr="00CF0582">
              <w:rPr>
                <w:rFonts w:ascii="Calibri" w:hAnsi="Calibri"/>
                <w:b/>
                <w:bCs/>
                <w:color w:val="000000"/>
                <w:sz w:val="16"/>
                <w:szCs w:val="16"/>
                <w:lang w:val="es-ES"/>
              </w:rPr>
              <w:t>Año</w:t>
            </w:r>
          </w:p>
        </w:tc>
        <w:tc>
          <w:tcPr>
            <w:tcW w:w="0" w:type="auto"/>
            <w:tcBorders>
              <w:top w:val="single" w:sz="4" w:space="0" w:color="808000"/>
              <w:left w:val="nil"/>
              <w:bottom w:val="nil"/>
              <w:right w:val="single" w:sz="4" w:space="0" w:color="808000"/>
            </w:tcBorders>
            <w:shd w:val="clear" w:color="000000" w:fill="FFFF99"/>
            <w:vAlign w:val="center"/>
            <w:hideMark/>
          </w:tcPr>
          <w:p w:rsidR="00CF0582" w:rsidRPr="00CF0582" w:rsidRDefault="00CF0582" w:rsidP="00CF0582">
            <w:pPr>
              <w:jc w:val="center"/>
              <w:rPr>
                <w:rFonts w:ascii="Calibri" w:hAnsi="Calibri"/>
                <w:b/>
                <w:bCs/>
                <w:color w:val="000000"/>
                <w:sz w:val="16"/>
                <w:szCs w:val="16"/>
                <w:lang w:val="es-ES"/>
              </w:rPr>
            </w:pPr>
            <w:r w:rsidRPr="00CF0582">
              <w:rPr>
                <w:rFonts w:ascii="Calibri" w:hAnsi="Calibri"/>
                <w:b/>
                <w:bCs/>
                <w:color w:val="000000"/>
                <w:sz w:val="16"/>
                <w:szCs w:val="16"/>
                <w:lang w:val="es-ES"/>
              </w:rPr>
              <w:t>IPC</w:t>
            </w:r>
            <w:r w:rsidRPr="00CF0582">
              <w:rPr>
                <w:rFonts w:ascii="Calibri" w:hAnsi="Calibri"/>
                <w:b/>
                <w:bCs/>
                <w:sz w:val="16"/>
                <w:szCs w:val="16"/>
                <w:lang w:val="es-ES"/>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rsidR="00CF0582" w:rsidRPr="00CF0582" w:rsidRDefault="00CF0582" w:rsidP="00CF0582">
            <w:pPr>
              <w:jc w:val="center"/>
              <w:rPr>
                <w:rFonts w:ascii="Calibri" w:hAnsi="Calibri"/>
                <w:b/>
                <w:bCs/>
                <w:color w:val="000000"/>
                <w:sz w:val="16"/>
                <w:szCs w:val="16"/>
                <w:lang w:val="es-ES"/>
              </w:rPr>
            </w:pPr>
            <w:r w:rsidRPr="00CF0582">
              <w:rPr>
                <w:rFonts w:ascii="Calibri" w:hAnsi="Calibri"/>
                <w:b/>
                <w:bCs/>
                <w:color w:val="000000"/>
                <w:sz w:val="16"/>
                <w:szCs w:val="16"/>
                <w:lang w:val="es-ES"/>
              </w:rPr>
              <w:t>Desde</w:t>
            </w:r>
          </w:p>
        </w:tc>
        <w:tc>
          <w:tcPr>
            <w:tcW w:w="0" w:type="auto"/>
            <w:tcBorders>
              <w:top w:val="single" w:sz="4" w:space="0" w:color="808000"/>
              <w:left w:val="nil"/>
              <w:bottom w:val="nil"/>
              <w:right w:val="single" w:sz="4" w:space="0" w:color="808000"/>
            </w:tcBorders>
            <w:shd w:val="clear" w:color="000000" w:fill="FFFF99"/>
            <w:vAlign w:val="center"/>
            <w:hideMark/>
          </w:tcPr>
          <w:p w:rsidR="00CF0582" w:rsidRPr="00CF0582" w:rsidRDefault="00CF0582" w:rsidP="00CF0582">
            <w:pPr>
              <w:jc w:val="center"/>
              <w:rPr>
                <w:rFonts w:ascii="Calibri" w:hAnsi="Calibri"/>
                <w:b/>
                <w:bCs/>
                <w:color w:val="000000"/>
                <w:sz w:val="16"/>
                <w:szCs w:val="16"/>
                <w:lang w:val="es-ES"/>
              </w:rPr>
            </w:pPr>
            <w:r w:rsidRPr="00CF0582">
              <w:rPr>
                <w:rFonts w:ascii="Calibri" w:hAnsi="Calibri"/>
                <w:b/>
                <w:bCs/>
                <w:color w:val="000000"/>
                <w:sz w:val="16"/>
                <w:szCs w:val="16"/>
                <w:lang w:val="es-ES"/>
              </w:rPr>
              <w:t>Hasta</w:t>
            </w:r>
          </w:p>
        </w:tc>
        <w:tc>
          <w:tcPr>
            <w:tcW w:w="0" w:type="auto"/>
            <w:tcBorders>
              <w:top w:val="single" w:sz="4" w:space="0" w:color="808000"/>
              <w:left w:val="nil"/>
              <w:bottom w:val="nil"/>
              <w:right w:val="single" w:sz="4" w:space="0" w:color="808000"/>
            </w:tcBorders>
            <w:shd w:val="clear" w:color="000000" w:fill="FFFF99"/>
            <w:vAlign w:val="center"/>
            <w:hideMark/>
          </w:tcPr>
          <w:p w:rsidR="00CF0582" w:rsidRPr="00CF0582" w:rsidRDefault="00CF0582" w:rsidP="00CF0582">
            <w:pPr>
              <w:jc w:val="center"/>
              <w:rPr>
                <w:rFonts w:ascii="Calibri" w:hAnsi="Calibri"/>
                <w:b/>
                <w:bCs/>
                <w:color w:val="000000"/>
                <w:sz w:val="16"/>
                <w:szCs w:val="16"/>
                <w:lang w:val="es-ES"/>
              </w:rPr>
            </w:pPr>
            <w:r w:rsidRPr="00CF0582">
              <w:rPr>
                <w:rFonts w:ascii="Calibri" w:hAnsi="Calibri"/>
                <w:b/>
                <w:bCs/>
                <w:color w:val="000000"/>
                <w:sz w:val="16"/>
                <w:szCs w:val="16"/>
                <w:lang w:val="es-ES"/>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CF0582" w:rsidRPr="00CF0582" w:rsidRDefault="00CF0582" w:rsidP="00CF0582">
            <w:pPr>
              <w:jc w:val="center"/>
              <w:rPr>
                <w:rFonts w:ascii="Calibri" w:hAnsi="Calibri"/>
                <w:b/>
                <w:bCs/>
                <w:color w:val="000000"/>
                <w:sz w:val="16"/>
                <w:szCs w:val="16"/>
                <w:lang w:val="es-ES"/>
              </w:rPr>
            </w:pPr>
            <w:r w:rsidRPr="00CF0582">
              <w:rPr>
                <w:rFonts w:ascii="Calibri" w:hAnsi="Calibri"/>
                <w:b/>
                <w:bCs/>
                <w:color w:val="000000"/>
                <w:sz w:val="16"/>
                <w:szCs w:val="16"/>
                <w:lang w:val="es-ES"/>
              </w:rPr>
              <w:t xml:space="preserve">Mesada </w:t>
            </w:r>
            <w:proofErr w:type="spellStart"/>
            <w:r w:rsidRPr="00CF0582">
              <w:rPr>
                <w:rFonts w:ascii="Calibri" w:hAnsi="Calibri"/>
                <w:b/>
                <w:bCs/>
                <w:color w:val="000000"/>
                <w:sz w:val="16"/>
                <w:szCs w:val="16"/>
                <w:lang w:val="es-ES"/>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CF0582" w:rsidRPr="00CF0582" w:rsidRDefault="00CF0582" w:rsidP="00CF0582">
            <w:pPr>
              <w:jc w:val="center"/>
              <w:rPr>
                <w:rFonts w:ascii="Calibri" w:hAnsi="Calibri"/>
                <w:b/>
                <w:bCs/>
                <w:color w:val="000000"/>
                <w:sz w:val="16"/>
                <w:szCs w:val="16"/>
                <w:lang w:val="es-ES"/>
              </w:rPr>
            </w:pPr>
            <w:r w:rsidRPr="00CF0582">
              <w:rPr>
                <w:rFonts w:ascii="Calibri" w:hAnsi="Calibri"/>
                <w:b/>
                <w:bCs/>
                <w:color w:val="000000"/>
                <w:sz w:val="16"/>
                <w:szCs w:val="16"/>
                <w:lang w:val="es-ES"/>
              </w:rPr>
              <w:t xml:space="preserve"> Diferencias a cancelar </w:t>
            </w:r>
          </w:p>
        </w:tc>
      </w:tr>
      <w:tr w:rsidR="00CF0582" w:rsidRPr="00CF0582" w:rsidTr="00CF0582">
        <w:trPr>
          <w:trHeight w:val="255"/>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2012</w:t>
            </w:r>
          </w:p>
        </w:tc>
        <w:tc>
          <w:tcPr>
            <w:tcW w:w="0" w:type="auto"/>
            <w:tcBorders>
              <w:top w:val="single" w:sz="4" w:space="0" w:color="003366"/>
              <w:left w:val="nil"/>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0,00</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19-feb-12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31-dic-12</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11,33</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CF0582" w:rsidRPr="00CF0582" w:rsidRDefault="00CF0582" w:rsidP="00CF0582">
            <w:pPr>
              <w:rPr>
                <w:rFonts w:ascii="Calibri" w:hAnsi="Calibri"/>
                <w:sz w:val="20"/>
                <w:lang w:val="es-ES"/>
              </w:rPr>
            </w:pPr>
            <w:r w:rsidRPr="00CF0582">
              <w:rPr>
                <w:rFonts w:ascii="Calibri" w:hAnsi="Calibri"/>
                <w:sz w:val="20"/>
                <w:lang w:val="es-ES"/>
              </w:rPr>
              <w:t xml:space="preserve">                   713.615,00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CF0582" w:rsidRPr="00CF0582" w:rsidRDefault="00CF0582" w:rsidP="00CF0582">
            <w:pPr>
              <w:rPr>
                <w:rFonts w:ascii="Calibri" w:hAnsi="Calibri"/>
                <w:color w:val="000000"/>
                <w:sz w:val="20"/>
                <w:lang w:val="es-ES"/>
              </w:rPr>
            </w:pPr>
            <w:r w:rsidRPr="00CF0582">
              <w:rPr>
                <w:rFonts w:ascii="Calibri" w:hAnsi="Calibri"/>
                <w:color w:val="000000"/>
                <w:sz w:val="20"/>
                <w:lang w:val="es-ES"/>
              </w:rPr>
              <w:t xml:space="preserve">       8.085.257,95 </w:t>
            </w:r>
          </w:p>
        </w:tc>
      </w:tr>
      <w:tr w:rsidR="00CF0582" w:rsidRPr="00CF0582" w:rsidTr="00CF0582">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2013</w:t>
            </w:r>
          </w:p>
        </w:tc>
        <w:tc>
          <w:tcPr>
            <w:tcW w:w="0" w:type="auto"/>
            <w:tcBorders>
              <w:top w:val="nil"/>
              <w:left w:val="nil"/>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13,00</w:t>
            </w:r>
          </w:p>
        </w:tc>
        <w:tc>
          <w:tcPr>
            <w:tcW w:w="0" w:type="auto"/>
            <w:tcBorders>
              <w:top w:val="nil"/>
              <w:left w:val="nil"/>
              <w:bottom w:val="single" w:sz="4" w:space="0" w:color="003366"/>
              <w:right w:val="single" w:sz="4" w:space="0" w:color="003366"/>
            </w:tcBorders>
            <w:shd w:val="clear" w:color="000000" w:fill="FFFFCC"/>
            <w:vAlign w:val="bottom"/>
            <w:hideMark/>
          </w:tcPr>
          <w:p w:rsidR="00CF0582" w:rsidRPr="00CF0582" w:rsidRDefault="00CF0582" w:rsidP="00CF0582">
            <w:pPr>
              <w:rPr>
                <w:rFonts w:ascii="Calibri" w:hAnsi="Calibri"/>
                <w:sz w:val="20"/>
                <w:lang w:val="es-ES"/>
              </w:rPr>
            </w:pPr>
            <w:r w:rsidRPr="00CF0582">
              <w:rPr>
                <w:rFonts w:ascii="Calibri" w:hAnsi="Calibri"/>
                <w:sz w:val="20"/>
                <w:lang w:val="es-ES"/>
              </w:rPr>
              <w:t xml:space="preserve">                   731.027,21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F0582" w:rsidRPr="00CF0582" w:rsidRDefault="00CF0582" w:rsidP="00CF0582">
            <w:pPr>
              <w:rPr>
                <w:rFonts w:ascii="Calibri" w:hAnsi="Calibri"/>
                <w:color w:val="000000"/>
                <w:sz w:val="20"/>
                <w:lang w:val="es-ES"/>
              </w:rPr>
            </w:pPr>
            <w:r w:rsidRPr="00CF0582">
              <w:rPr>
                <w:rFonts w:ascii="Calibri" w:hAnsi="Calibri"/>
                <w:color w:val="000000"/>
                <w:sz w:val="20"/>
                <w:lang w:val="es-ES"/>
              </w:rPr>
              <w:t xml:space="preserve">       9.503.353,68 </w:t>
            </w:r>
          </w:p>
        </w:tc>
      </w:tr>
      <w:tr w:rsidR="00CF0582" w:rsidRPr="00CF0582" w:rsidTr="00CF0582">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2014</w:t>
            </w:r>
          </w:p>
        </w:tc>
        <w:tc>
          <w:tcPr>
            <w:tcW w:w="0" w:type="auto"/>
            <w:tcBorders>
              <w:top w:val="nil"/>
              <w:left w:val="nil"/>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13,00</w:t>
            </w:r>
          </w:p>
        </w:tc>
        <w:tc>
          <w:tcPr>
            <w:tcW w:w="0" w:type="auto"/>
            <w:tcBorders>
              <w:top w:val="nil"/>
              <w:left w:val="nil"/>
              <w:bottom w:val="single" w:sz="4" w:space="0" w:color="003366"/>
              <w:right w:val="single" w:sz="4" w:space="0" w:color="003366"/>
            </w:tcBorders>
            <w:shd w:val="clear" w:color="000000" w:fill="FFFFCC"/>
            <w:vAlign w:val="bottom"/>
            <w:hideMark/>
          </w:tcPr>
          <w:p w:rsidR="00CF0582" w:rsidRPr="00CF0582" w:rsidRDefault="00CF0582" w:rsidP="00CF0582">
            <w:pPr>
              <w:rPr>
                <w:rFonts w:ascii="Calibri" w:hAnsi="Calibri"/>
                <w:sz w:val="20"/>
                <w:lang w:val="es-ES"/>
              </w:rPr>
            </w:pPr>
            <w:r w:rsidRPr="00CF0582">
              <w:rPr>
                <w:rFonts w:ascii="Calibri" w:hAnsi="Calibri"/>
                <w:sz w:val="20"/>
                <w:lang w:val="es-ES"/>
              </w:rPr>
              <w:t xml:space="preserve">                   745.209,13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F0582" w:rsidRPr="00CF0582" w:rsidRDefault="00CF0582" w:rsidP="00CF0582">
            <w:pPr>
              <w:rPr>
                <w:rFonts w:ascii="Calibri" w:hAnsi="Calibri"/>
                <w:color w:val="000000"/>
                <w:sz w:val="20"/>
                <w:lang w:val="es-ES"/>
              </w:rPr>
            </w:pPr>
            <w:r w:rsidRPr="00CF0582">
              <w:rPr>
                <w:rFonts w:ascii="Calibri" w:hAnsi="Calibri"/>
                <w:color w:val="000000"/>
                <w:sz w:val="20"/>
                <w:lang w:val="es-ES"/>
              </w:rPr>
              <w:t xml:space="preserve">       9.687.718,74 </w:t>
            </w:r>
          </w:p>
        </w:tc>
      </w:tr>
      <w:tr w:rsidR="00CF0582" w:rsidRPr="00CF0582" w:rsidTr="00CF0582">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2015</w:t>
            </w:r>
          </w:p>
        </w:tc>
        <w:tc>
          <w:tcPr>
            <w:tcW w:w="0" w:type="auto"/>
            <w:tcBorders>
              <w:top w:val="nil"/>
              <w:left w:val="nil"/>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13,00</w:t>
            </w:r>
          </w:p>
        </w:tc>
        <w:tc>
          <w:tcPr>
            <w:tcW w:w="0" w:type="auto"/>
            <w:tcBorders>
              <w:top w:val="nil"/>
              <w:left w:val="nil"/>
              <w:bottom w:val="single" w:sz="4" w:space="0" w:color="003366"/>
              <w:right w:val="single" w:sz="4" w:space="0" w:color="003366"/>
            </w:tcBorders>
            <w:shd w:val="clear" w:color="000000" w:fill="FFFFCC"/>
            <w:vAlign w:val="bottom"/>
            <w:hideMark/>
          </w:tcPr>
          <w:p w:rsidR="00CF0582" w:rsidRPr="00CF0582" w:rsidRDefault="00CF0582" w:rsidP="00CF0582">
            <w:pPr>
              <w:rPr>
                <w:rFonts w:ascii="Calibri" w:hAnsi="Calibri"/>
                <w:sz w:val="20"/>
                <w:lang w:val="es-ES"/>
              </w:rPr>
            </w:pPr>
            <w:r w:rsidRPr="00CF0582">
              <w:rPr>
                <w:rFonts w:ascii="Calibri" w:hAnsi="Calibri"/>
                <w:sz w:val="20"/>
                <w:lang w:val="es-ES"/>
              </w:rPr>
              <w:t xml:space="preserve">                   772.483,79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F0582" w:rsidRPr="00CF0582" w:rsidRDefault="00CF0582" w:rsidP="00CF0582">
            <w:pPr>
              <w:rPr>
                <w:rFonts w:ascii="Calibri" w:hAnsi="Calibri"/>
                <w:color w:val="000000"/>
                <w:sz w:val="20"/>
                <w:lang w:val="es-ES"/>
              </w:rPr>
            </w:pPr>
            <w:r w:rsidRPr="00CF0582">
              <w:rPr>
                <w:rFonts w:ascii="Calibri" w:hAnsi="Calibri"/>
                <w:color w:val="000000"/>
                <w:sz w:val="20"/>
                <w:lang w:val="es-ES"/>
              </w:rPr>
              <w:t xml:space="preserve">    10.042.289,25 </w:t>
            </w:r>
          </w:p>
        </w:tc>
      </w:tr>
      <w:tr w:rsidR="00CF0582" w:rsidRPr="00CF0582" w:rsidTr="00CF0582">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2016</w:t>
            </w:r>
          </w:p>
        </w:tc>
        <w:tc>
          <w:tcPr>
            <w:tcW w:w="0" w:type="auto"/>
            <w:tcBorders>
              <w:top w:val="nil"/>
              <w:left w:val="nil"/>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31-dic-16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13,00</w:t>
            </w:r>
          </w:p>
        </w:tc>
        <w:tc>
          <w:tcPr>
            <w:tcW w:w="0" w:type="auto"/>
            <w:tcBorders>
              <w:top w:val="nil"/>
              <w:left w:val="nil"/>
              <w:bottom w:val="single" w:sz="4" w:space="0" w:color="003366"/>
              <w:right w:val="single" w:sz="4" w:space="0" w:color="003366"/>
            </w:tcBorders>
            <w:shd w:val="clear" w:color="000000" w:fill="FFFFCC"/>
            <w:vAlign w:val="bottom"/>
            <w:hideMark/>
          </w:tcPr>
          <w:p w:rsidR="00CF0582" w:rsidRPr="00CF0582" w:rsidRDefault="00CF0582" w:rsidP="00CF0582">
            <w:pPr>
              <w:rPr>
                <w:rFonts w:ascii="Calibri" w:hAnsi="Calibri"/>
                <w:sz w:val="20"/>
                <w:lang w:val="es-ES"/>
              </w:rPr>
            </w:pPr>
            <w:r w:rsidRPr="00CF0582">
              <w:rPr>
                <w:rFonts w:ascii="Calibri" w:hAnsi="Calibri"/>
                <w:sz w:val="20"/>
                <w:lang w:val="es-ES"/>
              </w:rPr>
              <w:t xml:space="preserve">                   824.780,94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F0582" w:rsidRPr="00CF0582" w:rsidRDefault="00CF0582" w:rsidP="00CF0582">
            <w:pPr>
              <w:rPr>
                <w:rFonts w:ascii="Calibri" w:hAnsi="Calibri"/>
                <w:color w:val="000000"/>
                <w:sz w:val="20"/>
                <w:lang w:val="es-ES"/>
              </w:rPr>
            </w:pPr>
            <w:r w:rsidRPr="00CF0582">
              <w:rPr>
                <w:rFonts w:ascii="Calibri" w:hAnsi="Calibri"/>
                <w:color w:val="000000"/>
                <w:sz w:val="20"/>
                <w:lang w:val="es-ES"/>
              </w:rPr>
              <w:t xml:space="preserve">    10.722.152,23 </w:t>
            </w:r>
          </w:p>
        </w:tc>
      </w:tr>
      <w:tr w:rsidR="00CF0582" w:rsidRPr="00CF0582" w:rsidTr="00CF0582">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2017</w:t>
            </w:r>
          </w:p>
        </w:tc>
        <w:tc>
          <w:tcPr>
            <w:tcW w:w="0" w:type="auto"/>
            <w:tcBorders>
              <w:top w:val="nil"/>
              <w:left w:val="nil"/>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CF0582" w:rsidRPr="00CF0582" w:rsidRDefault="00CF0582" w:rsidP="00CF0582">
            <w:pPr>
              <w:jc w:val="right"/>
              <w:rPr>
                <w:rFonts w:ascii="Calibri" w:hAnsi="Calibri"/>
                <w:color w:val="000000"/>
                <w:sz w:val="20"/>
                <w:lang w:val="es-ES"/>
              </w:rPr>
            </w:pPr>
            <w:r w:rsidRPr="00CF0582">
              <w:rPr>
                <w:rFonts w:ascii="Calibri" w:hAnsi="Calibri"/>
                <w:color w:val="000000"/>
                <w:sz w:val="20"/>
                <w:lang w:val="es-ES"/>
              </w:rPr>
              <w:t>31-ene-17</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0582" w:rsidRPr="00CF0582" w:rsidRDefault="00CF0582" w:rsidP="00CF0582">
            <w:pPr>
              <w:jc w:val="center"/>
              <w:rPr>
                <w:rFonts w:ascii="Calibri" w:hAnsi="Calibri"/>
                <w:sz w:val="20"/>
                <w:lang w:val="es-ES"/>
              </w:rPr>
            </w:pPr>
            <w:r w:rsidRPr="00CF0582">
              <w:rPr>
                <w:rFonts w:ascii="Calibri" w:hAnsi="Calibri"/>
                <w:sz w:val="20"/>
                <w:lang w:val="es-ES"/>
              </w:rPr>
              <w:t>1,00</w:t>
            </w:r>
          </w:p>
        </w:tc>
        <w:tc>
          <w:tcPr>
            <w:tcW w:w="0" w:type="auto"/>
            <w:tcBorders>
              <w:top w:val="nil"/>
              <w:left w:val="nil"/>
              <w:bottom w:val="single" w:sz="4" w:space="0" w:color="003366"/>
              <w:right w:val="single" w:sz="4" w:space="0" w:color="003366"/>
            </w:tcBorders>
            <w:shd w:val="clear" w:color="000000" w:fill="FFFFCC"/>
            <w:vAlign w:val="bottom"/>
            <w:hideMark/>
          </w:tcPr>
          <w:p w:rsidR="00CF0582" w:rsidRPr="00CF0582" w:rsidRDefault="00CF0582" w:rsidP="00CF0582">
            <w:pPr>
              <w:rPr>
                <w:rFonts w:ascii="Calibri" w:hAnsi="Calibri"/>
                <w:sz w:val="20"/>
                <w:lang w:val="es-ES"/>
              </w:rPr>
            </w:pPr>
            <w:r w:rsidRPr="00CF0582">
              <w:rPr>
                <w:rFonts w:ascii="Calibri" w:hAnsi="Calibri"/>
                <w:sz w:val="20"/>
                <w:lang w:val="es-ES"/>
              </w:rPr>
              <w:t xml:space="preserve">                   872.205,84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F0582" w:rsidRPr="00CF0582" w:rsidRDefault="00CF0582" w:rsidP="00CF0582">
            <w:pPr>
              <w:rPr>
                <w:rFonts w:ascii="Calibri" w:hAnsi="Calibri"/>
                <w:color w:val="000000"/>
                <w:sz w:val="20"/>
                <w:lang w:val="es-ES"/>
              </w:rPr>
            </w:pPr>
            <w:r w:rsidRPr="00CF0582">
              <w:rPr>
                <w:rFonts w:ascii="Calibri" w:hAnsi="Calibri"/>
                <w:color w:val="000000"/>
                <w:sz w:val="20"/>
                <w:lang w:val="es-ES"/>
              </w:rPr>
              <w:t xml:space="preserve">          872.205,84 </w:t>
            </w:r>
          </w:p>
        </w:tc>
      </w:tr>
      <w:tr w:rsidR="00CF0582" w:rsidRPr="00CF0582" w:rsidTr="00CF0582">
        <w:trPr>
          <w:trHeight w:val="255"/>
        </w:trPr>
        <w:tc>
          <w:tcPr>
            <w:tcW w:w="0" w:type="auto"/>
            <w:tcBorders>
              <w:top w:val="nil"/>
              <w:left w:val="nil"/>
              <w:bottom w:val="nil"/>
              <w:right w:val="nil"/>
            </w:tcBorders>
            <w:shd w:val="clear" w:color="auto" w:fill="auto"/>
            <w:noWrap/>
            <w:vAlign w:val="bottom"/>
            <w:hideMark/>
          </w:tcPr>
          <w:p w:rsidR="00CF0582" w:rsidRPr="00CF0582" w:rsidRDefault="00CF0582" w:rsidP="00CF0582">
            <w:pPr>
              <w:rPr>
                <w:rFonts w:ascii="Calibri" w:hAnsi="Calibri"/>
                <w:color w:val="000000"/>
                <w:sz w:val="20"/>
                <w:lang w:val="es-ES"/>
              </w:rPr>
            </w:pPr>
          </w:p>
        </w:tc>
        <w:tc>
          <w:tcPr>
            <w:tcW w:w="0" w:type="auto"/>
            <w:tcBorders>
              <w:top w:val="nil"/>
              <w:left w:val="nil"/>
              <w:bottom w:val="nil"/>
              <w:right w:val="nil"/>
            </w:tcBorders>
            <w:shd w:val="clear" w:color="auto" w:fill="auto"/>
            <w:noWrap/>
            <w:vAlign w:val="bottom"/>
            <w:hideMark/>
          </w:tcPr>
          <w:p w:rsidR="00CF0582" w:rsidRPr="00CF0582" w:rsidRDefault="00CF0582" w:rsidP="00CF0582">
            <w:pPr>
              <w:rPr>
                <w:sz w:val="20"/>
                <w:lang w:val="es-ES"/>
              </w:rPr>
            </w:pPr>
          </w:p>
        </w:tc>
        <w:tc>
          <w:tcPr>
            <w:tcW w:w="0" w:type="auto"/>
            <w:tcBorders>
              <w:top w:val="nil"/>
              <w:left w:val="nil"/>
              <w:bottom w:val="nil"/>
              <w:right w:val="nil"/>
            </w:tcBorders>
            <w:shd w:val="clear" w:color="auto" w:fill="auto"/>
            <w:noWrap/>
            <w:vAlign w:val="bottom"/>
            <w:hideMark/>
          </w:tcPr>
          <w:p w:rsidR="00CF0582" w:rsidRPr="00CF0582" w:rsidRDefault="00CF0582" w:rsidP="00CF0582">
            <w:pPr>
              <w:rPr>
                <w:sz w:val="20"/>
                <w:lang w:val="es-ES"/>
              </w:rPr>
            </w:pPr>
          </w:p>
        </w:tc>
        <w:tc>
          <w:tcPr>
            <w:tcW w:w="0" w:type="auto"/>
            <w:tcBorders>
              <w:top w:val="nil"/>
              <w:left w:val="nil"/>
              <w:bottom w:val="nil"/>
              <w:right w:val="nil"/>
            </w:tcBorders>
            <w:shd w:val="clear" w:color="auto" w:fill="auto"/>
            <w:noWrap/>
            <w:vAlign w:val="bottom"/>
            <w:hideMark/>
          </w:tcPr>
          <w:p w:rsidR="00CF0582" w:rsidRPr="00CF0582" w:rsidRDefault="00CF0582" w:rsidP="00CF0582">
            <w:pPr>
              <w:rPr>
                <w:sz w:val="20"/>
                <w:lang w:val="es-ES"/>
              </w:rPr>
            </w:pPr>
          </w:p>
        </w:tc>
        <w:tc>
          <w:tcPr>
            <w:tcW w:w="0" w:type="auto"/>
            <w:tcBorders>
              <w:top w:val="nil"/>
              <w:left w:val="nil"/>
              <w:bottom w:val="nil"/>
              <w:right w:val="nil"/>
            </w:tcBorders>
            <w:shd w:val="clear" w:color="auto" w:fill="auto"/>
            <w:noWrap/>
            <w:vAlign w:val="bottom"/>
            <w:hideMark/>
          </w:tcPr>
          <w:p w:rsidR="00CF0582" w:rsidRPr="00CF0582" w:rsidRDefault="00CF0582" w:rsidP="00CF0582">
            <w:pPr>
              <w:rPr>
                <w:sz w:val="20"/>
                <w:lang w:val="es-ES"/>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CF0582" w:rsidRPr="00CF0582" w:rsidRDefault="00CF0582" w:rsidP="00CF0582">
            <w:pPr>
              <w:jc w:val="center"/>
              <w:rPr>
                <w:rFonts w:ascii="Calibri" w:hAnsi="Calibri"/>
                <w:b/>
                <w:bCs/>
                <w:sz w:val="20"/>
                <w:lang w:val="es-ES"/>
              </w:rPr>
            </w:pPr>
            <w:r w:rsidRPr="00CF0582">
              <w:rPr>
                <w:rFonts w:ascii="Calibri" w:hAnsi="Calibri"/>
                <w:b/>
                <w:bCs/>
                <w:sz w:val="20"/>
                <w:lang w:val="es-ES"/>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CF0582" w:rsidRPr="00CF0582" w:rsidRDefault="00CF0582" w:rsidP="00CF0582">
            <w:pPr>
              <w:rPr>
                <w:rFonts w:ascii="Calibri" w:hAnsi="Calibri"/>
                <w:b/>
                <w:bCs/>
                <w:color w:val="000000"/>
                <w:sz w:val="20"/>
                <w:lang w:val="es-ES"/>
              </w:rPr>
            </w:pPr>
            <w:r w:rsidRPr="00CF0582">
              <w:rPr>
                <w:rFonts w:ascii="Calibri" w:hAnsi="Calibri"/>
                <w:b/>
                <w:bCs/>
                <w:color w:val="000000"/>
                <w:sz w:val="20"/>
                <w:lang w:val="es-ES"/>
              </w:rPr>
              <w:t xml:space="preserve">    48.912.977,68 </w:t>
            </w:r>
          </w:p>
        </w:tc>
      </w:tr>
    </w:tbl>
    <w:p w:rsidR="00935C9A" w:rsidRDefault="00935C9A" w:rsidP="00CF0582"/>
    <w:sectPr w:rsidR="00935C9A" w:rsidSect="004609D0">
      <w:headerReference w:type="default" r:id="rId8"/>
      <w:footerReference w:type="even" r:id="rId9"/>
      <w:footerReference w:type="default" r:id="rId10"/>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F9" w:rsidRDefault="00024DF9" w:rsidP="004609D0">
      <w:r>
        <w:separator/>
      </w:r>
    </w:p>
  </w:endnote>
  <w:endnote w:type="continuationSeparator" w:id="0">
    <w:p w:rsidR="00024DF9" w:rsidRDefault="00024DF9" w:rsidP="004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25" w:rsidRDefault="00E87F25"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87F25" w:rsidRDefault="00E87F25" w:rsidP="004609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25" w:rsidRDefault="00E87F25"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A1F8C">
      <w:rPr>
        <w:rStyle w:val="Numrodepage"/>
        <w:noProof/>
      </w:rPr>
      <w:t>6</w:t>
    </w:r>
    <w:r>
      <w:rPr>
        <w:rStyle w:val="Numrodepage"/>
      </w:rPr>
      <w:fldChar w:fldCharType="end"/>
    </w:r>
  </w:p>
  <w:p w:rsidR="00E87F25" w:rsidRDefault="00E87F25" w:rsidP="004609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F9" w:rsidRDefault="00024DF9" w:rsidP="004609D0">
      <w:r>
        <w:separator/>
      </w:r>
    </w:p>
  </w:footnote>
  <w:footnote w:type="continuationSeparator" w:id="0">
    <w:p w:rsidR="00024DF9" w:rsidRDefault="00024DF9" w:rsidP="0046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25" w:rsidRDefault="00E87F25"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1-2013-00442-01</w:t>
    </w:r>
  </w:p>
  <w:p w:rsidR="00E87F25" w:rsidRPr="0015409B" w:rsidRDefault="00E87F25" w:rsidP="004609D0">
    <w:pPr>
      <w:jc w:val="both"/>
      <w:rPr>
        <w:rFonts w:ascii="Arial Narrow" w:hAnsi="Arial Narrow"/>
        <w:sz w:val="18"/>
        <w:szCs w:val="18"/>
        <w:lang w:val="es-ES"/>
      </w:rPr>
    </w:pPr>
    <w:r>
      <w:rPr>
        <w:rFonts w:ascii="Arial Narrow" w:hAnsi="Arial Narrow" w:cs="Arial"/>
        <w:bCs/>
        <w:sz w:val="18"/>
        <w:szCs w:val="18"/>
      </w:rPr>
      <w:t xml:space="preserve">William Valencia Gutiérrez </w:t>
    </w:r>
    <w:r w:rsidRPr="0015409B">
      <w:rPr>
        <w:rFonts w:ascii="Arial Narrow" w:hAnsi="Arial Narrow" w:cs="Arial"/>
        <w:bCs/>
        <w:sz w:val="18"/>
        <w:szCs w:val="18"/>
        <w:lang w:val="es-ES"/>
      </w:rPr>
      <w:t xml:space="preserve">vs </w:t>
    </w:r>
    <w:proofErr w:type="spellStart"/>
    <w:r w:rsidRPr="0015409B">
      <w:rPr>
        <w:rFonts w:ascii="Arial Narrow" w:hAnsi="Arial Narrow" w:cs="Arial"/>
        <w:bCs/>
        <w:sz w:val="18"/>
        <w:szCs w:val="18"/>
        <w:lang w:val="es-ES"/>
      </w:rPr>
      <w:t>Colpensiones</w:t>
    </w:r>
    <w:proofErr w:type="spellEnd"/>
    <w:r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45D1B4C"/>
    <w:multiLevelType w:val="hybridMultilevel"/>
    <w:tmpl w:val="69E011B4"/>
    <w:lvl w:ilvl="0" w:tplc="186659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A751BE"/>
    <w:multiLevelType w:val="hybridMultilevel"/>
    <w:tmpl w:val="528664D0"/>
    <w:lvl w:ilvl="0" w:tplc="AA10C5E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B27FE1"/>
    <w:multiLevelType w:val="hybridMultilevel"/>
    <w:tmpl w:val="2C96BC42"/>
    <w:lvl w:ilvl="0" w:tplc="A8F8B3F2">
      <w:start w:val="1"/>
      <w:numFmt w:val="decimal"/>
      <w:lvlText w:val="%1."/>
      <w:lvlJc w:val="left"/>
      <w:pPr>
        <w:ind w:left="1068" w:hanging="360"/>
      </w:pPr>
      <w:rPr>
        <w:rFonts w:ascii="Arial Narrow" w:eastAsia="SimSun" w:hAnsi="Arial Narrow" w:cs="Arial" w:hint="default"/>
        <w:b w:val="0"/>
        <w:i/>
        <w:sz w:val="28"/>
        <w:szCs w:val="28"/>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D0"/>
    <w:rsid w:val="00024DF9"/>
    <w:rsid w:val="000413E2"/>
    <w:rsid w:val="00052FB4"/>
    <w:rsid w:val="00060588"/>
    <w:rsid w:val="00076C44"/>
    <w:rsid w:val="00085561"/>
    <w:rsid w:val="00087F99"/>
    <w:rsid w:val="0009087F"/>
    <w:rsid w:val="000B7D88"/>
    <w:rsid w:val="000D562C"/>
    <w:rsid w:val="000F10F6"/>
    <w:rsid w:val="00106F56"/>
    <w:rsid w:val="00107AB3"/>
    <w:rsid w:val="001212BE"/>
    <w:rsid w:val="00144D39"/>
    <w:rsid w:val="0014509D"/>
    <w:rsid w:val="0017261A"/>
    <w:rsid w:val="00193282"/>
    <w:rsid w:val="0019336F"/>
    <w:rsid w:val="00193F61"/>
    <w:rsid w:val="001941CE"/>
    <w:rsid w:val="001A28F7"/>
    <w:rsid w:val="001B6AF6"/>
    <w:rsid w:val="001D5035"/>
    <w:rsid w:val="001E0BC4"/>
    <w:rsid w:val="001E32E1"/>
    <w:rsid w:val="001F49C7"/>
    <w:rsid w:val="002143F5"/>
    <w:rsid w:val="00216A2B"/>
    <w:rsid w:val="002A742A"/>
    <w:rsid w:val="002B7D4C"/>
    <w:rsid w:val="002C658B"/>
    <w:rsid w:val="00300E14"/>
    <w:rsid w:val="003255C0"/>
    <w:rsid w:val="0033139D"/>
    <w:rsid w:val="00351DDD"/>
    <w:rsid w:val="003B7042"/>
    <w:rsid w:val="003B7316"/>
    <w:rsid w:val="003C5ECF"/>
    <w:rsid w:val="003D0425"/>
    <w:rsid w:val="003D07E5"/>
    <w:rsid w:val="00402A12"/>
    <w:rsid w:val="0042015F"/>
    <w:rsid w:val="00421883"/>
    <w:rsid w:val="00424C22"/>
    <w:rsid w:val="004609D0"/>
    <w:rsid w:val="0048738F"/>
    <w:rsid w:val="00494BDB"/>
    <w:rsid w:val="004A5502"/>
    <w:rsid w:val="004A6CB4"/>
    <w:rsid w:val="004A7FE9"/>
    <w:rsid w:val="004B1959"/>
    <w:rsid w:val="004C6432"/>
    <w:rsid w:val="005243CB"/>
    <w:rsid w:val="0054502C"/>
    <w:rsid w:val="00564FBD"/>
    <w:rsid w:val="005A5A86"/>
    <w:rsid w:val="005C5CAD"/>
    <w:rsid w:val="005C7D8A"/>
    <w:rsid w:val="005E2D53"/>
    <w:rsid w:val="005E6318"/>
    <w:rsid w:val="006167F1"/>
    <w:rsid w:val="00635CBB"/>
    <w:rsid w:val="006369E3"/>
    <w:rsid w:val="00637705"/>
    <w:rsid w:val="00646BAD"/>
    <w:rsid w:val="00650A51"/>
    <w:rsid w:val="00657A07"/>
    <w:rsid w:val="00670D64"/>
    <w:rsid w:val="00674425"/>
    <w:rsid w:val="00685508"/>
    <w:rsid w:val="006D5E49"/>
    <w:rsid w:val="006D7E8A"/>
    <w:rsid w:val="0070370C"/>
    <w:rsid w:val="00721C51"/>
    <w:rsid w:val="00724620"/>
    <w:rsid w:val="00725FBF"/>
    <w:rsid w:val="00735C38"/>
    <w:rsid w:val="0074541A"/>
    <w:rsid w:val="0077608B"/>
    <w:rsid w:val="007803A2"/>
    <w:rsid w:val="00780B31"/>
    <w:rsid w:val="007E48D7"/>
    <w:rsid w:val="00801A67"/>
    <w:rsid w:val="008110EE"/>
    <w:rsid w:val="00815A4F"/>
    <w:rsid w:val="00817A16"/>
    <w:rsid w:val="008217DA"/>
    <w:rsid w:val="008B4369"/>
    <w:rsid w:val="008C4A7C"/>
    <w:rsid w:val="008E7F50"/>
    <w:rsid w:val="0090196D"/>
    <w:rsid w:val="00935C9A"/>
    <w:rsid w:val="00950FD2"/>
    <w:rsid w:val="00965640"/>
    <w:rsid w:val="00993219"/>
    <w:rsid w:val="009A49E6"/>
    <w:rsid w:val="009C16AA"/>
    <w:rsid w:val="00A00216"/>
    <w:rsid w:val="00A04608"/>
    <w:rsid w:val="00A25CF3"/>
    <w:rsid w:val="00A37931"/>
    <w:rsid w:val="00A54AC5"/>
    <w:rsid w:val="00A87A4F"/>
    <w:rsid w:val="00AC7DE4"/>
    <w:rsid w:val="00AD23C1"/>
    <w:rsid w:val="00AE070C"/>
    <w:rsid w:val="00AE437B"/>
    <w:rsid w:val="00AE5598"/>
    <w:rsid w:val="00B104ED"/>
    <w:rsid w:val="00B138D5"/>
    <w:rsid w:val="00B90975"/>
    <w:rsid w:val="00BA1F8C"/>
    <w:rsid w:val="00BE6011"/>
    <w:rsid w:val="00BE7032"/>
    <w:rsid w:val="00C1213A"/>
    <w:rsid w:val="00C131FA"/>
    <w:rsid w:val="00C35CA1"/>
    <w:rsid w:val="00C52CDB"/>
    <w:rsid w:val="00C82DCC"/>
    <w:rsid w:val="00C847EF"/>
    <w:rsid w:val="00C84A42"/>
    <w:rsid w:val="00CC0C4C"/>
    <w:rsid w:val="00CC17F7"/>
    <w:rsid w:val="00CC2209"/>
    <w:rsid w:val="00CC2A8E"/>
    <w:rsid w:val="00CD26BB"/>
    <w:rsid w:val="00CD6B70"/>
    <w:rsid w:val="00CE6D7F"/>
    <w:rsid w:val="00CF0582"/>
    <w:rsid w:val="00CF5F93"/>
    <w:rsid w:val="00D10E5E"/>
    <w:rsid w:val="00D1202E"/>
    <w:rsid w:val="00D13B47"/>
    <w:rsid w:val="00D4096E"/>
    <w:rsid w:val="00D53127"/>
    <w:rsid w:val="00D55A9C"/>
    <w:rsid w:val="00D76142"/>
    <w:rsid w:val="00DA5486"/>
    <w:rsid w:val="00DC583B"/>
    <w:rsid w:val="00DD0C84"/>
    <w:rsid w:val="00DD1386"/>
    <w:rsid w:val="00DE0738"/>
    <w:rsid w:val="00DF5D25"/>
    <w:rsid w:val="00E0276F"/>
    <w:rsid w:val="00E16963"/>
    <w:rsid w:val="00E308FA"/>
    <w:rsid w:val="00E57179"/>
    <w:rsid w:val="00E61667"/>
    <w:rsid w:val="00E654A8"/>
    <w:rsid w:val="00E67DF8"/>
    <w:rsid w:val="00E82A47"/>
    <w:rsid w:val="00E87A10"/>
    <w:rsid w:val="00E87F25"/>
    <w:rsid w:val="00E935A5"/>
    <w:rsid w:val="00E959C0"/>
    <w:rsid w:val="00E97DB2"/>
    <w:rsid w:val="00EB27F1"/>
    <w:rsid w:val="00EC6062"/>
    <w:rsid w:val="00ED0F86"/>
    <w:rsid w:val="00ED7B85"/>
    <w:rsid w:val="00EF4B7C"/>
    <w:rsid w:val="00F348B5"/>
    <w:rsid w:val="00F80347"/>
    <w:rsid w:val="00F96CF7"/>
    <w:rsid w:val="00FB2BE4"/>
    <w:rsid w:val="00FD3C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D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609D0"/>
    <w:pPr>
      <w:tabs>
        <w:tab w:val="center" w:pos="4252"/>
        <w:tab w:val="right" w:pos="8504"/>
      </w:tabs>
    </w:pPr>
  </w:style>
  <w:style w:type="character" w:customStyle="1" w:styleId="PieddepageCar">
    <w:name w:val="Pied de page Car"/>
    <w:basedOn w:val="Policepardfaut"/>
    <w:link w:val="Pieddepage"/>
    <w:rsid w:val="004609D0"/>
    <w:rPr>
      <w:rFonts w:ascii="Times New Roman" w:eastAsia="Times New Roman" w:hAnsi="Times New Roman" w:cs="Times New Roman"/>
      <w:sz w:val="24"/>
      <w:szCs w:val="20"/>
      <w:lang w:val="es-ES_tradnl" w:eastAsia="es-ES"/>
    </w:rPr>
  </w:style>
  <w:style w:type="character" w:styleId="Numrodepage">
    <w:name w:val="page number"/>
    <w:basedOn w:val="Policepardfaut"/>
    <w:rsid w:val="004609D0"/>
  </w:style>
  <w:style w:type="paragraph" w:customStyle="1" w:styleId="Textoindependiente33">
    <w:name w:val="Texto independiente 33"/>
    <w:basedOn w:val="Normal"/>
    <w:rsid w:val="004609D0"/>
    <w:pPr>
      <w:spacing w:line="360" w:lineRule="auto"/>
      <w:jc w:val="both"/>
    </w:pPr>
    <w:rPr>
      <w:rFonts w:ascii="Arial" w:hAnsi="Arial"/>
    </w:rPr>
  </w:style>
  <w:style w:type="paragraph" w:customStyle="1" w:styleId="Prrafodelista1">
    <w:name w:val="Párrafo de lista1"/>
    <w:basedOn w:val="Normal"/>
    <w:rsid w:val="004609D0"/>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99"/>
    <w:qFormat/>
    <w:rsid w:val="004609D0"/>
    <w:pPr>
      <w:ind w:left="708"/>
    </w:pPr>
  </w:style>
  <w:style w:type="paragraph" w:styleId="Sansinterligne">
    <w:name w:val="No Spacing"/>
    <w:uiPriority w:val="1"/>
    <w:qFormat/>
    <w:rsid w:val="004609D0"/>
    <w:pPr>
      <w:spacing w:after="0" w:line="240" w:lineRule="auto"/>
    </w:pPr>
    <w:rPr>
      <w:lang w:val="es-ES_tradnl"/>
    </w:rPr>
  </w:style>
  <w:style w:type="paragraph" w:styleId="Corpsdetexte">
    <w:name w:val="Body Text"/>
    <w:basedOn w:val="Normal"/>
    <w:link w:val="CorpsdetexteCar"/>
    <w:uiPriority w:val="99"/>
    <w:unhideWhenUsed/>
    <w:rsid w:val="004609D0"/>
    <w:pPr>
      <w:spacing w:after="120"/>
    </w:pPr>
  </w:style>
  <w:style w:type="character" w:customStyle="1" w:styleId="CorpsdetexteCar">
    <w:name w:val="Corps de texte Car"/>
    <w:basedOn w:val="Policepardfaut"/>
    <w:link w:val="Corpsdetexte"/>
    <w:uiPriority w:val="99"/>
    <w:rsid w:val="004609D0"/>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4609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4609D0"/>
    <w:pPr>
      <w:tabs>
        <w:tab w:val="center" w:pos="4252"/>
        <w:tab w:val="right" w:pos="8504"/>
      </w:tabs>
    </w:pPr>
  </w:style>
  <w:style w:type="character" w:customStyle="1" w:styleId="En-tteCar">
    <w:name w:val="En-tête Car"/>
    <w:basedOn w:val="Policepardfaut"/>
    <w:link w:val="En-tte"/>
    <w:uiPriority w:val="99"/>
    <w:rsid w:val="004609D0"/>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B2BE4"/>
    <w:pPr>
      <w:spacing w:after="120"/>
      <w:ind w:left="283"/>
    </w:pPr>
  </w:style>
  <w:style w:type="character" w:customStyle="1" w:styleId="RetraitcorpsdetexteCar">
    <w:name w:val="Retrait corps de texte Car"/>
    <w:basedOn w:val="Policepardfaut"/>
    <w:link w:val="Retraitcorpsdetexte"/>
    <w:uiPriority w:val="99"/>
    <w:rsid w:val="00FB2BE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D13B47"/>
    <w:pPr>
      <w:spacing w:line="360" w:lineRule="auto"/>
      <w:jc w:val="both"/>
    </w:pPr>
    <w:rPr>
      <w:rFonts w:ascii="Arial" w:hAnsi="Arial"/>
    </w:rPr>
  </w:style>
  <w:style w:type="paragraph" w:customStyle="1" w:styleId="Textoindependiente31">
    <w:name w:val="Texto independiente 31"/>
    <w:basedOn w:val="Normal"/>
    <w:rsid w:val="00CF5F93"/>
    <w:pPr>
      <w:widowControl w:val="0"/>
      <w:suppressAutoHyphens/>
      <w:spacing w:line="360" w:lineRule="auto"/>
      <w:jc w:val="both"/>
    </w:pPr>
    <w:rPr>
      <w:rFonts w:ascii="Arial" w:eastAsia="SimSun" w:hAnsi="Arial" w:cs="Arial"/>
      <w:kern w:val="1"/>
      <w:sz w:val="28"/>
      <w:szCs w:val="24"/>
      <w:lang w:val="es-C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D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609D0"/>
    <w:pPr>
      <w:tabs>
        <w:tab w:val="center" w:pos="4252"/>
        <w:tab w:val="right" w:pos="8504"/>
      </w:tabs>
    </w:pPr>
  </w:style>
  <w:style w:type="character" w:customStyle="1" w:styleId="PieddepageCar">
    <w:name w:val="Pied de page Car"/>
    <w:basedOn w:val="Policepardfaut"/>
    <w:link w:val="Pieddepage"/>
    <w:rsid w:val="004609D0"/>
    <w:rPr>
      <w:rFonts w:ascii="Times New Roman" w:eastAsia="Times New Roman" w:hAnsi="Times New Roman" w:cs="Times New Roman"/>
      <w:sz w:val="24"/>
      <w:szCs w:val="20"/>
      <w:lang w:val="es-ES_tradnl" w:eastAsia="es-ES"/>
    </w:rPr>
  </w:style>
  <w:style w:type="character" w:styleId="Numrodepage">
    <w:name w:val="page number"/>
    <w:basedOn w:val="Policepardfaut"/>
    <w:rsid w:val="004609D0"/>
  </w:style>
  <w:style w:type="paragraph" w:customStyle="1" w:styleId="Textoindependiente33">
    <w:name w:val="Texto independiente 33"/>
    <w:basedOn w:val="Normal"/>
    <w:rsid w:val="004609D0"/>
    <w:pPr>
      <w:spacing w:line="360" w:lineRule="auto"/>
      <w:jc w:val="both"/>
    </w:pPr>
    <w:rPr>
      <w:rFonts w:ascii="Arial" w:hAnsi="Arial"/>
    </w:rPr>
  </w:style>
  <w:style w:type="paragraph" w:customStyle="1" w:styleId="Prrafodelista1">
    <w:name w:val="Párrafo de lista1"/>
    <w:basedOn w:val="Normal"/>
    <w:rsid w:val="004609D0"/>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99"/>
    <w:qFormat/>
    <w:rsid w:val="004609D0"/>
    <w:pPr>
      <w:ind w:left="708"/>
    </w:pPr>
  </w:style>
  <w:style w:type="paragraph" w:styleId="Sansinterligne">
    <w:name w:val="No Spacing"/>
    <w:uiPriority w:val="1"/>
    <w:qFormat/>
    <w:rsid w:val="004609D0"/>
    <w:pPr>
      <w:spacing w:after="0" w:line="240" w:lineRule="auto"/>
    </w:pPr>
    <w:rPr>
      <w:lang w:val="es-ES_tradnl"/>
    </w:rPr>
  </w:style>
  <w:style w:type="paragraph" w:styleId="Corpsdetexte">
    <w:name w:val="Body Text"/>
    <w:basedOn w:val="Normal"/>
    <w:link w:val="CorpsdetexteCar"/>
    <w:uiPriority w:val="99"/>
    <w:unhideWhenUsed/>
    <w:rsid w:val="004609D0"/>
    <w:pPr>
      <w:spacing w:after="120"/>
    </w:pPr>
  </w:style>
  <w:style w:type="character" w:customStyle="1" w:styleId="CorpsdetexteCar">
    <w:name w:val="Corps de texte Car"/>
    <w:basedOn w:val="Policepardfaut"/>
    <w:link w:val="Corpsdetexte"/>
    <w:uiPriority w:val="99"/>
    <w:rsid w:val="004609D0"/>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4609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4609D0"/>
    <w:pPr>
      <w:tabs>
        <w:tab w:val="center" w:pos="4252"/>
        <w:tab w:val="right" w:pos="8504"/>
      </w:tabs>
    </w:pPr>
  </w:style>
  <w:style w:type="character" w:customStyle="1" w:styleId="En-tteCar">
    <w:name w:val="En-tête Car"/>
    <w:basedOn w:val="Policepardfaut"/>
    <w:link w:val="En-tte"/>
    <w:uiPriority w:val="99"/>
    <w:rsid w:val="004609D0"/>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B2BE4"/>
    <w:pPr>
      <w:spacing w:after="120"/>
      <w:ind w:left="283"/>
    </w:pPr>
  </w:style>
  <w:style w:type="character" w:customStyle="1" w:styleId="RetraitcorpsdetexteCar">
    <w:name w:val="Retrait corps de texte Car"/>
    <w:basedOn w:val="Policepardfaut"/>
    <w:link w:val="Retraitcorpsdetexte"/>
    <w:uiPriority w:val="99"/>
    <w:rsid w:val="00FB2BE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D13B47"/>
    <w:pPr>
      <w:spacing w:line="360" w:lineRule="auto"/>
      <w:jc w:val="both"/>
    </w:pPr>
    <w:rPr>
      <w:rFonts w:ascii="Arial" w:hAnsi="Arial"/>
    </w:rPr>
  </w:style>
  <w:style w:type="paragraph" w:customStyle="1" w:styleId="Textoindependiente31">
    <w:name w:val="Texto independiente 31"/>
    <w:basedOn w:val="Normal"/>
    <w:rsid w:val="00CF5F93"/>
    <w:pPr>
      <w:widowControl w:val="0"/>
      <w:suppressAutoHyphens/>
      <w:spacing w:line="360" w:lineRule="auto"/>
      <w:jc w:val="both"/>
    </w:pPr>
    <w:rPr>
      <w:rFonts w:ascii="Arial" w:eastAsia="SimSun" w:hAnsi="Arial" w:cs="Arial"/>
      <w:kern w:val="1"/>
      <w:sz w:val="28"/>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5345">
      <w:bodyDiv w:val="1"/>
      <w:marLeft w:val="0"/>
      <w:marRight w:val="0"/>
      <w:marTop w:val="0"/>
      <w:marBottom w:val="0"/>
      <w:divBdr>
        <w:top w:val="none" w:sz="0" w:space="0" w:color="auto"/>
        <w:left w:val="none" w:sz="0" w:space="0" w:color="auto"/>
        <w:bottom w:val="none" w:sz="0" w:space="0" w:color="auto"/>
        <w:right w:val="none" w:sz="0" w:space="0" w:color="auto"/>
      </w:divBdr>
    </w:div>
    <w:div w:id="1208645803">
      <w:bodyDiv w:val="1"/>
      <w:marLeft w:val="0"/>
      <w:marRight w:val="0"/>
      <w:marTop w:val="0"/>
      <w:marBottom w:val="0"/>
      <w:divBdr>
        <w:top w:val="none" w:sz="0" w:space="0" w:color="auto"/>
        <w:left w:val="none" w:sz="0" w:space="0" w:color="auto"/>
        <w:bottom w:val="none" w:sz="0" w:space="0" w:color="auto"/>
        <w:right w:val="none" w:sz="0" w:space="0" w:color="auto"/>
      </w:divBdr>
    </w:div>
    <w:div w:id="1407537373">
      <w:bodyDiv w:val="1"/>
      <w:marLeft w:val="0"/>
      <w:marRight w:val="0"/>
      <w:marTop w:val="0"/>
      <w:marBottom w:val="0"/>
      <w:divBdr>
        <w:top w:val="none" w:sz="0" w:space="0" w:color="auto"/>
        <w:left w:val="none" w:sz="0" w:space="0" w:color="auto"/>
        <w:bottom w:val="none" w:sz="0" w:space="0" w:color="auto"/>
        <w:right w:val="none" w:sz="0" w:space="0" w:color="auto"/>
      </w:divBdr>
    </w:div>
    <w:div w:id="14949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3128</Words>
  <Characters>17207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35</cp:revision>
  <dcterms:created xsi:type="dcterms:W3CDTF">2017-01-20T14:14:00Z</dcterms:created>
  <dcterms:modified xsi:type="dcterms:W3CDTF">2017-05-05T20:37:00Z</dcterms:modified>
</cp:coreProperties>
</file>