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AC" w:rsidRPr="00AA21A5" w:rsidRDefault="00EF3EAC" w:rsidP="00EF3EA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EF3EAC" w:rsidRPr="00AA21A5" w:rsidRDefault="00EF3EAC" w:rsidP="00EF3EA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EF3EAC" w:rsidRPr="00EF3EAC" w:rsidRDefault="00EF3EAC" w:rsidP="00FA579B">
      <w:pPr>
        <w:spacing w:line="360" w:lineRule="auto"/>
        <w:jc w:val="both"/>
        <w:rPr>
          <w:rFonts w:ascii="Arial Narrow" w:hAnsi="Arial Narrow" w:cs="Arial"/>
          <w:b/>
          <w:bCs/>
          <w:i/>
          <w:iCs/>
          <w:sz w:val="16"/>
          <w:szCs w:val="16"/>
          <w:u w:val="single"/>
          <w:lang w:val="es-CO"/>
        </w:rPr>
      </w:pPr>
    </w:p>
    <w:p w:rsidR="00FA579B" w:rsidRDefault="00FA579B" w:rsidP="00FA579B">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w:t>
      </w:r>
      <w:r w:rsidR="00EF3ED8">
        <w:rPr>
          <w:rFonts w:ascii="Arial Narrow" w:hAnsi="Arial Narrow" w:cs="Arial"/>
          <w:sz w:val="18"/>
          <w:szCs w:val="18"/>
        </w:rPr>
        <w:t>27</w:t>
      </w:r>
      <w:r w:rsidR="004C6137">
        <w:rPr>
          <w:rFonts w:ascii="Arial Narrow" w:hAnsi="Arial Narrow" w:cs="Arial"/>
          <w:sz w:val="18"/>
          <w:szCs w:val="18"/>
        </w:rPr>
        <w:t xml:space="preserve"> </w:t>
      </w:r>
      <w:r>
        <w:rPr>
          <w:rFonts w:ascii="Arial Narrow" w:hAnsi="Arial Narrow" w:cs="Arial"/>
          <w:sz w:val="18"/>
          <w:szCs w:val="18"/>
        </w:rPr>
        <w:t xml:space="preserve">de </w:t>
      </w:r>
      <w:r w:rsidR="00EF3ED8">
        <w:rPr>
          <w:rFonts w:ascii="Arial Narrow" w:hAnsi="Arial Narrow" w:cs="Arial"/>
          <w:sz w:val="18"/>
          <w:szCs w:val="18"/>
        </w:rPr>
        <w:t>abril</w:t>
      </w:r>
      <w:r>
        <w:rPr>
          <w:rFonts w:ascii="Arial Narrow" w:hAnsi="Arial Narrow" w:cs="Arial"/>
          <w:sz w:val="18"/>
          <w:szCs w:val="18"/>
        </w:rPr>
        <w:t xml:space="preserve"> de </w:t>
      </w:r>
      <w:r w:rsidRPr="004A6AB6">
        <w:rPr>
          <w:rFonts w:ascii="Arial Narrow" w:hAnsi="Arial Narrow" w:cs="Arial"/>
          <w:sz w:val="18"/>
          <w:szCs w:val="18"/>
        </w:rPr>
        <w:t>201</w:t>
      </w:r>
      <w:r w:rsidR="004C6137">
        <w:rPr>
          <w:rFonts w:ascii="Arial Narrow" w:hAnsi="Arial Narrow" w:cs="Arial"/>
          <w:sz w:val="18"/>
          <w:szCs w:val="18"/>
        </w:rPr>
        <w:t>7</w:t>
      </w:r>
      <w:r w:rsidRPr="004A6AB6">
        <w:rPr>
          <w:rFonts w:ascii="Arial Narrow" w:hAnsi="Arial Narrow" w:cs="Arial"/>
          <w:sz w:val="18"/>
          <w:szCs w:val="18"/>
        </w:rPr>
        <w:t>.</w:t>
      </w:r>
    </w:p>
    <w:p w:rsidR="00EF3EAC" w:rsidRPr="004A6AB6" w:rsidRDefault="00EF3EAC" w:rsidP="00EF3EAC">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 xml:space="preserve">Ordinario Laboral – Revoca parcialmente sentencia que accedió a las pretensiones </w:t>
      </w:r>
      <w:bookmarkStart w:id="0" w:name="_GoBack"/>
      <w:bookmarkEnd w:id="0"/>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EF3ED8">
        <w:rPr>
          <w:rFonts w:ascii="Arial Narrow" w:hAnsi="Arial Narrow" w:cs="Arial"/>
          <w:bCs/>
          <w:sz w:val="18"/>
          <w:szCs w:val="18"/>
        </w:rPr>
        <w:t>3</w:t>
      </w:r>
      <w:r>
        <w:rPr>
          <w:rFonts w:ascii="Arial Narrow" w:hAnsi="Arial Narrow" w:cs="Arial"/>
          <w:bCs/>
          <w:sz w:val="18"/>
          <w:szCs w:val="18"/>
        </w:rPr>
        <w:t>-201</w:t>
      </w:r>
      <w:r w:rsidR="00D41B46">
        <w:rPr>
          <w:rFonts w:ascii="Arial Narrow" w:hAnsi="Arial Narrow" w:cs="Arial"/>
          <w:bCs/>
          <w:sz w:val="18"/>
          <w:szCs w:val="18"/>
        </w:rPr>
        <w:t>5</w:t>
      </w:r>
      <w:r>
        <w:rPr>
          <w:rFonts w:ascii="Arial Narrow" w:hAnsi="Arial Narrow" w:cs="Arial"/>
          <w:bCs/>
          <w:sz w:val="18"/>
          <w:szCs w:val="18"/>
        </w:rPr>
        <w:t>-00</w:t>
      </w:r>
      <w:r w:rsidR="004C6137">
        <w:rPr>
          <w:rFonts w:ascii="Arial Narrow" w:hAnsi="Arial Narrow" w:cs="Arial"/>
          <w:bCs/>
          <w:sz w:val="18"/>
          <w:szCs w:val="18"/>
        </w:rPr>
        <w:t>18</w:t>
      </w:r>
      <w:r w:rsidR="00EF3ED8">
        <w:rPr>
          <w:rFonts w:ascii="Arial Narrow" w:hAnsi="Arial Narrow" w:cs="Arial"/>
          <w:bCs/>
          <w:sz w:val="18"/>
          <w:szCs w:val="18"/>
        </w:rPr>
        <w:t>1</w:t>
      </w:r>
      <w:r>
        <w:rPr>
          <w:rFonts w:ascii="Arial Narrow" w:hAnsi="Arial Narrow" w:cs="Arial"/>
          <w:bCs/>
          <w:sz w:val="18"/>
          <w:szCs w:val="18"/>
        </w:rPr>
        <w:t>-01</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proofErr w:type="spellStart"/>
      <w:r w:rsidR="00EF3ED8">
        <w:rPr>
          <w:rFonts w:ascii="Arial Narrow" w:hAnsi="Arial Narrow" w:cs="Arial"/>
          <w:iCs/>
          <w:sz w:val="18"/>
          <w:szCs w:val="18"/>
        </w:rPr>
        <w:t>Maria</w:t>
      </w:r>
      <w:proofErr w:type="spellEnd"/>
      <w:r w:rsidR="00EF3ED8">
        <w:rPr>
          <w:rFonts w:ascii="Arial Narrow" w:hAnsi="Arial Narrow" w:cs="Arial"/>
          <w:iCs/>
          <w:sz w:val="18"/>
          <w:szCs w:val="18"/>
        </w:rPr>
        <w:t xml:space="preserve"> Nubia Duque </w:t>
      </w:r>
      <w:proofErr w:type="spellStart"/>
      <w:r w:rsidR="00EF3ED8">
        <w:rPr>
          <w:rFonts w:ascii="Arial Narrow" w:hAnsi="Arial Narrow" w:cs="Arial"/>
          <w:iCs/>
          <w:sz w:val="18"/>
          <w:szCs w:val="18"/>
        </w:rPr>
        <w:t>Quiceno</w:t>
      </w:r>
      <w:proofErr w:type="spellEnd"/>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EF3ED8">
        <w:rPr>
          <w:rFonts w:ascii="Arial Narrow" w:hAnsi="Arial Narrow" w:cs="Arial"/>
          <w:sz w:val="18"/>
          <w:szCs w:val="18"/>
        </w:rPr>
        <w:t>Segundo</w:t>
      </w:r>
      <w:r>
        <w:rPr>
          <w:rFonts w:ascii="Arial Narrow" w:hAnsi="Arial Narrow" w:cs="Arial"/>
          <w:sz w:val="18"/>
          <w:szCs w:val="18"/>
        </w:rPr>
        <w:t xml:space="preserve"> </w:t>
      </w:r>
      <w:r w:rsidRPr="004A6AB6">
        <w:rPr>
          <w:rFonts w:ascii="Arial Narrow" w:hAnsi="Arial Narrow" w:cs="Arial"/>
          <w:sz w:val="18"/>
          <w:szCs w:val="18"/>
        </w:rPr>
        <w:t>Laboral del Circuito de Pereira.</w:t>
      </w:r>
    </w:p>
    <w:p w:rsidR="00FA579B" w:rsidRPr="004A6AB6" w:rsidRDefault="00FA579B" w:rsidP="00FA579B">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EF3EAC" w:rsidRDefault="00EF3EAC" w:rsidP="00716896">
      <w:pPr>
        <w:pStyle w:val="Textoindependiente31"/>
        <w:spacing w:line="240" w:lineRule="auto"/>
        <w:ind w:left="2124" w:hanging="2124"/>
        <w:rPr>
          <w:rFonts w:ascii="Arial Narrow" w:hAnsi="Arial Narrow" w:cs="Arial"/>
          <w:b/>
          <w:bCs/>
          <w:sz w:val="18"/>
          <w:szCs w:val="18"/>
        </w:rPr>
      </w:pPr>
    </w:p>
    <w:p w:rsidR="00FA579B" w:rsidRPr="00731D45" w:rsidRDefault="00FA579B" w:rsidP="00716896">
      <w:pPr>
        <w:pStyle w:val="Textoindependiente31"/>
        <w:spacing w:line="240" w:lineRule="auto"/>
        <w:ind w:left="2124" w:hanging="2124"/>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716896">
        <w:rPr>
          <w:rFonts w:ascii="Arial Narrow" w:hAnsi="Arial Narrow" w:cs="Arial"/>
          <w:b/>
          <w:bCs/>
          <w:sz w:val="18"/>
          <w:szCs w:val="18"/>
        </w:rPr>
        <w:t xml:space="preserve">Pensión de sobrevivientes. Par. Art. 12 L.797 de 2003. </w:t>
      </w:r>
      <w:r w:rsidR="00716896" w:rsidRPr="00716896">
        <w:rPr>
          <w:rFonts w:ascii="Arial Narrow" w:hAnsi="Arial Narrow" w:cs="Arial"/>
          <w:bCs/>
          <w:sz w:val="18"/>
          <w:szCs w:val="18"/>
        </w:rPr>
        <w:t>La segunda de las hipótesis, que exige haber cotizado, como mínimo, el número de semanas para pensionarse por vejez, implica un estudio de qué densidad de semanas puntualmente debe estudiarse, si las exigidas por el artículo 33 de la Ley 100 de 1993 con la modificación incluida por la Ley 797 de 2003, de manera exclusiva y excluyente o si ese mandato normativo es extensivo a las reglas transicionales y puntualmente se pueden verificar las semanas exigidas en el Acuerdo 049 de 1990. Pues bien, encuentra la Sala que la lectura que hace la apelante es exegética y descontextualizada, pues en verdad interpretar que el aludido parágrafo solamente exige haber cotizado el número mínimo de semanas exigidas para pensionarse por vejez en el régimen de prima media, régimen que no solamente lo componen las normas de las Ley 100 de 1993 sino que, en aquellos casos en el que el causante ostentaba la calidad de beneficiario del régimen transicional, debe entenderse que también se incluye el Acuerdo 049 de 1990.</w:t>
      </w:r>
      <w:r w:rsidR="00E31559">
        <w:rPr>
          <w:rFonts w:ascii="Arial Narrow" w:hAnsi="Arial Narrow" w:cs="Arial"/>
          <w:bCs/>
          <w:sz w:val="18"/>
          <w:szCs w:val="18"/>
        </w:rPr>
        <w:t xml:space="preserve"> </w:t>
      </w:r>
      <w:r w:rsidR="00E31559" w:rsidRPr="00731D45">
        <w:rPr>
          <w:rFonts w:ascii="Arial Narrow" w:hAnsi="Arial Narrow" w:cs="Arial"/>
          <w:b/>
          <w:bCs/>
          <w:sz w:val="18"/>
          <w:szCs w:val="18"/>
        </w:rPr>
        <w:t>Prescripción. Contabilización</w:t>
      </w:r>
      <w:r w:rsidR="00731D45">
        <w:rPr>
          <w:rFonts w:ascii="Arial Narrow" w:hAnsi="Arial Narrow" w:cs="Arial"/>
          <w:b/>
          <w:bCs/>
          <w:sz w:val="18"/>
          <w:szCs w:val="18"/>
        </w:rPr>
        <w:t xml:space="preserve"> en caso de varios pronunciamientos. </w:t>
      </w:r>
      <w:r w:rsidR="00731D45" w:rsidRPr="00731D45">
        <w:rPr>
          <w:rFonts w:ascii="Arial Narrow" w:hAnsi="Arial Narrow" w:cs="Arial"/>
          <w:bCs/>
          <w:sz w:val="18"/>
          <w:szCs w:val="18"/>
        </w:rPr>
        <w:t>Este devenir enseña que sí, efectivamente, se emitieron varios pronunciamientos de la administradora de pensiones en este caso, mas sin embargo ello no es razón suficiente para no declarar la prosperidad parcial de tal fenómeno extintivo, puesto que refulge claramente que la entidad, desde el acto administrativo del 16 de septiembre de 2011 negó el reconocimiento pensional de manera definitiva, por lo que el paso a seguir no era impetrar una nueva reclamación, sino acudir a la jurisdicción laboral, a definir el asunto. Ello, porque con esa inicial reclamación y esa inicial respuesta de la entidad, se agotó la posibilidad de interrumpir la prescripción y a partir de ese momento iniciaron a  contabilizarse –nuevamente- los tres años, dentro de los cuales no se adelantó la reclamación judicial</w:t>
      </w:r>
      <w:r w:rsidR="00731D45">
        <w:rPr>
          <w:rFonts w:ascii="Arial Narrow" w:hAnsi="Arial Narrow" w:cs="Arial"/>
          <w:bCs/>
          <w:sz w:val="18"/>
          <w:szCs w:val="18"/>
        </w:rPr>
        <w:t>.</w:t>
      </w:r>
      <w:r w:rsidR="00E31559" w:rsidRPr="00731D45">
        <w:rPr>
          <w:rFonts w:ascii="Arial Narrow" w:hAnsi="Arial Narrow" w:cs="Arial"/>
          <w:bCs/>
          <w:sz w:val="18"/>
          <w:szCs w:val="18"/>
        </w:rPr>
        <w:t xml:space="preserve"> </w:t>
      </w:r>
    </w:p>
    <w:p w:rsidR="00FA579B" w:rsidRPr="006474AD" w:rsidRDefault="00FA579B" w:rsidP="006E3C29">
      <w:pPr>
        <w:spacing w:line="360" w:lineRule="auto"/>
        <w:ind w:left="2127" w:hanging="2127"/>
        <w:jc w:val="both"/>
        <w:rPr>
          <w:rFonts w:ascii="Arial Narrow" w:hAnsi="Arial Narrow" w:cs="Arial"/>
          <w:bCs/>
          <w:i/>
          <w:color w:val="00B0F0"/>
          <w:sz w:val="18"/>
          <w:szCs w:val="18"/>
          <w:lang w:val="es-CO"/>
        </w:rPr>
      </w:pPr>
    </w:p>
    <w:p w:rsidR="00FA579B" w:rsidRPr="00E845FE" w:rsidRDefault="00FA579B" w:rsidP="00FA579B">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FA579B" w:rsidRPr="006E3C29" w:rsidRDefault="00FA579B" w:rsidP="006E3C29">
      <w:pPr>
        <w:pStyle w:val="Sansinterligne"/>
      </w:pPr>
    </w:p>
    <w:p w:rsidR="00FA579B" w:rsidRDefault="00FA579B" w:rsidP="00FA579B">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 xml:space="preserve">En Pereira, a los </w:t>
      </w:r>
      <w:r w:rsidR="00EF3ED8">
        <w:rPr>
          <w:rFonts w:ascii="Arial Narrow" w:eastAsia="Calibri" w:hAnsi="Arial Narrow" w:cs="Arial"/>
          <w:sz w:val="28"/>
          <w:szCs w:val="28"/>
          <w:lang w:val="es-CO" w:eastAsia="en-US"/>
        </w:rPr>
        <w:t xml:space="preserve">veintisiete </w:t>
      </w:r>
      <w:r>
        <w:rPr>
          <w:rFonts w:ascii="Arial Narrow" w:eastAsia="Calibri" w:hAnsi="Arial Narrow" w:cs="Arial"/>
          <w:sz w:val="28"/>
          <w:szCs w:val="28"/>
          <w:lang w:val="es-CO" w:eastAsia="en-US"/>
        </w:rPr>
        <w:t>(</w:t>
      </w:r>
      <w:r w:rsidR="00964EA5">
        <w:rPr>
          <w:rFonts w:ascii="Arial Narrow" w:eastAsia="Calibri" w:hAnsi="Arial Narrow" w:cs="Arial"/>
          <w:sz w:val="28"/>
          <w:szCs w:val="28"/>
          <w:lang w:val="es-CO" w:eastAsia="en-US"/>
        </w:rPr>
        <w:t>2</w:t>
      </w:r>
      <w:r w:rsidR="00EF3ED8">
        <w:rPr>
          <w:rFonts w:ascii="Arial Narrow" w:eastAsia="Calibri" w:hAnsi="Arial Narrow" w:cs="Arial"/>
          <w:sz w:val="28"/>
          <w:szCs w:val="28"/>
          <w:lang w:val="es-CO" w:eastAsia="en-US"/>
        </w:rPr>
        <w:t>7</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EF3ED8">
        <w:rPr>
          <w:rFonts w:ascii="Arial Narrow" w:eastAsia="Calibri" w:hAnsi="Arial Narrow" w:cs="Arial"/>
          <w:sz w:val="28"/>
          <w:szCs w:val="28"/>
          <w:lang w:val="es-CO" w:eastAsia="en-US"/>
        </w:rPr>
        <w:t>abril</w:t>
      </w:r>
      <w:r>
        <w:rPr>
          <w:rFonts w:ascii="Arial Narrow" w:eastAsia="Calibri" w:hAnsi="Arial Narrow" w:cs="Arial"/>
          <w:sz w:val="28"/>
          <w:szCs w:val="28"/>
          <w:lang w:val="es-CO" w:eastAsia="en-US"/>
        </w:rPr>
        <w:t xml:space="preserve"> de dos mil </w:t>
      </w:r>
      <w:r w:rsidR="004C6137">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(201</w:t>
      </w:r>
      <w:r w:rsidR="004C6137">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EF3ED8">
        <w:rPr>
          <w:rFonts w:ascii="Arial Narrow" w:eastAsia="Calibri" w:hAnsi="Arial Narrow" w:cs="Arial"/>
          <w:sz w:val="28"/>
          <w:szCs w:val="28"/>
          <w:lang w:val="es-CO" w:eastAsia="en-US"/>
        </w:rPr>
        <w:t>diez</w:t>
      </w:r>
      <w:r w:rsidR="004C6137">
        <w:rPr>
          <w:rFonts w:ascii="Arial Narrow" w:eastAsia="Calibri" w:hAnsi="Arial Narrow" w:cs="Arial"/>
          <w:sz w:val="28"/>
          <w:szCs w:val="28"/>
          <w:lang w:val="es-CO" w:eastAsia="en-US"/>
        </w:rPr>
        <w:t xml:space="preserve"> y treinta</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EF3ED8">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4C6137">
        <w:rPr>
          <w:rFonts w:ascii="Arial Narrow" w:eastAsia="Calibri" w:hAnsi="Arial Narrow" w:cs="Arial"/>
          <w:sz w:val="28"/>
          <w:szCs w:val="28"/>
          <w:lang w:val="es-CO" w:eastAsia="en-US"/>
        </w:rPr>
        <w:t>3</w:t>
      </w:r>
      <w:r w:rsidR="00D41B46">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00D41B46">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w:t>
      </w:r>
      <w:r w:rsidR="004C6137">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y </w:t>
      </w:r>
      <w:r w:rsidR="00D41B46">
        <w:rPr>
          <w:rFonts w:ascii="Arial Narrow" w:hAnsi="Arial Narrow" w:cs="Tahoma"/>
          <w:bCs/>
          <w:color w:val="000000"/>
          <w:sz w:val="28"/>
          <w:szCs w:val="28"/>
          <w:lang w:eastAsia="es-CO"/>
        </w:rPr>
        <w:t>el</w:t>
      </w:r>
      <w:r w:rsidRPr="00E845FE">
        <w:rPr>
          <w:rFonts w:ascii="Arial Narrow" w:hAnsi="Arial Narrow" w:cs="Tahoma"/>
          <w:bCs/>
          <w:color w:val="000000"/>
          <w:sz w:val="28"/>
          <w:szCs w:val="28"/>
          <w:lang w:eastAsia="es-CO"/>
        </w:rPr>
        <w:t xml:space="preserve"> suscrito magistrado de la Sala </w:t>
      </w:r>
      <w:r w:rsidR="00D41B46">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sidR="00D41B46">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sidR="00EF3ED8">
        <w:rPr>
          <w:rFonts w:ascii="Arial Narrow" w:hAnsi="Arial Narrow" w:cs="Tahoma"/>
          <w:bCs/>
          <w:color w:val="000000"/>
          <w:sz w:val="28"/>
          <w:szCs w:val="28"/>
          <w:lang w:eastAsia="es-CO"/>
        </w:rPr>
        <w:t xml:space="preserve">recurso de apelación propuesto por la portavoz judicial de la demandada contra </w:t>
      </w:r>
      <w:r>
        <w:rPr>
          <w:rFonts w:ascii="Arial Narrow" w:hAnsi="Arial Narrow" w:cs="Tahoma"/>
          <w:bCs/>
          <w:color w:val="000000"/>
          <w:sz w:val="28"/>
          <w:szCs w:val="28"/>
          <w:lang w:eastAsia="es-CO"/>
        </w:rPr>
        <w:t>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EF3ED8">
        <w:rPr>
          <w:rFonts w:ascii="Arial Narrow" w:hAnsi="Arial Narrow" w:cs="Arial"/>
          <w:sz w:val="28"/>
          <w:szCs w:val="28"/>
        </w:rPr>
        <w:t>29</w:t>
      </w:r>
      <w:r>
        <w:rPr>
          <w:rFonts w:ascii="Arial Narrow" w:hAnsi="Arial Narrow" w:cs="Arial"/>
          <w:sz w:val="28"/>
          <w:szCs w:val="28"/>
        </w:rPr>
        <w:t xml:space="preserve"> de </w:t>
      </w:r>
      <w:r w:rsidR="00EF3ED8">
        <w:rPr>
          <w:rFonts w:ascii="Arial Narrow" w:hAnsi="Arial Narrow" w:cs="Arial"/>
          <w:sz w:val="28"/>
          <w:szCs w:val="28"/>
        </w:rPr>
        <w:t>abril</w:t>
      </w:r>
      <w:r>
        <w:rPr>
          <w:rFonts w:ascii="Arial Narrow" w:hAnsi="Arial Narrow" w:cs="Arial"/>
          <w:sz w:val="28"/>
          <w:szCs w:val="28"/>
        </w:rPr>
        <w:t xml:space="preserve"> de 201</w:t>
      </w:r>
      <w:r w:rsidR="004C6137">
        <w:rPr>
          <w:rFonts w:ascii="Arial Narrow" w:hAnsi="Arial Narrow" w:cs="Arial"/>
          <w:sz w:val="28"/>
          <w:szCs w:val="28"/>
        </w:rPr>
        <w:t>6</w:t>
      </w:r>
      <w:r w:rsidRPr="00E845FE">
        <w:rPr>
          <w:rFonts w:ascii="Arial Narrow" w:hAnsi="Arial Narrow" w:cs="Arial"/>
          <w:sz w:val="28"/>
          <w:szCs w:val="28"/>
        </w:rPr>
        <w:t xml:space="preserve"> por el Juzgado</w:t>
      </w:r>
      <w:r>
        <w:rPr>
          <w:rFonts w:ascii="Arial Narrow" w:hAnsi="Arial Narrow" w:cs="Arial"/>
          <w:sz w:val="28"/>
          <w:szCs w:val="28"/>
        </w:rPr>
        <w:t xml:space="preserve"> </w:t>
      </w:r>
      <w:r w:rsidR="00EF3ED8">
        <w:rPr>
          <w:rFonts w:ascii="Arial Narrow" w:hAnsi="Arial Narrow" w:cs="Arial"/>
          <w:sz w:val="28"/>
          <w:szCs w:val="28"/>
        </w:rPr>
        <w:t>Segundo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EF3ED8">
        <w:rPr>
          <w:rFonts w:ascii="Arial Narrow" w:hAnsi="Arial Narrow" w:cs="Arial"/>
          <w:b/>
          <w:i/>
          <w:sz w:val="28"/>
          <w:szCs w:val="28"/>
        </w:rPr>
        <w:t xml:space="preserve">María Nubia Duque </w:t>
      </w:r>
      <w:proofErr w:type="spellStart"/>
      <w:r w:rsidR="00EF3ED8">
        <w:rPr>
          <w:rFonts w:ascii="Arial Narrow" w:hAnsi="Arial Narrow" w:cs="Arial"/>
          <w:b/>
          <w:i/>
          <w:sz w:val="28"/>
          <w:szCs w:val="28"/>
        </w:rPr>
        <w:t>Quiceno</w:t>
      </w:r>
      <w:proofErr w:type="spellEnd"/>
      <w:r w:rsidR="00EF3ED8">
        <w:rPr>
          <w:rFonts w:ascii="Arial Narrow" w:hAnsi="Arial Narrow" w:cs="Arial"/>
          <w:b/>
          <w:i/>
          <w:sz w:val="28"/>
          <w:szCs w:val="28"/>
        </w:rPr>
        <w:t xml:space="preserve">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FA579B" w:rsidRPr="007420E2" w:rsidRDefault="00FA579B" w:rsidP="00FA579B">
      <w:pPr>
        <w:pStyle w:val="Sansinterligne"/>
      </w:pPr>
    </w:p>
    <w:p w:rsidR="00FA579B"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6E3C29"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p>
    <w:p w:rsidR="006E3C29" w:rsidRPr="00E845FE"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FA579B" w:rsidRPr="00E845FE" w:rsidRDefault="00FA579B" w:rsidP="00FA579B">
      <w:pPr>
        <w:shd w:val="clear" w:color="auto" w:fill="FFFFFF"/>
        <w:jc w:val="both"/>
        <w:rPr>
          <w:rFonts w:ascii="Arial Narrow" w:hAnsi="Arial Narrow" w:cs="Tahoma"/>
          <w:b/>
          <w:bCs/>
          <w:i/>
          <w:color w:val="000000"/>
          <w:sz w:val="28"/>
          <w:szCs w:val="28"/>
          <w:lang w:eastAsia="es-CO"/>
        </w:rPr>
      </w:pPr>
    </w:p>
    <w:p w:rsidR="00436E6F" w:rsidRDefault="00FA579B" w:rsidP="006E3C29">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sidR="00EF3ED8">
        <w:rPr>
          <w:rFonts w:ascii="Arial Narrow" w:hAnsi="Arial Narrow" w:cs="Tahoma"/>
          <w:sz w:val="28"/>
          <w:szCs w:val="28"/>
        </w:rPr>
        <w:t xml:space="preserve">la actora pide que se declare que el fallecido Carlos </w:t>
      </w:r>
      <w:r w:rsidR="00EF3ED8">
        <w:rPr>
          <w:rFonts w:ascii="Arial Narrow" w:hAnsi="Arial Narrow" w:cs="Tahoma"/>
          <w:sz w:val="28"/>
          <w:szCs w:val="28"/>
        </w:rPr>
        <w:lastRenderedPageBreak/>
        <w:t xml:space="preserve">Alberto Marín López  era beneficiario de transición y que cotizó en toda su vida más de 1000 semanas; igualmente pide se declare que a la demandante le asiste el reconocimiento y pago de la pensión de sobrevivientes, generada con el deceso de su cónyuge, con fundamento en el parágrafo 1 del artículo 46 de la Ley 100 de 1993, modificado por la Ley 797 de 2003. En consecuencia, pide que se condene a Colpensiones a reconocer y pagar la pensión de sobrevivientes </w:t>
      </w:r>
      <w:r w:rsidR="00436E6F">
        <w:rPr>
          <w:rFonts w:ascii="Arial Narrow" w:hAnsi="Arial Narrow" w:cs="Tahoma"/>
          <w:sz w:val="28"/>
          <w:szCs w:val="28"/>
        </w:rPr>
        <w:t>a partir del 02 de noviembre de 2010, con el correspondiente retroactivo y los réditos moratorios. En subsidio pide que se reconozca la prestación pensional en virtud del principio de la condición más beneficiosa y en aplicación del Acuerdo 049 de 1990.</w:t>
      </w:r>
    </w:p>
    <w:p w:rsidR="00436E6F" w:rsidRDefault="00436E6F" w:rsidP="006E3C29">
      <w:pPr>
        <w:spacing w:line="360" w:lineRule="auto"/>
        <w:ind w:firstLine="900"/>
        <w:jc w:val="both"/>
        <w:rPr>
          <w:rFonts w:ascii="Arial Narrow" w:hAnsi="Arial Narrow" w:cs="Tahoma"/>
          <w:sz w:val="28"/>
          <w:szCs w:val="28"/>
        </w:rPr>
      </w:pPr>
    </w:p>
    <w:p w:rsidR="00E33764" w:rsidRDefault="00436E6F" w:rsidP="006E3C29">
      <w:pPr>
        <w:spacing w:line="360" w:lineRule="auto"/>
        <w:ind w:firstLine="900"/>
        <w:jc w:val="both"/>
        <w:rPr>
          <w:rFonts w:ascii="Arial Narrow" w:hAnsi="Arial Narrow" w:cs="Tahoma"/>
          <w:sz w:val="28"/>
          <w:szCs w:val="28"/>
        </w:rPr>
      </w:pPr>
      <w:r>
        <w:rPr>
          <w:rFonts w:ascii="Arial Narrow" w:hAnsi="Arial Narrow" w:cs="Tahoma"/>
          <w:sz w:val="28"/>
          <w:szCs w:val="28"/>
        </w:rPr>
        <w:t>Como sustento fáctico, relata que el señor Carlos Alberto Marín López falleció el 02 de noviembre de 2010, que la demandante y el causante contrajeron matrimonio el 14 de enero de 1978, que entre la pareja hubo una convivencia ininterrumpida hasta el momento del deceso</w:t>
      </w:r>
      <w:r w:rsidR="00615B38">
        <w:rPr>
          <w:rFonts w:ascii="Arial Narrow" w:hAnsi="Arial Narrow" w:cs="Tahoma"/>
          <w:sz w:val="28"/>
          <w:szCs w:val="28"/>
        </w:rPr>
        <w:t>, que la actora elevó solicitud para el reconocimiento de la pensión de sobrevivientes, que mediante Resolución GNR 205952 de 2013 Colpensiones negó la misma</w:t>
      </w:r>
      <w:r w:rsidR="00E33764">
        <w:rPr>
          <w:rFonts w:ascii="Arial Narrow" w:hAnsi="Arial Narrow" w:cs="Tahoma"/>
          <w:sz w:val="28"/>
          <w:szCs w:val="28"/>
        </w:rPr>
        <w:t xml:space="preserve">, que posteriormente se elevó una nueva solicitud para que se reconociera la prestación en aplicación al Acuerdo 049 de 1990 o al parágrafo 1 del artículo 46 de la Ley 100 de 1993, que a la fecha Colpensiones no ha emitido respuesta, que el causante al 1º de abril de 1994 contaba con 943,14 semanas, que a esa misma fecha contaba con 41 años de edad, que en toda su vida cotizó 1.116,43 semanas, que tenía causada la pensión de vejez conforme al Acuerdo 049 de 1900 y que al 22 de julio de 2005 contaba con más de 750 semanas. </w:t>
      </w:r>
    </w:p>
    <w:p w:rsidR="00E33764" w:rsidRDefault="00E33764" w:rsidP="006E3C29">
      <w:pPr>
        <w:spacing w:line="360" w:lineRule="auto"/>
        <w:ind w:firstLine="900"/>
        <w:jc w:val="both"/>
        <w:rPr>
          <w:rFonts w:ascii="Arial Narrow" w:hAnsi="Arial Narrow" w:cs="Tahoma"/>
          <w:sz w:val="28"/>
          <w:szCs w:val="28"/>
        </w:rPr>
      </w:pPr>
    </w:p>
    <w:p w:rsidR="00F86867" w:rsidRDefault="00E33764" w:rsidP="006E3C29">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la entidad demandada, la que </w:t>
      </w:r>
      <w:r w:rsidR="00F86867">
        <w:rPr>
          <w:rFonts w:ascii="Arial Narrow" w:hAnsi="Arial Narrow" w:cs="Tahoma"/>
          <w:sz w:val="28"/>
          <w:szCs w:val="28"/>
        </w:rPr>
        <w:t>allegó</w:t>
      </w:r>
      <w:r>
        <w:rPr>
          <w:rFonts w:ascii="Arial Narrow" w:hAnsi="Arial Narrow" w:cs="Tahoma"/>
          <w:sz w:val="28"/>
          <w:szCs w:val="28"/>
        </w:rPr>
        <w:t xml:space="preserve"> contestación por medio de portavoz judicial, aceptando la fecha del deceso del señor </w:t>
      </w:r>
      <w:r w:rsidR="00F86867">
        <w:rPr>
          <w:rFonts w:ascii="Arial Narrow" w:hAnsi="Arial Narrow" w:cs="Tahoma"/>
          <w:sz w:val="28"/>
          <w:szCs w:val="28"/>
        </w:rPr>
        <w:t>Marín</w:t>
      </w:r>
      <w:r>
        <w:rPr>
          <w:rFonts w:ascii="Arial Narrow" w:hAnsi="Arial Narrow" w:cs="Tahoma"/>
          <w:sz w:val="28"/>
          <w:szCs w:val="28"/>
        </w:rPr>
        <w:t xml:space="preserve"> </w:t>
      </w:r>
      <w:r w:rsidR="00F86867">
        <w:rPr>
          <w:rFonts w:ascii="Arial Narrow" w:hAnsi="Arial Narrow" w:cs="Tahoma"/>
          <w:sz w:val="28"/>
          <w:szCs w:val="28"/>
        </w:rPr>
        <w:t>López</w:t>
      </w:r>
      <w:r>
        <w:rPr>
          <w:rFonts w:ascii="Arial Narrow" w:hAnsi="Arial Narrow" w:cs="Tahoma"/>
          <w:sz w:val="28"/>
          <w:szCs w:val="28"/>
        </w:rPr>
        <w:t xml:space="preserve">, la solicitud de pensión de sobrevivientes y la negativa de la entidad demandada </w:t>
      </w:r>
      <w:r w:rsidR="00F86867">
        <w:rPr>
          <w:rFonts w:ascii="Arial Narrow" w:hAnsi="Arial Narrow" w:cs="Tahoma"/>
          <w:sz w:val="28"/>
          <w:szCs w:val="28"/>
        </w:rPr>
        <w:t>y la edad del actor al 1º de abril de 1994. Respecto a los restantes indica que no le constan. Se opuso a la prosperidad de las pretensiones de la demanda tanto principales como subsidiarias y propuso como medios defensivos de fondo los de “Inexistencia del derecho”, “Cobro de lo no debido”, “Improcedencia del reconocimiento de intereses moratorios”, “Buena fe” y “Prescripción”.</w:t>
      </w:r>
    </w:p>
    <w:p w:rsidR="00FA579B" w:rsidRDefault="00FA579B" w:rsidP="008236F8">
      <w:pPr>
        <w:spacing w:line="360" w:lineRule="auto"/>
        <w:ind w:firstLine="900"/>
        <w:jc w:val="both"/>
        <w:rPr>
          <w:rFonts w:ascii="Arial Narrow" w:hAnsi="Arial Narrow" w:cs="Tahoma"/>
          <w:sz w:val="28"/>
          <w:szCs w:val="28"/>
        </w:rPr>
      </w:pPr>
    </w:p>
    <w:p w:rsidR="00FA579B" w:rsidRDefault="00FA579B" w:rsidP="00FA579B">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lastRenderedPageBreak/>
        <w:t xml:space="preserve">II. SENTENCIA DEL JUZGADO </w:t>
      </w:r>
    </w:p>
    <w:p w:rsidR="00FA579B" w:rsidRPr="00945A48" w:rsidRDefault="00FA579B" w:rsidP="00945A48">
      <w:pPr>
        <w:pStyle w:val="Sansinterligne"/>
      </w:pPr>
    </w:p>
    <w:p w:rsidR="006E5A28" w:rsidRDefault="00831F67"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Evacuadas las etapas procesales correspondientes, la a quo dictó sentencia </w:t>
      </w:r>
      <w:r w:rsidR="00F6278A">
        <w:rPr>
          <w:rFonts w:ascii="Arial Narrow" w:hAnsi="Arial Narrow" w:cs="Tahoma"/>
          <w:sz w:val="28"/>
          <w:szCs w:val="28"/>
        </w:rPr>
        <w:t xml:space="preserve">accediendo a las pretensiones </w:t>
      </w:r>
      <w:r w:rsidR="00F86867">
        <w:rPr>
          <w:rFonts w:ascii="Arial Narrow" w:hAnsi="Arial Narrow" w:cs="Tahoma"/>
          <w:sz w:val="28"/>
          <w:szCs w:val="28"/>
        </w:rPr>
        <w:t>principales de la demanda, al encontrar que en el caso puntual es aplicable el parágrafo 1º del artículo 46 de la Ley 100 de 1993</w:t>
      </w:r>
      <w:r w:rsidR="00EA2681">
        <w:rPr>
          <w:rFonts w:ascii="Arial Narrow" w:hAnsi="Arial Narrow" w:cs="Tahoma"/>
          <w:sz w:val="28"/>
          <w:szCs w:val="28"/>
        </w:rPr>
        <w:t>, modificado por la Ley 797 de 2003</w:t>
      </w:r>
      <w:r w:rsidR="00A6690F">
        <w:rPr>
          <w:rFonts w:ascii="Arial Narrow" w:hAnsi="Arial Narrow" w:cs="Tahoma"/>
          <w:sz w:val="28"/>
          <w:szCs w:val="28"/>
        </w:rPr>
        <w:t>, puesto que tal aparte legal indica que el afiliado fallecido debe haber cumplido a lo menos las semanas mínimas exigidas en el régimen de prima media, debiéndose tener en cuenta para ello, la calidad de beneficiario del régimen de transición que ostentaba el fallecido</w:t>
      </w:r>
      <w:r w:rsidR="0004411F">
        <w:rPr>
          <w:rFonts w:ascii="Arial Narrow" w:hAnsi="Arial Narrow" w:cs="Tahoma"/>
          <w:sz w:val="28"/>
          <w:szCs w:val="28"/>
        </w:rPr>
        <w:t>, pues al 1º de abril de 1994 contaba con más de 40 años de edad y con más de 15 años de cotizaci</w:t>
      </w:r>
      <w:r w:rsidR="001E5321">
        <w:rPr>
          <w:rFonts w:ascii="Arial Narrow" w:hAnsi="Arial Narrow" w:cs="Tahoma"/>
          <w:sz w:val="28"/>
          <w:szCs w:val="28"/>
        </w:rPr>
        <w:t xml:space="preserve">ones al sistema. Destaca que el </w:t>
      </w:r>
      <w:r w:rsidR="006E5A28">
        <w:rPr>
          <w:rFonts w:ascii="Arial Narrow" w:hAnsi="Arial Narrow" w:cs="Tahoma"/>
          <w:sz w:val="28"/>
          <w:szCs w:val="28"/>
        </w:rPr>
        <w:t xml:space="preserve">causante, además, cumplía las condiciones fijadas en el Acto Legislativo 01 de 2005 para que las normas transicionales se le mantuvieran más allá del 31 de julio de 2010. </w:t>
      </w:r>
    </w:p>
    <w:p w:rsidR="006E5A28" w:rsidRDefault="006E5A28" w:rsidP="007F6485">
      <w:pPr>
        <w:spacing w:line="360" w:lineRule="auto"/>
        <w:ind w:firstLine="900"/>
        <w:jc w:val="both"/>
        <w:rPr>
          <w:rFonts w:ascii="Arial Narrow" w:hAnsi="Arial Narrow" w:cs="Tahoma"/>
          <w:sz w:val="28"/>
          <w:szCs w:val="28"/>
        </w:rPr>
      </w:pPr>
    </w:p>
    <w:p w:rsidR="0091770D" w:rsidRDefault="006E5A28" w:rsidP="007F6485">
      <w:pPr>
        <w:spacing w:line="360" w:lineRule="auto"/>
        <w:ind w:firstLine="900"/>
        <w:jc w:val="both"/>
        <w:rPr>
          <w:rFonts w:ascii="Arial Narrow" w:hAnsi="Arial Narrow" w:cs="Tahoma"/>
          <w:sz w:val="28"/>
          <w:szCs w:val="28"/>
        </w:rPr>
      </w:pPr>
      <w:r>
        <w:rPr>
          <w:rFonts w:ascii="Arial Narrow" w:hAnsi="Arial Narrow" w:cs="Tahoma"/>
          <w:sz w:val="28"/>
          <w:szCs w:val="28"/>
        </w:rPr>
        <w:t>En cuanto a la calidad de beneficiaria de la pensión de sobrevivientes de la actora, encontró la a-quo que la misma est</w:t>
      </w:r>
      <w:r w:rsidR="0091770D">
        <w:rPr>
          <w:rFonts w:ascii="Arial Narrow" w:hAnsi="Arial Narrow" w:cs="Tahoma"/>
          <w:sz w:val="28"/>
          <w:szCs w:val="28"/>
        </w:rPr>
        <w:t>á</w:t>
      </w:r>
      <w:r>
        <w:rPr>
          <w:rFonts w:ascii="Arial Narrow" w:hAnsi="Arial Narrow" w:cs="Tahoma"/>
          <w:sz w:val="28"/>
          <w:szCs w:val="28"/>
        </w:rPr>
        <w:t xml:space="preserve"> acreditada</w:t>
      </w:r>
      <w:r w:rsidR="0091770D">
        <w:rPr>
          <w:rFonts w:ascii="Arial Narrow" w:hAnsi="Arial Narrow" w:cs="Tahoma"/>
          <w:sz w:val="28"/>
          <w:szCs w:val="28"/>
        </w:rPr>
        <w:t xml:space="preserve"> con el registro civil de matrimonio aportado, la investigación administrativa que adelantó Colpensiones y los testimonios que se escucharon en la audiencia de trámite y juzgamiento, que dan fe de la convivencia permanente y estable de la pareja, la no separación y la no existencia de otros beneficiarios. </w:t>
      </w:r>
    </w:p>
    <w:p w:rsidR="0091770D" w:rsidRDefault="0091770D" w:rsidP="007F6485">
      <w:pPr>
        <w:spacing w:line="360" w:lineRule="auto"/>
        <w:ind w:firstLine="900"/>
        <w:jc w:val="both"/>
        <w:rPr>
          <w:rFonts w:ascii="Arial Narrow" w:hAnsi="Arial Narrow" w:cs="Tahoma"/>
          <w:sz w:val="28"/>
          <w:szCs w:val="28"/>
        </w:rPr>
      </w:pPr>
    </w:p>
    <w:p w:rsidR="0091770D" w:rsidRDefault="0091770D" w:rsidP="007F6485">
      <w:pPr>
        <w:spacing w:line="360" w:lineRule="auto"/>
        <w:ind w:firstLine="900"/>
        <w:jc w:val="both"/>
        <w:rPr>
          <w:rFonts w:ascii="Arial Narrow" w:hAnsi="Arial Narrow" w:cs="Tahoma"/>
          <w:sz w:val="28"/>
          <w:szCs w:val="28"/>
        </w:rPr>
      </w:pPr>
      <w:r>
        <w:rPr>
          <w:rFonts w:ascii="Arial Narrow" w:hAnsi="Arial Narrow" w:cs="Tahoma"/>
          <w:sz w:val="28"/>
          <w:szCs w:val="28"/>
        </w:rPr>
        <w:t>Entra a concretar la condena, encontrando que no es aplicable la prescripción, habida cuenta los múltiples pronunciamientos de Colpensiones.</w:t>
      </w:r>
    </w:p>
    <w:p w:rsidR="0091770D" w:rsidRDefault="0091770D" w:rsidP="007F6485">
      <w:pPr>
        <w:spacing w:line="360" w:lineRule="auto"/>
        <w:ind w:firstLine="900"/>
        <w:jc w:val="both"/>
        <w:rPr>
          <w:rFonts w:ascii="Arial Narrow" w:hAnsi="Arial Narrow" w:cs="Tahoma"/>
          <w:sz w:val="28"/>
          <w:szCs w:val="28"/>
        </w:rPr>
      </w:pPr>
    </w:p>
    <w:p w:rsidR="00253284" w:rsidRDefault="0091770D"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portavoz judicial de Colpensiones estuvo en desacuerdo con la decisión, por lo que interpuso recurso de apelación, indicando que </w:t>
      </w:r>
      <w:r w:rsidR="00FD233D">
        <w:rPr>
          <w:rFonts w:ascii="Arial Narrow" w:hAnsi="Arial Narrow" w:cs="Tahoma"/>
          <w:sz w:val="28"/>
          <w:szCs w:val="28"/>
        </w:rPr>
        <w:t>el fundamento legal en el cual se afincó el reconocimiento de la prestación perseguida</w:t>
      </w:r>
      <w:r w:rsidR="008616AB">
        <w:rPr>
          <w:rFonts w:ascii="Arial Narrow" w:hAnsi="Arial Narrow" w:cs="Tahoma"/>
          <w:sz w:val="28"/>
          <w:szCs w:val="28"/>
        </w:rPr>
        <w:t>, no permite analizar el reconocimiento de la prestación pensional al amparo del régimen de transición, por lo que la densidad de semanas que exige la norma, necesariamente debe</w:t>
      </w:r>
      <w:r w:rsidR="00253284">
        <w:rPr>
          <w:rFonts w:ascii="Arial Narrow" w:hAnsi="Arial Narrow" w:cs="Tahoma"/>
          <w:sz w:val="28"/>
          <w:szCs w:val="28"/>
        </w:rPr>
        <w:t>n</w:t>
      </w:r>
      <w:r w:rsidR="008616AB">
        <w:rPr>
          <w:rFonts w:ascii="Arial Narrow" w:hAnsi="Arial Narrow" w:cs="Tahoma"/>
          <w:sz w:val="28"/>
          <w:szCs w:val="28"/>
        </w:rPr>
        <w:t xml:space="preserve"> </w:t>
      </w:r>
      <w:r w:rsidR="00253284">
        <w:rPr>
          <w:rFonts w:ascii="Arial Narrow" w:hAnsi="Arial Narrow" w:cs="Tahoma"/>
          <w:sz w:val="28"/>
          <w:szCs w:val="28"/>
        </w:rPr>
        <w:t xml:space="preserve">ser las fijadas en la Ley 797 de 2003. </w:t>
      </w:r>
    </w:p>
    <w:p w:rsidR="00253284" w:rsidRDefault="00253284" w:rsidP="007F6485">
      <w:pPr>
        <w:spacing w:line="360" w:lineRule="auto"/>
        <w:ind w:firstLine="900"/>
        <w:jc w:val="both"/>
        <w:rPr>
          <w:rFonts w:ascii="Arial Narrow" w:hAnsi="Arial Narrow" w:cs="Tahoma"/>
          <w:sz w:val="28"/>
          <w:szCs w:val="28"/>
        </w:rPr>
      </w:pPr>
    </w:p>
    <w:p w:rsidR="00F22C53" w:rsidRDefault="00253284"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Igualmente, se ocupa de criticar la decisión por no haber declarado probada la excepción de prescripción, pues encuentra que la reclamación se agotó en el mes </w:t>
      </w:r>
      <w:r>
        <w:rPr>
          <w:rFonts w:ascii="Arial Narrow" w:hAnsi="Arial Narrow" w:cs="Tahoma"/>
          <w:sz w:val="28"/>
          <w:szCs w:val="28"/>
        </w:rPr>
        <w:lastRenderedPageBreak/>
        <w:t>de marzo de 2011 y se dio respuesta negativa ese mismo año –septiembre de 2011-</w:t>
      </w:r>
      <w:r w:rsidR="00F22C53">
        <w:rPr>
          <w:rFonts w:ascii="Arial Narrow" w:hAnsi="Arial Narrow" w:cs="Tahoma"/>
          <w:sz w:val="28"/>
          <w:szCs w:val="28"/>
        </w:rPr>
        <w:t>, por lo que los otros pronunciamientos obedecen a otras solicitudes posteriores.</w:t>
      </w: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FA579B" w:rsidRPr="0079205E" w:rsidRDefault="00FA579B" w:rsidP="0079205E">
      <w:pPr>
        <w:pStyle w:val="Sansinterligne"/>
      </w:pPr>
    </w:p>
    <w:p w:rsidR="00FA579B"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F22C53" w:rsidRPr="00E845FE" w:rsidRDefault="00F22C53"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12F90" w:rsidRPr="00F777EB" w:rsidRDefault="00912F90" w:rsidP="00F22C53">
      <w:pPr>
        <w:widowControl w:val="0"/>
        <w:autoSpaceDE w:val="0"/>
        <w:autoSpaceDN w:val="0"/>
        <w:adjustRightInd w:val="0"/>
        <w:spacing w:line="360" w:lineRule="auto"/>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00F22C53">
        <w:rPr>
          <w:rFonts w:ascii="Arial Narrow" w:hAnsi="Arial Narrow" w:cs="Arial"/>
          <w:i/>
          <w:sz w:val="28"/>
          <w:szCs w:val="26"/>
          <w:lang w:val="es-ES"/>
        </w:rPr>
        <w:t>Es posible que la hipótesis contenida en el parágrafo 1º del artículo 46 de la Ley 100 de 1993, modificado por el art 12 de la Ley 797 de 2003, se estudie al amparo del régimen de transición contenido en el canon 36 de la ley 100 de 1993</w:t>
      </w:r>
      <w:r w:rsidRPr="00F777EB">
        <w:rPr>
          <w:rFonts w:ascii="Arial Narrow" w:hAnsi="Arial Narrow" w:cs="Arial"/>
          <w:i/>
          <w:sz w:val="28"/>
          <w:szCs w:val="26"/>
          <w:lang w:val="es-ES"/>
        </w:rPr>
        <w:t>?</w:t>
      </w:r>
    </w:p>
    <w:p w:rsidR="00912F90" w:rsidRDefault="00912F90" w:rsidP="00912F90">
      <w:pPr>
        <w:widowControl w:val="0"/>
        <w:autoSpaceDE w:val="0"/>
        <w:autoSpaceDN w:val="0"/>
        <w:adjustRightInd w:val="0"/>
        <w:ind w:left="567" w:right="618"/>
        <w:jc w:val="both"/>
        <w:rPr>
          <w:rFonts w:ascii="Arial Narrow" w:hAnsi="Arial Narrow" w:cs="Arial"/>
          <w:i/>
          <w:sz w:val="28"/>
          <w:szCs w:val="26"/>
          <w:lang w:val="es-ES"/>
        </w:rPr>
      </w:pPr>
    </w:p>
    <w:p w:rsidR="0094256D" w:rsidRPr="001C3BC1" w:rsidRDefault="0094256D" w:rsidP="00912F90">
      <w:pPr>
        <w:widowControl w:val="0"/>
        <w:autoSpaceDE w:val="0"/>
        <w:autoSpaceDN w:val="0"/>
        <w:adjustRightInd w:val="0"/>
        <w:ind w:left="567" w:right="618"/>
        <w:jc w:val="both"/>
        <w:rPr>
          <w:rFonts w:ascii="Arial Narrow" w:hAnsi="Arial Narrow" w:cs="Arial"/>
          <w:sz w:val="28"/>
          <w:szCs w:val="26"/>
          <w:lang w:val="es-ES"/>
        </w:rPr>
      </w:pPr>
      <w:r w:rsidRPr="001C3BC1">
        <w:rPr>
          <w:rFonts w:ascii="Arial Narrow" w:hAnsi="Arial Narrow" w:cs="Arial"/>
          <w:sz w:val="28"/>
          <w:szCs w:val="26"/>
          <w:lang w:val="es-ES"/>
        </w:rPr>
        <w:t xml:space="preserve">En caso de ser necesario, se </w:t>
      </w:r>
      <w:r w:rsidR="001C3BC1" w:rsidRPr="001C3BC1">
        <w:rPr>
          <w:rFonts w:ascii="Arial Narrow" w:hAnsi="Arial Narrow" w:cs="Arial"/>
          <w:sz w:val="28"/>
          <w:szCs w:val="26"/>
          <w:lang w:val="es-ES"/>
        </w:rPr>
        <w:t>analizará:</w:t>
      </w:r>
    </w:p>
    <w:p w:rsidR="001C3BC1" w:rsidRPr="00F777EB" w:rsidRDefault="001C3BC1" w:rsidP="00912F90">
      <w:pPr>
        <w:widowControl w:val="0"/>
        <w:autoSpaceDE w:val="0"/>
        <w:autoSpaceDN w:val="0"/>
        <w:adjustRightInd w:val="0"/>
        <w:ind w:left="567" w:right="618"/>
        <w:jc w:val="both"/>
        <w:rPr>
          <w:rFonts w:ascii="Arial Narrow" w:hAnsi="Arial Narrow" w:cs="Arial"/>
          <w:i/>
          <w:sz w:val="28"/>
          <w:szCs w:val="26"/>
          <w:lang w:val="es-ES"/>
        </w:rPr>
      </w:pPr>
    </w:p>
    <w:p w:rsidR="00912F90" w:rsidRPr="00F777EB" w:rsidRDefault="00912F90" w:rsidP="00F22C53">
      <w:pPr>
        <w:pStyle w:val="Corpsdetexte"/>
        <w:spacing w:line="360" w:lineRule="auto"/>
        <w:ind w:left="851" w:right="476"/>
        <w:rPr>
          <w:rFonts w:ascii="Arial Narrow" w:hAnsi="Arial Narrow"/>
          <w:i/>
          <w:sz w:val="28"/>
          <w:szCs w:val="26"/>
        </w:rPr>
      </w:pPr>
      <w:r w:rsidRPr="00F777EB">
        <w:rPr>
          <w:rFonts w:ascii="Arial Narrow" w:hAnsi="Arial Narrow"/>
          <w:i/>
          <w:sz w:val="28"/>
          <w:szCs w:val="26"/>
        </w:rPr>
        <w:t>¿</w:t>
      </w:r>
      <w:r w:rsidR="00F22C53">
        <w:rPr>
          <w:rFonts w:ascii="Arial Narrow" w:hAnsi="Arial Narrow"/>
          <w:i/>
          <w:sz w:val="28"/>
          <w:szCs w:val="26"/>
        </w:rPr>
        <w:t>Operó el fenómeno extintivo de la prescripción frente a algunas de las mesadas pensionales</w:t>
      </w:r>
      <w:r w:rsidRPr="00F777EB">
        <w:rPr>
          <w:rFonts w:ascii="Arial Narrow" w:hAnsi="Arial Narrow"/>
          <w:i/>
          <w:sz w:val="28"/>
          <w:szCs w:val="26"/>
        </w:rPr>
        <w:t>?</w:t>
      </w:r>
    </w:p>
    <w:p w:rsidR="00FA579B" w:rsidRPr="007420E2" w:rsidRDefault="00FA579B" w:rsidP="00FA579B">
      <w:pPr>
        <w:pStyle w:val="Sansinterligne"/>
        <w:spacing w:line="360" w:lineRule="auto"/>
      </w:pPr>
    </w:p>
    <w:p w:rsidR="00FA579B" w:rsidRDefault="00FA579B" w:rsidP="00FA579B">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FA579B" w:rsidRPr="0079205E" w:rsidRDefault="00FA579B" w:rsidP="0079205E">
      <w:pPr>
        <w:pStyle w:val="Sansinterligne"/>
      </w:pPr>
    </w:p>
    <w:p w:rsidR="0079205E" w:rsidRDefault="00FA579B" w:rsidP="0079205E">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sidR="00912F90">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w:t>
      </w:r>
    </w:p>
    <w:p w:rsidR="00FA579B" w:rsidRDefault="00FA579B" w:rsidP="0079205E">
      <w:pPr>
        <w:spacing w:line="360" w:lineRule="auto"/>
        <w:jc w:val="both"/>
        <w:rPr>
          <w:rFonts w:ascii="Arial Narrow" w:hAnsi="Arial Narrow" w:cs="Tahoma"/>
          <w:sz w:val="28"/>
          <w:szCs w:val="28"/>
        </w:rPr>
      </w:pPr>
      <w:proofErr w:type="gramStart"/>
      <w:r w:rsidRPr="00E845FE">
        <w:rPr>
          <w:rFonts w:ascii="Arial Narrow" w:hAnsi="Arial Narrow" w:cs="Tahoma"/>
          <w:sz w:val="28"/>
          <w:szCs w:val="28"/>
        </w:rPr>
        <w:t>a</w:t>
      </w:r>
      <w:proofErr w:type="gramEnd"/>
      <w:r w:rsidRPr="00E845FE">
        <w:rPr>
          <w:rFonts w:ascii="Arial Narrow" w:hAnsi="Arial Narrow" w:cs="Tahoma"/>
          <w:sz w:val="28"/>
          <w:szCs w:val="28"/>
        </w:rPr>
        <w:t xml:space="preserve"> la audiencia, </w:t>
      </w:r>
      <w:r>
        <w:rPr>
          <w:rFonts w:ascii="Arial Narrow" w:hAnsi="Arial Narrow" w:cs="Tahoma"/>
          <w:sz w:val="28"/>
          <w:szCs w:val="28"/>
        </w:rPr>
        <w:t>para que presenten sus alegatos de conclusión.</w:t>
      </w:r>
    </w:p>
    <w:p w:rsidR="00FA579B" w:rsidRPr="0036284D" w:rsidRDefault="00FA579B" w:rsidP="00FA579B">
      <w:pPr>
        <w:pStyle w:val="Sansinterligne"/>
      </w:pPr>
    </w:p>
    <w:p w:rsidR="00FA579B" w:rsidRPr="00E845FE" w:rsidRDefault="00FA579B" w:rsidP="00FA579B">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A579B" w:rsidRPr="00E845FE" w:rsidRDefault="00FA579B" w:rsidP="00912F90">
      <w:pPr>
        <w:pStyle w:val="Sansinterligne"/>
        <w:spacing w:line="276" w:lineRule="auto"/>
      </w:pPr>
    </w:p>
    <w:p w:rsidR="00FA579B" w:rsidRPr="000E0538" w:rsidRDefault="00FA579B" w:rsidP="00FA579B">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FA579B" w:rsidRPr="008A1700" w:rsidRDefault="00FA579B" w:rsidP="008A1700">
      <w:pPr>
        <w:pStyle w:val="Sansinterligne"/>
      </w:pPr>
      <w:r w:rsidRPr="000E0538">
        <w:rPr>
          <w:i/>
        </w:rPr>
        <w:tab/>
      </w:r>
      <w:r w:rsidRPr="00E845FE">
        <w:tab/>
      </w:r>
    </w:p>
    <w:p w:rsidR="00FA579B" w:rsidRDefault="00FA579B" w:rsidP="00FA579B">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FA579B" w:rsidRPr="008A1700" w:rsidRDefault="00FA579B" w:rsidP="008A1700">
      <w:pPr>
        <w:pStyle w:val="Sansinterligne"/>
      </w:pPr>
    </w:p>
    <w:p w:rsidR="006C5952" w:rsidRDefault="00735564"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pensión de sobrevivientes implica abordar el estudio de dos aristas: la primera de ellas, que implica el estudio si el causante dejó causado el derecho </w:t>
      </w:r>
      <w:r>
        <w:rPr>
          <w:rFonts w:ascii="Arial Narrow" w:hAnsi="Arial Narrow"/>
          <w:sz w:val="28"/>
          <w:szCs w:val="28"/>
          <w:lang w:eastAsia="en-US"/>
        </w:rPr>
        <w:lastRenderedPageBreak/>
        <w:t xml:space="preserve">pensional a sus beneficiarios y la segunda </w:t>
      </w:r>
      <w:r w:rsidR="00CB4804">
        <w:rPr>
          <w:rFonts w:ascii="Arial Narrow" w:hAnsi="Arial Narrow"/>
          <w:sz w:val="28"/>
          <w:szCs w:val="28"/>
          <w:lang w:eastAsia="en-US"/>
        </w:rPr>
        <w:t xml:space="preserve">si quien o quienes comparecen a reclamar </w:t>
      </w:r>
      <w:r w:rsidR="006C5952">
        <w:rPr>
          <w:rFonts w:ascii="Arial Narrow" w:hAnsi="Arial Narrow"/>
          <w:sz w:val="28"/>
          <w:szCs w:val="28"/>
          <w:lang w:eastAsia="en-US"/>
        </w:rPr>
        <w:t>como favorecidos de tal prestación, cumplen las condiciones para ello.</w:t>
      </w:r>
    </w:p>
    <w:p w:rsidR="006C5952" w:rsidRDefault="006C5952" w:rsidP="004171E4">
      <w:pPr>
        <w:spacing w:line="360" w:lineRule="auto"/>
        <w:ind w:firstLine="708"/>
        <w:jc w:val="both"/>
        <w:rPr>
          <w:rFonts w:ascii="Arial Narrow" w:hAnsi="Arial Narrow"/>
          <w:sz w:val="28"/>
          <w:szCs w:val="28"/>
          <w:lang w:eastAsia="en-US"/>
        </w:rPr>
      </w:pPr>
    </w:p>
    <w:p w:rsidR="00C95B34" w:rsidRDefault="006C5952"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 xml:space="preserve">La primera de las aristas implica necesariamente verificar, </w:t>
      </w:r>
      <w:r>
        <w:rPr>
          <w:rFonts w:ascii="Arial Narrow" w:hAnsi="Arial Narrow"/>
          <w:sz w:val="28"/>
          <w:szCs w:val="28"/>
          <w:lang w:val="es-CO" w:eastAsia="en-US"/>
        </w:rPr>
        <w:t xml:space="preserve">si quien fallece es afiliado o pensionado, puesto que el derecho se causa de manera distinta en ambos eventos. Si el causante es </w:t>
      </w:r>
      <w:r w:rsidR="0016226C">
        <w:rPr>
          <w:rFonts w:ascii="Arial Narrow" w:hAnsi="Arial Narrow"/>
          <w:sz w:val="28"/>
          <w:szCs w:val="28"/>
          <w:lang w:val="es-CO" w:eastAsia="en-US"/>
        </w:rPr>
        <w:t xml:space="preserve">pensionado, su fallecimiento genera de manera inmediata </w:t>
      </w:r>
      <w:r w:rsidR="00F91C0C">
        <w:rPr>
          <w:rFonts w:ascii="Arial Narrow" w:hAnsi="Arial Narrow"/>
          <w:sz w:val="28"/>
          <w:szCs w:val="28"/>
          <w:lang w:val="es-CO" w:eastAsia="en-US"/>
        </w:rPr>
        <w:t>la sustitución pensional a sus beneficiarios. Si quien muere ostenta la calidad de afiliado al sistema pensional, es indispensable entrar a estudiar si cumple con las condiciones de la norma vigente al deceso, que en el caso puntual es la Ley 797 de 2003. Dicha norma, que modific</w:t>
      </w:r>
      <w:r w:rsidR="00DC0CBC">
        <w:rPr>
          <w:rFonts w:ascii="Arial Narrow" w:hAnsi="Arial Narrow"/>
          <w:sz w:val="28"/>
          <w:szCs w:val="28"/>
          <w:lang w:val="es-CO" w:eastAsia="en-US"/>
        </w:rPr>
        <w:t>ó</w:t>
      </w:r>
      <w:r w:rsidR="00F91C0C">
        <w:rPr>
          <w:rFonts w:ascii="Arial Narrow" w:hAnsi="Arial Narrow"/>
          <w:sz w:val="28"/>
          <w:szCs w:val="28"/>
          <w:lang w:val="es-CO" w:eastAsia="en-US"/>
        </w:rPr>
        <w:t xml:space="preserve"> el artículo 46 de la </w:t>
      </w:r>
      <w:r w:rsidR="00DC0CBC">
        <w:rPr>
          <w:rFonts w:ascii="Arial Narrow" w:hAnsi="Arial Narrow"/>
          <w:sz w:val="28"/>
          <w:szCs w:val="28"/>
          <w:lang w:val="es-CO" w:eastAsia="en-US"/>
        </w:rPr>
        <w:t>L</w:t>
      </w:r>
      <w:r w:rsidR="00F91C0C">
        <w:rPr>
          <w:rFonts w:ascii="Arial Narrow" w:hAnsi="Arial Narrow"/>
          <w:sz w:val="28"/>
          <w:szCs w:val="28"/>
          <w:lang w:val="es-CO" w:eastAsia="en-US"/>
        </w:rPr>
        <w:t>ey 100 de 1993</w:t>
      </w:r>
      <w:r w:rsidR="00DC0CBC">
        <w:rPr>
          <w:rFonts w:ascii="Arial Narrow" w:hAnsi="Arial Narrow"/>
          <w:sz w:val="28"/>
          <w:szCs w:val="28"/>
          <w:lang w:val="es-CO" w:eastAsia="en-US"/>
        </w:rPr>
        <w:t>, contempla dos hipótesis para este efecto: (i) que el fallecido hubiere cotizado 50 semanas en los tres años anteriores al deceso (numeral 2º) y (ii) cuando hubiere cotizado el número de semanas mínimo requerido en el régimen de prima media en tiempo anterior a su fallecimiento, y no h</w:t>
      </w:r>
      <w:r w:rsidR="00C95B34">
        <w:rPr>
          <w:rFonts w:ascii="Arial Narrow" w:hAnsi="Arial Narrow"/>
          <w:sz w:val="28"/>
          <w:szCs w:val="28"/>
          <w:lang w:val="es-CO" w:eastAsia="en-US"/>
        </w:rPr>
        <w:t>ubiere tramitado o recibido indemnización sustitutiva (Par. 1).</w:t>
      </w:r>
    </w:p>
    <w:p w:rsidR="00C95B34" w:rsidRDefault="00C95B34" w:rsidP="004171E4">
      <w:pPr>
        <w:spacing w:line="360" w:lineRule="auto"/>
        <w:ind w:firstLine="708"/>
        <w:jc w:val="both"/>
        <w:rPr>
          <w:rFonts w:ascii="Arial Narrow" w:hAnsi="Arial Narrow"/>
          <w:sz w:val="28"/>
          <w:szCs w:val="28"/>
          <w:lang w:val="es-CO" w:eastAsia="en-US"/>
        </w:rPr>
      </w:pPr>
    </w:p>
    <w:p w:rsidR="003D4E7F" w:rsidRDefault="00C95B34"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La segunda de las hipótesis, que exige haber cotizado, como mínimo, el número de semanas para pensionarse por vejez</w:t>
      </w:r>
      <w:r w:rsidR="003D4E7F">
        <w:rPr>
          <w:rFonts w:ascii="Arial Narrow" w:hAnsi="Arial Narrow"/>
          <w:sz w:val="28"/>
          <w:szCs w:val="28"/>
          <w:lang w:val="es-CO" w:eastAsia="en-US"/>
        </w:rPr>
        <w:t>, implica un estudio de qué densidad de semanas puntualmente debe estudiarse, si las exigidas por el artículo 33 de la Ley 100 de 1993 con la modificación incluida por la Ley 797 de 2003, de manera exclusiva y excluyente o si ese mandato normativo es extensivo a las reglas transicionales y puntualmente se pueden verificar las semanas exigidas en el Acuerdo 049 de 1990.</w:t>
      </w:r>
    </w:p>
    <w:p w:rsidR="003D4E7F" w:rsidRDefault="003D4E7F" w:rsidP="004171E4">
      <w:pPr>
        <w:spacing w:line="360" w:lineRule="auto"/>
        <w:ind w:firstLine="708"/>
        <w:jc w:val="both"/>
        <w:rPr>
          <w:rFonts w:ascii="Arial Narrow" w:hAnsi="Arial Narrow"/>
          <w:sz w:val="28"/>
          <w:szCs w:val="28"/>
          <w:lang w:val="es-CO" w:eastAsia="en-US"/>
        </w:rPr>
      </w:pPr>
    </w:p>
    <w:p w:rsidR="00E24E6C" w:rsidRDefault="00E24E6C"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Pues bien, encuentra la Sala que la lectura que hace la apelante es exegética y descontextualizada, pues en verdad interpretar que el aludido parágrafo solamente exige haber cotizado el número mínimo de semanas exigidas para pensionarse por vejez en el régimen de prima media, régimen que no solamente lo componen las normas de las Ley 100 de 1993 sino que, en aquellos casos en el que el causante ostentaba la calidad de beneficiario del régimen transicional, debe entenderse que también se incluye el Acuerdo 049 de 1990. Tal conclusión ha sido decantada de manera clara y pacifica por la Sala de Casación Laboral de la Corte Suprema de Justicia, siendo pertinente citar uno de los más recientes pronunciamientos en la materia:</w:t>
      </w:r>
    </w:p>
    <w:p w:rsidR="00E24E6C" w:rsidRDefault="00E24E6C" w:rsidP="004171E4">
      <w:pPr>
        <w:spacing w:line="360" w:lineRule="auto"/>
        <w:ind w:firstLine="708"/>
        <w:jc w:val="both"/>
        <w:rPr>
          <w:rFonts w:ascii="Arial Narrow" w:hAnsi="Arial Narrow"/>
          <w:sz w:val="28"/>
          <w:szCs w:val="28"/>
          <w:lang w:val="es-CO" w:eastAsia="en-US"/>
        </w:rPr>
      </w:pPr>
    </w:p>
    <w:p w:rsidR="00E24E6C" w:rsidRDefault="00E24E6C" w:rsidP="004171E4">
      <w:pPr>
        <w:spacing w:line="360" w:lineRule="auto"/>
        <w:ind w:firstLine="708"/>
        <w:jc w:val="both"/>
        <w:rPr>
          <w:rFonts w:ascii="Arial Narrow" w:hAnsi="Arial Narrow"/>
          <w:i/>
          <w:sz w:val="28"/>
          <w:szCs w:val="28"/>
          <w:lang w:val="es-CO" w:eastAsia="en-US"/>
        </w:rPr>
      </w:pPr>
      <w:r>
        <w:rPr>
          <w:rFonts w:ascii="Arial Narrow" w:hAnsi="Arial Narrow"/>
          <w:i/>
          <w:sz w:val="28"/>
          <w:szCs w:val="28"/>
          <w:lang w:val="es-CO" w:eastAsia="en-US"/>
        </w:rPr>
        <w:t>“</w:t>
      </w:r>
      <w:r w:rsidRPr="00E24E6C">
        <w:rPr>
          <w:rFonts w:ascii="Arial Narrow" w:hAnsi="Arial Narrow"/>
          <w:i/>
          <w:sz w:val="28"/>
          <w:szCs w:val="28"/>
          <w:lang w:val="es-CO" w:eastAsia="en-US"/>
        </w:rPr>
        <w:t>La Corporación ha sostenido, en observancia del citado parágrafo, que el régimen de prima media al que alude dicha disposición, es el que está referenciado en la Ley 100 de 1993; pero cuando el afiliado que fallece, era beneficiario de la transición del citado artículo 36 de la Ley 100 de 1993, el régimen de prima media no es otro que el consagrado en el Acuerdo 049 de 1990, que, se recuerda, exigía como requisitos para acceder a la pensión de vejez, 500 semanas cotizadas dentro de los 20 años anteriores al cumplimiento de las edades mínimas -55 mujer, y 60 hombres-, o 1000 en cualquier época</w:t>
      </w:r>
      <w:r>
        <w:rPr>
          <w:rFonts w:ascii="Arial Narrow" w:hAnsi="Arial Narrow"/>
          <w:i/>
          <w:sz w:val="28"/>
          <w:szCs w:val="28"/>
          <w:lang w:val="es-CO" w:eastAsia="en-US"/>
        </w:rPr>
        <w:t>” (</w:t>
      </w:r>
      <w:r w:rsidR="00E977EA">
        <w:rPr>
          <w:rFonts w:ascii="Arial Narrow" w:hAnsi="Arial Narrow"/>
          <w:i/>
          <w:sz w:val="28"/>
          <w:szCs w:val="28"/>
          <w:lang w:val="es-CO" w:eastAsia="en-US"/>
        </w:rPr>
        <w:t xml:space="preserve">SL 4249 de 2017 M.P. Luis Gabriel Miranda </w:t>
      </w:r>
      <w:proofErr w:type="spellStart"/>
      <w:r w:rsidR="00E977EA">
        <w:rPr>
          <w:rFonts w:ascii="Arial Narrow" w:hAnsi="Arial Narrow"/>
          <w:i/>
          <w:sz w:val="28"/>
          <w:szCs w:val="28"/>
          <w:lang w:val="es-CO" w:eastAsia="en-US"/>
        </w:rPr>
        <w:t>Buelvas</w:t>
      </w:r>
      <w:proofErr w:type="spellEnd"/>
      <w:r w:rsidR="00E977EA">
        <w:rPr>
          <w:rFonts w:ascii="Arial Narrow" w:hAnsi="Arial Narrow"/>
          <w:i/>
          <w:sz w:val="28"/>
          <w:szCs w:val="28"/>
          <w:lang w:val="es-CO" w:eastAsia="en-US"/>
        </w:rPr>
        <w:t>)</w:t>
      </w:r>
      <w:r w:rsidRPr="00E24E6C">
        <w:rPr>
          <w:rFonts w:ascii="Arial Narrow" w:hAnsi="Arial Narrow"/>
          <w:i/>
          <w:sz w:val="28"/>
          <w:szCs w:val="28"/>
          <w:lang w:val="es-CO" w:eastAsia="en-US"/>
        </w:rPr>
        <w:t>.</w:t>
      </w:r>
    </w:p>
    <w:p w:rsidR="00E977EA" w:rsidRDefault="00E977EA" w:rsidP="004171E4">
      <w:pPr>
        <w:spacing w:line="360" w:lineRule="auto"/>
        <w:ind w:firstLine="708"/>
        <w:jc w:val="both"/>
        <w:rPr>
          <w:rFonts w:ascii="Arial Narrow" w:hAnsi="Arial Narrow"/>
          <w:i/>
          <w:sz w:val="28"/>
          <w:szCs w:val="28"/>
          <w:lang w:val="es-CO" w:eastAsia="en-US"/>
        </w:rPr>
      </w:pPr>
    </w:p>
    <w:p w:rsidR="00412390" w:rsidRDefault="00E977EA"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Entonces, tal como lo concluyó la a-quo en este caso era viable estudiar la aplicación del aludido parágrafo del artículo 46 de la Ley 100 de 1993, modificado por el artículo 12 de la Ley 797 de 2003, conforme a las normas transicionales, pues el señor Carlos Alberto Marín L</w:t>
      </w:r>
      <w:r w:rsidR="00157636">
        <w:rPr>
          <w:rFonts w:ascii="Arial Narrow" w:hAnsi="Arial Narrow"/>
          <w:sz w:val="28"/>
          <w:szCs w:val="28"/>
          <w:lang w:val="es-CO" w:eastAsia="en-US"/>
        </w:rPr>
        <w:t>ó</w:t>
      </w:r>
      <w:r>
        <w:rPr>
          <w:rFonts w:ascii="Arial Narrow" w:hAnsi="Arial Narrow"/>
          <w:sz w:val="28"/>
          <w:szCs w:val="28"/>
          <w:lang w:val="es-CO" w:eastAsia="en-US"/>
        </w:rPr>
        <w:t>pez, al momento de entrada en vigencia</w:t>
      </w:r>
      <w:r w:rsidR="00157636">
        <w:rPr>
          <w:rFonts w:ascii="Arial Narrow" w:hAnsi="Arial Narrow"/>
          <w:sz w:val="28"/>
          <w:szCs w:val="28"/>
          <w:lang w:val="es-CO" w:eastAsia="en-US"/>
        </w:rPr>
        <w:t xml:space="preserve"> la Ley 100 de 1993 contaba con un total de 943,15 semanas, es decir, que era beneficiario del mismo, condición que se le mantuvo más allá del 31 de julio de 2010 –fecha </w:t>
      </w:r>
      <w:r w:rsidR="00412390">
        <w:rPr>
          <w:rFonts w:ascii="Arial Narrow" w:hAnsi="Arial Narrow"/>
          <w:sz w:val="28"/>
          <w:szCs w:val="28"/>
          <w:lang w:val="es-CO" w:eastAsia="en-US"/>
        </w:rPr>
        <w:t>límite</w:t>
      </w:r>
      <w:r w:rsidR="00157636">
        <w:rPr>
          <w:rFonts w:ascii="Arial Narrow" w:hAnsi="Arial Narrow"/>
          <w:sz w:val="28"/>
          <w:szCs w:val="28"/>
          <w:lang w:val="es-CO" w:eastAsia="en-US"/>
        </w:rPr>
        <w:t xml:space="preserve"> establecida en el acto legislativo 01 de 2005-, pues al momento de entrada de ese acto reformatorio de la Carta Política, contaba con 11</w:t>
      </w:r>
      <w:r w:rsidR="00412390">
        <w:rPr>
          <w:rFonts w:ascii="Arial Narrow" w:hAnsi="Arial Narrow"/>
          <w:sz w:val="28"/>
          <w:szCs w:val="28"/>
          <w:lang w:val="es-CO" w:eastAsia="en-US"/>
        </w:rPr>
        <w:t>1</w:t>
      </w:r>
      <w:r w:rsidR="00157636">
        <w:rPr>
          <w:rFonts w:ascii="Arial Narrow" w:hAnsi="Arial Narrow"/>
          <w:sz w:val="28"/>
          <w:szCs w:val="28"/>
          <w:lang w:val="es-CO" w:eastAsia="en-US"/>
        </w:rPr>
        <w:t>6,57 semanas, como se extracta de la historia laboral traída al proceso por Colpensiones. Por ello, es evidente que</w:t>
      </w:r>
      <w:r w:rsidR="00412390">
        <w:rPr>
          <w:rFonts w:ascii="Arial Narrow" w:hAnsi="Arial Narrow"/>
          <w:sz w:val="28"/>
          <w:szCs w:val="28"/>
          <w:lang w:val="es-CO" w:eastAsia="en-US"/>
        </w:rPr>
        <w:t xml:space="preserve"> dejó causada la pensión de sobrevivientes para la demandante</w:t>
      </w:r>
      <w:r w:rsidR="005C663E">
        <w:rPr>
          <w:rFonts w:ascii="Arial Narrow" w:hAnsi="Arial Narrow"/>
          <w:sz w:val="28"/>
          <w:szCs w:val="28"/>
          <w:lang w:val="es-CO" w:eastAsia="en-US"/>
        </w:rPr>
        <w:t>, en un 80% de la que por vejez le hubiere correspondido a él</w:t>
      </w:r>
      <w:r w:rsidR="00412390">
        <w:rPr>
          <w:rFonts w:ascii="Arial Narrow" w:hAnsi="Arial Narrow"/>
          <w:sz w:val="28"/>
          <w:szCs w:val="28"/>
          <w:lang w:val="es-CO" w:eastAsia="en-US"/>
        </w:rPr>
        <w:t>, quien además acreditó su condición de beneficiaria de la prestación en los términos del canon 47 de la Ley 100 de 1993, al tenor de la norma mencionada.</w:t>
      </w:r>
    </w:p>
    <w:p w:rsidR="00412390" w:rsidRDefault="00412390" w:rsidP="004171E4">
      <w:pPr>
        <w:spacing w:line="360" w:lineRule="auto"/>
        <w:ind w:firstLine="708"/>
        <w:jc w:val="both"/>
        <w:rPr>
          <w:rFonts w:ascii="Arial Narrow" w:hAnsi="Arial Narrow"/>
          <w:sz w:val="28"/>
          <w:szCs w:val="28"/>
          <w:lang w:val="es-CO" w:eastAsia="en-US"/>
        </w:rPr>
      </w:pPr>
    </w:p>
    <w:p w:rsidR="00BA226C" w:rsidRDefault="00412390"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Superado el primero de los dilemas planteados, entrará la Sala a estudiar el tema de la prescripción, que</w:t>
      </w:r>
      <w:r w:rsidR="00BA226C">
        <w:rPr>
          <w:rFonts w:ascii="Arial Narrow" w:hAnsi="Arial Narrow"/>
          <w:sz w:val="28"/>
          <w:szCs w:val="28"/>
          <w:lang w:val="es-CO" w:eastAsia="en-US"/>
        </w:rPr>
        <w:t xml:space="preserve"> fue propuesta por la </w:t>
      </w:r>
      <w:r w:rsidR="009455C4">
        <w:rPr>
          <w:rFonts w:ascii="Arial Narrow" w:hAnsi="Arial Narrow"/>
          <w:sz w:val="28"/>
          <w:szCs w:val="28"/>
          <w:lang w:val="es-CO" w:eastAsia="en-US"/>
        </w:rPr>
        <w:t>entidad</w:t>
      </w:r>
      <w:r w:rsidR="00BA226C">
        <w:rPr>
          <w:rFonts w:ascii="Arial Narrow" w:hAnsi="Arial Narrow"/>
          <w:sz w:val="28"/>
          <w:szCs w:val="28"/>
          <w:lang w:val="es-CO" w:eastAsia="en-US"/>
        </w:rPr>
        <w:t xml:space="preserve"> demandada como excepción de fondo y denegada por la a-quo bajo el argumento de que existían múltiples pronunciamientos de la entidad.</w:t>
      </w:r>
    </w:p>
    <w:p w:rsidR="00BA226C" w:rsidRDefault="00BA226C" w:rsidP="004171E4">
      <w:pPr>
        <w:spacing w:line="360" w:lineRule="auto"/>
        <w:ind w:firstLine="708"/>
        <w:jc w:val="both"/>
        <w:rPr>
          <w:rFonts w:ascii="Arial Narrow" w:hAnsi="Arial Narrow"/>
          <w:sz w:val="28"/>
          <w:szCs w:val="28"/>
          <w:lang w:val="es-CO" w:eastAsia="en-US"/>
        </w:rPr>
      </w:pPr>
    </w:p>
    <w:p w:rsidR="00E977EA" w:rsidRDefault="00BA226C"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Pues bien, dígase que el canon 151 del CPLSS, establece que las acciones que emanen de los derechos sociales prescriben en el término de tres años, pudiéndose interrumpir ese término por una única vez con la respectiva reclamación </w:t>
      </w:r>
      <w:r>
        <w:rPr>
          <w:rFonts w:ascii="Arial Narrow" w:hAnsi="Arial Narrow"/>
          <w:sz w:val="28"/>
          <w:szCs w:val="28"/>
          <w:lang w:val="es-CO" w:eastAsia="en-US"/>
        </w:rPr>
        <w:lastRenderedPageBreak/>
        <w:t>escrita del derecho</w:t>
      </w:r>
      <w:r w:rsidR="00E977EA">
        <w:rPr>
          <w:rFonts w:ascii="Arial Narrow" w:hAnsi="Arial Narrow"/>
          <w:sz w:val="28"/>
          <w:szCs w:val="28"/>
          <w:lang w:val="es-CO" w:eastAsia="en-US"/>
        </w:rPr>
        <w:t>.</w:t>
      </w:r>
      <w:r>
        <w:rPr>
          <w:rFonts w:ascii="Arial Narrow" w:hAnsi="Arial Narrow"/>
          <w:sz w:val="28"/>
          <w:szCs w:val="28"/>
          <w:lang w:val="es-CO" w:eastAsia="en-US"/>
        </w:rPr>
        <w:t xml:space="preserve"> En materia pensional, como el derecho a la pensión propiamente dicho es imprescriptible, la prescripción afecta las mesadas pensionales</w:t>
      </w:r>
      <w:r w:rsidR="00EA0A9C">
        <w:rPr>
          <w:rFonts w:ascii="Arial Narrow" w:hAnsi="Arial Narrow"/>
          <w:sz w:val="28"/>
          <w:szCs w:val="28"/>
          <w:lang w:val="es-CO" w:eastAsia="en-US"/>
        </w:rPr>
        <w:t>.</w:t>
      </w:r>
    </w:p>
    <w:p w:rsidR="00EA0A9C" w:rsidRDefault="00EA0A9C" w:rsidP="004171E4">
      <w:pPr>
        <w:spacing w:line="360" w:lineRule="auto"/>
        <w:ind w:firstLine="708"/>
        <w:jc w:val="both"/>
        <w:rPr>
          <w:rFonts w:ascii="Arial Narrow" w:hAnsi="Arial Narrow"/>
          <w:sz w:val="28"/>
          <w:szCs w:val="28"/>
          <w:lang w:val="es-CO" w:eastAsia="en-US"/>
        </w:rPr>
      </w:pPr>
    </w:p>
    <w:p w:rsidR="00EA0A9C" w:rsidRDefault="00EA0A9C"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Allegando lo dispuesto en la norma citada al caso concreto, se tiene que la demandante mediante escrito radicado ante el ISS el 29 de marzo de 2011 elevó reclamación pidiendo la pensión de sobrevivientes  -</w:t>
      </w:r>
      <w:proofErr w:type="spellStart"/>
      <w:r>
        <w:rPr>
          <w:rFonts w:ascii="Arial Narrow" w:hAnsi="Arial Narrow"/>
          <w:sz w:val="28"/>
          <w:szCs w:val="28"/>
          <w:lang w:val="es-CO" w:eastAsia="en-US"/>
        </w:rPr>
        <w:t>fl</w:t>
      </w:r>
      <w:proofErr w:type="spellEnd"/>
      <w:r>
        <w:rPr>
          <w:rFonts w:ascii="Arial Narrow" w:hAnsi="Arial Narrow"/>
          <w:sz w:val="28"/>
          <w:szCs w:val="28"/>
          <w:lang w:val="es-CO" w:eastAsia="en-US"/>
        </w:rPr>
        <w:t>. 154-, pedido que fue resuelto negativamente mediante Resolución No. 3439 del 16 de septiembre de 2011 –</w:t>
      </w:r>
      <w:proofErr w:type="spellStart"/>
      <w:r>
        <w:rPr>
          <w:rFonts w:ascii="Arial Narrow" w:hAnsi="Arial Narrow"/>
          <w:sz w:val="28"/>
          <w:szCs w:val="28"/>
          <w:lang w:val="es-CO" w:eastAsia="en-US"/>
        </w:rPr>
        <w:t>fl</w:t>
      </w:r>
      <w:proofErr w:type="spellEnd"/>
      <w:r>
        <w:rPr>
          <w:rFonts w:ascii="Arial Narrow" w:hAnsi="Arial Narrow"/>
          <w:sz w:val="28"/>
          <w:szCs w:val="28"/>
          <w:lang w:val="es-CO" w:eastAsia="en-US"/>
        </w:rPr>
        <w:t>. 110-, notificada a la demandante esa misma fecha, como se observa en la constancia de folio 113. Posteriormente, Colpensiones emitió un nuevo acto administrativo negando la prestación pensional –</w:t>
      </w:r>
      <w:proofErr w:type="spellStart"/>
      <w:r>
        <w:rPr>
          <w:rFonts w:ascii="Arial Narrow" w:hAnsi="Arial Narrow"/>
          <w:sz w:val="28"/>
          <w:szCs w:val="28"/>
          <w:lang w:val="es-CO" w:eastAsia="en-US"/>
        </w:rPr>
        <w:t>fls</w:t>
      </w:r>
      <w:proofErr w:type="spellEnd"/>
      <w:r>
        <w:rPr>
          <w:rFonts w:ascii="Arial Narrow" w:hAnsi="Arial Narrow"/>
          <w:sz w:val="28"/>
          <w:szCs w:val="28"/>
          <w:lang w:val="es-CO" w:eastAsia="en-US"/>
        </w:rPr>
        <w:t xml:space="preserve">. 22 y </w:t>
      </w:r>
      <w:proofErr w:type="spellStart"/>
      <w:r>
        <w:rPr>
          <w:rFonts w:ascii="Arial Narrow" w:hAnsi="Arial Narrow"/>
          <w:sz w:val="28"/>
          <w:szCs w:val="28"/>
          <w:lang w:val="es-CO" w:eastAsia="en-US"/>
        </w:rPr>
        <w:t>ss</w:t>
      </w:r>
      <w:proofErr w:type="spellEnd"/>
      <w:r>
        <w:rPr>
          <w:rFonts w:ascii="Arial Narrow" w:hAnsi="Arial Narrow"/>
          <w:sz w:val="28"/>
          <w:szCs w:val="28"/>
          <w:lang w:val="es-CO" w:eastAsia="en-US"/>
        </w:rPr>
        <w:t>-, acto que data el 14 de agosto de 2013. Tales pronunciamientos no fueron objeto de recurso alguno. El 12 de marzo de 2015 –</w:t>
      </w:r>
      <w:proofErr w:type="spellStart"/>
      <w:r>
        <w:rPr>
          <w:rFonts w:ascii="Arial Narrow" w:hAnsi="Arial Narrow"/>
          <w:sz w:val="28"/>
          <w:szCs w:val="28"/>
          <w:lang w:val="es-CO" w:eastAsia="en-US"/>
        </w:rPr>
        <w:t>fl</w:t>
      </w:r>
      <w:proofErr w:type="spellEnd"/>
      <w:r>
        <w:rPr>
          <w:rFonts w:ascii="Arial Narrow" w:hAnsi="Arial Narrow"/>
          <w:sz w:val="28"/>
          <w:szCs w:val="28"/>
          <w:lang w:val="es-CO" w:eastAsia="en-US"/>
        </w:rPr>
        <w:t>. 25- se radicó una nueva solicitud de pensión de sobrevivientes, la cual obtuvo respuesta negativa mediante acto administrativo GNR 325850 del 22 de octubre de 2015 –</w:t>
      </w:r>
      <w:proofErr w:type="spellStart"/>
      <w:r>
        <w:rPr>
          <w:rFonts w:ascii="Arial Narrow" w:hAnsi="Arial Narrow"/>
          <w:sz w:val="28"/>
          <w:szCs w:val="28"/>
          <w:lang w:val="es-CO" w:eastAsia="en-US"/>
        </w:rPr>
        <w:t>fls</w:t>
      </w:r>
      <w:proofErr w:type="spellEnd"/>
      <w:r>
        <w:rPr>
          <w:rFonts w:ascii="Arial Narrow" w:hAnsi="Arial Narrow"/>
          <w:sz w:val="28"/>
          <w:szCs w:val="28"/>
          <w:lang w:val="es-CO" w:eastAsia="en-US"/>
        </w:rPr>
        <w:t xml:space="preserve">. 195 y </w:t>
      </w:r>
      <w:proofErr w:type="spellStart"/>
      <w:r>
        <w:rPr>
          <w:rFonts w:ascii="Arial Narrow" w:hAnsi="Arial Narrow"/>
          <w:sz w:val="28"/>
          <w:szCs w:val="28"/>
          <w:lang w:val="es-CO" w:eastAsia="en-US"/>
        </w:rPr>
        <w:t>ss</w:t>
      </w:r>
      <w:proofErr w:type="spellEnd"/>
      <w:r>
        <w:rPr>
          <w:rFonts w:ascii="Arial Narrow" w:hAnsi="Arial Narrow"/>
          <w:sz w:val="28"/>
          <w:szCs w:val="28"/>
          <w:lang w:val="es-CO" w:eastAsia="en-US"/>
        </w:rPr>
        <w:t>-.</w:t>
      </w:r>
    </w:p>
    <w:p w:rsidR="00EA0A9C" w:rsidRDefault="00EA0A9C" w:rsidP="004171E4">
      <w:pPr>
        <w:spacing w:line="360" w:lineRule="auto"/>
        <w:ind w:firstLine="708"/>
        <w:jc w:val="both"/>
        <w:rPr>
          <w:rFonts w:ascii="Arial Narrow" w:hAnsi="Arial Narrow"/>
          <w:sz w:val="28"/>
          <w:szCs w:val="28"/>
          <w:lang w:val="es-CO" w:eastAsia="en-US"/>
        </w:rPr>
      </w:pPr>
    </w:p>
    <w:p w:rsidR="00D24A3F" w:rsidRDefault="00EA0A9C"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Este devenir enseña que s</w:t>
      </w:r>
      <w:r w:rsidR="00E31559">
        <w:rPr>
          <w:rFonts w:ascii="Arial Narrow" w:hAnsi="Arial Narrow"/>
          <w:sz w:val="28"/>
          <w:szCs w:val="28"/>
          <w:lang w:val="es-CO" w:eastAsia="en-US"/>
        </w:rPr>
        <w:t>í</w:t>
      </w:r>
      <w:r>
        <w:rPr>
          <w:rFonts w:ascii="Arial Narrow" w:hAnsi="Arial Narrow"/>
          <w:sz w:val="28"/>
          <w:szCs w:val="28"/>
          <w:lang w:val="es-CO" w:eastAsia="en-US"/>
        </w:rPr>
        <w:t xml:space="preserve">, efectivamente, </w:t>
      </w:r>
      <w:r w:rsidR="00D24A3F">
        <w:rPr>
          <w:rFonts w:ascii="Arial Narrow" w:hAnsi="Arial Narrow"/>
          <w:sz w:val="28"/>
          <w:szCs w:val="28"/>
          <w:lang w:val="es-CO" w:eastAsia="en-US"/>
        </w:rPr>
        <w:t>se emitieron varios pronunciamientos de la administradora de pensiones en este caso, mas sin embargo ello no es razón suficiente para no declarar la prosperidad parcial de tal fenómeno extintivo, puesto que refulge claramente que la entidad, desde el acto administrativo del 16 de septiembre de 2011 negó el reconocimiento pensional de manera definitiva, por lo que el paso a seguir no era impetrar una nueva reclamación, sino acudir a la jurisdicción laboral, a definir el asunto. Ello, porque con esa inicial reclamación y esa inicial respuesta de la entidad, se agotó la posibilidad de interrumpir la prescripción y a partir de ese momento iniciaron a  contabilizarse –nuevamente- los tres años, dentro de los cuales no se adelantó la reclamación judicial, la cual se intentó apenas el 07 de abril de 2015 –</w:t>
      </w:r>
      <w:proofErr w:type="spellStart"/>
      <w:r w:rsidR="00D24A3F">
        <w:rPr>
          <w:rFonts w:ascii="Arial Narrow" w:hAnsi="Arial Narrow"/>
          <w:sz w:val="28"/>
          <w:szCs w:val="28"/>
          <w:lang w:val="es-CO" w:eastAsia="en-US"/>
        </w:rPr>
        <w:t>fl</w:t>
      </w:r>
      <w:proofErr w:type="spellEnd"/>
      <w:r w:rsidR="00D24A3F">
        <w:rPr>
          <w:rFonts w:ascii="Arial Narrow" w:hAnsi="Arial Narrow"/>
          <w:sz w:val="28"/>
          <w:szCs w:val="28"/>
          <w:lang w:val="es-CO" w:eastAsia="en-US"/>
        </w:rPr>
        <w:t>. 44-, por lo que la prescripción afectó las mesadas causadas con antelación al 07 de abril de 2012.</w:t>
      </w:r>
    </w:p>
    <w:p w:rsidR="00D24A3F" w:rsidRDefault="00D24A3F" w:rsidP="004171E4">
      <w:pPr>
        <w:spacing w:line="360" w:lineRule="auto"/>
        <w:ind w:firstLine="708"/>
        <w:jc w:val="both"/>
        <w:rPr>
          <w:rFonts w:ascii="Arial Narrow" w:hAnsi="Arial Narrow"/>
          <w:sz w:val="28"/>
          <w:szCs w:val="28"/>
          <w:lang w:val="es-CO" w:eastAsia="en-US"/>
        </w:rPr>
      </w:pPr>
    </w:p>
    <w:p w:rsidR="0050403E" w:rsidRDefault="00D24A3F"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Se procederá a efectuar la modificación respectiva</w:t>
      </w:r>
      <w:r w:rsidR="0050403E">
        <w:rPr>
          <w:rFonts w:ascii="Arial Narrow" w:hAnsi="Arial Narrow"/>
          <w:sz w:val="28"/>
          <w:szCs w:val="28"/>
          <w:lang w:val="es-CO" w:eastAsia="en-US"/>
        </w:rPr>
        <w:t xml:space="preserve"> y a actualizar la condena, así:</w:t>
      </w:r>
    </w:p>
    <w:p w:rsidR="0050403E" w:rsidRDefault="0050403E" w:rsidP="004171E4">
      <w:pPr>
        <w:spacing w:line="360" w:lineRule="auto"/>
        <w:ind w:firstLine="708"/>
        <w:jc w:val="both"/>
        <w:rPr>
          <w:rFonts w:ascii="Arial Narrow" w:hAnsi="Arial Narrow"/>
          <w:sz w:val="28"/>
          <w:szCs w:val="28"/>
          <w:lang w:val="es-CO" w:eastAsia="en-US"/>
        </w:rPr>
      </w:pPr>
    </w:p>
    <w:p w:rsidR="0050403E" w:rsidRDefault="00E90608" w:rsidP="004171E4">
      <w:pPr>
        <w:spacing w:line="360" w:lineRule="auto"/>
        <w:ind w:firstLine="708"/>
        <w:jc w:val="both"/>
        <w:rPr>
          <w:rFonts w:ascii="Arial Narrow" w:hAnsi="Arial Narrow"/>
          <w:sz w:val="28"/>
          <w:szCs w:val="28"/>
          <w:lang w:val="es-CO" w:eastAsia="en-US"/>
        </w:rPr>
      </w:pPr>
      <w:r w:rsidRPr="00E90608">
        <w:rPr>
          <w:noProof/>
          <w:lang w:val="fr-FR" w:eastAsia="fr-FR"/>
        </w:rPr>
        <w:lastRenderedPageBreak/>
        <w:drawing>
          <wp:inline distT="0" distB="0" distL="0" distR="0">
            <wp:extent cx="4772025" cy="2324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324100"/>
                    </a:xfrm>
                    <a:prstGeom prst="rect">
                      <a:avLst/>
                    </a:prstGeom>
                    <a:noFill/>
                    <a:ln>
                      <a:noFill/>
                    </a:ln>
                  </pic:spPr>
                </pic:pic>
              </a:graphicData>
            </a:graphic>
          </wp:inline>
        </w:drawing>
      </w:r>
    </w:p>
    <w:p w:rsidR="00E90608" w:rsidRDefault="00E90608" w:rsidP="004171E4">
      <w:pPr>
        <w:spacing w:line="360" w:lineRule="auto"/>
        <w:ind w:firstLine="708"/>
        <w:jc w:val="both"/>
        <w:rPr>
          <w:rFonts w:ascii="Arial Narrow" w:hAnsi="Arial Narrow"/>
          <w:sz w:val="28"/>
          <w:szCs w:val="28"/>
          <w:lang w:val="es-CO" w:eastAsia="en-US"/>
        </w:rPr>
      </w:pPr>
    </w:p>
    <w:p w:rsidR="00E90608" w:rsidRDefault="00E90608"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Necesariamente, la prescripción afecta también los intereses moratorios a los que se le condenó a Colpensiones, por lo que los mismos se deberán desde el 07 de abril de 2012 y hasta que se verifique el pago efectivo de las mesadas adeudadas.</w:t>
      </w:r>
    </w:p>
    <w:p w:rsidR="00E90608" w:rsidRDefault="00E90608" w:rsidP="004171E4">
      <w:pPr>
        <w:spacing w:line="360" w:lineRule="auto"/>
        <w:ind w:firstLine="708"/>
        <w:jc w:val="both"/>
        <w:rPr>
          <w:rFonts w:ascii="Arial Narrow" w:hAnsi="Arial Narrow"/>
          <w:sz w:val="28"/>
          <w:szCs w:val="28"/>
          <w:lang w:val="es-CO" w:eastAsia="en-US"/>
        </w:rPr>
      </w:pPr>
    </w:p>
    <w:p w:rsidR="00E90608" w:rsidRDefault="00E90608"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En estos términos queda desatado el recurso de apelación propuesto.</w:t>
      </w:r>
    </w:p>
    <w:p w:rsidR="00E90608" w:rsidRDefault="00E90608" w:rsidP="004171E4">
      <w:pPr>
        <w:spacing w:line="360" w:lineRule="auto"/>
        <w:ind w:firstLine="708"/>
        <w:jc w:val="both"/>
        <w:rPr>
          <w:rFonts w:ascii="Arial Narrow" w:hAnsi="Arial Narrow"/>
          <w:sz w:val="28"/>
          <w:szCs w:val="28"/>
          <w:lang w:val="es-CO" w:eastAsia="en-US"/>
        </w:rPr>
      </w:pPr>
    </w:p>
    <w:p w:rsidR="00E90608" w:rsidRDefault="00E90608" w:rsidP="004171E4">
      <w:pPr>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Sin costas en esta sede, ante la prosperidad apenas parcial del recurso.</w:t>
      </w:r>
    </w:p>
    <w:p w:rsidR="00E90608" w:rsidRDefault="00E90608" w:rsidP="00FA579B">
      <w:pPr>
        <w:pStyle w:val="Prrafodelista2"/>
        <w:spacing w:after="0" w:line="360" w:lineRule="auto"/>
        <w:ind w:left="0" w:firstLine="900"/>
        <w:jc w:val="both"/>
        <w:rPr>
          <w:rFonts w:ascii="Arial Narrow" w:hAnsi="Arial Narrow"/>
          <w:sz w:val="28"/>
          <w:szCs w:val="28"/>
        </w:rPr>
      </w:pPr>
    </w:p>
    <w:p w:rsidR="00FA579B" w:rsidRDefault="00FA579B" w:rsidP="00FA579B">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11639" w:rsidRPr="000735B8" w:rsidRDefault="00211639" w:rsidP="000735B8">
      <w:pPr>
        <w:pStyle w:val="Sansinterligne"/>
      </w:pPr>
    </w:p>
    <w:p w:rsidR="00FA579B" w:rsidRDefault="00FA579B" w:rsidP="00FA579B">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211639" w:rsidRPr="00635995" w:rsidRDefault="000735B8" w:rsidP="00635995">
      <w:pPr>
        <w:pStyle w:val="Sansinterligne"/>
      </w:pPr>
      <w:r>
        <w:tab/>
      </w:r>
    </w:p>
    <w:p w:rsidR="00E90608" w:rsidRPr="00E90608" w:rsidRDefault="00285F6B" w:rsidP="00337B1A">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E90608">
        <w:rPr>
          <w:rFonts w:ascii="Arial Narrow" w:hAnsi="Arial Narrow" w:cs="Arial"/>
          <w:b/>
          <w:spacing w:val="-2"/>
          <w:sz w:val="28"/>
          <w:szCs w:val="28"/>
        </w:rPr>
        <w:t xml:space="preserve">Revocar </w:t>
      </w:r>
      <w:r w:rsidR="00EB04CD" w:rsidRPr="00E90608">
        <w:rPr>
          <w:rFonts w:ascii="Arial Narrow" w:hAnsi="Arial Narrow" w:cs="Arial"/>
          <w:b/>
          <w:spacing w:val="-2"/>
          <w:sz w:val="28"/>
          <w:szCs w:val="28"/>
        </w:rPr>
        <w:t xml:space="preserve">parcialmente </w:t>
      </w:r>
      <w:r w:rsidRPr="00E90608">
        <w:rPr>
          <w:rFonts w:ascii="Arial Narrow" w:hAnsi="Arial Narrow" w:cs="Arial"/>
          <w:spacing w:val="-2"/>
          <w:sz w:val="28"/>
          <w:szCs w:val="28"/>
        </w:rPr>
        <w:t xml:space="preserve">el ordinal </w:t>
      </w:r>
      <w:r w:rsidR="00EB04CD" w:rsidRPr="00E90608">
        <w:rPr>
          <w:rFonts w:ascii="Arial Narrow" w:hAnsi="Arial Narrow" w:cs="Arial"/>
          <w:spacing w:val="-2"/>
          <w:sz w:val="28"/>
          <w:szCs w:val="28"/>
        </w:rPr>
        <w:t xml:space="preserve">tercero </w:t>
      </w:r>
      <w:r w:rsidR="00277F01" w:rsidRPr="00E90608">
        <w:rPr>
          <w:rFonts w:ascii="Arial Narrow" w:hAnsi="Arial Narrow" w:cs="Arial"/>
          <w:spacing w:val="-2"/>
          <w:sz w:val="28"/>
          <w:szCs w:val="28"/>
        </w:rPr>
        <w:t>l</w:t>
      </w:r>
      <w:r w:rsidR="00FA579B" w:rsidRPr="00E90608">
        <w:rPr>
          <w:rFonts w:ascii="Arial Narrow" w:hAnsi="Arial Narrow" w:cs="Arial"/>
          <w:sz w:val="28"/>
          <w:szCs w:val="28"/>
        </w:rPr>
        <w:t xml:space="preserve">a sentencia proferida el </w:t>
      </w:r>
      <w:r w:rsidR="00E90608" w:rsidRPr="00E90608">
        <w:rPr>
          <w:rFonts w:ascii="Arial Narrow" w:hAnsi="Arial Narrow" w:cs="Arial"/>
          <w:sz w:val="28"/>
          <w:szCs w:val="28"/>
        </w:rPr>
        <w:t>29</w:t>
      </w:r>
      <w:r w:rsidR="00211639" w:rsidRPr="00E90608">
        <w:rPr>
          <w:rFonts w:ascii="Arial Narrow" w:hAnsi="Arial Narrow" w:cs="Arial"/>
          <w:sz w:val="28"/>
          <w:szCs w:val="28"/>
        </w:rPr>
        <w:t xml:space="preserve"> de </w:t>
      </w:r>
      <w:r w:rsidR="00E90608" w:rsidRPr="00E90608">
        <w:rPr>
          <w:rFonts w:ascii="Arial Narrow" w:hAnsi="Arial Narrow" w:cs="Arial"/>
          <w:sz w:val="28"/>
          <w:szCs w:val="28"/>
        </w:rPr>
        <w:t>abril</w:t>
      </w:r>
      <w:r w:rsidR="00211639" w:rsidRPr="00E90608">
        <w:rPr>
          <w:rFonts w:ascii="Arial Narrow" w:hAnsi="Arial Narrow" w:cs="Arial"/>
          <w:sz w:val="28"/>
          <w:szCs w:val="28"/>
        </w:rPr>
        <w:t xml:space="preserve"> de 201</w:t>
      </w:r>
      <w:r w:rsidRPr="00E90608">
        <w:rPr>
          <w:rFonts w:ascii="Arial Narrow" w:hAnsi="Arial Narrow" w:cs="Arial"/>
          <w:sz w:val="28"/>
          <w:szCs w:val="28"/>
        </w:rPr>
        <w:t>6</w:t>
      </w:r>
      <w:r w:rsidR="00FA579B" w:rsidRPr="00E90608">
        <w:rPr>
          <w:rFonts w:ascii="Arial Narrow" w:hAnsi="Arial Narrow" w:cs="Arial"/>
          <w:sz w:val="28"/>
          <w:szCs w:val="28"/>
        </w:rPr>
        <w:t xml:space="preserve">, por el Juzgado </w:t>
      </w:r>
      <w:r w:rsidR="00E90608" w:rsidRPr="00E90608">
        <w:rPr>
          <w:rFonts w:ascii="Arial Narrow" w:hAnsi="Arial Narrow" w:cs="Arial"/>
          <w:sz w:val="28"/>
          <w:szCs w:val="28"/>
        </w:rPr>
        <w:t xml:space="preserve">Segundo </w:t>
      </w:r>
      <w:r w:rsidR="00FA579B" w:rsidRPr="00E90608">
        <w:rPr>
          <w:rFonts w:ascii="Arial Narrow" w:hAnsi="Arial Narrow" w:cs="Arial"/>
          <w:sz w:val="28"/>
          <w:szCs w:val="28"/>
        </w:rPr>
        <w:t xml:space="preserve">Laboral del </w:t>
      </w:r>
      <w:r w:rsidR="00211639" w:rsidRPr="00E90608">
        <w:rPr>
          <w:rFonts w:ascii="Arial Narrow" w:hAnsi="Arial Narrow" w:cs="Arial"/>
          <w:sz w:val="28"/>
          <w:szCs w:val="28"/>
        </w:rPr>
        <w:t xml:space="preserve">Circuito de Pereira, dentro del </w:t>
      </w:r>
      <w:r w:rsidR="00FA579B" w:rsidRPr="00E90608">
        <w:rPr>
          <w:rFonts w:ascii="Arial Narrow" w:hAnsi="Arial Narrow" w:cs="Arial"/>
          <w:sz w:val="28"/>
          <w:szCs w:val="28"/>
        </w:rPr>
        <w:t>proceso</w:t>
      </w:r>
      <w:r w:rsidR="00211639" w:rsidRPr="00E90608">
        <w:rPr>
          <w:rFonts w:ascii="Arial Narrow" w:hAnsi="Arial Narrow" w:cs="Arial"/>
          <w:sz w:val="28"/>
          <w:szCs w:val="28"/>
        </w:rPr>
        <w:t xml:space="preserve"> ordinario laboral </w:t>
      </w:r>
      <w:r w:rsidR="00EB04CD" w:rsidRPr="00E90608">
        <w:rPr>
          <w:rFonts w:ascii="Arial Narrow" w:hAnsi="Arial Narrow" w:cs="Arial"/>
          <w:sz w:val="28"/>
          <w:szCs w:val="28"/>
        </w:rPr>
        <w:t xml:space="preserve">de la referencia y, en su lugar </w:t>
      </w:r>
      <w:r w:rsidR="00E90608" w:rsidRPr="00E90608">
        <w:rPr>
          <w:rFonts w:ascii="Arial Narrow" w:hAnsi="Arial Narrow" w:cs="Arial"/>
          <w:sz w:val="28"/>
          <w:szCs w:val="28"/>
        </w:rPr>
        <w:t xml:space="preserve">declarar probada parcialmente la excepción de prescripción, frente a las mesadas pensionales causadas con antelación al 07 de abril de 2012 y, en consecuencia, se Condena a la Administradora Colombiana de Pensiones –Colpensiones- a reconocer y pagar a la señora María Nubia Duque </w:t>
      </w:r>
      <w:proofErr w:type="spellStart"/>
      <w:r w:rsidR="00E90608" w:rsidRPr="00E90608">
        <w:rPr>
          <w:rFonts w:ascii="Arial Narrow" w:hAnsi="Arial Narrow" w:cs="Arial"/>
          <w:sz w:val="28"/>
          <w:szCs w:val="28"/>
        </w:rPr>
        <w:t>Quiceno</w:t>
      </w:r>
      <w:proofErr w:type="spellEnd"/>
      <w:r w:rsidR="00E90608" w:rsidRPr="00E90608">
        <w:rPr>
          <w:rFonts w:ascii="Arial Narrow" w:hAnsi="Arial Narrow" w:cs="Arial"/>
          <w:sz w:val="28"/>
          <w:szCs w:val="28"/>
        </w:rPr>
        <w:t xml:space="preserve"> la suma de $83.480.549,34, por concepto del retroactivo pensional causado entre el mes de abril de 2012 y marzo de 2017.  </w:t>
      </w:r>
    </w:p>
    <w:p w:rsidR="00E90608" w:rsidRPr="00E90608" w:rsidRDefault="00E90608" w:rsidP="00337B1A">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lastRenderedPageBreak/>
        <w:t xml:space="preserve">Modificar </w:t>
      </w:r>
      <w:r w:rsidR="00EB04CD" w:rsidRPr="00E90608">
        <w:rPr>
          <w:rFonts w:ascii="Arial Narrow" w:hAnsi="Arial Narrow" w:cs="Arial"/>
          <w:b/>
          <w:spacing w:val="-2"/>
          <w:sz w:val="28"/>
          <w:szCs w:val="28"/>
        </w:rPr>
        <w:t xml:space="preserve">el </w:t>
      </w:r>
      <w:r w:rsidR="00EB04CD" w:rsidRPr="00E90608">
        <w:rPr>
          <w:rFonts w:ascii="Arial Narrow" w:hAnsi="Arial Narrow" w:cs="Arial"/>
          <w:spacing w:val="-2"/>
          <w:sz w:val="28"/>
          <w:szCs w:val="28"/>
        </w:rPr>
        <w:t xml:space="preserve">ordinal cuarto de la sentencia referida y en su lugar </w:t>
      </w:r>
      <w:r>
        <w:rPr>
          <w:rFonts w:ascii="Arial Narrow" w:hAnsi="Arial Narrow" w:cs="Arial"/>
          <w:spacing w:val="-2"/>
          <w:sz w:val="28"/>
          <w:szCs w:val="28"/>
        </w:rPr>
        <w:t>disponer que los intereses moratorios de que trata el canon 141 de la Ley 100 de 1993 se adeudan desde el 07 de abril de 2012.</w:t>
      </w:r>
    </w:p>
    <w:p w:rsidR="00EB04CD" w:rsidRPr="00EB04CD" w:rsidRDefault="00EB04CD"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 xml:space="preserve">Confirma </w:t>
      </w:r>
      <w:r>
        <w:rPr>
          <w:rFonts w:ascii="Arial Narrow" w:hAnsi="Arial Narrow" w:cs="Arial"/>
          <w:spacing w:val="-2"/>
          <w:sz w:val="28"/>
          <w:szCs w:val="28"/>
        </w:rPr>
        <w:t>en todo lo demás.</w:t>
      </w:r>
    </w:p>
    <w:p w:rsidR="00EB04CD" w:rsidRPr="00EB04CD" w:rsidRDefault="00EB04CD"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 xml:space="preserve">Sin costas </w:t>
      </w:r>
      <w:r>
        <w:rPr>
          <w:rFonts w:ascii="Arial Narrow" w:hAnsi="Arial Narrow" w:cs="Arial"/>
          <w:spacing w:val="-2"/>
          <w:sz w:val="28"/>
          <w:szCs w:val="28"/>
        </w:rPr>
        <w:t>en esta instancia.</w:t>
      </w:r>
    </w:p>
    <w:p w:rsidR="00EB04CD" w:rsidRDefault="00EB04CD" w:rsidP="00FA579B">
      <w:pPr>
        <w:ind w:firstLine="900"/>
        <w:jc w:val="both"/>
        <w:rPr>
          <w:rFonts w:ascii="Arial Narrow" w:hAnsi="Arial Narrow" w:cs="Microsoft Sans Serif"/>
          <w:bCs/>
          <w:iCs/>
          <w:sz w:val="28"/>
          <w:szCs w:val="28"/>
          <w:lang w:val="es-ES"/>
        </w:rPr>
      </w:pPr>
    </w:p>
    <w:p w:rsidR="00EB04CD" w:rsidRDefault="00EB04CD" w:rsidP="00FA579B">
      <w:pPr>
        <w:ind w:firstLine="900"/>
        <w:jc w:val="both"/>
        <w:rPr>
          <w:rFonts w:ascii="Arial Narrow" w:hAnsi="Arial Narrow" w:cs="Microsoft Sans Serif"/>
          <w:bCs/>
          <w:iCs/>
          <w:sz w:val="28"/>
          <w:szCs w:val="28"/>
          <w:lang w:val="es-ES"/>
        </w:rPr>
      </w:pPr>
    </w:p>
    <w:p w:rsidR="00EB04CD" w:rsidRDefault="00EB04CD" w:rsidP="00FA579B">
      <w:pPr>
        <w:ind w:firstLine="900"/>
        <w:jc w:val="both"/>
        <w:rPr>
          <w:rFonts w:ascii="Arial Narrow" w:hAnsi="Arial Narrow" w:cs="Microsoft Sans Serif"/>
          <w:bCs/>
          <w:iCs/>
          <w:sz w:val="28"/>
          <w:szCs w:val="28"/>
          <w:lang w:val="es-ES"/>
        </w:rPr>
      </w:pPr>
    </w:p>
    <w:p w:rsidR="00FA579B" w:rsidRPr="001B076A" w:rsidRDefault="00FA579B" w:rsidP="00FA579B">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731D45" w:rsidRDefault="00731D45" w:rsidP="00FA579B">
      <w:pPr>
        <w:ind w:firstLine="900"/>
        <w:jc w:val="center"/>
        <w:rPr>
          <w:rFonts w:ascii="Arial Narrow" w:hAnsi="Arial Narrow" w:cs="Microsoft Sans Serif"/>
          <w:b/>
          <w:bCs/>
          <w:iCs/>
          <w:sz w:val="28"/>
          <w:szCs w:val="28"/>
          <w:lang w:val="es-ES"/>
        </w:rPr>
      </w:pPr>
    </w:p>
    <w:p w:rsidR="00731D45" w:rsidRDefault="00731D45" w:rsidP="00FA579B">
      <w:pPr>
        <w:ind w:firstLine="900"/>
        <w:jc w:val="center"/>
        <w:rPr>
          <w:rFonts w:ascii="Arial Narrow" w:hAnsi="Arial Narrow" w:cs="Microsoft Sans Serif"/>
          <w:b/>
          <w:bCs/>
          <w:iCs/>
          <w:sz w:val="28"/>
          <w:szCs w:val="28"/>
          <w:lang w:val="es-ES"/>
        </w:rPr>
      </w:pPr>
    </w:p>
    <w:p w:rsidR="00731D45" w:rsidRPr="008424AB" w:rsidRDefault="00731D45"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FA579B" w:rsidRPr="001B076A" w:rsidRDefault="00FA579B" w:rsidP="00FA579B">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E1643E">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6474AD">
        <w:rPr>
          <w:rFonts w:ascii="Arial Narrow" w:hAnsi="Arial Narrow" w:cs="Microsoft Sans Serif"/>
          <w:bCs/>
          <w:iCs/>
          <w:sz w:val="28"/>
          <w:szCs w:val="28"/>
          <w:lang w:val="es-ES"/>
        </w:rPr>
        <w:t>a</w:t>
      </w:r>
      <w:proofErr w:type="spellEnd"/>
    </w:p>
    <w:p w:rsidR="00E90608" w:rsidRDefault="00E90608" w:rsidP="00FA579B">
      <w:pPr>
        <w:ind w:firstLine="900"/>
        <w:jc w:val="both"/>
        <w:rPr>
          <w:rFonts w:ascii="Arial Narrow" w:hAnsi="Arial Narrow" w:cs="Microsoft Sans Serif"/>
          <w:bCs/>
          <w:iCs/>
          <w:sz w:val="28"/>
          <w:szCs w:val="28"/>
          <w:lang w:val="es-ES"/>
        </w:rPr>
      </w:pPr>
    </w:p>
    <w:p w:rsidR="00E90608" w:rsidRDefault="00E90608" w:rsidP="00FA579B">
      <w:pPr>
        <w:ind w:firstLine="900"/>
        <w:jc w:val="both"/>
        <w:rPr>
          <w:rFonts w:ascii="Arial Narrow" w:hAnsi="Arial Narrow" w:cs="Microsoft Sans Serif"/>
          <w:bCs/>
          <w:iCs/>
          <w:sz w:val="28"/>
          <w:szCs w:val="28"/>
          <w:lang w:val="es-ES"/>
        </w:rPr>
      </w:pPr>
    </w:p>
    <w:p w:rsidR="00E90608" w:rsidRDefault="00E90608" w:rsidP="00FA579B">
      <w:pPr>
        <w:ind w:firstLine="900"/>
        <w:jc w:val="both"/>
        <w:rPr>
          <w:rFonts w:ascii="Arial Narrow" w:hAnsi="Arial Narrow" w:cs="Microsoft Sans Serif"/>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731D45" w:rsidRDefault="00731D45" w:rsidP="00E90608">
      <w:pPr>
        <w:ind w:firstLine="900"/>
        <w:jc w:val="center"/>
        <w:rPr>
          <w:rFonts w:ascii="Arial Narrow" w:hAnsi="Arial Narrow" w:cs="Microsoft Sans Serif"/>
          <w:b/>
          <w:bCs/>
          <w:iCs/>
          <w:sz w:val="28"/>
          <w:szCs w:val="28"/>
          <w:lang w:val="es-ES"/>
        </w:rPr>
      </w:pPr>
    </w:p>
    <w:p w:rsidR="00E90608" w:rsidRPr="00E90608" w:rsidRDefault="00E90608" w:rsidP="00E90608">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ANEXO I</w:t>
      </w:r>
    </w:p>
    <w:p w:rsidR="00E90608" w:rsidRDefault="00E90608" w:rsidP="00FA579B">
      <w:pPr>
        <w:ind w:firstLine="900"/>
        <w:jc w:val="both"/>
        <w:rPr>
          <w:rFonts w:ascii="Arial Narrow" w:hAnsi="Arial Narrow" w:cs="Microsoft Sans Serif"/>
          <w:bCs/>
          <w:iCs/>
          <w:sz w:val="28"/>
          <w:szCs w:val="28"/>
          <w:lang w:val="es-ES"/>
        </w:rPr>
      </w:pPr>
    </w:p>
    <w:p w:rsidR="00E90608" w:rsidRDefault="00E90608" w:rsidP="00FA579B">
      <w:pPr>
        <w:ind w:firstLine="900"/>
        <w:jc w:val="both"/>
        <w:rPr>
          <w:rFonts w:ascii="Arial Narrow" w:hAnsi="Arial Narrow" w:cs="Microsoft Sans Serif"/>
          <w:bCs/>
          <w:iCs/>
          <w:sz w:val="28"/>
          <w:szCs w:val="28"/>
          <w:lang w:val="es-ES"/>
        </w:rPr>
      </w:pPr>
    </w:p>
    <w:p w:rsidR="00E90608" w:rsidRDefault="00E90608" w:rsidP="00FA579B">
      <w:pPr>
        <w:ind w:firstLine="900"/>
        <w:jc w:val="both"/>
        <w:rPr>
          <w:rFonts w:ascii="Arial Narrow" w:hAnsi="Arial Narrow" w:cs="Microsoft Sans Serif"/>
          <w:bCs/>
          <w:iCs/>
          <w:sz w:val="28"/>
          <w:szCs w:val="28"/>
          <w:lang w:val="es-ES"/>
        </w:rPr>
      </w:pPr>
      <w:r w:rsidRPr="00E90608">
        <w:rPr>
          <w:noProof/>
          <w:lang w:val="fr-FR" w:eastAsia="fr-FR"/>
        </w:rPr>
        <w:drawing>
          <wp:inline distT="0" distB="0" distL="0" distR="0" wp14:anchorId="7C1BAFCD" wp14:editId="4D343964">
            <wp:extent cx="4772025" cy="2324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324100"/>
                    </a:xfrm>
                    <a:prstGeom prst="rect">
                      <a:avLst/>
                    </a:prstGeom>
                    <a:noFill/>
                    <a:ln>
                      <a:noFill/>
                    </a:ln>
                  </pic:spPr>
                </pic:pic>
              </a:graphicData>
            </a:graphic>
          </wp:inline>
        </w:drawing>
      </w:r>
    </w:p>
    <w:p w:rsidR="00FA579B" w:rsidRDefault="00FA579B" w:rsidP="00E90608">
      <w:pPr>
        <w:ind w:firstLine="900"/>
        <w:jc w:val="both"/>
        <w:rPr>
          <w:rFonts w:ascii="Arial Narrow" w:hAnsi="Arial Narrow"/>
          <w:sz w:val="30"/>
          <w:szCs w:val="30"/>
        </w:rPr>
      </w:pPr>
      <w:r w:rsidRPr="008424AB">
        <w:rPr>
          <w:rFonts w:ascii="Arial Narrow" w:hAnsi="Arial Narrow" w:cs="Microsoft Sans Serif"/>
          <w:bCs/>
          <w:iCs/>
          <w:sz w:val="28"/>
          <w:szCs w:val="28"/>
          <w:lang w:val="es-ES"/>
        </w:rPr>
        <w:t xml:space="preserve">                                     </w:t>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t xml:space="preserve">          </w:t>
      </w:r>
    </w:p>
    <w:sectPr w:rsidR="00FA579B" w:rsidSect="00DC0CBC">
      <w:headerReference w:type="default" r:id="rId10"/>
      <w:footerReference w:type="even" r:id="rId11"/>
      <w:footerReference w:type="default" r:id="rId12"/>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5E" w:rsidRDefault="000E485E" w:rsidP="00FA579B">
      <w:r>
        <w:separator/>
      </w:r>
    </w:p>
  </w:endnote>
  <w:endnote w:type="continuationSeparator" w:id="0">
    <w:p w:rsidR="000E485E" w:rsidRDefault="000E485E"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C" w:rsidRDefault="00DC0CBC" w:rsidP="00DC0C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C0CBC" w:rsidRDefault="00DC0CBC" w:rsidP="00DC0CB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C" w:rsidRDefault="00DC0CBC" w:rsidP="00DC0C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F3EAC">
      <w:rPr>
        <w:rStyle w:val="Numrodepage"/>
        <w:noProof/>
      </w:rPr>
      <w:t>1</w:t>
    </w:r>
    <w:r>
      <w:rPr>
        <w:rStyle w:val="Numrodepage"/>
      </w:rPr>
      <w:fldChar w:fldCharType="end"/>
    </w:r>
  </w:p>
  <w:p w:rsidR="00DC0CBC" w:rsidRDefault="00DC0CBC" w:rsidP="00DC0CB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5E" w:rsidRDefault="000E485E" w:rsidP="00FA579B">
      <w:r>
        <w:separator/>
      </w:r>
    </w:p>
  </w:footnote>
  <w:footnote w:type="continuationSeparator" w:id="0">
    <w:p w:rsidR="000E485E" w:rsidRDefault="000E485E" w:rsidP="00F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C" w:rsidRDefault="00DC0CBC" w:rsidP="00DC0CBC">
    <w:pPr>
      <w:jc w:val="both"/>
      <w:rPr>
        <w:rFonts w:ascii="Arial Narrow" w:hAnsi="Arial Narrow" w:cs="Arial"/>
        <w:bCs/>
        <w:sz w:val="16"/>
        <w:szCs w:val="16"/>
      </w:rPr>
    </w:pPr>
    <w:r w:rsidRPr="00FD38A6">
      <w:rPr>
        <w:rFonts w:ascii="Arial Narrow" w:hAnsi="Arial Narrow" w:cs="Arial"/>
        <w:bCs/>
        <w:sz w:val="16"/>
        <w:szCs w:val="16"/>
      </w:rPr>
      <w:t>Radicación No: 66001-31-05-00</w:t>
    </w:r>
    <w:r>
      <w:rPr>
        <w:rFonts w:ascii="Arial Narrow" w:hAnsi="Arial Narrow" w:cs="Arial"/>
        <w:bCs/>
        <w:sz w:val="16"/>
        <w:szCs w:val="16"/>
      </w:rPr>
      <w:t>3</w:t>
    </w:r>
    <w:r w:rsidRPr="00FD38A6">
      <w:rPr>
        <w:rFonts w:ascii="Arial Narrow" w:hAnsi="Arial Narrow" w:cs="Arial"/>
        <w:bCs/>
        <w:sz w:val="16"/>
        <w:szCs w:val="16"/>
      </w:rPr>
      <w:t>-201</w:t>
    </w:r>
    <w:r>
      <w:rPr>
        <w:rFonts w:ascii="Arial Narrow" w:hAnsi="Arial Narrow" w:cs="Arial"/>
        <w:bCs/>
        <w:sz w:val="16"/>
        <w:szCs w:val="16"/>
      </w:rPr>
      <w:t>5-00181-01</w:t>
    </w:r>
  </w:p>
  <w:p w:rsidR="00DC0CBC" w:rsidRPr="00FD38A6" w:rsidRDefault="00DC0CBC" w:rsidP="00DC0CBC">
    <w:pPr>
      <w:jc w:val="both"/>
    </w:pPr>
    <w:r>
      <w:rPr>
        <w:rFonts w:ascii="Arial Narrow" w:hAnsi="Arial Narrow" w:cs="Arial"/>
        <w:bCs/>
        <w:sz w:val="16"/>
        <w:szCs w:val="16"/>
      </w:rPr>
      <w:t xml:space="preserve">María Nubia Duque </w:t>
    </w:r>
    <w:proofErr w:type="spellStart"/>
    <w:r>
      <w:rPr>
        <w:rFonts w:ascii="Arial Narrow" w:hAnsi="Arial Narrow" w:cs="Arial"/>
        <w:bCs/>
        <w:sz w:val="16"/>
        <w:szCs w:val="16"/>
      </w:rPr>
      <w:t>Quiceno</w:t>
    </w:r>
    <w:proofErr w:type="spellEnd"/>
    <w:r>
      <w:rPr>
        <w:rFonts w:ascii="Arial Narrow" w:hAnsi="Arial Narrow" w:cs="Arial"/>
        <w:bCs/>
        <w:sz w:val="16"/>
        <w:szCs w:val="16"/>
      </w:rPr>
      <w:t xml:space="preserve"> </w:t>
    </w:r>
    <w:r w:rsidRPr="00FD38A6">
      <w:rPr>
        <w:rFonts w:ascii="Arial Narrow" w:hAnsi="Arial Narrow" w:cs="Arial"/>
        <w:bCs/>
        <w:sz w:val="16"/>
        <w:szCs w:val="16"/>
      </w:rPr>
      <w:t xml:space="preserve">vs </w:t>
    </w:r>
    <w:proofErr w:type="spellStart"/>
    <w:r w:rsidRPr="00FD38A6">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9B"/>
    <w:rsid w:val="00003895"/>
    <w:rsid w:val="00027DA4"/>
    <w:rsid w:val="0004411F"/>
    <w:rsid w:val="000455D3"/>
    <w:rsid w:val="00055C1C"/>
    <w:rsid w:val="00060AD5"/>
    <w:rsid w:val="000629A4"/>
    <w:rsid w:val="000735B8"/>
    <w:rsid w:val="000841FB"/>
    <w:rsid w:val="00091F71"/>
    <w:rsid w:val="000A44B3"/>
    <w:rsid w:val="000E0586"/>
    <w:rsid w:val="000E485E"/>
    <w:rsid w:val="000E7F42"/>
    <w:rsid w:val="00157636"/>
    <w:rsid w:val="0016226C"/>
    <w:rsid w:val="00162B82"/>
    <w:rsid w:val="0016555D"/>
    <w:rsid w:val="00172834"/>
    <w:rsid w:val="0018086F"/>
    <w:rsid w:val="00190780"/>
    <w:rsid w:val="001C3BC1"/>
    <w:rsid w:val="001C63E3"/>
    <w:rsid w:val="001D1126"/>
    <w:rsid w:val="001D25A7"/>
    <w:rsid w:val="001E5321"/>
    <w:rsid w:val="00207B8A"/>
    <w:rsid w:val="00211639"/>
    <w:rsid w:val="0022119C"/>
    <w:rsid w:val="002268BF"/>
    <w:rsid w:val="002338EC"/>
    <w:rsid w:val="0024185D"/>
    <w:rsid w:val="00242152"/>
    <w:rsid w:val="00243588"/>
    <w:rsid w:val="00244B03"/>
    <w:rsid w:val="00251ADE"/>
    <w:rsid w:val="00253284"/>
    <w:rsid w:val="002573E2"/>
    <w:rsid w:val="00260E48"/>
    <w:rsid w:val="00264CFE"/>
    <w:rsid w:val="00264D45"/>
    <w:rsid w:val="00277F01"/>
    <w:rsid w:val="00285F6B"/>
    <w:rsid w:val="002C595E"/>
    <w:rsid w:val="002C770C"/>
    <w:rsid w:val="002E7265"/>
    <w:rsid w:val="002F3E76"/>
    <w:rsid w:val="003003B1"/>
    <w:rsid w:val="003116FE"/>
    <w:rsid w:val="00312EB1"/>
    <w:rsid w:val="00330E90"/>
    <w:rsid w:val="00342991"/>
    <w:rsid w:val="003433AE"/>
    <w:rsid w:val="003532A2"/>
    <w:rsid w:val="003554C6"/>
    <w:rsid w:val="00376ECC"/>
    <w:rsid w:val="003A0BC9"/>
    <w:rsid w:val="003A4676"/>
    <w:rsid w:val="003D4E7F"/>
    <w:rsid w:val="003E00E3"/>
    <w:rsid w:val="003E6AFE"/>
    <w:rsid w:val="003F0088"/>
    <w:rsid w:val="003F6B49"/>
    <w:rsid w:val="00412390"/>
    <w:rsid w:val="004171E4"/>
    <w:rsid w:val="00436E6F"/>
    <w:rsid w:val="00456C49"/>
    <w:rsid w:val="00476A56"/>
    <w:rsid w:val="00477BCE"/>
    <w:rsid w:val="004B0FBF"/>
    <w:rsid w:val="004C149B"/>
    <w:rsid w:val="004C6137"/>
    <w:rsid w:val="004D01C5"/>
    <w:rsid w:val="004D168A"/>
    <w:rsid w:val="004F0C5B"/>
    <w:rsid w:val="004F18BC"/>
    <w:rsid w:val="0050118D"/>
    <w:rsid w:val="005033B0"/>
    <w:rsid w:val="0050403E"/>
    <w:rsid w:val="00515BDC"/>
    <w:rsid w:val="00532705"/>
    <w:rsid w:val="00543AD6"/>
    <w:rsid w:val="00545A67"/>
    <w:rsid w:val="00563496"/>
    <w:rsid w:val="00570690"/>
    <w:rsid w:val="00581973"/>
    <w:rsid w:val="00587E34"/>
    <w:rsid w:val="005A23A8"/>
    <w:rsid w:val="005C663E"/>
    <w:rsid w:val="005D106F"/>
    <w:rsid w:val="005D4047"/>
    <w:rsid w:val="005F5E82"/>
    <w:rsid w:val="006028A9"/>
    <w:rsid w:val="006078B8"/>
    <w:rsid w:val="00611B6A"/>
    <w:rsid w:val="006135E9"/>
    <w:rsid w:val="00615B38"/>
    <w:rsid w:val="00627519"/>
    <w:rsid w:val="00635995"/>
    <w:rsid w:val="006474AD"/>
    <w:rsid w:val="00656F9C"/>
    <w:rsid w:val="00673153"/>
    <w:rsid w:val="00680355"/>
    <w:rsid w:val="00680E2B"/>
    <w:rsid w:val="00692EA1"/>
    <w:rsid w:val="006B7B9E"/>
    <w:rsid w:val="006C245E"/>
    <w:rsid w:val="006C5952"/>
    <w:rsid w:val="006C5BFA"/>
    <w:rsid w:val="006D746B"/>
    <w:rsid w:val="006E2589"/>
    <w:rsid w:val="006E31F3"/>
    <w:rsid w:val="006E3C29"/>
    <w:rsid w:val="006E595E"/>
    <w:rsid w:val="006E5A28"/>
    <w:rsid w:val="006F2FF3"/>
    <w:rsid w:val="00716896"/>
    <w:rsid w:val="007308B1"/>
    <w:rsid w:val="00731D45"/>
    <w:rsid w:val="00735564"/>
    <w:rsid w:val="00765BD1"/>
    <w:rsid w:val="007808E0"/>
    <w:rsid w:val="00784546"/>
    <w:rsid w:val="00784D2B"/>
    <w:rsid w:val="00790F8B"/>
    <w:rsid w:val="0079205E"/>
    <w:rsid w:val="007A2001"/>
    <w:rsid w:val="007A5690"/>
    <w:rsid w:val="007B5499"/>
    <w:rsid w:val="007C0212"/>
    <w:rsid w:val="007C41EC"/>
    <w:rsid w:val="007E1FFD"/>
    <w:rsid w:val="007F6485"/>
    <w:rsid w:val="00800243"/>
    <w:rsid w:val="00802C09"/>
    <w:rsid w:val="00821E1B"/>
    <w:rsid w:val="008236F8"/>
    <w:rsid w:val="0082436D"/>
    <w:rsid w:val="00831F67"/>
    <w:rsid w:val="00842A80"/>
    <w:rsid w:val="00846552"/>
    <w:rsid w:val="008616AB"/>
    <w:rsid w:val="00862FF7"/>
    <w:rsid w:val="008766F1"/>
    <w:rsid w:val="00891B56"/>
    <w:rsid w:val="00895589"/>
    <w:rsid w:val="008A1700"/>
    <w:rsid w:val="008B0712"/>
    <w:rsid w:val="008B1B5A"/>
    <w:rsid w:val="008E5AEC"/>
    <w:rsid w:val="008F003B"/>
    <w:rsid w:val="009038BA"/>
    <w:rsid w:val="00907A5F"/>
    <w:rsid w:val="00912F90"/>
    <w:rsid w:val="0091770D"/>
    <w:rsid w:val="00922C39"/>
    <w:rsid w:val="009341A4"/>
    <w:rsid w:val="0094256D"/>
    <w:rsid w:val="009455C4"/>
    <w:rsid w:val="00945A48"/>
    <w:rsid w:val="00957EEC"/>
    <w:rsid w:val="00964EA5"/>
    <w:rsid w:val="00964F85"/>
    <w:rsid w:val="00980EA4"/>
    <w:rsid w:val="009905E5"/>
    <w:rsid w:val="0099465A"/>
    <w:rsid w:val="009A21C4"/>
    <w:rsid w:val="009B05AA"/>
    <w:rsid w:val="009B6FB2"/>
    <w:rsid w:val="009E026A"/>
    <w:rsid w:val="009E0C22"/>
    <w:rsid w:val="009E13A9"/>
    <w:rsid w:val="00A23CFA"/>
    <w:rsid w:val="00A27BB3"/>
    <w:rsid w:val="00A6690F"/>
    <w:rsid w:val="00A82AC2"/>
    <w:rsid w:val="00A83216"/>
    <w:rsid w:val="00A928D2"/>
    <w:rsid w:val="00AA2A02"/>
    <w:rsid w:val="00AB1EA6"/>
    <w:rsid w:val="00AB5F16"/>
    <w:rsid w:val="00AC3516"/>
    <w:rsid w:val="00AD2974"/>
    <w:rsid w:val="00AD7015"/>
    <w:rsid w:val="00B032AF"/>
    <w:rsid w:val="00B2378E"/>
    <w:rsid w:val="00B3133B"/>
    <w:rsid w:val="00B56E76"/>
    <w:rsid w:val="00B8764A"/>
    <w:rsid w:val="00B910FE"/>
    <w:rsid w:val="00BA0C20"/>
    <w:rsid w:val="00BA226C"/>
    <w:rsid w:val="00BA64F9"/>
    <w:rsid w:val="00BB4D69"/>
    <w:rsid w:val="00BF4088"/>
    <w:rsid w:val="00BF7404"/>
    <w:rsid w:val="00C12EAE"/>
    <w:rsid w:val="00C3187C"/>
    <w:rsid w:val="00C57214"/>
    <w:rsid w:val="00C61831"/>
    <w:rsid w:val="00C61EBD"/>
    <w:rsid w:val="00C95B34"/>
    <w:rsid w:val="00CA0123"/>
    <w:rsid w:val="00CA3741"/>
    <w:rsid w:val="00CB4804"/>
    <w:rsid w:val="00CE534E"/>
    <w:rsid w:val="00CF576A"/>
    <w:rsid w:val="00D24A3F"/>
    <w:rsid w:val="00D260FC"/>
    <w:rsid w:val="00D262DC"/>
    <w:rsid w:val="00D30814"/>
    <w:rsid w:val="00D32B88"/>
    <w:rsid w:val="00D41B46"/>
    <w:rsid w:val="00D748EE"/>
    <w:rsid w:val="00D91394"/>
    <w:rsid w:val="00DA1923"/>
    <w:rsid w:val="00DA56CF"/>
    <w:rsid w:val="00DC0CBC"/>
    <w:rsid w:val="00DC6C2A"/>
    <w:rsid w:val="00DD5A18"/>
    <w:rsid w:val="00DF30A5"/>
    <w:rsid w:val="00E1643E"/>
    <w:rsid w:val="00E24E6C"/>
    <w:rsid w:val="00E27B52"/>
    <w:rsid w:val="00E31559"/>
    <w:rsid w:val="00E33764"/>
    <w:rsid w:val="00E34EB5"/>
    <w:rsid w:val="00E421C5"/>
    <w:rsid w:val="00E66484"/>
    <w:rsid w:val="00E73D7A"/>
    <w:rsid w:val="00E82F6F"/>
    <w:rsid w:val="00E90608"/>
    <w:rsid w:val="00E977EA"/>
    <w:rsid w:val="00EA0A9C"/>
    <w:rsid w:val="00EA2681"/>
    <w:rsid w:val="00EB04CD"/>
    <w:rsid w:val="00EB11C5"/>
    <w:rsid w:val="00EF3EAC"/>
    <w:rsid w:val="00EF3ED8"/>
    <w:rsid w:val="00F06590"/>
    <w:rsid w:val="00F22C53"/>
    <w:rsid w:val="00F33997"/>
    <w:rsid w:val="00F3736E"/>
    <w:rsid w:val="00F50F58"/>
    <w:rsid w:val="00F6278A"/>
    <w:rsid w:val="00F63662"/>
    <w:rsid w:val="00F65645"/>
    <w:rsid w:val="00F73423"/>
    <w:rsid w:val="00F777EB"/>
    <w:rsid w:val="00F86867"/>
    <w:rsid w:val="00F91C0C"/>
    <w:rsid w:val="00FA2D91"/>
    <w:rsid w:val="00FA579B"/>
    <w:rsid w:val="00FB2570"/>
    <w:rsid w:val="00FC1FC0"/>
    <w:rsid w:val="00FC6A59"/>
    <w:rsid w:val="00FD233D"/>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381A-763C-4AFD-ABE6-8B49EC78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2722</Words>
  <Characters>14975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37</cp:revision>
  <cp:lastPrinted>2017-04-26T18:32:00Z</cp:lastPrinted>
  <dcterms:created xsi:type="dcterms:W3CDTF">2017-04-19T18:16:00Z</dcterms:created>
  <dcterms:modified xsi:type="dcterms:W3CDTF">2017-06-24T03:37:00Z</dcterms:modified>
</cp:coreProperties>
</file>