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40" w:rsidRDefault="00175240" w:rsidP="00175240">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9B254A" w:rsidRPr="0055106B" w:rsidRDefault="009B254A" w:rsidP="009B254A">
      <w:pPr>
        <w:spacing w:line="360" w:lineRule="auto"/>
        <w:jc w:val="both"/>
        <w:rPr>
          <w:rFonts w:ascii="Arial Narrow" w:hAnsi="Arial Narrow" w:cs="Arial"/>
          <w:bCs/>
          <w:i/>
          <w:iCs/>
          <w:sz w:val="28"/>
          <w:szCs w:val="28"/>
          <w:u w:val="single"/>
        </w:rPr>
      </w:pPr>
      <w:bookmarkStart w:id="0" w:name="_GoBack"/>
      <w:bookmarkEnd w:id="0"/>
      <w:r w:rsidRPr="0055106B">
        <w:rPr>
          <w:rFonts w:ascii="Arial Narrow" w:hAnsi="Arial Narrow" w:cs="Arial"/>
          <w:bCs/>
          <w:i/>
          <w:iCs/>
          <w:sz w:val="28"/>
          <w:szCs w:val="28"/>
          <w:u w:val="single"/>
        </w:rPr>
        <w:t>ORALIDAD</w:t>
      </w:r>
    </w:p>
    <w:p w:rsidR="009B254A" w:rsidRPr="004A6AB6" w:rsidRDefault="009B254A" w:rsidP="009B254A">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6 de julio de 2017</w:t>
      </w:r>
      <w:r w:rsidRPr="004A6AB6">
        <w:rPr>
          <w:rFonts w:ascii="Arial Narrow" w:hAnsi="Arial Narrow" w:cs="Arial"/>
          <w:sz w:val="18"/>
          <w:szCs w:val="18"/>
        </w:rPr>
        <w:t>.</w:t>
      </w:r>
    </w:p>
    <w:p w:rsidR="009B254A" w:rsidRDefault="009B254A" w:rsidP="009B254A">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Pr>
          <w:rFonts w:ascii="Arial Narrow" w:hAnsi="Arial Narrow" w:cs="Arial"/>
          <w:bCs/>
          <w:sz w:val="18"/>
          <w:szCs w:val="18"/>
        </w:rPr>
        <w:t>5-2015-0004-01</w:t>
      </w:r>
    </w:p>
    <w:p w:rsidR="009B254A" w:rsidRPr="004A6AB6" w:rsidRDefault="009B254A" w:rsidP="009B254A">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iCs/>
          <w:sz w:val="18"/>
          <w:szCs w:val="18"/>
        </w:rPr>
        <w:t>Ordinario Laboral.</w:t>
      </w:r>
    </w:p>
    <w:p w:rsidR="009B254A" w:rsidRPr="004A6AB6" w:rsidRDefault="009B254A" w:rsidP="009B254A">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Pr>
          <w:rFonts w:ascii="Arial Narrow" w:hAnsi="Arial Narrow" w:cs="Arial"/>
          <w:iCs/>
          <w:sz w:val="18"/>
          <w:szCs w:val="18"/>
        </w:rPr>
        <w:t xml:space="preserve">Alberto Mejía Arango  </w:t>
      </w:r>
    </w:p>
    <w:p w:rsidR="009B254A" w:rsidRPr="004A6AB6" w:rsidRDefault="009B254A" w:rsidP="009B254A">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r>
      <w:proofErr w:type="spellStart"/>
      <w:r w:rsidRPr="004A6AB6">
        <w:rPr>
          <w:rFonts w:ascii="Arial Narrow" w:hAnsi="Arial Narrow" w:cs="Arial"/>
          <w:bCs/>
          <w:sz w:val="18"/>
          <w:szCs w:val="18"/>
        </w:rPr>
        <w:t>Colpensiones</w:t>
      </w:r>
      <w:proofErr w:type="spellEnd"/>
    </w:p>
    <w:p w:rsidR="009B254A" w:rsidRPr="004A6AB6" w:rsidRDefault="009B254A" w:rsidP="009B254A">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Pr>
          <w:rFonts w:ascii="Arial Narrow" w:hAnsi="Arial Narrow" w:cs="Arial"/>
          <w:sz w:val="18"/>
          <w:szCs w:val="18"/>
        </w:rPr>
        <w:t xml:space="preserve">Quinto </w:t>
      </w:r>
      <w:r w:rsidRPr="004A6AB6">
        <w:rPr>
          <w:rFonts w:ascii="Arial Narrow" w:hAnsi="Arial Narrow" w:cs="Arial"/>
          <w:sz w:val="18"/>
          <w:szCs w:val="18"/>
        </w:rPr>
        <w:t>Laboral del Circuito de Pereira.</w:t>
      </w:r>
    </w:p>
    <w:p w:rsidR="009B254A" w:rsidRPr="004A6AB6" w:rsidRDefault="009B254A" w:rsidP="009B254A">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6A024A" w:rsidRPr="0010695A" w:rsidRDefault="009B254A" w:rsidP="006A024A">
      <w:pPr>
        <w:ind w:left="2127" w:hanging="2127"/>
        <w:jc w:val="both"/>
        <w:rPr>
          <w:rFonts w:ascii="Arial Narrow" w:hAnsi="Arial Narrow" w:cs="Arial"/>
          <w:bCs/>
          <w:iCs/>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6A024A" w:rsidRPr="0010695A">
        <w:rPr>
          <w:rFonts w:ascii="Arial Narrow" w:hAnsi="Arial Narrow" w:cs="Arial"/>
          <w:b/>
          <w:bCs/>
          <w:sz w:val="18"/>
          <w:szCs w:val="18"/>
        </w:rPr>
        <w:t>Pensión de invalidez después de la edad mínima para la pensión de vejez</w:t>
      </w:r>
      <w:r w:rsidR="006A024A" w:rsidRPr="0010695A">
        <w:rPr>
          <w:rFonts w:ascii="Arial Narrow" w:hAnsi="Arial Narrow" w:cs="Arial"/>
          <w:b/>
          <w:bCs/>
          <w:iCs/>
          <w:sz w:val="18"/>
          <w:szCs w:val="18"/>
          <w:lang w:val="es-ES"/>
        </w:rPr>
        <w:t xml:space="preserve">: </w:t>
      </w:r>
      <w:r w:rsidR="006A024A" w:rsidRPr="0010695A">
        <w:rPr>
          <w:rFonts w:ascii="Arial Narrow" w:hAnsi="Arial Narrow" w:cs="Arial"/>
          <w:bCs/>
          <w:iCs/>
          <w:sz w:val="18"/>
          <w:szCs w:val="18"/>
          <w:lang w:val="es-ES"/>
        </w:rPr>
        <w:t>[Llegada la edad mínima de pensión de vejez]</w:t>
      </w:r>
      <w:r w:rsidR="006A024A" w:rsidRPr="0010695A">
        <w:rPr>
          <w:rFonts w:ascii="Arial Narrow" w:hAnsi="Arial Narrow" w:cs="Arial"/>
          <w:b/>
          <w:bCs/>
          <w:iCs/>
          <w:sz w:val="18"/>
          <w:szCs w:val="18"/>
          <w:lang w:val="es-ES"/>
        </w:rPr>
        <w:t xml:space="preserve"> </w:t>
      </w:r>
      <w:r w:rsidR="006A024A" w:rsidRPr="0010695A">
        <w:rPr>
          <w:rFonts w:ascii="Arial Narrow" w:hAnsi="Arial Narrow" w:cs="Arial"/>
          <w:bCs/>
          <w:iCs/>
          <w:sz w:val="18"/>
          <w:szCs w:val="18"/>
        </w:rPr>
        <w:t xml:space="preserve">se ubica por fuera del alcance de la </w:t>
      </w:r>
      <w:proofErr w:type="spellStart"/>
      <w:r w:rsidR="006A024A" w:rsidRPr="0010695A">
        <w:rPr>
          <w:rFonts w:ascii="Arial Narrow" w:hAnsi="Arial Narrow" w:cs="Arial"/>
          <w:bCs/>
          <w:iCs/>
          <w:sz w:val="18"/>
          <w:szCs w:val="18"/>
        </w:rPr>
        <w:t>asegurabilidad</w:t>
      </w:r>
      <w:proofErr w:type="spellEnd"/>
      <w:r w:rsidR="006A024A" w:rsidRPr="0010695A">
        <w:rPr>
          <w:rFonts w:ascii="Arial Narrow" w:hAnsi="Arial Narrow" w:cs="Arial"/>
          <w:bCs/>
          <w:iCs/>
          <w:sz w:val="18"/>
          <w:szCs w:val="18"/>
        </w:rPr>
        <w:t xml:space="preserve"> de la prestación, puesto que tal cobertura periclita al momento de haber arribado al cumplimiento de la edad mínima y reunida la densidad de aportes, ocasión a partir de la cual la contingencia se cubre de manera exclusiva, con la pensión de vejez, al punto que desde allí cesa la obligación definitiva de cotizar al sistema de pensiones, a través de la figura conocida como retiro, y por ende, el ente de la seguridad social no asume responsabilidad alguna, por cualquier contingencia que se presente en ese lapso que por ley han cesado las cotizaciones, sin perjuicio de que dicha responsabilidad, se mantenga en el caso de la pensión de invalidez, cuando su fecha de estructuración se remonte  en un período atrás, cuando aún subsistía el deber de sufragar al sistema, hipótesis que no se dio en el sub-lite. </w:t>
      </w:r>
    </w:p>
    <w:p w:rsidR="009B254A" w:rsidRPr="00C947AF" w:rsidRDefault="009B254A" w:rsidP="006A024A">
      <w:pPr>
        <w:pStyle w:val="Textoindependiente31"/>
        <w:spacing w:line="240" w:lineRule="auto"/>
        <w:ind w:left="2124" w:hanging="2124"/>
      </w:pPr>
    </w:p>
    <w:p w:rsidR="009B254A" w:rsidRPr="0055106B" w:rsidRDefault="009B254A" w:rsidP="009B254A">
      <w:pPr>
        <w:spacing w:line="360" w:lineRule="auto"/>
        <w:ind w:left="2127" w:hanging="1276"/>
        <w:jc w:val="both"/>
        <w:rPr>
          <w:rFonts w:ascii="Arial Narrow" w:hAnsi="Arial Narrow" w:cs="Arial"/>
          <w:sz w:val="28"/>
          <w:szCs w:val="28"/>
        </w:rPr>
      </w:pPr>
      <w:r w:rsidRPr="0055106B">
        <w:rPr>
          <w:rFonts w:ascii="Arial Narrow" w:hAnsi="Arial Narrow" w:cs="Arial"/>
          <w:bCs/>
          <w:i/>
          <w:sz w:val="28"/>
          <w:szCs w:val="28"/>
        </w:rPr>
        <w:t xml:space="preserve"> </w:t>
      </w:r>
      <w:r w:rsidRPr="0055106B">
        <w:rPr>
          <w:rFonts w:ascii="Arial Narrow" w:hAnsi="Arial Narrow" w:cs="Arial"/>
          <w:sz w:val="28"/>
          <w:szCs w:val="28"/>
          <w:u w:val="single"/>
        </w:rPr>
        <w:t>AUDIENCIA PÚBLICA</w:t>
      </w:r>
      <w:r w:rsidRPr="0055106B">
        <w:rPr>
          <w:rFonts w:ascii="Arial Narrow" w:hAnsi="Arial Narrow" w:cs="Arial"/>
          <w:sz w:val="28"/>
          <w:szCs w:val="28"/>
        </w:rPr>
        <w:t>:</w:t>
      </w:r>
    </w:p>
    <w:p w:rsidR="009B254A" w:rsidRPr="00C947AF" w:rsidRDefault="009B254A" w:rsidP="00C947AF">
      <w:pPr>
        <w:pStyle w:val="Sinespaciado"/>
      </w:pPr>
    </w:p>
    <w:p w:rsidR="009B254A" w:rsidRPr="0055106B" w:rsidRDefault="009B254A" w:rsidP="009B254A">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En Pereira, a los</w:t>
      </w:r>
      <w:r w:rsidR="00F10896">
        <w:rPr>
          <w:rFonts w:ascii="Arial Narrow" w:eastAsia="Calibri" w:hAnsi="Arial Narrow" w:cs="Arial"/>
          <w:sz w:val="28"/>
          <w:szCs w:val="28"/>
          <w:lang w:val="es-CO" w:eastAsia="en-US"/>
        </w:rPr>
        <w:t xml:space="preserve"> seis</w:t>
      </w:r>
      <w:r>
        <w:rPr>
          <w:rFonts w:ascii="Arial Narrow" w:eastAsia="Calibri" w:hAnsi="Arial Narrow" w:cs="Arial"/>
          <w:sz w:val="28"/>
          <w:szCs w:val="28"/>
          <w:lang w:val="es-CO" w:eastAsia="en-US"/>
        </w:rPr>
        <w:t xml:space="preserve"> (</w:t>
      </w:r>
      <w:r w:rsidR="00F10896">
        <w:rPr>
          <w:rFonts w:ascii="Arial Narrow" w:eastAsia="Calibri" w:hAnsi="Arial Narrow" w:cs="Arial"/>
          <w:sz w:val="28"/>
          <w:szCs w:val="28"/>
          <w:lang w:val="es-CO" w:eastAsia="en-US"/>
        </w:rPr>
        <w:t>06</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w:t>
      </w:r>
      <w:r w:rsidR="00F10896">
        <w:rPr>
          <w:rFonts w:ascii="Arial Narrow" w:eastAsia="Calibri" w:hAnsi="Arial Narrow" w:cs="Arial"/>
          <w:sz w:val="28"/>
          <w:szCs w:val="28"/>
          <w:lang w:val="es-CO" w:eastAsia="en-US"/>
        </w:rPr>
        <w:t xml:space="preserve">julio de dos mil </w:t>
      </w:r>
      <w:r>
        <w:rPr>
          <w:rFonts w:ascii="Arial Narrow" w:eastAsia="Calibri" w:hAnsi="Arial Narrow" w:cs="Arial"/>
          <w:sz w:val="28"/>
          <w:szCs w:val="28"/>
          <w:lang w:val="es-CO" w:eastAsia="en-US"/>
        </w:rPr>
        <w:t>diecisiete (2017</w:t>
      </w:r>
      <w:r w:rsidRPr="00E845FE">
        <w:rPr>
          <w:rFonts w:ascii="Arial Narrow" w:eastAsia="Calibri" w:hAnsi="Arial Narrow" w:cs="Arial"/>
          <w:sz w:val="28"/>
          <w:szCs w:val="28"/>
          <w:lang w:val="es-CO" w:eastAsia="en-US"/>
        </w:rPr>
        <w:t>), siendo las</w:t>
      </w:r>
      <w:r w:rsidR="00F10896">
        <w:rPr>
          <w:rFonts w:ascii="Arial Narrow" w:eastAsia="Calibri" w:hAnsi="Arial Narrow" w:cs="Arial"/>
          <w:sz w:val="28"/>
          <w:szCs w:val="28"/>
          <w:lang w:val="es-CO" w:eastAsia="en-US"/>
        </w:rPr>
        <w:t xml:space="preserve"> nueve de la mañana (</w:t>
      </w:r>
      <w:r>
        <w:rPr>
          <w:rFonts w:ascii="Arial Narrow" w:eastAsia="Calibri" w:hAnsi="Arial Narrow" w:cs="Arial"/>
          <w:sz w:val="28"/>
          <w:szCs w:val="28"/>
          <w:lang w:val="es-CO" w:eastAsia="en-US"/>
        </w:rPr>
        <w:t>09:</w:t>
      </w:r>
      <w:r w:rsidR="00F10896">
        <w:rPr>
          <w:rFonts w:ascii="Arial Narrow" w:eastAsia="Calibri" w:hAnsi="Arial Narrow" w:cs="Arial"/>
          <w:sz w:val="28"/>
          <w:szCs w:val="28"/>
          <w:lang w:val="es-CO" w:eastAsia="en-US"/>
        </w:rPr>
        <w:t>00</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 xml:space="preserve">as </w:t>
      </w:r>
      <w:proofErr w:type="gramStart"/>
      <w:r>
        <w:rPr>
          <w:rFonts w:ascii="Arial Narrow" w:hAnsi="Arial Narrow" w:cs="Tahoma"/>
          <w:bCs/>
          <w:color w:val="000000"/>
          <w:sz w:val="28"/>
          <w:szCs w:val="28"/>
          <w:lang w:eastAsia="es-CO"/>
        </w:rPr>
        <w:t>magistradas</w:t>
      </w:r>
      <w:proofErr w:type="gramEnd"/>
      <w:r>
        <w:rPr>
          <w:rFonts w:ascii="Arial Narrow" w:hAnsi="Arial Narrow" w:cs="Tahoma"/>
          <w:bCs/>
          <w:color w:val="000000"/>
          <w:sz w:val="28"/>
          <w:szCs w:val="28"/>
          <w:lang w:eastAsia="es-CO"/>
        </w:rPr>
        <w:t xml:space="preserve"> y el</w:t>
      </w:r>
      <w:r w:rsidRPr="00E845FE">
        <w:rPr>
          <w:rFonts w:ascii="Arial Narrow" w:hAnsi="Arial Narrow" w:cs="Tahoma"/>
          <w:bCs/>
          <w:color w:val="000000"/>
          <w:sz w:val="28"/>
          <w:szCs w:val="28"/>
          <w:lang w:eastAsia="es-CO"/>
        </w:rPr>
        <w:t xml:space="preserve"> suscrito magistrado de la Sala </w:t>
      </w:r>
      <w:r>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sidR="00F10896">
        <w:rPr>
          <w:rFonts w:ascii="Arial Narrow" w:hAnsi="Arial Narrow" w:cs="Tahoma"/>
          <w:bCs/>
          <w:color w:val="000000"/>
          <w:sz w:val="28"/>
          <w:szCs w:val="28"/>
          <w:lang w:eastAsia="es-CO"/>
        </w:rPr>
        <w:t>recurso de apelación presentado por el demandante contra l</w:t>
      </w:r>
      <w:r>
        <w:rPr>
          <w:rFonts w:ascii="Arial Narrow" w:hAnsi="Arial Narrow" w:cs="Tahoma"/>
          <w:bCs/>
          <w:color w:val="000000"/>
          <w:sz w:val="28"/>
          <w:szCs w:val="28"/>
          <w:lang w:eastAsia="es-CO"/>
        </w:rPr>
        <w:t>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F10896">
        <w:rPr>
          <w:rFonts w:ascii="Arial Narrow" w:hAnsi="Arial Narrow" w:cs="Arial"/>
          <w:sz w:val="28"/>
          <w:szCs w:val="28"/>
        </w:rPr>
        <w:t xml:space="preserve">27 de junio de 2016 </w:t>
      </w:r>
      <w:r w:rsidRPr="00E845FE">
        <w:rPr>
          <w:rFonts w:ascii="Arial Narrow" w:hAnsi="Arial Narrow" w:cs="Arial"/>
          <w:sz w:val="28"/>
          <w:szCs w:val="28"/>
        </w:rPr>
        <w:t>por el Juzgado</w:t>
      </w:r>
      <w:r>
        <w:rPr>
          <w:rFonts w:ascii="Arial Narrow" w:hAnsi="Arial Narrow" w:cs="Arial"/>
          <w:sz w:val="28"/>
          <w:szCs w:val="28"/>
        </w:rPr>
        <w:t xml:space="preserve"> Quinto </w:t>
      </w:r>
      <w:r w:rsidRPr="00E845FE">
        <w:rPr>
          <w:rFonts w:ascii="Arial Narrow" w:hAnsi="Arial Narrow" w:cs="Arial"/>
          <w:sz w:val="28"/>
          <w:szCs w:val="28"/>
        </w:rPr>
        <w:t xml:space="preserve">Laboral del Circuito de Pereira, dentro del proceso promovido por </w:t>
      </w:r>
      <w:r w:rsidR="00F10896">
        <w:rPr>
          <w:rFonts w:ascii="Arial Narrow" w:hAnsi="Arial Narrow" w:cs="Arial"/>
          <w:i/>
          <w:sz w:val="28"/>
          <w:szCs w:val="28"/>
        </w:rPr>
        <w:t xml:space="preserve">Alberto Mejía Arango </w:t>
      </w:r>
      <w:r w:rsidRPr="0055106B">
        <w:rPr>
          <w:rFonts w:ascii="Arial Narrow" w:hAnsi="Arial Narrow" w:cs="Arial"/>
          <w:sz w:val="28"/>
          <w:szCs w:val="28"/>
        </w:rPr>
        <w:t xml:space="preserve">contra la </w:t>
      </w:r>
      <w:r w:rsidRPr="0055106B">
        <w:rPr>
          <w:rFonts w:ascii="Arial Narrow" w:hAnsi="Arial Narrow" w:cs="Arial"/>
          <w:i/>
          <w:sz w:val="28"/>
          <w:szCs w:val="28"/>
        </w:rPr>
        <w:t xml:space="preserve">Administradora Colombiana de Pensiones </w:t>
      </w:r>
      <w:proofErr w:type="spellStart"/>
      <w:r w:rsidRPr="0055106B">
        <w:rPr>
          <w:rFonts w:ascii="Arial Narrow" w:hAnsi="Arial Narrow" w:cs="Arial"/>
          <w:bCs/>
          <w:i/>
          <w:sz w:val="28"/>
          <w:szCs w:val="28"/>
        </w:rPr>
        <w:t>Colpensiones</w:t>
      </w:r>
      <w:proofErr w:type="spellEnd"/>
      <w:r w:rsidRPr="0055106B">
        <w:rPr>
          <w:rFonts w:ascii="Arial Narrow" w:hAnsi="Arial Narrow" w:cs="Arial"/>
          <w:bCs/>
          <w:i/>
          <w:iCs/>
          <w:sz w:val="28"/>
          <w:szCs w:val="28"/>
        </w:rPr>
        <w:t>.</w:t>
      </w:r>
    </w:p>
    <w:p w:rsidR="009B254A" w:rsidRPr="007420E2" w:rsidRDefault="009B254A" w:rsidP="009B254A">
      <w:pPr>
        <w:pStyle w:val="Sinespaciado"/>
      </w:pPr>
    </w:p>
    <w:p w:rsidR="009B254A" w:rsidRDefault="009B254A" w:rsidP="009B254A">
      <w:pPr>
        <w:shd w:val="clear" w:color="auto" w:fill="FFFFFF"/>
        <w:spacing w:line="360" w:lineRule="atLeast"/>
        <w:ind w:firstLine="708"/>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IDENTIFICACIÓN DE LOS PRESENTES</w:t>
      </w:r>
    </w:p>
    <w:p w:rsidR="009B254A" w:rsidRDefault="009B254A" w:rsidP="009B254A">
      <w:pPr>
        <w:pStyle w:val="Sinespaciado"/>
      </w:pPr>
    </w:p>
    <w:p w:rsidR="009B254A" w:rsidRDefault="009B254A" w:rsidP="009B254A">
      <w:pPr>
        <w:pStyle w:val="Prrafodelista"/>
        <w:numPr>
          <w:ilvl w:val="0"/>
          <w:numId w:val="2"/>
        </w:numPr>
        <w:shd w:val="clear" w:color="auto" w:fill="FFFFFF"/>
        <w:spacing w:line="360" w:lineRule="atLeast"/>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 xml:space="preserve">INTRODUCCIÓN </w:t>
      </w:r>
    </w:p>
    <w:p w:rsidR="009B254A" w:rsidRPr="00C947AF" w:rsidRDefault="009B254A" w:rsidP="00C947AF">
      <w:pPr>
        <w:pStyle w:val="Sinespaciado"/>
        <w:spacing w:line="276" w:lineRule="auto"/>
      </w:pPr>
      <w:r>
        <w:tab/>
      </w:r>
    </w:p>
    <w:p w:rsidR="009B254A" w:rsidRDefault="009B254A" w:rsidP="009B254A">
      <w:pPr>
        <w:spacing w:line="360" w:lineRule="auto"/>
        <w:ind w:firstLine="900"/>
        <w:jc w:val="both"/>
        <w:rPr>
          <w:rFonts w:ascii="Arial Narrow" w:hAnsi="Arial Narrow" w:cs="Tahoma"/>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w:t>
      </w:r>
      <w:r w:rsidR="00F10896">
        <w:rPr>
          <w:rFonts w:ascii="Arial Narrow" w:hAnsi="Arial Narrow" w:cs="Tahoma"/>
          <w:sz w:val="28"/>
          <w:szCs w:val="28"/>
        </w:rPr>
        <w:t xml:space="preserve">de 2007, a modo de introducción, </w:t>
      </w:r>
      <w:r w:rsidRPr="00FA579B">
        <w:rPr>
          <w:rFonts w:ascii="Arial Narrow" w:hAnsi="Arial Narrow" w:cs="Tahoma"/>
          <w:sz w:val="28"/>
          <w:szCs w:val="28"/>
        </w:rPr>
        <w:t xml:space="preserve">se tiene que </w:t>
      </w:r>
      <w:r w:rsidR="00F10896">
        <w:rPr>
          <w:rFonts w:ascii="Arial Narrow" w:hAnsi="Arial Narrow" w:cs="Tahoma"/>
          <w:sz w:val="28"/>
          <w:szCs w:val="28"/>
        </w:rPr>
        <w:t xml:space="preserve">el </w:t>
      </w:r>
      <w:r>
        <w:rPr>
          <w:rFonts w:ascii="Arial Narrow" w:hAnsi="Arial Narrow" w:cs="Tahoma"/>
          <w:sz w:val="28"/>
          <w:szCs w:val="28"/>
        </w:rPr>
        <w:t>demandante pide que se le r</w:t>
      </w:r>
      <w:r w:rsidR="00F10896">
        <w:rPr>
          <w:rFonts w:ascii="Arial Narrow" w:hAnsi="Arial Narrow" w:cs="Tahoma"/>
          <w:sz w:val="28"/>
          <w:szCs w:val="28"/>
        </w:rPr>
        <w:t xml:space="preserve">econozca y pague la pensión de invalidez, </w:t>
      </w:r>
      <w:r>
        <w:rPr>
          <w:rFonts w:ascii="Arial Narrow" w:hAnsi="Arial Narrow" w:cs="Tahoma"/>
          <w:sz w:val="28"/>
          <w:szCs w:val="28"/>
        </w:rPr>
        <w:t xml:space="preserve">en aplicación del principio de la condición más beneficiosa, y en consecuencia, que se imponga el pago de la correspondiente prestación desde el </w:t>
      </w:r>
      <w:r w:rsidR="00F10896">
        <w:rPr>
          <w:rFonts w:ascii="Arial Narrow" w:hAnsi="Arial Narrow" w:cs="Tahoma"/>
          <w:sz w:val="28"/>
          <w:szCs w:val="28"/>
        </w:rPr>
        <w:t xml:space="preserve">11 de septiembre de 2007, junto con los intereses de mora de que trata el </w:t>
      </w:r>
      <w:r w:rsidR="00B440AF">
        <w:rPr>
          <w:rFonts w:ascii="Arial Narrow" w:hAnsi="Arial Narrow" w:cs="Tahoma"/>
          <w:sz w:val="28"/>
          <w:szCs w:val="28"/>
        </w:rPr>
        <w:t>artículo</w:t>
      </w:r>
      <w:r w:rsidR="005F3A67">
        <w:rPr>
          <w:rFonts w:ascii="Arial Narrow" w:hAnsi="Arial Narrow" w:cs="Tahoma"/>
          <w:sz w:val="28"/>
          <w:szCs w:val="28"/>
        </w:rPr>
        <w:t xml:space="preserve"> 141 de la Ley 100/93 o en subsidio la indexación de las condenas, </w:t>
      </w:r>
      <w:r w:rsidR="00F10896">
        <w:rPr>
          <w:rFonts w:ascii="Arial Narrow" w:hAnsi="Arial Narrow" w:cs="Tahoma"/>
          <w:sz w:val="28"/>
          <w:szCs w:val="28"/>
        </w:rPr>
        <w:t>más las costas del proceso.</w:t>
      </w:r>
    </w:p>
    <w:p w:rsidR="009B254A" w:rsidRPr="00C947AF" w:rsidRDefault="009B254A" w:rsidP="00C947AF">
      <w:pPr>
        <w:pStyle w:val="Sinespaciado"/>
      </w:pPr>
    </w:p>
    <w:p w:rsidR="00B440AF" w:rsidRDefault="005F3A67" w:rsidP="009B254A">
      <w:pPr>
        <w:spacing w:line="360" w:lineRule="auto"/>
        <w:ind w:firstLine="900"/>
        <w:jc w:val="both"/>
        <w:rPr>
          <w:rFonts w:ascii="Arial Narrow" w:hAnsi="Arial Narrow" w:cs="Tahoma"/>
          <w:sz w:val="28"/>
          <w:szCs w:val="28"/>
        </w:rPr>
      </w:pPr>
      <w:r>
        <w:rPr>
          <w:rFonts w:ascii="Arial Narrow" w:hAnsi="Arial Narrow" w:cs="Tahoma"/>
          <w:sz w:val="28"/>
          <w:szCs w:val="28"/>
        </w:rPr>
        <w:t>Como sustento fá</w:t>
      </w:r>
      <w:r w:rsidR="009B254A">
        <w:rPr>
          <w:rFonts w:ascii="Arial Narrow" w:hAnsi="Arial Narrow" w:cs="Tahoma"/>
          <w:sz w:val="28"/>
          <w:szCs w:val="28"/>
        </w:rPr>
        <w:t xml:space="preserve">ctico </w:t>
      </w:r>
      <w:r w:rsidR="00B440AF">
        <w:rPr>
          <w:rFonts w:ascii="Arial Narrow" w:hAnsi="Arial Narrow" w:cs="Tahoma"/>
          <w:sz w:val="28"/>
          <w:szCs w:val="28"/>
        </w:rPr>
        <w:t xml:space="preserve">de sus pedimentos, expone que mediante dictamen No. 1509 de 2009, el Instituto de Seguros Sociales le determinó una pérdida de capacidad </w:t>
      </w:r>
      <w:r w:rsidR="00B440AF">
        <w:rPr>
          <w:rFonts w:ascii="Arial Narrow" w:hAnsi="Arial Narrow" w:cs="Tahoma"/>
          <w:sz w:val="28"/>
          <w:szCs w:val="28"/>
        </w:rPr>
        <w:lastRenderedPageBreak/>
        <w:t xml:space="preserve">laboral del 60.11 %, con fecha de estructuración el 11 de septiembre de 2007; que el 22 de octubre de 2007, presentó ante el ISS la solicitud de reconocimiento de la indemnización sustitutiva de la pensión de vejez, </w:t>
      </w:r>
      <w:r w:rsidR="00235E96">
        <w:rPr>
          <w:rFonts w:ascii="Arial Narrow" w:hAnsi="Arial Narrow" w:cs="Tahoma"/>
          <w:sz w:val="28"/>
          <w:szCs w:val="28"/>
        </w:rPr>
        <w:t xml:space="preserve">la cual le fue </w:t>
      </w:r>
      <w:r w:rsidR="00B440AF">
        <w:rPr>
          <w:rFonts w:ascii="Arial Narrow" w:hAnsi="Arial Narrow" w:cs="Tahoma"/>
          <w:sz w:val="28"/>
          <w:szCs w:val="28"/>
        </w:rPr>
        <w:t xml:space="preserve">reconocida mediante </w:t>
      </w:r>
      <w:r w:rsidR="00235E96">
        <w:rPr>
          <w:rFonts w:ascii="Arial Narrow" w:hAnsi="Arial Narrow" w:cs="Tahoma"/>
          <w:sz w:val="28"/>
          <w:szCs w:val="28"/>
        </w:rPr>
        <w:t xml:space="preserve">Resolución No. 004075 de 2008, en cuantía única de $13`846.115, por 681 semanas cotizadas. Indica que el 23 de julio de 2009 elevó solicitud de reconocimiento pensional por invalidez de origen común, empero, le fue negada a través de la Resolución No. </w:t>
      </w:r>
      <w:r w:rsidR="0093353A">
        <w:rPr>
          <w:rFonts w:ascii="Arial Narrow" w:hAnsi="Arial Narrow" w:cs="Tahoma"/>
          <w:sz w:val="28"/>
          <w:szCs w:val="28"/>
        </w:rPr>
        <w:t xml:space="preserve">100170 de 2011, y por último, que para el momento de la estructuración de la invalidez </w:t>
      </w:r>
      <w:r w:rsidR="00AD1430">
        <w:rPr>
          <w:rFonts w:ascii="Arial Narrow" w:hAnsi="Arial Narrow" w:cs="Tahoma"/>
          <w:sz w:val="28"/>
          <w:szCs w:val="28"/>
        </w:rPr>
        <w:t xml:space="preserve">ostentaba la condición de afiliado al Sistema de Seguridad Social en Pensiones, registrando un total de 930.43 semanas de aportes cotizadas al régimen de prima media, de las cuales 543 lo fueron antes del 1º de abril de 1994. </w:t>
      </w:r>
    </w:p>
    <w:p w:rsidR="009B254A" w:rsidRPr="00C947AF" w:rsidRDefault="009B254A" w:rsidP="00C947AF">
      <w:pPr>
        <w:pStyle w:val="Sinespaciado"/>
      </w:pPr>
    </w:p>
    <w:p w:rsidR="007946DB" w:rsidRPr="00C947AF" w:rsidRDefault="009B254A" w:rsidP="009B254A">
      <w:pPr>
        <w:spacing w:line="360" w:lineRule="auto"/>
        <w:ind w:firstLine="900"/>
        <w:jc w:val="both"/>
        <w:rPr>
          <w:rFonts w:ascii="Arial Narrow" w:hAnsi="Arial Narrow" w:cs="Tahoma"/>
          <w:sz w:val="28"/>
          <w:szCs w:val="28"/>
        </w:rPr>
      </w:pPr>
      <w:r w:rsidRPr="00C947AF">
        <w:rPr>
          <w:rFonts w:ascii="Arial Narrow" w:hAnsi="Arial Narrow" w:cs="Tahoma"/>
          <w:sz w:val="28"/>
          <w:szCs w:val="28"/>
        </w:rPr>
        <w:t xml:space="preserve">Admitida la demanda, se dispuso el traslado a la </w:t>
      </w:r>
      <w:r w:rsidR="007946DB" w:rsidRPr="00C947AF">
        <w:rPr>
          <w:rFonts w:ascii="Arial Narrow" w:hAnsi="Arial Narrow" w:cs="Tahoma"/>
          <w:sz w:val="28"/>
          <w:szCs w:val="28"/>
        </w:rPr>
        <w:t xml:space="preserve">entidad demandada, quien por intermedio de procuradora judicial allegó respuesta </w:t>
      </w:r>
      <w:r w:rsidR="005F3A67" w:rsidRPr="00C947AF">
        <w:rPr>
          <w:rFonts w:ascii="Arial Narrow" w:hAnsi="Arial Narrow" w:cs="Tahoma"/>
          <w:sz w:val="28"/>
          <w:szCs w:val="28"/>
        </w:rPr>
        <w:t>en la que se opuso a la prosperidad de las</w:t>
      </w:r>
      <w:r w:rsidR="00A40728" w:rsidRPr="00C947AF">
        <w:rPr>
          <w:rFonts w:ascii="Arial Narrow" w:hAnsi="Arial Narrow" w:cs="Tahoma"/>
          <w:sz w:val="28"/>
          <w:szCs w:val="28"/>
        </w:rPr>
        <w:t xml:space="preserve"> pretensiones y formuló en su defensa como excepciones de fondo las de “Inexistencia de la obligación demandada”, “improcedencia del reconocimiento de intereses moratorios o indexación de los montos”, “cobro de lo no debido”, “buena fe”, y “prescripción”. </w:t>
      </w:r>
    </w:p>
    <w:p w:rsidR="009B254A" w:rsidRPr="00C947AF" w:rsidRDefault="00AD1430" w:rsidP="00C947AF">
      <w:pPr>
        <w:pStyle w:val="Sinespaciado"/>
        <w:spacing w:line="360" w:lineRule="auto"/>
      </w:pPr>
      <w:r w:rsidRPr="00C947AF">
        <w:t xml:space="preserve"> </w:t>
      </w:r>
    </w:p>
    <w:p w:rsidR="009B254A" w:rsidRPr="00C947AF" w:rsidRDefault="009B254A" w:rsidP="009B254A">
      <w:pPr>
        <w:spacing w:line="360" w:lineRule="auto"/>
        <w:ind w:firstLine="900"/>
        <w:jc w:val="both"/>
        <w:rPr>
          <w:rFonts w:ascii="Arial Narrow" w:hAnsi="Arial Narrow" w:cs="Tahoma"/>
          <w:i/>
          <w:sz w:val="28"/>
          <w:szCs w:val="28"/>
        </w:rPr>
      </w:pPr>
      <w:r w:rsidRPr="00C947AF">
        <w:rPr>
          <w:rFonts w:ascii="Arial Narrow" w:hAnsi="Arial Narrow" w:cs="Tahoma"/>
          <w:i/>
          <w:sz w:val="28"/>
          <w:szCs w:val="28"/>
        </w:rPr>
        <w:t xml:space="preserve">II. SENTENCIA DEL JUZGADO </w:t>
      </w:r>
    </w:p>
    <w:p w:rsidR="009B254A" w:rsidRPr="00C947AF" w:rsidRDefault="009B254A" w:rsidP="00C947AF">
      <w:pPr>
        <w:pStyle w:val="Sinespaciado"/>
      </w:pPr>
    </w:p>
    <w:p w:rsidR="00A40728" w:rsidRPr="00C947AF" w:rsidRDefault="009B254A" w:rsidP="009B254A">
      <w:pPr>
        <w:spacing w:line="360" w:lineRule="auto"/>
        <w:ind w:firstLine="900"/>
        <w:jc w:val="both"/>
        <w:rPr>
          <w:rFonts w:ascii="Arial Narrow" w:hAnsi="Arial Narrow" w:cs="Tahoma"/>
          <w:sz w:val="28"/>
          <w:szCs w:val="28"/>
        </w:rPr>
      </w:pPr>
      <w:r w:rsidRPr="00C947AF">
        <w:rPr>
          <w:rFonts w:ascii="Arial Narrow" w:hAnsi="Arial Narrow" w:cs="Tahoma"/>
          <w:sz w:val="28"/>
          <w:szCs w:val="28"/>
        </w:rPr>
        <w:t xml:space="preserve">El Juzgado de conocimiento mediante fallo del </w:t>
      </w:r>
      <w:r w:rsidR="00A40728" w:rsidRPr="00C947AF">
        <w:rPr>
          <w:rFonts w:ascii="Arial Narrow" w:hAnsi="Arial Narrow" w:cs="Tahoma"/>
          <w:sz w:val="28"/>
          <w:szCs w:val="28"/>
        </w:rPr>
        <w:t>27 de junio de 2016, negó las pretensiones de la demanda, declar</w:t>
      </w:r>
      <w:r w:rsidR="0087600A" w:rsidRPr="00C947AF">
        <w:rPr>
          <w:rFonts w:ascii="Arial Narrow" w:hAnsi="Arial Narrow" w:cs="Tahoma"/>
          <w:sz w:val="28"/>
          <w:szCs w:val="28"/>
        </w:rPr>
        <w:t xml:space="preserve">ó probada la excepción de inexistencia de la obligación demandada y, condenó en costas al promotor del litigio. </w:t>
      </w:r>
    </w:p>
    <w:p w:rsidR="0087600A" w:rsidRPr="00C947AF" w:rsidRDefault="0087600A" w:rsidP="0087600A">
      <w:pPr>
        <w:pStyle w:val="Sinespaciado"/>
        <w:rPr>
          <w:rFonts w:ascii="Arial Narrow" w:hAnsi="Arial Narrow"/>
          <w:sz w:val="28"/>
          <w:szCs w:val="28"/>
        </w:rPr>
      </w:pPr>
    </w:p>
    <w:p w:rsidR="0087600A" w:rsidRPr="00C947AF" w:rsidRDefault="0087600A" w:rsidP="00B923AE">
      <w:pPr>
        <w:spacing w:line="360" w:lineRule="auto"/>
        <w:ind w:firstLine="900"/>
        <w:jc w:val="both"/>
        <w:rPr>
          <w:rFonts w:ascii="Arial Narrow" w:hAnsi="Arial Narrow"/>
          <w:sz w:val="28"/>
          <w:szCs w:val="28"/>
          <w:lang w:val="es-CO"/>
        </w:rPr>
      </w:pPr>
      <w:r w:rsidRPr="00C947AF">
        <w:rPr>
          <w:rFonts w:ascii="Arial Narrow" w:hAnsi="Arial Narrow" w:cs="Tahoma"/>
          <w:sz w:val="28"/>
          <w:szCs w:val="28"/>
        </w:rPr>
        <w:t>Para arribar a tal determinación, estimó que si bien el estado de invalidez del demandante quedó debidamente acreditado en un 60.11 %, no</w:t>
      </w:r>
      <w:r w:rsidR="00B923AE" w:rsidRPr="00C947AF">
        <w:rPr>
          <w:rFonts w:ascii="Arial Narrow" w:hAnsi="Arial Narrow" w:cs="Tahoma"/>
          <w:sz w:val="28"/>
          <w:szCs w:val="28"/>
        </w:rPr>
        <w:t xml:space="preserve"> </w:t>
      </w:r>
      <w:r w:rsidR="00C947AF" w:rsidRPr="00C947AF">
        <w:rPr>
          <w:rFonts w:ascii="Arial Narrow" w:hAnsi="Arial Narrow" w:cs="Tahoma"/>
          <w:sz w:val="28"/>
          <w:szCs w:val="28"/>
        </w:rPr>
        <w:t>se p</w:t>
      </w:r>
      <w:r w:rsidR="00C3230F">
        <w:rPr>
          <w:rFonts w:ascii="Arial Narrow" w:hAnsi="Arial Narrow" w:cs="Tahoma"/>
          <w:sz w:val="28"/>
          <w:szCs w:val="28"/>
        </w:rPr>
        <w:t xml:space="preserve">odía </w:t>
      </w:r>
      <w:r w:rsidR="00B923AE" w:rsidRPr="00C947AF">
        <w:rPr>
          <w:rFonts w:ascii="Arial Narrow" w:hAnsi="Arial Narrow" w:cs="Tahoma"/>
          <w:sz w:val="28"/>
          <w:szCs w:val="28"/>
        </w:rPr>
        <w:t xml:space="preserve">inadvertir que </w:t>
      </w:r>
      <w:r w:rsidR="00C3230F">
        <w:rPr>
          <w:rFonts w:ascii="Arial Narrow" w:hAnsi="Arial Narrow" w:cs="Tahoma"/>
          <w:sz w:val="28"/>
          <w:szCs w:val="28"/>
        </w:rPr>
        <w:t xml:space="preserve">éste </w:t>
      </w:r>
      <w:r w:rsidR="00B923AE" w:rsidRPr="00C947AF">
        <w:rPr>
          <w:rFonts w:ascii="Arial Narrow" w:hAnsi="Arial Narrow" w:cs="Tahoma"/>
          <w:sz w:val="28"/>
          <w:szCs w:val="28"/>
        </w:rPr>
        <w:t>quedó</w:t>
      </w:r>
      <w:r w:rsidRPr="00C947AF">
        <w:rPr>
          <w:rFonts w:ascii="Arial Narrow" w:hAnsi="Arial Narrow" w:cs="Tahoma"/>
          <w:sz w:val="28"/>
          <w:szCs w:val="28"/>
        </w:rPr>
        <w:t xml:space="preserve"> es</w:t>
      </w:r>
      <w:r w:rsidR="00C3230F">
        <w:rPr>
          <w:rFonts w:ascii="Arial Narrow" w:hAnsi="Arial Narrow" w:cs="Tahoma"/>
          <w:sz w:val="28"/>
          <w:szCs w:val="28"/>
        </w:rPr>
        <w:t>tructurado</w:t>
      </w:r>
      <w:r w:rsidRPr="00C947AF">
        <w:rPr>
          <w:rFonts w:ascii="Arial Narrow" w:hAnsi="Arial Narrow" w:cs="Tahoma"/>
          <w:sz w:val="28"/>
          <w:szCs w:val="28"/>
        </w:rPr>
        <w:t xml:space="preserve"> </w:t>
      </w:r>
      <w:r w:rsidR="006C470A" w:rsidRPr="00C947AF">
        <w:rPr>
          <w:rFonts w:ascii="Arial Narrow" w:hAnsi="Arial Narrow" w:cs="Tahoma"/>
          <w:sz w:val="28"/>
          <w:szCs w:val="28"/>
        </w:rPr>
        <w:t xml:space="preserve">en una edad </w:t>
      </w:r>
      <w:r w:rsidR="00B923AE" w:rsidRPr="00C947AF">
        <w:rPr>
          <w:rFonts w:ascii="Arial Narrow" w:hAnsi="Arial Narrow" w:cs="Tahoma"/>
          <w:sz w:val="28"/>
          <w:szCs w:val="28"/>
        </w:rPr>
        <w:t xml:space="preserve">que supera la mínima de cobertura </w:t>
      </w:r>
      <w:r w:rsidR="00C947AF" w:rsidRPr="00C947AF">
        <w:rPr>
          <w:rFonts w:ascii="Arial Narrow" w:hAnsi="Arial Narrow" w:cs="Tahoma"/>
          <w:sz w:val="28"/>
          <w:szCs w:val="28"/>
        </w:rPr>
        <w:t>para la</w:t>
      </w:r>
      <w:r w:rsidR="00B923AE" w:rsidRPr="00C947AF">
        <w:rPr>
          <w:rFonts w:ascii="Arial Narrow" w:hAnsi="Arial Narrow" w:cs="Tahoma"/>
          <w:sz w:val="28"/>
          <w:szCs w:val="28"/>
        </w:rPr>
        <w:t xml:space="preserve"> </w:t>
      </w:r>
      <w:r w:rsidR="008F43A4" w:rsidRPr="00C947AF">
        <w:rPr>
          <w:rFonts w:ascii="Arial Narrow" w:hAnsi="Arial Narrow" w:cs="Tahoma"/>
          <w:sz w:val="28"/>
          <w:szCs w:val="28"/>
        </w:rPr>
        <w:t>pensión</w:t>
      </w:r>
      <w:r w:rsidR="00B923AE" w:rsidRPr="00C947AF">
        <w:rPr>
          <w:rFonts w:ascii="Arial Narrow" w:hAnsi="Arial Narrow" w:cs="Tahoma"/>
          <w:sz w:val="28"/>
          <w:szCs w:val="28"/>
        </w:rPr>
        <w:t xml:space="preserve"> de vejez,</w:t>
      </w:r>
      <w:r w:rsidR="00C3230F">
        <w:rPr>
          <w:rFonts w:ascii="Arial Narrow" w:hAnsi="Arial Narrow" w:cs="Tahoma"/>
          <w:sz w:val="28"/>
          <w:szCs w:val="28"/>
        </w:rPr>
        <w:t xml:space="preserve"> lo que da entender que </w:t>
      </w:r>
      <w:r w:rsidR="00B923AE" w:rsidRPr="00C947AF">
        <w:rPr>
          <w:rFonts w:ascii="Arial Narrow" w:hAnsi="Arial Narrow" w:cs="Tahoma"/>
          <w:sz w:val="28"/>
          <w:szCs w:val="28"/>
        </w:rPr>
        <w:t>la pérdida de capacidad laboral se da por el paso del tiempo y el deterioro natural del cuerpo</w:t>
      </w:r>
      <w:r w:rsidR="008F43A4" w:rsidRPr="00C947AF">
        <w:rPr>
          <w:rFonts w:ascii="Arial Narrow" w:hAnsi="Arial Narrow"/>
          <w:sz w:val="28"/>
          <w:szCs w:val="28"/>
          <w:lang w:val="es-CO"/>
        </w:rPr>
        <w:t>.</w:t>
      </w:r>
      <w:r w:rsidR="007941FD" w:rsidRPr="00C947AF">
        <w:rPr>
          <w:rFonts w:ascii="Arial Narrow" w:hAnsi="Arial Narrow"/>
          <w:sz w:val="28"/>
          <w:szCs w:val="28"/>
          <w:lang w:val="es-CO"/>
        </w:rPr>
        <w:t xml:space="preserve"> Para </w:t>
      </w:r>
      <w:r w:rsidR="00C947AF" w:rsidRPr="00C947AF">
        <w:rPr>
          <w:rFonts w:ascii="Arial Narrow" w:hAnsi="Arial Narrow"/>
          <w:sz w:val="28"/>
          <w:szCs w:val="28"/>
          <w:lang w:val="es-CO"/>
        </w:rPr>
        <w:t xml:space="preserve">el efecto, </w:t>
      </w:r>
      <w:r w:rsidR="007941FD" w:rsidRPr="00C947AF">
        <w:rPr>
          <w:rFonts w:ascii="Arial Narrow" w:hAnsi="Arial Narrow"/>
          <w:sz w:val="28"/>
          <w:szCs w:val="28"/>
          <w:lang w:val="es-CO"/>
        </w:rPr>
        <w:t xml:space="preserve">trajo a colación un pronunciamiento de esta Sala de </w:t>
      </w:r>
      <w:r w:rsidR="00C947AF" w:rsidRPr="00C947AF">
        <w:rPr>
          <w:rFonts w:ascii="Arial Narrow" w:hAnsi="Arial Narrow"/>
          <w:sz w:val="28"/>
          <w:szCs w:val="28"/>
          <w:lang w:val="es-CO"/>
        </w:rPr>
        <w:t>Decisión</w:t>
      </w:r>
      <w:r w:rsidR="007941FD" w:rsidRPr="00C947AF">
        <w:rPr>
          <w:rFonts w:ascii="Arial Narrow" w:hAnsi="Arial Narrow"/>
          <w:sz w:val="28"/>
          <w:szCs w:val="28"/>
          <w:lang w:val="es-CO"/>
        </w:rPr>
        <w:t xml:space="preserve"> y citó algunos sus apartes.</w:t>
      </w:r>
    </w:p>
    <w:p w:rsidR="00C947AF" w:rsidRPr="00C3230F" w:rsidRDefault="00C947AF" w:rsidP="00C3230F">
      <w:pPr>
        <w:pStyle w:val="Sinespaciado"/>
      </w:pPr>
    </w:p>
    <w:p w:rsidR="009B254A" w:rsidRPr="00912F90" w:rsidRDefault="00997BE9" w:rsidP="006A024A">
      <w:pPr>
        <w:spacing w:line="360" w:lineRule="auto"/>
        <w:ind w:firstLine="900"/>
        <w:jc w:val="both"/>
      </w:pPr>
      <w:r>
        <w:rPr>
          <w:rFonts w:ascii="Arial Narrow" w:hAnsi="Arial Narrow"/>
          <w:sz w:val="28"/>
          <w:szCs w:val="28"/>
          <w:lang w:val="es-CO"/>
        </w:rPr>
        <w:t>Inconforme</w:t>
      </w:r>
      <w:r w:rsidR="00C3230F">
        <w:rPr>
          <w:rFonts w:ascii="Arial Narrow" w:hAnsi="Arial Narrow"/>
          <w:sz w:val="28"/>
          <w:szCs w:val="28"/>
          <w:lang w:val="es-CO"/>
        </w:rPr>
        <w:t xml:space="preserve"> </w:t>
      </w:r>
      <w:r w:rsidR="00C947AF" w:rsidRPr="00C947AF">
        <w:rPr>
          <w:rFonts w:ascii="Arial Narrow" w:hAnsi="Arial Narrow"/>
          <w:sz w:val="28"/>
          <w:szCs w:val="28"/>
          <w:lang w:val="es-CO"/>
        </w:rPr>
        <w:t xml:space="preserve">el demandante interpuso el recurso de apelación en orden a que se revoque </w:t>
      </w:r>
      <w:r w:rsidR="00C3230F">
        <w:rPr>
          <w:rFonts w:ascii="Arial Narrow" w:hAnsi="Arial Narrow"/>
          <w:sz w:val="28"/>
          <w:szCs w:val="28"/>
          <w:lang w:val="es-CO"/>
        </w:rPr>
        <w:t xml:space="preserve">la decisión </w:t>
      </w:r>
      <w:r w:rsidR="00C947AF" w:rsidRPr="00C947AF">
        <w:rPr>
          <w:rFonts w:ascii="Arial Narrow" w:hAnsi="Arial Narrow"/>
          <w:sz w:val="28"/>
          <w:szCs w:val="28"/>
          <w:lang w:val="es-CO"/>
        </w:rPr>
        <w:t>y se acceda a lo pretendido. En la sustentación, indic</w:t>
      </w:r>
      <w:r w:rsidR="00100A39">
        <w:rPr>
          <w:rFonts w:ascii="Arial Narrow" w:hAnsi="Arial Narrow"/>
          <w:sz w:val="28"/>
          <w:szCs w:val="28"/>
          <w:lang w:val="es-CO"/>
        </w:rPr>
        <w:t xml:space="preserve">a que debe tenerse en cuenta que la entidad demandada hizo incurrir en error al afiliado cuando le </w:t>
      </w:r>
      <w:r w:rsidR="00100A39">
        <w:rPr>
          <w:rFonts w:ascii="Arial Narrow" w:hAnsi="Arial Narrow"/>
          <w:sz w:val="28"/>
          <w:szCs w:val="28"/>
          <w:lang w:val="es-CO"/>
        </w:rPr>
        <w:lastRenderedPageBreak/>
        <w:t xml:space="preserve">informó que contaba con 681 semanas de aportes, cuando en realidad reportó un total de </w:t>
      </w:r>
      <w:r w:rsidR="00C947AF" w:rsidRPr="00C947AF">
        <w:rPr>
          <w:rFonts w:ascii="Arial Narrow" w:hAnsi="Arial Narrow"/>
          <w:sz w:val="28"/>
          <w:szCs w:val="28"/>
          <w:lang w:val="es-CO"/>
        </w:rPr>
        <w:t xml:space="preserve"> </w:t>
      </w:r>
      <w:r w:rsidR="006A024A">
        <w:rPr>
          <w:rFonts w:ascii="Arial Narrow" w:hAnsi="Arial Narrow"/>
          <w:sz w:val="28"/>
          <w:szCs w:val="28"/>
          <w:lang w:val="es-CO"/>
        </w:rPr>
        <w:t xml:space="preserve">926.61, de modo que le faltaban escasos año y medio para obtener su pensión de vejez. </w:t>
      </w:r>
    </w:p>
    <w:p w:rsidR="00C3230F" w:rsidRPr="006A024A" w:rsidRDefault="00C3230F" w:rsidP="006A024A">
      <w:pPr>
        <w:pStyle w:val="Sinespaciado"/>
      </w:pPr>
    </w:p>
    <w:p w:rsidR="009B254A" w:rsidRPr="00E845FE" w:rsidRDefault="009B254A" w:rsidP="009B254A">
      <w:pPr>
        <w:pStyle w:val="Sinespaciado"/>
        <w:ind w:firstLine="708"/>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9B254A" w:rsidRPr="0079205E" w:rsidRDefault="009B254A" w:rsidP="009B254A">
      <w:pPr>
        <w:pStyle w:val="Sinespaciado"/>
      </w:pPr>
    </w:p>
    <w:p w:rsidR="009B254A" w:rsidRPr="00E845FE" w:rsidRDefault="009B254A" w:rsidP="009B254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6A024A" w:rsidRPr="000D618D" w:rsidRDefault="006A024A" w:rsidP="006A024A">
      <w:pPr>
        <w:tabs>
          <w:tab w:val="left" w:pos="0"/>
          <w:tab w:val="left" w:pos="8647"/>
        </w:tabs>
        <w:suppressAutoHyphens/>
        <w:ind w:firstLine="851"/>
        <w:jc w:val="both"/>
        <w:rPr>
          <w:rFonts w:ascii="Arial Narrow" w:hAnsi="Arial Narrow" w:cs="Tahoma"/>
          <w:i/>
          <w:sz w:val="28"/>
          <w:szCs w:val="28"/>
        </w:rPr>
      </w:pPr>
      <w:r w:rsidRPr="000D618D">
        <w:rPr>
          <w:rFonts w:ascii="Arial Narrow" w:hAnsi="Arial Narrow" w:cs="Tahoma"/>
          <w:i/>
          <w:sz w:val="28"/>
          <w:szCs w:val="28"/>
        </w:rPr>
        <w:t>¿En el sub-lite, es de recibo la aplicación del principio de la condición más beneficiosa?</w:t>
      </w:r>
    </w:p>
    <w:p w:rsidR="006A024A" w:rsidRPr="000D618D" w:rsidRDefault="006A024A" w:rsidP="006A024A">
      <w:pPr>
        <w:pStyle w:val="Sinespaciado"/>
      </w:pPr>
    </w:p>
    <w:p w:rsidR="006A024A" w:rsidRPr="000D618D" w:rsidRDefault="006A024A" w:rsidP="006A024A">
      <w:pPr>
        <w:tabs>
          <w:tab w:val="left" w:pos="0"/>
          <w:tab w:val="left" w:pos="8647"/>
        </w:tabs>
        <w:suppressAutoHyphens/>
        <w:ind w:firstLine="900"/>
        <w:jc w:val="both"/>
        <w:rPr>
          <w:rFonts w:ascii="Arial Narrow" w:hAnsi="Arial Narrow" w:cs="Tahoma"/>
          <w:i/>
          <w:iCs/>
          <w:sz w:val="28"/>
          <w:szCs w:val="28"/>
        </w:rPr>
      </w:pPr>
      <w:r w:rsidRPr="000D618D">
        <w:rPr>
          <w:rFonts w:ascii="Arial Narrow" w:hAnsi="Arial Narrow" w:cs="Tahoma"/>
          <w:i/>
          <w:iCs/>
          <w:sz w:val="28"/>
          <w:szCs w:val="28"/>
        </w:rPr>
        <w:t xml:space="preserve">¿Tiene derecho el actor al reconocimiento y pago de la pensión de invalidez que reclama? </w:t>
      </w:r>
    </w:p>
    <w:p w:rsidR="006A024A" w:rsidRPr="00173AAD" w:rsidRDefault="006A024A" w:rsidP="006A024A">
      <w:pPr>
        <w:pStyle w:val="Sinespaciado"/>
      </w:pPr>
    </w:p>
    <w:p w:rsidR="009B254A" w:rsidRDefault="009B254A" w:rsidP="009B254A">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9B254A" w:rsidRPr="0079205E" w:rsidRDefault="009B254A" w:rsidP="009B254A">
      <w:pPr>
        <w:pStyle w:val="Sinespaciado"/>
      </w:pPr>
    </w:p>
    <w:p w:rsidR="009B254A" w:rsidRDefault="009B254A" w:rsidP="009B254A">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Pr>
          <w:rFonts w:ascii="Arial Narrow" w:hAnsi="Arial Narrow" w:cs="Tahoma"/>
          <w:sz w:val="28"/>
          <w:szCs w:val="28"/>
        </w:rPr>
        <w:t xml:space="preserve"> con el propósito de desatar </w:t>
      </w:r>
      <w:r w:rsidR="00201A8D">
        <w:rPr>
          <w:rFonts w:ascii="Arial Narrow" w:hAnsi="Arial Narrow" w:cs="Tahoma"/>
          <w:sz w:val="28"/>
          <w:szCs w:val="28"/>
        </w:rPr>
        <w:t>el recurso</w:t>
      </w:r>
      <w:r w:rsidRPr="00E845FE">
        <w:rPr>
          <w:rFonts w:ascii="Arial Narrow" w:hAnsi="Arial Narrow" w:cs="Tahoma"/>
          <w:sz w:val="28"/>
          <w:szCs w:val="28"/>
        </w:rPr>
        <w:t xml:space="preserve">, se corre traslado por el término de 8 minutos, a cada uno de los voceros judiciales de las partes asistentes </w:t>
      </w:r>
    </w:p>
    <w:p w:rsidR="009B254A" w:rsidRPr="00E845FE" w:rsidRDefault="009B254A" w:rsidP="009B254A">
      <w:pPr>
        <w:spacing w:line="360" w:lineRule="auto"/>
        <w:jc w:val="both"/>
        <w:rPr>
          <w:rFonts w:ascii="Arial Narrow" w:hAnsi="Arial Narrow" w:cs="Tahoma"/>
          <w:sz w:val="28"/>
          <w:szCs w:val="28"/>
        </w:rPr>
      </w:pPr>
      <w:proofErr w:type="gramStart"/>
      <w:r w:rsidRPr="00E845FE">
        <w:rPr>
          <w:rFonts w:ascii="Arial Narrow" w:hAnsi="Arial Narrow" w:cs="Tahoma"/>
          <w:sz w:val="28"/>
          <w:szCs w:val="28"/>
        </w:rPr>
        <w:t>a</w:t>
      </w:r>
      <w:proofErr w:type="gramEnd"/>
      <w:r w:rsidRPr="00E845FE">
        <w:rPr>
          <w:rFonts w:ascii="Arial Narrow" w:hAnsi="Arial Narrow" w:cs="Tahoma"/>
          <w:sz w:val="28"/>
          <w:szCs w:val="28"/>
        </w:rPr>
        <w:t xml:space="preserve"> la audiencia, </w:t>
      </w:r>
      <w:r>
        <w:rPr>
          <w:rFonts w:ascii="Arial Narrow" w:hAnsi="Arial Narrow" w:cs="Tahoma"/>
          <w:sz w:val="28"/>
          <w:szCs w:val="28"/>
        </w:rPr>
        <w:t>para que presenten sus alegatos de conclusión</w:t>
      </w:r>
      <w:r w:rsidR="00201A8D">
        <w:rPr>
          <w:rFonts w:ascii="Arial Narrow" w:hAnsi="Arial Narrow" w:cs="Tahoma"/>
          <w:sz w:val="28"/>
          <w:szCs w:val="28"/>
        </w:rPr>
        <w:t>, empezando por el recurrente</w:t>
      </w:r>
      <w:r>
        <w:rPr>
          <w:rFonts w:ascii="Arial Narrow" w:hAnsi="Arial Narrow" w:cs="Tahoma"/>
          <w:sz w:val="28"/>
          <w:szCs w:val="28"/>
        </w:rPr>
        <w:t xml:space="preserve">. </w:t>
      </w: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9B254A" w:rsidRPr="00E845FE" w:rsidRDefault="009B254A" w:rsidP="009B254A">
      <w:pPr>
        <w:pStyle w:val="Sinespaciado"/>
        <w:spacing w:line="360" w:lineRule="auto"/>
      </w:pPr>
    </w:p>
    <w:p w:rsidR="009B254A" w:rsidRPr="000E0538" w:rsidRDefault="009B254A" w:rsidP="009B254A">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9B254A" w:rsidRPr="008A1700" w:rsidRDefault="009B254A" w:rsidP="009B254A">
      <w:pPr>
        <w:pStyle w:val="Sinespaciado"/>
      </w:pPr>
      <w:r w:rsidRPr="000E0538">
        <w:rPr>
          <w:i/>
        </w:rPr>
        <w:tab/>
      </w:r>
      <w:r w:rsidRPr="00E845FE">
        <w:tab/>
      </w:r>
    </w:p>
    <w:p w:rsidR="009B254A" w:rsidRDefault="009B254A" w:rsidP="009B254A">
      <w:pPr>
        <w:pStyle w:val="Textoindependien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9B254A" w:rsidRPr="00201A8D" w:rsidRDefault="009B254A" w:rsidP="00201A8D">
      <w:pPr>
        <w:pStyle w:val="Sinespaciado"/>
      </w:pPr>
    </w:p>
    <w:p w:rsidR="00201A8D" w:rsidRDefault="00201A8D" w:rsidP="00201A8D">
      <w:pPr>
        <w:pStyle w:val="Textodebloque1"/>
        <w:widowControl w:val="0"/>
        <w:tabs>
          <w:tab w:val="clear" w:pos="-720"/>
        </w:tabs>
        <w:suppressAutoHyphens w:val="0"/>
        <w:spacing w:line="360" w:lineRule="auto"/>
        <w:ind w:firstLine="424"/>
        <w:rPr>
          <w:b w:val="0"/>
        </w:rPr>
      </w:pPr>
      <w:r w:rsidRPr="00272BC7">
        <w:rPr>
          <w:rFonts w:ascii="Arial Narrow" w:hAnsi="Arial Narrow"/>
          <w:b w:val="0"/>
          <w:sz w:val="28"/>
          <w:szCs w:val="28"/>
        </w:rPr>
        <w:t>Para los fines del recurso, interesa resaltar los supuestos fácticos indiscutidos en el proceso y que sirven de base a la decisión que se adopta. Ellos son: que</w:t>
      </w:r>
      <w:r>
        <w:rPr>
          <w:rFonts w:ascii="Arial Narrow" w:hAnsi="Arial Narrow"/>
          <w:b w:val="0"/>
          <w:sz w:val="28"/>
          <w:szCs w:val="28"/>
        </w:rPr>
        <w:t xml:space="preserve"> el </w:t>
      </w:r>
      <w:r w:rsidRPr="00272BC7">
        <w:rPr>
          <w:rFonts w:ascii="Arial Narrow" w:hAnsi="Arial Narrow"/>
          <w:b w:val="0"/>
          <w:sz w:val="28"/>
          <w:szCs w:val="28"/>
        </w:rPr>
        <w:t xml:space="preserve">demandante </w:t>
      </w:r>
      <w:r>
        <w:rPr>
          <w:rFonts w:ascii="Arial Narrow" w:hAnsi="Arial Narrow"/>
          <w:b w:val="0"/>
          <w:sz w:val="28"/>
          <w:szCs w:val="28"/>
        </w:rPr>
        <w:t xml:space="preserve">nació el 19 de diciembre de 1944; que </w:t>
      </w:r>
      <w:r w:rsidRPr="00272BC7">
        <w:rPr>
          <w:rFonts w:ascii="Arial Narrow" w:hAnsi="Arial Narrow"/>
          <w:b w:val="0"/>
          <w:sz w:val="28"/>
          <w:szCs w:val="28"/>
        </w:rPr>
        <w:t>sufrió una disminución de su capacidad para labora</w:t>
      </w:r>
      <w:r>
        <w:rPr>
          <w:rFonts w:ascii="Arial Narrow" w:hAnsi="Arial Narrow"/>
          <w:b w:val="0"/>
          <w:sz w:val="28"/>
          <w:szCs w:val="28"/>
        </w:rPr>
        <w:t>r del 60.11%</w:t>
      </w:r>
      <w:r w:rsidRPr="00272BC7">
        <w:rPr>
          <w:rFonts w:ascii="Arial Narrow" w:hAnsi="Arial Narrow"/>
          <w:b w:val="0"/>
          <w:sz w:val="28"/>
          <w:szCs w:val="28"/>
        </w:rPr>
        <w:t xml:space="preserve">, desde el </w:t>
      </w:r>
      <w:r>
        <w:rPr>
          <w:rFonts w:ascii="Arial Narrow" w:hAnsi="Arial Narrow"/>
          <w:b w:val="0"/>
          <w:sz w:val="28"/>
          <w:szCs w:val="28"/>
        </w:rPr>
        <w:t>11 de septiembre de 2007</w:t>
      </w:r>
      <w:r w:rsidRPr="00272BC7">
        <w:rPr>
          <w:rFonts w:ascii="Arial Narrow" w:hAnsi="Arial Narrow"/>
          <w:b w:val="0"/>
          <w:sz w:val="28"/>
          <w:szCs w:val="28"/>
        </w:rPr>
        <w:t>; y que cotizó en total 9</w:t>
      </w:r>
      <w:r>
        <w:rPr>
          <w:rFonts w:ascii="Arial Narrow" w:hAnsi="Arial Narrow"/>
          <w:b w:val="0"/>
          <w:sz w:val="28"/>
          <w:szCs w:val="28"/>
        </w:rPr>
        <w:t>30,43</w:t>
      </w:r>
      <w:r w:rsidRPr="00272BC7">
        <w:rPr>
          <w:rFonts w:ascii="Arial Narrow" w:hAnsi="Arial Narrow"/>
          <w:b w:val="0"/>
          <w:sz w:val="28"/>
          <w:szCs w:val="28"/>
        </w:rPr>
        <w:t xml:space="preserve"> semanas con antelación a esa fecha de estructuración de la invalidez, aunque sin ninguna corresponder a</w:t>
      </w:r>
      <w:r>
        <w:rPr>
          <w:rFonts w:ascii="Arial Narrow" w:hAnsi="Arial Narrow"/>
          <w:b w:val="0"/>
          <w:sz w:val="28"/>
          <w:szCs w:val="28"/>
        </w:rPr>
        <w:t xml:space="preserve"> los tres años inmediatamente anteriores, empero, sí más de 300 a la entrada en vigencia del nuevo sistema de seguridad social. </w:t>
      </w:r>
    </w:p>
    <w:p w:rsidR="00201A8D" w:rsidRPr="00F413FA" w:rsidRDefault="00201A8D" w:rsidP="00201A8D">
      <w:pPr>
        <w:pStyle w:val="Sinespaciado"/>
      </w:pPr>
    </w:p>
    <w:p w:rsidR="00201A8D" w:rsidRPr="00F9688E" w:rsidRDefault="00201A8D" w:rsidP="00201A8D">
      <w:pPr>
        <w:pStyle w:val="Textoindependiente32"/>
        <w:ind w:firstLine="708"/>
        <w:rPr>
          <w:rFonts w:ascii="Arial Narrow" w:hAnsi="Arial Narrow"/>
          <w:sz w:val="28"/>
          <w:szCs w:val="28"/>
        </w:rPr>
      </w:pPr>
      <w:r w:rsidRPr="006A4EB4">
        <w:rPr>
          <w:rFonts w:ascii="Arial Narrow" w:hAnsi="Arial Narrow"/>
          <w:sz w:val="28"/>
          <w:szCs w:val="28"/>
        </w:rPr>
        <w:lastRenderedPageBreak/>
        <w:t xml:space="preserve">Así las cosas, </w:t>
      </w:r>
      <w:r>
        <w:rPr>
          <w:rFonts w:ascii="Arial Narrow" w:hAnsi="Arial Narrow"/>
          <w:sz w:val="28"/>
          <w:szCs w:val="28"/>
        </w:rPr>
        <w:t xml:space="preserve">teniendo en cuenta que </w:t>
      </w:r>
      <w:r w:rsidRPr="006A4EB4">
        <w:rPr>
          <w:rFonts w:ascii="Arial Narrow" w:hAnsi="Arial Narrow"/>
          <w:sz w:val="28"/>
          <w:szCs w:val="28"/>
        </w:rPr>
        <w:t xml:space="preserve">el asegurado había aglutinado al 1 de abril de 1994, más de 300 semanas sufragadas al sistema pensional, las que en vigencia del acuerdo 049 de 1990, hubieran sido suficientes para alcanzar el derecho a la pensión de invalidez, </w:t>
      </w:r>
      <w:r>
        <w:rPr>
          <w:rFonts w:ascii="Arial Narrow" w:hAnsi="Arial Narrow"/>
          <w:sz w:val="28"/>
          <w:szCs w:val="28"/>
        </w:rPr>
        <w:t xml:space="preserve">como quiera que no alcanzó las exigidas bajo la égida de la Ley 860 de 2003 ni la Ley 100 en su versión original, </w:t>
      </w:r>
      <w:r w:rsidRPr="00F9688E">
        <w:rPr>
          <w:rFonts w:ascii="Arial Narrow" w:hAnsi="Arial Narrow"/>
          <w:sz w:val="28"/>
          <w:szCs w:val="28"/>
        </w:rPr>
        <w:t xml:space="preserve"> podría abrirse paso al estudio de la aplicación del principio de la condición más beneficiosa, o cualesquiera otro (expectativa legítima, proporcionalidad, favorabilidad, igualdad etc.), que justificara la súplica del actor de saltar de la ley 860 de 2003 al acuerdo 049 de 1990, en orden a acceder al pedimento pensional, sino fuera porque</w:t>
      </w:r>
      <w:r>
        <w:rPr>
          <w:rFonts w:ascii="Arial Narrow" w:hAnsi="Arial Narrow"/>
          <w:sz w:val="28"/>
          <w:szCs w:val="28"/>
        </w:rPr>
        <w:t xml:space="preserve"> tal como lo concluyó la a-quo, </w:t>
      </w:r>
      <w:r w:rsidRPr="00F9688E">
        <w:rPr>
          <w:rFonts w:ascii="Arial Narrow" w:hAnsi="Arial Narrow"/>
          <w:sz w:val="28"/>
          <w:szCs w:val="28"/>
        </w:rPr>
        <w:t>dada</w:t>
      </w:r>
      <w:r>
        <w:rPr>
          <w:rFonts w:ascii="Arial Narrow" w:hAnsi="Arial Narrow"/>
          <w:sz w:val="28"/>
          <w:szCs w:val="28"/>
        </w:rPr>
        <w:t>s</w:t>
      </w:r>
      <w:r w:rsidRPr="00F9688E">
        <w:rPr>
          <w:rFonts w:ascii="Arial Narrow" w:hAnsi="Arial Narrow"/>
          <w:sz w:val="28"/>
          <w:szCs w:val="28"/>
        </w:rPr>
        <w:t xml:space="preserve"> las condiciones como se acredi</w:t>
      </w:r>
      <w:r>
        <w:rPr>
          <w:rFonts w:ascii="Arial Narrow" w:hAnsi="Arial Narrow"/>
          <w:sz w:val="28"/>
          <w:szCs w:val="28"/>
        </w:rPr>
        <w:t>tó el estado invalidante en un 60.11</w:t>
      </w:r>
      <w:r w:rsidRPr="00F9688E">
        <w:rPr>
          <w:rFonts w:ascii="Arial Narrow" w:hAnsi="Arial Narrow"/>
          <w:sz w:val="28"/>
          <w:szCs w:val="28"/>
        </w:rPr>
        <w:t>%, este no satisface, el otro requisito para consolidar el derecho deprecado, pese a que la merma laboral supera el 50%.</w:t>
      </w:r>
    </w:p>
    <w:p w:rsidR="00201A8D" w:rsidRPr="000D618D" w:rsidRDefault="00201A8D" w:rsidP="00201A8D">
      <w:pPr>
        <w:pStyle w:val="Sinespaciado"/>
      </w:pPr>
    </w:p>
    <w:p w:rsidR="00201A8D" w:rsidRPr="00617F3A" w:rsidRDefault="00201A8D" w:rsidP="00201A8D">
      <w:pPr>
        <w:pStyle w:val="Textoindependiente32"/>
        <w:ind w:firstLine="708"/>
        <w:rPr>
          <w:rFonts w:ascii="Arial Narrow" w:hAnsi="Arial Narrow"/>
          <w:color w:val="FF0000"/>
          <w:sz w:val="28"/>
          <w:szCs w:val="28"/>
        </w:rPr>
      </w:pPr>
      <w:r w:rsidRPr="00F9688E">
        <w:rPr>
          <w:rFonts w:ascii="Arial Narrow" w:hAnsi="Arial Narrow"/>
          <w:sz w:val="28"/>
          <w:szCs w:val="28"/>
        </w:rPr>
        <w:t>Se sostiene lo anterior en la medida en que al juzgar por la circunstancia de ha</w:t>
      </w:r>
      <w:r>
        <w:rPr>
          <w:rFonts w:ascii="Arial Narrow" w:hAnsi="Arial Narrow"/>
          <w:sz w:val="28"/>
          <w:szCs w:val="28"/>
        </w:rPr>
        <w:t>berse emitido la fecha de estructuración de la invalidez</w:t>
      </w:r>
      <w:r w:rsidRPr="00F9688E">
        <w:rPr>
          <w:rFonts w:ascii="Arial Narrow" w:hAnsi="Arial Narrow"/>
          <w:sz w:val="28"/>
          <w:szCs w:val="28"/>
        </w:rPr>
        <w:t xml:space="preserve">, en una época en </w:t>
      </w:r>
      <w:r>
        <w:rPr>
          <w:rFonts w:ascii="Arial Narrow" w:hAnsi="Arial Narrow"/>
          <w:sz w:val="28"/>
          <w:szCs w:val="28"/>
        </w:rPr>
        <w:t xml:space="preserve">que el demandante superaba </w:t>
      </w:r>
      <w:r w:rsidRPr="00F9688E">
        <w:rPr>
          <w:rFonts w:ascii="Arial Narrow" w:hAnsi="Arial Narrow"/>
          <w:sz w:val="28"/>
          <w:szCs w:val="28"/>
        </w:rPr>
        <w:t xml:space="preserve">la edad de </w:t>
      </w:r>
      <w:r>
        <w:rPr>
          <w:rFonts w:ascii="Arial Narrow" w:hAnsi="Arial Narrow"/>
          <w:sz w:val="28"/>
          <w:szCs w:val="28"/>
        </w:rPr>
        <w:t>62 años,</w:t>
      </w:r>
      <w:r w:rsidRPr="00F9688E">
        <w:rPr>
          <w:rFonts w:ascii="Arial Narrow" w:hAnsi="Arial Narrow"/>
          <w:sz w:val="28"/>
          <w:szCs w:val="28"/>
        </w:rPr>
        <w:t xml:space="preserve"> altamente resultaba probable, que su pérdida laboral superara el 50% a causa de los achaques propios de la vejez, y no de una enfermedad en específico sin consideración a esa avanzada edad, como de manera desprevenida se pudiera deducir de</w:t>
      </w:r>
      <w:r>
        <w:rPr>
          <w:rFonts w:ascii="Arial Narrow" w:hAnsi="Arial Narrow"/>
          <w:sz w:val="28"/>
          <w:szCs w:val="28"/>
        </w:rPr>
        <w:t xml:space="preserve"> la lectura del dictamen de la Comisión medico laboral del ISS de </w:t>
      </w:r>
      <w:r w:rsidRPr="00F9688E">
        <w:rPr>
          <w:rFonts w:ascii="Arial Narrow" w:hAnsi="Arial Narrow"/>
          <w:sz w:val="28"/>
          <w:szCs w:val="28"/>
        </w:rPr>
        <w:t>folio</w:t>
      </w:r>
      <w:r>
        <w:rPr>
          <w:rFonts w:ascii="Arial Narrow" w:hAnsi="Arial Narrow"/>
          <w:sz w:val="28"/>
          <w:szCs w:val="28"/>
        </w:rPr>
        <w:t xml:space="preserve"> 6,</w:t>
      </w:r>
      <w:r w:rsidRPr="00F9688E">
        <w:rPr>
          <w:rFonts w:ascii="Arial Narrow" w:hAnsi="Arial Narrow"/>
          <w:sz w:val="28"/>
          <w:szCs w:val="28"/>
        </w:rPr>
        <w:t xml:space="preserve"> el cual </w:t>
      </w:r>
      <w:r w:rsidR="00141245">
        <w:rPr>
          <w:rFonts w:ascii="Arial Narrow" w:hAnsi="Arial Narrow"/>
          <w:sz w:val="28"/>
          <w:szCs w:val="28"/>
        </w:rPr>
        <w:t xml:space="preserve">se refiere a que los padecimientos del actor se limitaron a </w:t>
      </w:r>
      <w:r>
        <w:rPr>
          <w:rFonts w:ascii="Arial Narrow" w:hAnsi="Arial Narrow"/>
          <w:sz w:val="28"/>
          <w:szCs w:val="28"/>
        </w:rPr>
        <w:t>enfermedades coronarias, las cuales como es sabido tienen como factor de riesgo</w:t>
      </w:r>
      <w:r w:rsidR="007A73A6">
        <w:rPr>
          <w:rFonts w:ascii="Arial Narrow" w:hAnsi="Arial Narrow"/>
          <w:sz w:val="28"/>
          <w:szCs w:val="28"/>
        </w:rPr>
        <w:t xml:space="preserve"> principal </w:t>
      </w:r>
      <w:r>
        <w:rPr>
          <w:rFonts w:ascii="Arial Narrow" w:hAnsi="Arial Narrow"/>
          <w:sz w:val="28"/>
          <w:szCs w:val="28"/>
        </w:rPr>
        <w:t>la avanzada edad</w:t>
      </w:r>
      <w:r w:rsidR="00141245">
        <w:rPr>
          <w:rFonts w:ascii="Arial Narrow" w:hAnsi="Arial Narrow"/>
          <w:sz w:val="28"/>
          <w:szCs w:val="28"/>
        </w:rPr>
        <w:t xml:space="preserve">. Se lee del referido dictamen “Infarto de </w:t>
      </w:r>
      <w:r w:rsidR="007A73A6">
        <w:rPr>
          <w:rFonts w:ascii="Arial Narrow" w:hAnsi="Arial Narrow"/>
          <w:sz w:val="28"/>
          <w:szCs w:val="28"/>
        </w:rPr>
        <w:t xml:space="preserve">miocardio, </w:t>
      </w:r>
      <w:proofErr w:type="spellStart"/>
      <w:r w:rsidR="007A73A6">
        <w:rPr>
          <w:rFonts w:ascii="Arial Narrow" w:hAnsi="Arial Narrow"/>
          <w:sz w:val="28"/>
          <w:szCs w:val="28"/>
        </w:rPr>
        <w:t>angioplatía</w:t>
      </w:r>
      <w:proofErr w:type="spellEnd"/>
      <w:r w:rsidR="007A73A6">
        <w:rPr>
          <w:rFonts w:ascii="Arial Narrow" w:hAnsi="Arial Narrow"/>
          <w:sz w:val="28"/>
          <w:szCs w:val="28"/>
        </w:rPr>
        <w:t xml:space="preserve"> y rehabilitación cardiovascular, ventrículo izquierdo levemente dilatado deterioro moderado a severo de función, septiembre 11 de 2007.</w:t>
      </w:r>
    </w:p>
    <w:p w:rsidR="00201A8D" w:rsidRDefault="00201A8D" w:rsidP="00201A8D"/>
    <w:p w:rsidR="00201A8D" w:rsidRDefault="00201A8D" w:rsidP="00201A8D">
      <w:pPr>
        <w:pStyle w:val="Textoindependiente32"/>
        <w:ind w:firstLine="708"/>
        <w:rPr>
          <w:rFonts w:ascii="Arial Narrow" w:hAnsi="Arial Narrow"/>
          <w:sz w:val="28"/>
          <w:szCs w:val="28"/>
        </w:rPr>
      </w:pPr>
      <w:r w:rsidRPr="00F9688E">
        <w:rPr>
          <w:rFonts w:ascii="Arial Narrow" w:hAnsi="Arial Narrow"/>
          <w:sz w:val="28"/>
          <w:szCs w:val="28"/>
        </w:rPr>
        <w:t>En otra ocasión, esta Sala había negado el reconocimiento de una pensión de invalidez fundada en argumentos similares al que hoy se exponen, cuando entre otras razones se adujo:</w:t>
      </w:r>
    </w:p>
    <w:p w:rsidR="00201A8D" w:rsidRPr="000D618D" w:rsidRDefault="00201A8D" w:rsidP="00201A8D">
      <w:pPr>
        <w:pStyle w:val="Sinespaciado"/>
      </w:pPr>
    </w:p>
    <w:p w:rsidR="00201A8D" w:rsidRPr="00BF69F3" w:rsidRDefault="00201A8D" w:rsidP="00201A8D">
      <w:pPr>
        <w:ind w:left="284" w:right="335"/>
        <w:jc w:val="both"/>
        <w:rPr>
          <w:rFonts w:ascii="Arial Narrow" w:hAnsi="Arial Narrow"/>
          <w:i/>
          <w:sz w:val="26"/>
          <w:szCs w:val="26"/>
        </w:rPr>
      </w:pPr>
      <w:r>
        <w:rPr>
          <w:rFonts w:ascii="Arial" w:hAnsi="Arial"/>
          <w:sz w:val="26"/>
          <w:szCs w:val="26"/>
        </w:rPr>
        <w:t>“</w:t>
      </w:r>
      <w:r w:rsidRPr="00BF69F3">
        <w:rPr>
          <w:rFonts w:ascii="Arial Narrow" w:hAnsi="Arial Narrow"/>
          <w:i/>
          <w:sz w:val="26"/>
          <w:szCs w:val="26"/>
        </w:rPr>
        <w:t xml:space="preserve">es cierto que no se probó que la pérdida de la capacidad laboral de la actora tuviera incidencia directa en el trabajo habitual desplegado por ésta, véase que la razón en que se cimienta el fundamento legal de la pensión de invalidez [Acu. 049/90, Art.5°] no es otra que la de proteger al </w:t>
      </w:r>
      <w:r w:rsidRPr="00BF69F3">
        <w:rPr>
          <w:rFonts w:ascii="Arial Narrow" w:hAnsi="Arial Narrow"/>
          <w:b/>
          <w:i/>
          <w:sz w:val="26"/>
          <w:szCs w:val="26"/>
        </w:rPr>
        <w:t>“</w:t>
      </w:r>
      <w:r w:rsidRPr="00BF69F3">
        <w:rPr>
          <w:rFonts w:ascii="Arial Narrow" w:hAnsi="Arial Narrow"/>
          <w:b/>
          <w:i/>
          <w:sz w:val="26"/>
          <w:szCs w:val="26"/>
          <w:u w:val="single"/>
        </w:rPr>
        <w:t xml:space="preserve">afiliado </w:t>
      </w:r>
      <w:r w:rsidRPr="00BF69F3">
        <w:rPr>
          <w:rFonts w:ascii="Arial Narrow" w:hAnsi="Arial Narrow"/>
          <w:b/>
          <w:i/>
          <w:sz w:val="26"/>
          <w:szCs w:val="26"/>
        </w:rPr>
        <w:t xml:space="preserve">o </w:t>
      </w:r>
      <w:r w:rsidRPr="00BF69F3">
        <w:rPr>
          <w:rFonts w:ascii="Arial Narrow" w:hAnsi="Arial Narrow"/>
          <w:b/>
          <w:i/>
          <w:sz w:val="26"/>
          <w:szCs w:val="26"/>
          <w:u w:val="single"/>
        </w:rPr>
        <w:t>asegurado</w:t>
      </w:r>
      <w:r w:rsidRPr="00BF69F3">
        <w:rPr>
          <w:rFonts w:ascii="Arial Narrow" w:hAnsi="Arial Narrow"/>
          <w:b/>
          <w:i/>
          <w:sz w:val="26"/>
          <w:szCs w:val="26"/>
        </w:rPr>
        <w:t xml:space="preserve"> que por enfermedad no profesional o por lesión distinta de accidente de trabajo, haya perdido el 50% o más de su capacidad laboral para desempeñar el oficio o profesión para el cual está capacitado </w:t>
      </w:r>
      <w:r w:rsidRPr="00BF69F3">
        <w:rPr>
          <w:rFonts w:ascii="Arial Narrow" w:hAnsi="Arial Narrow"/>
          <w:b/>
          <w:i/>
          <w:sz w:val="26"/>
          <w:szCs w:val="26"/>
          <w:u w:val="single"/>
        </w:rPr>
        <w:t>y que constituye su actividad habitual y permanente</w:t>
      </w:r>
      <w:r w:rsidRPr="00BF69F3">
        <w:rPr>
          <w:rFonts w:ascii="Arial Narrow" w:hAnsi="Arial Narrow"/>
          <w:b/>
          <w:i/>
          <w:sz w:val="26"/>
          <w:szCs w:val="26"/>
        </w:rPr>
        <w:t xml:space="preserve">”; </w:t>
      </w:r>
      <w:r w:rsidRPr="00BF69F3">
        <w:rPr>
          <w:rFonts w:ascii="Arial Narrow" w:hAnsi="Arial Narrow"/>
          <w:i/>
          <w:sz w:val="26"/>
          <w:szCs w:val="26"/>
        </w:rPr>
        <w:t xml:space="preserve">actividad habitual y permanente que, para el caso pensional, es la que efectivamente constituye la </w:t>
      </w:r>
      <w:r w:rsidRPr="00BF69F3">
        <w:rPr>
          <w:rFonts w:ascii="Arial Narrow" w:hAnsi="Arial Narrow"/>
          <w:i/>
          <w:sz w:val="26"/>
          <w:szCs w:val="26"/>
        </w:rPr>
        <w:lastRenderedPageBreak/>
        <w:t>necesidad de la existencia del cubrimiento de la Seguridad Social por parte del Estado, a fin de que el asegurado pueda seguir cubriendo sus necesidades básicas de sustento; cubrimiento que para este caso particular no entraría a suplir las actividades laborales habituales o permanentes de la actora, puesto que éstas simplemente no existen o no fueron probadas para la fecha en que se estructuró el estado de invalidez… su sustento económico no depende, en todo caso, de actividades laborales y por ende el reconocimiento pensional que hoy se solicita, de reconocerse, no sería coherente con los principios que soportan la Seguridad Social, que son la cobertura de aquel tipo de contingencias que sobrevengan a un trabajador que depende en su sostenimiento y el de los suyos, de su actividad laboral.</w:t>
      </w:r>
    </w:p>
    <w:p w:rsidR="00201A8D" w:rsidRPr="00BF69F3" w:rsidRDefault="00201A8D" w:rsidP="00201A8D">
      <w:pPr>
        <w:ind w:left="284" w:right="335"/>
        <w:jc w:val="both"/>
        <w:rPr>
          <w:rFonts w:ascii="Arial Narrow" w:hAnsi="Arial Narrow"/>
          <w:i/>
          <w:sz w:val="26"/>
          <w:szCs w:val="26"/>
        </w:rPr>
      </w:pPr>
    </w:p>
    <w:p w:rsidR="00201A8D" w:rsidRPr="00BF69F3" w:rsidRDefault="00201A8D" w:rsidP="00201A8D">
      <w:pPr>
        <w:ind w:left="284" w:right="335"/>
        <w:jc w:val="both"/>
        <w:rPr>
          <w:rFonts w:ascii="Arial Narrow" w:hAnsi="Arial Narrow"/>
          <w:i/>
          <w:sz w:val="26"/>
          <w:szCs w:val="26"/>
        </w:rPr>
      </w:pPr>
      <w:r w:rsidRPr="00BF69F3">
        <w:rPr>
          <w:rFonts w:ascii="Arial Narrow" w:hAnsi="Arial Narrow"/>
          <w:i/>
          <w:sz w:val="26"/>
          <w:szCs w:val="26"/>
        </w:rPr>
        <w:t>En otras palabras, hoy por hoy, para las personas que han perdido su capacidad para laborar por el deterioro o decrepitud natural del cuerpo humano no está dispuesta la pensión de invalidez como sí la de vejez. Tan cierto ello que el parágrafo del artículo 4º del Decreto 917 de 28 de mayo de 1999, que modificó el 692 de 1995, que es el Manual Básico para la Calificación de Invalidez, establece:</w:t>
      </w:r>
    </w:p>
    <w:p w:rsidR="00201A8D" w:rsidRPr="00BF69F3" w:rsidRDefault="00201A8D" w:rsidP="00201A8D">
      <w:pPr>
        <w:pStyle w:val="Sinespaciado"/>
      </w:pPr>
    </w:p>
    <w:p w:rsidR="00201A8D" w:rsidRPr="00BF69F3" w:rsidRDefault="00201A8D" w:rsidP="00201A8D">
      <w:pPr>
        <w:pStyle w:val="Textodebloque1"/>
        <w:ind w:left="709" w:right="760"/>
        <w:rPr>
          <w:rFonts w:ascii="Arial Narrow" w:hAnsi="Arial Narrow"/>
          <w:i/>
          <w:sz w:val="26"/>
          <w:szCs w:val="26"/>
        </w:rPr>
      </w:pPr>
      <w:r w:rsidRPr="00BF69F3">
        <w:rPr>
          <w:rFonts w:ascii="Arial Narrow" w:hAnsi="Arial Narrow"/>
          <w:i/>
          <w:sz w:val="26"/>
          <w:szCs w:val="26"/>
        </w:rPr>
        <w:t xml:space="preserve">“Las consecuencias normales de la vejez, por sí solas, sin patología sobre agregada no generan deficiencia para los efectos de la calificación de la invalidez en el Sistema Integral de Seguridad Social. En el caso de </w:t>
      </w:r>
      <w:proofErr w:type="spellStart"/>
      <w:r w:rsidRPr="00BF69F3">
        <w:rPr>
          <w:rFonts w:ascii="Arial Narrow" w:hAnsi="Arial Narrow"/>
          <w:i/>
          <w:sz w:val="26"/>
          <w:szCs w:val="26"/>
        </w:rPr>
        <w:t>co</w:t>
      </w:r>
      <w:proofErr w:type="spellEnd"/>
      <w:r w:rsidRPr="00BF69F3">
        <w:rPr>
          <w:rFonts w:ascii="Arial Narrow" w:hAnsi="Arial Narrow"/>
          <w:i/>
          <w:sz w:val="26"/>
          <w:szCs w:val="26"/>
        </w:rPr>
        <w:t>-existir alguna patología con dichas consecuencias se podrá incluir dentro de la calificación de acuerdo con la deficiencia, discapacidad y minusvalía correspondientes”.</w:t>
      </w:r>
    </w:p>
    <w:p w:rsidR="00201A8D" w:rsidRDefault="00201A8D" w:rsidP="00201A8D">
      <w:pPr>
        <w:pStyle w:val="Textoindependiente32"/>
        <w:spacing w:line="240" w:lineRule="auto"/>
        <w:ind w:left="709" w:right="760" w:firstLine="709"/>
        <w:rPr>
          <w:rFonts w:ascii="Arial Narrow" w:hAnsi="Arial Narrow"/>
          <w:b/>
          <w:i/>
          <w:sz w:val="26"/>
          <w:szCs w:val="26"/>
        </w:rPr>
      </w:pPr>
    </w:p>
    <w:p w:rsidR="00201A8D" w:rsidRPr="0093775B" w:rsidRDefault="00201A8D" w:rsidP="00201A8D">
      <w:pPr>
        <w:pStyle w:val="Textoindependiente32"/>
        <w:spacing w:line="240" w:lineRule="auto"/>
        <w:ind w:left="709" w:right="760"/>
        <w:rPr>
          <w:rFonts w:ascii="Arial Narrow" w:hAnsi="Arial Narrow"/>
          <w:sz w:val="28"/>
          <w:szCs w:val="28"/>
        </w:rPr>
      </w:pPr>
      <w:r w:rsidRPr="00BF69F3">
        <w:rPr>
          <w:rFonts w:ascii="Arial Narrow" w:hAnsi="Arial Narrow"/>
          <w:b/>
          <w:i/>
          <w:sz w:val="26"/>
          <w:szCs w:val="26"/>
        </w:rPr>
        <w:t>Las circunstancias especiales de la demandante lo que suponen es que ni siquiera exista grado de responsabilidad alguno entre el demandante y el Instituto de Seguros Sociales, ya que Quiroz Rodas no puede considerarse como una afiliada al Sistema de Seguridad Social Integral, puesto que la obligación del Instituto terminó cuando dispuso negar la pensión de vejez</w:t>
      </w:r>
      <w:proofErr w:type="gramStart"/>
      <w:r w:rsidRPr="00BF69F3">
        <w:rPr>
          <w:rFonts w:ascii="Arial Narrow" w:hAnsi="Arial Narrow"/>
          <w:b/>
          <w:i/>
          <w:sz w:val="26"/>
          <w:szCs w:val="26"/>
        </w:rPr>
        <w:t>”</w:t>
      </w:r>
      <w:r w:rsidRPr="00BF69F3">
        <w:rPr>
          <w:rFonts w:ascii="Arial Narrow" w:hAnsi="Arial Narrow"/>
          <w:i/>
          <w:sz w:val="26"/>
          <w:szCs w:val="26"/>
        </w:rPr>
        <w:t>[</w:t>
      </w:r>
      <w:proofErr w:type="gramEnd"/>
      <w:r w:rsidRPr="00BF69F3">
        <w:rPr>
          <w:rFonts w:ascii="Arial Narrow" w:hAnsi="Arial Narrow"/>
          <w:i/>
          <w:sz w:val="26"/>
          <w:szCs w:val="26"/>
        </w:rPr>
        <w:t xml:space="preserve">sentencia 13 de abril de 2007, radicación 2005-0052-01](las </w:t>
      </w:r>
      <w:proofErr w:type="spellStart"/>
      <w:r w:rsidRPr="00BF69F3">
        <w:rPr>
          <w:rFonts w:ascii="Arial Narrow" w:hAnsi="Arial Narrow"/>
          <w:i/>
          <w:sz w:val="26"/>
          <w:szCs w:val="26"/>
        </w:rPr>
        <w:t>sublíneas</w:t>
      </w:r>
      <w:proofErr w:type="spellEnd"/>
      <w:r w:rsidRPr="00BF69F3">
        <w:rPr>
          <w:rFonts w:ascii="Arial Narrow" w:hAnsi="Arial Narrow"/>
          <w:i/>
          <w:sz w:val="26"/>
          <w:szCs w:val="26"/>
        </w:rPr>
        <w:t xml:space="preserve"> y negrillas son del texto original).</w:t>
      </w:r>
      <w:r>
        <w:rPr>
          <w:rFonts w:ascii="Arial Narrow" w:hAnsi="Arial Narrow"/>
          <w:i/>
          <w:sz w:val="26"/>
          <w:szCs w:val="26"/>
        </w:rPr>
        <w:t>”</w:t>
      </w:r>
    </w:p>
    <w:p w:rsidR="00201A8D" w:rsidRPr="00F9688E" w:rsidRDefault="00201A8D" w:rsidP="00201A8D">
      <w:pPr>
        <w:pStyle w:val="Textoindependiente32"/>
        <w:ind w:firstLine="708"/>
        <w:rPr>
          <w:rFonts w:ascii="Arial Narrow" w:hAnsi="Arial Narrow"/>
          <w:sz w:val="28"/>
          <w:szCs w:val="28"/>
        </w:rPr>
      </w:pPr>
    </w:p>
    <w:p w:rsidR="00201A8D" w:rsidRDefault="00201A8D" w:rsidP="00201A8D">
      <w:pPr>
        <w:pStyle w:val="Textoindependiente32"/>
        <w:ind w:firstLine="708"/>
        <w:rPr>
          <w:rFonts w:ascii="Arial Narrow" w:hAnsi="Arial Narrow"/>
          <w:sz w:val="28"/>
          <w:szCs w:val="28"/>
        </w:rPr>
      </w:pPr>
      <w:r w:rsidRPr="00F9688E">
        <w:rPr>
          <w:rFonts w:ascii="Arial Narrow" w:hAnsi="Arial Narrow"/>
          <w:sz w:val="28"/>
          <w:szCs w:val="28"/>
        </w:rPr>
        <w:t xml:space="preserve">Es más, </w:t>
      </w:r>
      <w:r>
        <w:rPr>
          <w:rFonts w:ascii="Arial Narrow" w:hAnsi="Arial Narrow"/>
          <w:sz w:val="28"/>
          <w:szCs w:val="28"/>
        </w:rPr>
        <w:t>la fecha de estructuración acreditada en el plenario, esto es, cuando Alberto Mejía Arango tenía casi 63 años de edad, se ubica por</w:t>
      </w:r>
      <w:r w:rsidRPr="00F9688E">
        <w:rPr>
          <w:rFonts w:ascii="Arial Narrow" w:hAnsi="Arial Narrow"/>
          <w:sz w:val="28"/>
          <w:szCs w:val="28"/>
        </w:rPr>
        <w:t xml:space="preserve"> fuera del alcance de la </w:t>
      </w:r>
      <w:proofErr w:type="spellStart"/>
      <w:r w:rsidRPr="00F9688E">
        <w:rPr>
          <w:rFonts w:ascii="Arial Narrow" w:hAnsi="Arial Narrow"/>
          <w:sz w:val="28"/>
          <w:szCs w:val="28"/>
        </w:rPr>
        <w:t>asegurabilidad</w:t>
      </w:r>
      <w:proofErr w:type="spellEnd"/>
      <w:r w:rsidRPr="00F9688E">
        <w:rPr>
          <w:rFonts w:ascii="Arial Narrow" w:hAnsi="Arial Narrow"/>
          <w:sz w:val="28"/>
          <w:szCs w:val="28"/>
        </w:rPr>
        <w:t xml:space="preserve"> de la prestación, puesto que</w:t>
      </w:r>
      <w:r>
        <w:rPr>
          <w:rFonts w:ascii="Arial Narrow" w:hAnsi="Arial Narrow"/>
          <w:sz w:val="28"/>
          <w:szCs w:val="28"/>
        </w:rPr>
        <w:t xml:space="preserve"> tal cobertura periclita al momento de haber arribado al cumplimiento de la edad mínima y reunida la densidad de aportes, ocasión a partir de la cual la contingencia se cubre de manera exclusiva, con la pensión de vejez, al punto que desde allí cesa la obligación definitiva de cotizar al sistema de pensiones, a través de la figura conocida como retiro, y por ende, el ente de la seguridad social no asume responsabilidad alguna, por cualquier contingencia que se presente en ese lapso que por ley han cesado las cotizaciones, sin perjuicio de que dicha responsabilidad, se mantenga en el caso de la pensión de invalidez, cuando su fecha de estructuración se remonte  en un período atrás, cuando  aún  subsistía  el  deber de sufragar al sistema, hipótesis que no se dio en el sub-lite.</w:t>
      </w:r>
    </w:p>
    <w:p w:rsidR="00201A8D" w:rsidRPr="00B60255" w:rsidRDefault="00201A8D" w:rsidP="00201A8D">
      <w:pPr>
        <w:pStyle w:val="Textoindependiente32"/>
        <w:ind w:firstLine="708"/>
        <w:rPr>
          <w:rFonts w:ascii="Arial Narrow" w:hAnsi="Arial Narrow"/>
          <w:color w:val="FF0000"/>
          <w:sz w:val="28"/>
          <w:szCs w:val="28"/>
        </w:rPr>
      </w:pPr>
      <w:r>
        <w:rPr>
          <w:rFonts w:ascii="Arial Narrow" w:hAnsi="Arial Narrow"/>
          <w:sz w:val="28"/>
          <w:szCs w:val="28"/>
        </w:rPr>
        <w:lastRenderedPageBreak/>
        <w:t xml:space="preserve">Ahora bien, </w:t>
      </w:r>
      <w:r w:rsidRPr="00F9688E">
        <w:rPr>
          <w:rFonts w:ascii="Arial Narrow" w:hAnsi="Arial Narrow"/>
          <w:sz w:val="28"/>
          <w:szCs w:val="28"/>
        </w:rPr>
        <w:t>si se arriba a l</w:t>
      </w:r>
      <w:r>
        <w:rPr>
          <w:rFonts w:ascii="Arial Narrow" w:hAnsi="Arial Narrow"/>
          <w:sz w:val="28"/>
          <w:szCs w:val="28"/>
        </w:rPr>
        <w:t>a edad mínima, empero, no se alcanza la densidad de cotizaciones exigidas</w:t>
      </w:r>
      <w:r w:rsidRPr="00F9688E">
        <w:rPr>
          <w:rFonts w:ascii="Arial Narrow" w:hAnsi="Arial Narrow"/>
          <w:sz w:val="28"/>
          <w:szCs w:val="28"/>
        </w:rPr>
        <w:t>, la opción que le queda a la persona, es su reclamo al derecho a la indemnización sustitutiva</w:t>
      </w:r>
      <w:r>
        <w:rPr>
          <w:rFonts w:ascii="Arial Narrow" w:hAnsi="Arial Narrow"/>
          <w:sz w:val="28"/>
          <w:szCs w:val="28"/>
        </w:rPr>
        <w:t xml:space="preserve"> (art. 9 </w:t>
      </w:r>
      <w:proofErr w:type="spellStart"/>
      <w:r>
        <w:rPr>
          <w:rFonts w:ascii="Arial Narrow" w:hAnsi="Arial Narrow"/>
          <w:sz w:val="28"/>
          <w:szCs w:val="28"/>
        </w:rPr>
        <w:t>Acdo</w:t>
      </w:r>
      <w:proofErr w:type="spellEnd"/>
      <w:r>
        <w:rPr>
          <w:rFonts w:ascii="Arial Narrow" w:hAnsi="Arial Narrow"/>
          <w:sz w:val="28"/>
          <w:szCs w:val="28"/>
        </w:rPr>
        <w:t xml:space="preserve"> 049/90, 45, 37 y 13 </w:t>
      </w:r>
      <w:proofErr w:type="spellStart"/>
      <w:r>
        <w:rPr>
          <w:rFonts w:ascii="Arial Narrow" w:hAnsi="Arial Narrow"/>
          <w:sz w:val="28"/>
          <w:szCs w:val="28"/>
        </w:rPr>
        <w:t>lit.</w:t>
      </w:r>
      <w:proofErr w:type="spellEnd"/>
      <w:r>
        <w:rPr>
          <w:rFonts w:ascii="Arial Narrow" w:hAnsi="Arial Narrow"/>
          <w:sz w:val="28"/>
          <w:szCs w:val="28"/>
        </w:rPr>
        <w:t xml:space="preserve"> p. de la Ley 100/93 </w:t>
      </w:r>
      <w:proofErr w:type="spellStart"/>
      <w:r>
        <w:rPr>
          <w:rFonts w:ascii="Arial Narrow" w:hAnsi="Arial Narrow"/>
          <w:sz w:val="28"/>
          <w:szCs w:val="28"/>
        </w:rPr>
        <w:t>mod</w:t>
      </w:r>
      <w:proofErr w:type="spellEnd"/>
      <w:r>
        <w:rPr>
          <w:rFonts w:ascii="Arial Narrow" w:hAnsi="Arial Narrow"/>
          <w:sz w:val="28"/>
          <w:szCs w:val="28"/>
        </w:rPr>
        <w:t xml:space="preserve">. L 797/03), </w:t>
      </w:r>
      <w:r w:rsidR="007A73A6">
        <w:rPr>
          <w:rFonts w:ascii="Arial Narrow" w:hAnsi="Arial Narrow"/>
          <w:sz w:val="28"/>
          <w:szCs w:val="28"/>
        </w:rPr>
        <w:t xml:space="preserve">tal cual </w:t>
      </w:r>
      <w:r>
        <w:rPr>
          <w:rFonts w:ascii="Arial Narrow" w:hAnsi="Arial Narrow"/>
          <w:sz w:val="28"/>
          <w:szCs w:val="28"/>
        </w:rPr>
        <w:t>le fue reconocida al promotor</w:t>
      </w:r>
      <w:r w:rsidR="007A73A6">
        <w:rPr>
          <w:rFonts w:ascii="Arial Narrow" w:hAnsi="Arial Narrow"/>
          <w:sz w:val="28"/>
          <w:szCs w:val="28"/>
        </w:rPr>
        <w:t xml:space="preserve"> de esta Litis</w:t>
      </w:r>
      <w:r>
        <w:rPr>
          <w:rFonts w:ascii="Arial Narrow" w:hAnsi="Arial Narrow"/>
          <w:sz w:val="28"/>
          <w:szCs w:val="28"/>
        </w:rPr>
        <w:t xml:space="preserve"> a través de la Resolución 004075 de 2008 –fl.8-</w:t>
      </w:r>
    </w:p>
    <w:p w:rsidR="00201A8D" w:rsidRPr="001A3A9E" w:rsidRDefault="00201A8D" w:rsidP="00201A8D">
      <w:pPr>
        <w:pStyle w:val="Sinespaciado"/>
      </w:pPr>
    </w:p>
    <w:p w:rsidR="00201A8D" w:rsidRDefault="00201A8D" w:rsidP="00201A8D">
      <w:pPr>
        <w:pStyle w:val="Textoindependiente32"/>
        <w:ind w:firstLine="708"/>
        <w:rPr>
          <w:rFonts w:ascii="Arial Narrow" w:hAnsi="Arial Narrow"/>
          <w:sz w:val="28"/>
          <w:szCs w:val="28"/>
        </w:rPr>
      </w:pPr>
      <w:r w:rsidRPr="00F9688E">
        <w:rPr>
          <w:rFonts w:ascii="Arial Narrow" w:hAnsi="Arial Narrow"/>
          <w:sz w:val="28"/>
          <w:szCs w:val="28"/>
        </w:rPr>
        <w:t>Obviamente, que la óptica de estudio no es la misma para los beneficiarios de la pensión de sobrevivientes, sin embargo, p</w:t>
      </w:r>
      <w:r>
        <w:rPr>
          <w:rFonts w:ascii="Arial Narrow" w:hAnsi="Arial Narrow"/>
          <w:sz w:val="28"/>
          <w:szCs w:val="28"/>
        </w:rPr>
        <w:t xml:space="preserve">ara la de </w:t>
      </w:r>
      <w:r w:rsidRPr="00F9688E">
        <w:rPr>
          <w:rFonts w:ascii="Arial Narrow" w:hAnsi="Arial Narrow"/>
          <w:sz w:val="28"/>
          <w:szCs w:val="28"/>
        </w:rPr>
        <w:t xml:space="preserve">invalidez, </w:t>
      </w:r>
      <w:r>
        <w:rPr>
          <w:rFonts w:ascii="Arial Narrow" w:hAnsi="Arial Narrow"/>
          <w:sz w:val="28"/>
          <w:szCs w:val="28"/>
        </w:rPr>
        <w:t xml:space="preserve">en los casos en que </w:t>
      </w:r>
      <w:r w:rsidRPr="00F9688E">
        <w:rPr>
          <w:rFonts w:ascii="Arial Narrow" w:hAnsi="Arial Narrow"/>
          <w:sz w:val="28"/>
          <w:szCs w:val="28"/>
        </w:rPr>
        <w:t xml:space="preserve">la contingencia que </w:t>
      </w:r>
      <w:r>
        <w:rPr>
          <w:rFonts w:ascii="Arial Narrow" w:hAnsi="Arial Narrow"/>
          <w:sz w:val="28"/>
          <w:szCs w:val="28"/>
        </w:rPr>
        <w:t xml:space="preserve">determina la fecha de estructuración no acaece </w:t>
      </w:r>
      <w:r w:rsidRPr="00F9688E">
        <w:rPr>
          <w:rFonts w:ascii="Arial Narrow" w:hAnsi="Arial Narrow"/>
          <w:sz w:val="28"/>
          <w:szCs w:val="28"/>
        </w:rPr>
        <w:t>con antelación al cumplimiento de la edad mínima para recibir la pensión de vejez, no ha</w:t>
      </w:r>
      <w:r>
        <w:rPr>
          <w:rFonts w:ascii="Arial Narrow" w:hAnsi="Arial Narrow"/>
          <w:sz w:val="28"/>
          <w:szCs w:val="28"/>
        </w:rPr>
        <w:t>bría lugar a que con los aportes de IVM, se garantice</w:t>
      </w:r>
      <w:r w:rsidRPr="00F9688E">
        <w:rPr>
          <w:rFonts w:ascii="Arial Narrow" w:hAnsi="Arial Narrow"/>
          <w:sz w:val="28"/>
          <w:szCs w:val="28"/>
        </w:rPr>
        <w:t xml:space="preserve"> el reconocimiento de la pensión</w:t>
      </w:r>
      <w:r>
        <w:rPr>
          <w:rFonts w:ascii="Arial Narrow" w:hAnsi="Arial Narrow"/>
          <w:sz w:val="28"/>
          <w:szCs w:val="28"/>
        </w:rPr>
        <w:t xml:space="preserve"> de invalidez</w:t>
      </w:r>
      <w:r w:rsidRPr="00F9688E">
        <w:rPr>
          <w:rFonts w:ascii="Arial Narrow" w:hAnsi="Arial Narrow"/>
          <w:sz w:val="28"/>
          <w:szCs w:val="28"/>
        </w:rPr>
        <w:t xml:space="preserve">, </w:t>
      </w:r>
      <w:r>
        <w:rPr>
          <w:rFonts w:ascii="Arial Narrow" w:hAnsi="Arial Narrow"/>
          <w:sz w:val="28"/>
          <w:szCs w:val="28"/>
        </w:rPr>
        <w:t xml:space="preserve">por cuanto </w:t>
      </w:r>
      <w:r w:rsidRPr="00F9688E">
        <w:rPr>
          <w:rFonts w:ascii="Arial Narrow" w:hAnsi="Arial Narrow"/>
          <w:sz w:val="28"/>
          <w:szCs w:val="28"/>
        </w:rPr>
        <w:t>en este evento, la fecha de estructuración se sal</w:t>
      </w:r>
      <w:r>
        <w:rPr>
          <w:rFonts w:ascii="Arial Narrow" w:hAnsi="Arial Narrow"/>
          <w:sz w:val="28"/>
          <w:szCs w:val="28"/>
        </w:rPr>
        <w:t>e</w:t>
      </w:r>
      <w:r w:rsidRPr="00F9688E">
        <w:rPr>
          <w:rFonts w:ascii="Arial Narrow" w:hAnsi="Arial Narrow"/>
          <w:sz w:val="28"/>
          <w:szCs w:val="28"/>
        </w:rPr>
        <w:t xml:space="preserve"> de tal marco de referencia, esto es, del propio de la cobertura de la prestación</w:t>
      </w:r>
      <w:r>
        <w:rPr>
          <w:rFonts w:ascii="Arial Narrow" w:hAnsi="Arial Narrow"/>
          <w:sz w:val="28"/>
          <w:szCs w:val="28"/>
        </w:rPr>
        <w:t>, soportado con el deber de cotizar, que como ya se expuso, no existía para el 2007 cuando se estructuró la invalidez del actor.</w:t>
      </w:r>
    </w:p>
    <w:p w:rsidR="00201A8D" w:rsidRPr="000D618D" w:rsidRDefault="00201A8D" w:rsidP="00201A8D">
      <w:pPr>
        <w:pStyle w:val="Sinespaciado"/>
      </w:pPr>
    </w:p>
    <w:p w:rsidR="00201A8D" w:rsidRDefault="00201A8D" w:rsidP="00201A8D">
      <w:pPr>
        <w:pStyle w:val="Textoindependiente32"/>
        <w:ind w:firstLine="708"/>
        <w:rPr>
          <w:rFonts w:ascii="Arial Narrow" w:hAnsi="Arial Narrow"/>
          <w:sz w:val="28"/>
          <w:szCs w:val="28"/>
        </w:rPr>
      </w:pPr>
      <w:r>
        <w:rPr>
          <w:rFonts w:ascii="Arial Narrow" w:hAnsi="Arial Narrow"/>
          <w:sz w:val="28"/>
          <w:szCs w:val="28"/>
        </w:rPr>
        <w:t xml:space="preserve">Adicionalmente, tampoco resultaría procedente el reconocimiento de la pensión de vejez del actor, con fundamento en el Acuerdo 049 de 1990, aprobado por el Decreto 758 del mismo año, por </w:t>
      </w:r>
      <w:r w:rsidRPr="009522A0">
        <w:rPr>
          <w:rFonts w:ascii="Arial Narrow" w:hAnsi="Arial Narrow"/>
          <w:sz w:val="28"/>
          <w:szCs w:val="28"/>
        </w:rPr>
        <w:t>cuanto según se colige del haber de aportes para pensión obrante a folio</w:t>
      </w:r>
      <w:r>
        <w:rPr>
          <w:rFonts w:ascii="Arial Narrow" w:hAnsi="Arial Narrow"/>
          <w:sz w:val="28"/>
          <w:szCs w:val="28"/>
        </w:rPr>
        <w:t xml:space="preserve"> 131</w:t>
      </w:r>
      <w:r w:rsidRPr="009522A0">
        <w:rPr>
          <w:rFonts w:ascii="Arial Narrow" w:hAnsi="Arial Narrow"/>
          <w:sz w:val="28"/>
          <w:szCs w:val="28"/>
        </w:rPr>
        <w:t>,</w:t>
      </w:r>
      <w:r>
        <w:rPr>
          <w:rFonts w:ascii="Arial Narrow" w:hAnsi="Arial Narrow"/>
          <w:sz w:val="28"/>
          <w:szCs w:val="28"/>
        </w:rPr>
        <w:t xml:space="preserve"> é</w:t>
      </w:r>
      <w:r w:rsidRPr="009522A0">
        <w:rPr>
          <w:rFonts w:ascii="Arial Narrow" w:hAnsi="Arial Narrow"/>
          <w:sz w:val="28"/>
          <w:szCs w:val="28"/>
        </w:rPr>
        <w:t xml:space="preserve">ste aglutinó </w:t>
      </w:r>
      <w:r>
        <w:rPr>
          <w:rFonts w:ascii="Arial Narrow" w:hAnsi="Arial Narrow"/>
          <w:sz w:val="28"/>
          <w:szCs w:val="28"/>
        </w:rPr>
        <w:t>al sistema pensional u</w:t>
      </w:r>
      <w:r w:rsidRPr="009522A0">
        <w:rPr>
          <w:rFonts w:ascii="Arial Narrow" w:hAnsi="Arial Narrow"/>
          <w:sz w:val="28"/>
          <w:szCs w:val="28"/>
        </w:rPr>
        <w:t xml:space="preserve">n total de </w:t>
      </w:r>
      <w:r>
        <w:rPr>
          <w:rFonts w:ascii="Arial Narrow" w:hAnsi="Arial Narrow"/>
          <w:sz w:val="28"/>
          <w:szCs w:val="28"/>
        </w:rPr>
        <w:t xml:space="preserve">930.43 </w:t>
      </w:r>
      <w:r w:rsidRPr="009522A0">
        <w:rPr>
          <w:rFonts w:ascii="Arial Narrow" w:hAnsi="Arial Narrow"/>
          <w:sz w:val="28"/>
          <w:szCs w:val="28"/>
        </w:rPr>
        <w:t xml:space="preserve">semanas en toda su vida laboral, de las cuales </w:t>
      </w:r>
      <w:r>
        <w:rPr>
          <w:rFonts w:ascii="Arial Narrow" w:hAnsi="Arial Narrow"/>
          <w:sz w:val="28"/>
          <w:szCs w:val="28"/>
        </w:rPr>
        <w:t>387.47</w:t>
      </w:r>
      <w:r w:rsidRPr="009522A0">
        <w:rPr>
          <w:rFonts w:ascii="Arial Narrow" w:hAnsi="Arial Narrow"/>
          <w:sz w:val="28"/>
          <w:szCs w:val="28"/>
        </w:rPr>
        <w:t xml:space="preserve"> lo fueron durante los 20 años anteriores al cumplimiento de la edad</w:t>
      </w:r>
      <w:r>
        <w:rPr>
          <w:rFonts w:ascii="Arial Narrow" w:hAnsi="Arial Narrow"/>
          <w:sz w:val="28"/>
          <w:szCs w:val="28"/>
        </w:rPr>
        <w:t xml:space="preserve"> mínima, de modo que son insuficientes para tales menesteres.</w:t>
      </w:r>
    </w:p>
    <w:p w:rsidR="00201A8D" w:rsidRPr="000D618D" w:rsidRDefault="00201A8D" w:rsidP="00201A8D">
      <w:pPr>
        <w:pStyle w:val="Sinespaciado"/>
      </w:pPr>
    </w:p>
    <w:p w:rsidR="00201A8D" w:rsidRDefault="00201A8D" w:rsidP="00201A8D">
      <w:pPr>
        <w:pStyle w:val="Textoindependiente32"/>
        <w:ind w:firstLine="708"/>
        <w:rPr>
          <w:rFonts w:ascii="Arial Narrow" w:hAnsi="Arial Narrow"/>
          <w:sz w:val="28"/>
          <w:szCs w:val="28"/>
        </w:rPr>
      </w:pPr>
      <w:r>
        <w:rPr>
          <w:rFonts w:ascii="Arial Narrow" w:hAnsi="Arial Narrow"/>
          <w:sz w:val="28"/>
          <w:szCs w:val="28"/>
        </w:rPr>
        <w:t>Es así, como e</w:t>
      </w:r>
      <w:r w:rsidRPr="00F9688E">
        <w:rPr>
          <w:rFonts w:ascii="Arial Narrow" w:hAnsi="Arial Narrow"/>
          <w:sz w:val="28"/>
          <w:szCs w:val="28"/>
        </w:rPr>
        <w:t xml:space="preserve">l acuerdo 049 de 1990, cuya aplicación se clama en este asunto, por aplicación de la condición más beneficiosa, </w:t>
      </w:r>
      <w:r>
        <w:rPr>
          <w:rFonts w:ascii="Arial Narrow" w:hAnsi="Arial Narrow"/>
          <w:sz w:val="28"/>
          <w:szCs w:val="28"/>
        </w:rPr>
        <w:t>contempla en el segundo inciso del artículo 9, básicamente la hipótesis que acá se ofrece, esto es, que el asegurado que sin tener derecho a la pensión de vejez, se invalide después de alcanzar las edades que se señalan en dicho reglamento para adquirir el derecho a dicha pensión de vejez, le asiste el derecho a reclamar, otra modalidad de indemnización sustitutiva, dado que la primera como ya se adujo, lo reglamenta el encabezado de dicha normativa, para “[e]</w:t>
      </w:r>
      <w:r w:rsidRPr="00161256">
        <w:rPr>
          <w:rFonts w:ascii="Arial Narrow" w:hAnsi="Arial Narrow"/>
          <w:sz w:val="28"/>
          <w:szCs w:val="28"/>
        </w:rPr>
        <w:t>l asegurado que al  momento  de invalidarse  no  tuviere  el número de  semanas  exigidas  en  el literal b) del artículo 6 del presente acuerdo</w:t>
      </w:r>
      <w:r>
        <w:rPr>
          <w:rFonts w:ascii="Arial Narrow" w:hAnsi="Arial Narrow"/>
          <w:sz w:val="28"/>
          <w:szCs w:val="28"/>
        </w:rPr>
        <w:t xml:space="preserve">…”. </w:t>
      </w:r>
    </w:p>
    <w:p w:rsidR="00201A8D" w:rsidRPr="000D618D" w:rsidRDefault="00201A8D" w:rsidP="00201A8D">
      <w:pPr>
        <w:pStyle w:val="Sinespaciado"/>
      </w:pPr>
    </w:p>
    <w:p w:rsidR="00201A8D" w:rsidRDefault="00201A8D" w:rsidP="00201A8D">
      <w:pPr>
        <w:pStyle w:val="Textoindependiente32"/>
        <w:ind w:firstLine="708"/>
        <w:rPr>
          <w:rFonts w:ascii="Arial Narrow" w:hAnsi="Arial Narrow"/>
          <w:sz w:val="28"/>
          <w:szCs w:val="28"/>
        </w:rPr>
      </w:pPr>
      <w:r>
        <w:rPr>
          <w:rFonts w:ascii="Arial Narrow" w:hAnsi="Arial Narrow"/>
          <w:sz w:val="28"/>
          <w:szCs w:val="28"/>
        </w:rPr>
        <w:lastRenderedPageBreak/>
        <w:t xml:space="preserve">De allí entonces que la pretensión de la parte actora no ostenta vocación de ventura, pues como se avista, para la calenda de estructura de su estado de invalidez, se encontraba fuera del ámbito de cobertura del sistema pensional para esta contingencia, por lo que ni siquiera acudiendo al principio de la condición más beneficiosa, es posible que se aplique al actor tal gracia pensional. </w:t>
      </w:r>
    </w:p>
    <w:p w:rsidR="00201A8D" w:rsidRPr="0079119C" w:rsidRDefault="00201A8D" w:rsidP="00201A8D">
      <w:pPr>
        <w:pStyle w:val="Sinespaciado"/>
      </w:pPr>
    </w:p>
    <w:p w:rsidR="00201A8D" w:rsidRDefault="00201A8D" w:rsidP="00201A8D">
      <w:pPr>
        <w:pStyle w:val="Textoindependiente32"/>
        <w:ind w:firstLine="708"/>
        <w:rPr>
          <w:rFonts w:ascii="Arial Narrow" w:hAnsi="Arial Narrow"/>
          <w:sz w:val="28"/>
          <w:szCs w:val="28"/>
        </w:rPr>
      </w:pPr>
      <w:r>
        <w:rPr>
          <w:rFonts w:ascii="Arial Narrow" w:hAnsi="Arial Narrow"/>
          <w:sz w:val="28"/>
          <w:szCs w:val="28"/>
        </w:rPr>
        <w:t xml:space="preserve">De otra parte, en cuanto a la aplicación del parágrafo 2º del artículo 39 de la Ley 100 de 1993 el cual clama para quienes hubiese cotizado el 75 % de las semanas mínimas requeridas para la pensión de vejez, 25 semanas en los últimos tres años, habrá que decir que tal supuesto tampoco lo satisface el recurrente por cuanto ningún aporte registra dentro de dicho lapso. </w:t>
      </w:r>
    </w:p>
    <w:p w:rsidR="00201A8D" w:rsidRDefault="00201A8D" w:rsidP="00201A8D">
      <w:pPr>
        <w:pStyle w:val="Sinespaciado"/>
      </w:pPr>
    </w:p>
    <w:p w:rsidR="00A01CA8" w:rsidRDefault="00935F8B" w:rsidP="00A01CA8">
      <w:pPr>
        <w:pStyle w:val="Textoindependiente32"/>
        <w:ind w:firstLine="708"/>
        <w:rPr>
          <w:rFonts w:ascii="Arial Narrow" w:hAnsi="Arial Narrow"/>
          <w:sz w:val="28"/>
          <w:szCs w:val="28"/>
        </w:rPr>
      </w:pPr>
      <w:r>
        <w:rPr>
          <w:rFonts w:ascii="Arial Narrow" w:hAnsi="Arial Narrow"/>
          <w:sz w:val="28"/>
          <w:szCs w:val="28"/>
        </w:rPr>
        <w:t xml:space="preserve">Por último, </w:t>
      </w:r>
      <w:r w:rsidR="00156819">
        <w:rPr>
          <w:rFonts w:ascii="Arial Narrow" w:hAnsi="Arial Narrow"/>
          <w:sz w:val="28"/>
          <w:szCs w:val="28"/>
        </w:rPr>
        <w:t xml:space="preserve">carece de fundamento la crítica del recurrente en cuanto a que fue la entidad de seguridad social la que lo hizo incurrir en error y le negó la posibilidad de </w:t>
      </w:r>
      <w:r w:rsidR="00C55B55">
        <w:rPr>
          <w:rFonts w:ascii="Arial Narrow" w:hAnsi="Arial Narrow"/>
          <w:sz w:val="28"/>
          <w:szCs w:val="28"/>
        </w:rPr>
        <w:t>consolidar el derecho a la pensión de vejez, pues</w:t>
      </w:r>
      <w:r w:rsidR="00156819">
        <w:rPr>
          <w:rFonts w:ascii="Arial Narrow" w:hAnsi="Arial Narrow"/>
          <w:sz w:val="28"/>
          <w:szCs w:val="28"/>
        </w:rPr>
        <w:t xml:space="preserve"> </w:t>
      </w:r>
      <w:r w:rsidR="00CA7A50">
        <w:rPr>
          <w:rFonts w:ascii="Arial Narrow" w:hAnsi="Arial Narrow"/>
          <w:sz w:val="28"/>
          <w:szCs w:val="28"/>
        </w:rPr>
        <w:t xml:space="preserve">según se avista del documento obrante a folio </w:t>
      </w:r>
      <w:r w:rsidR="00FA4971">
        <w:rPr>
          <w:rFonts w:ascii="Arial Narrow" w:hAnsi="Arial Narrow"/>
          <w:sz w:val="28"/>
          <w:szCs w:val="28"/>
        </w:rPr>
        <w:t xml:space="preserve">63, </w:t>
      </w:r>
      <w:r w:rsidR="00A01CA8">
        <w:rPr>
          <w:rFonts w:ascii="Arial Narrow" w:hAnsi="Arial Narrow"/>
          <w:sz w:val="28"/>
          <w:szCs w:val="28"/>
        </w:rPr>
        <w:t xml:space="preserve">fue el propio demandante quien a </w:t>
      </w:r>
      <w:r w:rsidR="00CA7A50">
        <w:rPr>
          <w:rFonts w:ascii="Arial Narrow" w:hAnsi="Arial Narrow"/>
          <w:sz w:val="28"/>
          <w:szCs w:val="28"/>
        </w:rPr>
        <w:t xml:space="preserve">motu proprio </w:t>
      </w:r>
      <w:r w:rsidR="00156819">
        <w:rPr>
          <w:rFonts w:ascii="Arial Narrow" w:hAnsi="Arial Narrow"/>
          <w:sz w:val="28"/>
          <w:szCs w:val="28"/>
        </w:rPr>
        <w:t>s</w:t>
      </w:r>
      <w:r w:rsidR="00FA4971">
        <w:rPr>
          <w:rFonts w:ascii="Arial Narrow" w:hAnsi="Arial Narrow"/>
          <w:sz w:val="28"/>
          <w:szCs w:val="28"/>
        </w:rPr>
        <w:t xml:space="preserve">olicitó el reconocimiento de la indemnización sustitutiva de la pensión con el argumento de no haber reunido la densidad de semanas </w:t>
      </w:r>
      <w:r w:rsidR="00CA7A50">
        <w:rPr>
          <w:rFonts w:ascii="Arial Narrow" w:hAnsi="Arial Narrow"/>
          <w:sz w:val="28"/>
          <w:szCs w:val="28"/>
        </w:rPr>
        <w:t xml:space="preserve">suficientes para acceder </w:t>
      </w:r>
      <w:r w:rsidR="00FA4971">
        <w:rPr>
          <w:rFonts w:ascii="Arial Narrow" w:hAnsi="Arial Narrow"/>
          <w:sz w:val="28"/>
          <w:szCs w:val="28"/>
        </w:rPr>
        <w:t>al derecho pensional</w:t>
      </w:r>
      <w:r w:rsidR="00CA7A50">
        <w:rPr>
          <w:rFonts w:ascii="Arial Narrow" w:hAnsi="Arial Narrow"/>
          <w:sz w:val="28"/>
          <w:szCs w:val="28"/>
        </w:rPr>
        <w:t xml:space="preserve">, dejando constancia expresa de su imposibilidad de seguir </w:t>
      </w:r>
      <w:r w:rsidR="00A01CA8">
        <w:rPr>
          <w:rFonts w:ascii="Arial Narrow" w:hAnsi="Arial Narrow"/>
          <w:sz w:val="28"/>
          <w:szCs w:val="28"/>
        </w:rPr>
        <w:t xml:space="preserve">cotizando al sistema pensional, </w:t>
      </w:r>
      <w:r>
        <w:rPr>
          <w:rFonts w:ascii="Arial Narrow" w:hAnsi="Arial Narrow"/>
          <w:sz w:val="28"/>
          <w:szCs w:val="28"/>
        </w:rPr>
        <w:t xml:space="preserve">siendo esa la </w:t>
      </w:r>
      <w:r w:rsidR="00A01CA8">
        <w:rPr>
          <w:rFonts w:ascii="Arial Narrow" w:hAnsi="Arial Narrow"/>
          <w:sz w:val="28"/>
          <w:szCs w:val="28"/>
        </w:rPr>
        <w:t xml:space="preserve">razón por la que mediante Resolución 004075 de 2008 la entidad accedió a ese pedimento. </w:t>
      </w:r>
    </w:p>
    <w:p w:rsidR="00935F8B" w:rsidRDefault="00935F8B" w:rsidP="00935F8B">
      <w:pPr>
        <w:pStyle w:val="Sinespaciado"/>
      </w:pPr>
    </w:p>
    <w:p w:rsidR="00C55B55" w:rsidRDefault="00935F8B" w:rsidP="00935F8B">
      <w:pPr>
        <w:pStyle w:val="Textoindependiente32"/>
        <w:ind w:firstLine="708"/>
        <w:rPr>
          <w:rFonts w:ascii="Arial Narrow" w:hAnsi="Arial Narrow"/>
          <w:sz w:val="28"/>
          <w:szCs w:val="28"/>
        </w:rPr>
      </w:pPr>
      <w:r>
        <w:rPr>
          <w:rFonts w:ascii="Arial Narrow" w:hAnsi="Arial Narrow"/>
          <w:sz w:val="28"/>
          <w:szCs w:val="28"/>
        </w:rPr>
        <w:t xml:space="preserve">Por último, es preciso advertir que si bien </w:t>
      </w:r>
      <w:r w:rsidR="00A03413">
        <w:rPr>
          <w:rFonts w:ascii="Arial Narrow" w:hAnsi="Arial Narrow"/>
          <w:sz w:val="28"/>
          <w:szCs w:val="28"/>
        </w:rPr>
        <w:t xml:space="preserve">el demandante tiene derecho a que la entidad demandada le reconozca y pague un valor mayor al que le fue reconocido por concepto de </w:t>
      </w:r>
      <w:r>
        <w:rPr>
          <w:rFonts w:ascii="Arial Narrow" w:hAnsi="Arial Narrow"/>
          <w:sz w:val="28"/>
          <w:szCs w:val="28"/>
        </w:rPr>
        <w:t>indemnización sustitutiva</w:t>
      </w:r>
      <w:r w:rsidR="00A03413">
        <w:rPr>
          <w:rFonts w:ascii="Arial Narrow" w:hAnsi="Arial Narrow"/>
          <w:sz w:val="28"/>
          <w:szCs w:val="28"/>
        </w:rPr>
        <w:t xml:space="preserve">, pues liquidó tomando en cuenta </w:t>
      </w:r>
      <w:r>
        <w:rPr>
          <w:rFonts w:ascii="Arial Narrow" w:hAnsi="Arial Narrow"/>
          <w:sz w:val="28"/>
          <w:szCs w:val="28"/>
        </w:rPr>
        <w:t xml:space="preserve">681 semanas, cuando </w:t>
      </w:r>
      <w:r w:rsidR="00A03413">
        <w:rPr>
          <w:rFonts w:ascii="Arial Narrow" w:hAnsi="Arial Narrow"/>
          <w:sz w:val="28"/>
          <w:szCs w:val="28"/>
        </w:rPr>
        <w:t xml:space="preserve">debió hacerlo con 930.43, lo cierto es que </w:t>
      </w:r>
      <w:r w:rsidR="00400A2B">
        <w:rPr>
          <w:rFonts w:ascii="Arial Narrow" w:hAnsi="Arial Narrow"/>
          <w:sz w:val="28"/>
          <w:szCs w:val="28"/>
        </w:rPr>
        <w:t xml:space="preserve">la Sala </w:t>
      </w:r>
      <w:r w:rsidR="00A03413">
        <w:rPr>
          <w:rFonts w:ascii="Arial Narrow" w:hAnsi="Arial Narrow"/>
          <w:sz w:val="28"/>
          <w:szCs w:val="28"/>
        </w:rPr>
        <w:t xml:space="preserve">no puede </w:t>
      </w:r>
      <w:r w:rsidR="00037CCC">
        <w:rPr>
          <w:rFonts w:ascii="Arial Narrow" w:hAnsi="Arial Narrow"/>
          <w:sz w:val="28"/>
          <w:szCs w:val="28"/>
        </w:rPr>
        <w:t xml:space="preserve">pronunciarse al respecto, primero, porque en la demanda no aparece ninguna manifestación en ese sentido, </w:t>
      </w:r>
      <w:r w:rsidR="00400A2B">
        <w:rPr>
          <w:rFonts w:ascii="Arial Narrow" w:hAnsi="Arial Narrow"/>
          <w:sz w:val="28"/>
          <w:szCs w:val="28"/>
        </w:rPr>
        <w:t xml:space="preserve">y segundo, porque </w:t>
      </w:r>
      <w:r w:rsidR="00037CCC">
        <w:rPr>
          <w:rFonts w:ascii="Arial Narrow" w:hAnsi="Arial Narrow"/>
          <w:sz w:val="28"/>
          <w:szCs w:val="28"/>
        </w:rPr>
        <w:t xml:space="preserve">esta segunda instancia no está facultada para proferir fallos ultra y extra </w:t>
      </w:r>
      <w:proofErr w:type="spellStart"/>
      <w:r w:rsidR="00037CCC">
        <w:rPr>
          <w:rFonts w:ascii="Arial Narrow" w:hAnsi="Arial Narrow"/>
          <w:sz w:val="28"/>
          <w:szCs w:val="28"/>
        </w:rPr>
        <w:t>petita</w:t>
      </w:r>
      <w:proofErr w:type="spellEnd"/>
      <w:r w:rsidR="00037CCC">
        <w:rPr>
          <w:rFonts w:ascii="Arial Narrow" w:hAnsi="Arial Narrow"/>
          <w:sz w:val="28"/>
          <w:szCs w:val="28"/>
        </w:rPr>
        <w:t>.</w:t>
      </w:r>
      <w:r w:rsidR="00A03413">
        <w:rPr>
          <w:rFonts w:ascii="Arial Narrow" w:hAnsi="Arial Narrow"/>
          <w:sz w:val="28"/>
          <w:szCs w:val="28"/>
        </w:rPr>
        <w:t xml:space="preserve"> </w:t>
      </w:r>
    </w:p>
    <w:p w:rsidR="00400A2B" w:rsidRDefault="00400A2B" w:rsidP="00201A8D">
      <w:pPr>
        <w:pStyle w:val="Textoindependiente32"/>
        <w:ind w:firstLine="708"/>
        <w:rPr>
          <w:rFonts w:ascii="Arial Narrow" w:hAnsi="Arial Narrow"/>
          <w:sz w:val="28"/>
          <w:szCs w:val="28"/>
        </w:rPr>
      </w:pPr>
    </w:p>
    <w:p w:rsidR="00201A8D" w:rsidRDefault="00CA7A50" w:rsidP="00201A8D">
      <w:pPr>
        <w:pStyle w:val="Textoindependiente32"/>
        <w:ind w:firstLine="708"/>
        <w:rPr>
          <w:rFonts w:ascii="Arial Narrow" w:hAnsi="Arial Narrow"/>
          <w:sz w:val="28"/>
          <w:szCs w:val="28"/>
        </w:rPr>
      </w:pPr>
      <w:r>
        <w:rPr>
          <w:rFonts w:ascii="Arial Narrow" w:hAnsi="Arial Narrow"/>
          <w:sz w:val="28"/>
          <w:szCs w:val="28"/>
        </w:rPr>
        <w:t xml:space="preserve">Por todo lo expuesto, </w:t>
      </w:r>
      <w:r w:rsidR="00201A8D">
        <w:rPr>
          <w:rFonts w:ascii="Arial Narrow" w:hAnsi="Arial Narrow"/>
          <w:sz w:val="28"/>
          <w:szCs w:val="28"/>
        </w:rPr>
        <w:t xml:space="preserve">se confirmará </w:t>
      </w:r>
      <w:r w:rsidR="00A01CA8">
        <w:rPr>
          <w:rFonts w:ascii="Arial Narrow" w:hAnsi="Arial Narrow"/>
          <w:sz w:val="28"/>
          <w:szCs w:val="28"/>
        </w:rPr>
        <w:t xml:space="preserve">íntegramente </w:t>
      </w:r>
      <w:r w:rsidR="00201A8D">
        <w:rPr>
          <w:rFonts w:ascii="Arial Narrow" w:hAnsi="Arial Narrow"/>
          <w:sz w:val="28"/>
          <w:szCs w:val="28"/>
        </w:rPr>
        <w:t xml:space="preserve">la sentencia objeto de apelación.  </w:t>
      </w:r>
    </w:p>
    <w:p w:rsidR="00F02CCA" w:rsidRDefault="00F02CCA" w:rsidP="00F02CCA">
      <w:pPr>
        <w:pStyle w:val="Sinespaciado"/>
      </w:pPr>
    </w:p>
    <w:p w:rsidR="00F02CCA" w:rsidRPr="00B60255" w:rsidRDefault="00F02CCA" w:rsidP="00201A8D">
      <w:pPr>
        <w:pStyle w:val="Textoindependiente32"/>
        <w:ind w:firstLine="708"/>
        <w:rPr>
          <w:rFonts w:ascii="Arial Narrow" w:hAnsi="Arial Narrow"/>
          <w:color w:val="FF0000"/>
          <w:sz w:val="28"/>
          <w:szCs w:val="28"/>
        </w:rPr>
      </w:pPr>
      <w:r>
        <w:rPr>
          <w:rFonts w:ascii="Arial Narrow" w:hAnsi="Arial Narrow"/>
          <w:sz w:val="28"/>
          <w:szCs w:val="28"/>
        </w:rPr>
        <w:t>Costas en esta instancia a cargo del recurrente, al no prosperar la alzada.</w:t>
      </w:r>
    </w:p>
    <w:p w:rsidR="009B254A" w:rsidRPr="00635995" w:rsidRDefault="009B254A" w:rsidP="009B254A">
      <w:pPr>
        <w:pStyle w:val="Sinespaciado"/>
      </w:pPr>
    </w:p>
    <w:p w:rsidR="009B254A" w:rsidRPr="00B23E57" w:rsidRDefault="009B254A" w:rsidP="009B254A">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w:t>
      </w:r>
      <w:r w:rsidRPr="00B23E57">
        <w:rPr>
          <w:rFonts w:ascii="Arial Narrow" w:hAnsi="Arial Narrow"/>
          <w:sz w:val="28"/>
          <w:szCs w:val="28"/>
        </w:rPr>
        <w:t xml:space="preserve">expuesto, el </w:t>
      </w:r>
      <w:r w:rsidRPr="00B23E57">
        <w:rPr>
          <w:rFonts w:ascii="Arial Narrow" w:hAnsi="Arial Narrow"/>
          <w:i/>
          <w:sz w:val="28"/>
          <w:szCs w:val="28"/>
        </w:rPr>
        <w:t>Tribunal Superior del Distrito Judicial de Pereira - Risaralda, Sala Laboral,</w:t>
      </w:r>
      <w:r w:rsidRPr="00B23E57">
        <w:rPr>
          <w:rFonts w:ascii="Arial Narrow" w:hAnsi="Arial Narrow"/>
          <w:sz w:val="28"/>
          <w:szCs w:val="28"/>
        </w:rPr>
        <w:t xml:space="preserve"> administrando justicia en nombre de la República y por autoridad de la ley,</w:t>
      </w:r>
    </w:p>
    <w:p w:rsidR="009B254A" w:rsidRPr="00A01CA8" w:rsidRDefault="009B254A" w:rsidP="00A01CA8">
      <w:pPr>
        <w:pStyle w:val="Sinespaciado"/>
      </w:pPr>
    </w:p>
    <w:p w:rsidR="009B254A" w:rsidRPr="00B23E57" w:rsidRDefault="009B254A" w:rsidP="009B254A">
      <w:pPr>
        <w:spacing w:line="360" w:lineRule="auto"/>
        <w:jc w:val="center"/>
        <w:rPr>
          <w:rFonts w:ascii="Arial Narrow" w:hAnsi="Arial Narrow" w:cs="Arial"/>
          <w:i/>
          <w:sz w:val="28"/>
          <w:szCs w:val="28"/>
        </w:rPr>
      </w:pPr>
      <w:r w:rsidRPr="00B23E57">
        <w:rPr>
          <w:rFonts w:ascii="Arial Narrow" w:hAnsi="Arial Narrow" w:cs="Arial"/>
          <w:i/>
          <w:sz w:val="28"/>
          <w:szCs w:val="28"/>
        </w:rPr>
        <w:t>FALLA</w:t>
      </w:r>
    </w:p>
    <w:p w:rsidR="009B254A" w:rsidRPr="00B23E57" w:rsidRDefault="009B254A" w:rsidP="009B254A">
      <w:pPr>
        <w:pStyle w:val="Sinespaciado"/>
        <w:rPr>
          <w:i/>
        </w:rPr>
      </w:pPr>
      <w:r w:rsidRPr="00B23E57">
        <w:rPr>
          <w:i/>
        </w:rPr>
        <w:tab/>
      </w:r>
    </w:p>
    <w:p w:rsidR="00F02CCA" w:rsidRPr="00F02CCA" w:rsidRDefault="00F02CCA" w:rsidP="00F02CCA">
      <w:pPr>
        <w:pStyle w:val="Prrafodelista"/>
        <w:numPr>
          <w:ilvl w:val="0"/>
          <w:numId w:val="1"/>
        </w:numPr>
        <w:tabs>
          <w:tab w:val="left" w:pos="1134"/>
        </w:tabs>
        <w:spacing w:line="360" w:lineRule="auto"/>
        <w:ind w:left="142" w:firstLine="567"/>
        <w:jc w:val="both"/>
        <w:rPr>
          <w:shd w:val="clear" w:color="auto" w:fill="FFFFFF"/>
        </w:rPr>
      </w:pPr>
      <w:r>
        <w:rPr>
          <w:rFonts w:ascii="Arial Narrow" w:hAnsi="Arial Narrow" w:cs="Arial"/>
          <w:i/>
          <w:spacing w:val="-2"/>
          <w:sz w:val="28"/>
          <w:szCs w:val="28"/>
        </w:rPr>
        <w:t xml:space="preserve">Confirmar </w:t>
      </w:r>
      <w:r w:rsidRPr="00F02CCA">
        <w:rPr>
          <w:rFonts w:ascii="Arial Narrow" w:hAnsi="Arial Narrow" w:cs="Arial"/>
          <w:spacing w:val="-2"/>
          <w:sz w:val="28"/>
          <w:szCs w:val="28"/>
        </w:rPr>
        <w:t>la sentencia proferida el 27 de junio de 2016</w:t>
      </w:r>
      <w:r>
        <w:rPr>
          <w:rFonts w:ascii="Arial Narrow" w:hAnsi="Arial Narrow" w:cs="Arial"/>
          <w:i/>
          <w:spacing w:val="-2"/>
          <w:sz w:val="28"/>
          <w:szCs w:val="28"/>
        </w:rPr>
        <w:t xml:space="preserve"> </w:t>
      </w:r>
      <w:r w:rsidRPr="00F02CCA">
        <w:rPr>
          <w:rFonts w:ascii="Arial Narrow" w:hAnsi="Arial Narrow" w:cs="Arial"/>
          <w:spacing w:val="-2"/>
          <w:sz w:val="28"/>
          <w:szCs w:val="28"/>
        </w:rPr>
        <w:t>p</w:t>
      </w:r>
      <w:r w:rsidR="009B254A" w:rsidRPr="00F02CCA">
        <w:rPr>
          <w:rFonts w:ascii="Arial Narrow" w:hAnsi="Arial Narrow" w:cs="Arial"/>
          <w:sz w:val="28"/>
          <w:szCs w:val="28"/>
        </w:rPr>
        <w:t xml:space="preserve">or </w:t>
      </w:r>
      <w:r w:rsidR="009B254A" w:rsidRPr="007A5690">
        <w:rPr>
          <w:rFonts w:ascii="Arial Narrow" w:hAnsi="Arial Narrow" w:cs="Arial"/>
          <w:sz w:val="28"/>
          <w:szCs w:val="28"/>
        </w:rPr>
        <w:t xml:space="preserve">el Juzgado </w:t>
      </w:r>
      <w:r w:rsidR="009B254A">
        <w:rPr>
          <w:rFonts w:ascii="Arial Narrow" w:hAnsi="Arial Narrow" w:cs="Arial"/>
          <w:sz w:val="28"/>
          <w:szCs w:val="28"/>
        </w:rPr>
        <w:t xml:space="preserve">Quinto </w:t>
      </w:r>
      <w:r w:rsidR="009B254A" w:rsidRPr="007A5690">
        <w:rPr>
          <w:rFonts w:ascii="Arial Narrow" w:hAnsi="Arial Narrow" w:cs="Arial"/>
          <w:sz w:val="28"/>
          <w:szCs w:val="28"/>
        </w:rPr>
        <w:t xml:space="preserve">Laboral del Circuito de Pereira, dentro del proceso ordinario laboral </w:t>
      </w:r>
      <w:r w:rsidR="009B254A">
        <w:rPr>
          <w:rFonts w:ascii="Arial Narrow" w:hAnsi="Arial Narrow" w:cs="Arial"/>
          <w:sz w:val="28"/>
          <w:szCs w:val="28"/>
        </w:rPr>
        <w:t xml:space="preserve">de la </w:t>
      </w:r>
      <w:r>
        <w:rPr>
          <w:rFonts w:ascii="Arial Narrow" w:hAnsi="Arial Narrow" w:cs="Arial"/>
          <w:sz w:val="28"/>
          <w:szCs w:val="28"/>
        </w:rPr>
        <w:t xml:space="preserve">referencia. </w:t>
      </w:r>
      <w:r w:rsidR="009B254A">
        <w:rPr>
          <w:rFonts w:ascii="Arial Narrow" w:hAnsi="Arial Narrow" w:cs="Arial"/>
          <w:sz w:val="28"/>
          <w:szCs w:val="28"/>
        </w:rPr>
        <w:t xml:space="preserve"> </w:t>
      </w:r>
    </w:p>
    <w:p w:rsidR="00F02CCA" w:rsidRPr="00F02CCA" w:rsidRDefault="00F02CCA" w:rsidP="00F02CCA">
      <w:pPr>
        <w:pStyle w:val="Prrafodelista"/>
        <w:numPr>
          <w:ilvl w:val="0"/>
          <w:numId w:val="1"/>
        </w:numPr>
        <w:tabs>
          <w:tab w:val="left" w:pos="1134"/>
        </w:tabs>
        <w:spacing w:line="360" w:lineRule="auto"/>
        <w:ind w:left="0" w:firstLine="900"/>
        <w:jc w:val="both"/>
        <w:rPr>
          <w:rFonts w:ascii="Arial Narrow" w:hAnsi="Arial Narrow" w:cs="Arial"/>
          <w:spacing w:val="-2"/>
          <w:sz w:val="28"/>
          <w:szCs w:val="28"/>
        </w:rPr>
      </w:pPr>
      <w:r w:rsidRPr="00F02CCA">
        <w:rPr>
          <w:rFonts w:ascii="Arial Narrow" w:hAnsi="Arial Narrow" w:cs="Arial"/>
          <w:i/>
          <w:spacing w:val="-2"/>
          <w:sz w:val="28"/>
          <w:szCs w:val="28"/>
        </w:rPr>
        <w:t>C</w:t>
      </w:r>
      <w:r w:rsidRPr="00F02CCA">
        <w:rPr>
          <w:rFonts w:ascii="Arial Narrow" w:hAnsi="Arial Narrow"/>
          <w:sz w:val="28"/>
          <w:szCs w:val="28"/>
        </w:rPr>
        <w:t>ostas en esta instancia a cargo del recurrente</w:t>
      </w:r>
      <w:r>
        <w:rPr>
          <w:rFonts w:ascii="Arial Narrow" w:hAnsi="Arial Narrow"/>
          <w:sz w:val="28"/>
          <w:szCs w:val="28"/>
        </w:rPr>
        <w:t>.</w:t>
      </w:r>
    </w:p>
    <w:p w:rsidR="00F02CCA" w:rsidRDefault="00F02CCA" w:rsidP="00F02CCA">
      <w:pPr>
        <w:pStyle w:val="Sinespaciado"/>
      </w:pPr>
    </w:p>
    <w:p w:rsidR="009B254A" w:rsidRPr="00F02CCA" w:rsidRDefault="00F02CCA" w:rsidP="00F02CCA">
      <w:pPr>
        <w:tabs>
          <w:tab w:val="left" w:pos="1134"/>
        </w:tabs>
        <w:spacing w:line="360" w:lineRule="auto"/>
        <w:jc w:val="both"/>
        <w:rPr>
          <w:rFonts w:ascii="Arial Narrow" w:hAnsi="Arial Narrow" w:cs="Arial"/>
          <w:spacing w:val="-2"/>
          <w:sz w:val="28"/>
          <w:szCs w:val="28"/>
        </w:rPr>
      </w:pPr>
      <w:r w:rsidRPr="00F02CCA">
        <w:rPr>
          <w:rFonts w:ascii="Arial Narrow" w:hAnsi="Arial Narrow"/>
          <w:sz w:val="28"/>
          <w:szCs w:val="28"/>
        </w:rPr>
        <w:t xml:space="preserve"> </w:t>
      </w:r>
      <w:r w:rsidR="009B254A" w:rsidRPr="00F02CCA">
        <w:rPr>
          <w:rFonts w:ascii="Arial Narrow" w:hAnsi="Arial Narrow" w:cs="Microsoft Sans Serif"/>
          <w:bCs/>
          <w:iCs/>
          <w:sz w:val="28"/>
          <w:szCs w:val="28"/>
          <w:lang w:val="es-ES"/>
        </w:rPr>
        <w:t xml:space="preserve">La anterior decisión queda notificada </w:t>
      </w:r>
      <w:r w:rsidR="009B254A" w:rsidRPr="00F02CCA">
        <w:rPr>
          <w:rFonts w:ascii="Arial Narrow" w:hAnsi="Arial Narrow" w:cs="Microsoft Sans Serif"/>
          <w:bCs/>
          <w:i/>
          <w:iCs/>
          <w:sz w:val="28"/>
          <w:szCs w:val="28"/>
          <w:lang w:val="es-ES"/>
        </w:rPr>
        <w:t>en estrados.</w:t>
      </w:r>
    </w:p>
    <w:p w:rsidR="009B254A" w:rsidRPr="00B23E57" w:rsidRDefault="009B254A" w:rsidP="009B254A">
      <w:pPr>
        <w:ind w:firstLine="900"/>
        <w:jc w:val="center"/>
        <w:rPr>
          <w:rFonts w:ascii="Arial Narrow" w:hAnsi="Arial Narrow" w:cs="Microsoft Sans Serif"/>
          <w:bCs/>
          <w:iCs/>
          <w:sz w:val="28"/>
          <w:szCs w:val="28"/>
          <w:lang w:val="es-ES"/>
        </w:rPr>
      </w:pPr>
    </w:p>
    <w:p w:rsidR="009B254A" w:rsidRPr="00B23E57" w:rsidRDefault="009B254A" w:rsidP="009B254A">
      <w:pPr>
        <w:ind w:firstLine="900"/>
        <w:jc w:val="center"/>
        <w:rPr>
          <w:rFonts w:ascii="Arial Narrow" w:hAnsi="Arial Narrow" w:cs="Microsoft Sans Serif"/>
          <w:bCs/>
          <w:iCs/>
          <w:sz w:val="28"/>
          <w:szCs w:val="28"/>
          <w:lang w:val="es-ES"/>
        </w:rPr>
      </w:pPr>
    </w:p>
    <w:p w:rsidR="009B254A" w:rsidRPr="00B23E57" w:rsidRDefault="009B254A" w:rsidP="009B254A">
      <w:pPr>
        <w:ind w:firstLine="900"/>
        <w:jc w:val="center"/>
        <w:rPr>
          <w:rFonts w:ascii="Arial Narrow" w:hAnsi="Arial Narrow" w:cs="Microsoft Sans Serif"/>
          <w:bCs/>
          <w:iCs/>
          <w:sz w:val="28"/>
          <w:szCs w:val="28"/>
          <w:lang w:val="es-ES"/>
        </w:rPr>
      </w:pPr>
    </w:p>
    <w:p w:rsidR="009B254A" w:rsidRPr="00B23E57" w:rsidRDefault="009B254A" w:rsidP="009B254A">
      <w:pPr>
        <w:ind w:firstLine="900"/>
        <w:jc w:val="center"/>
        <w:rPr>
          <w:rFonts w:ascii="Arial Narrow" w:hAnsi="Arial Narrow" w:cs="Microsoft Sans Serif"/>
          <w:bCs/>
          <w:iCs/>
          <w:sz w:val="28"/>
          <w:szCs w:val="28"/>
          <w:lang w:val="es-ES"/>
        </w:rPr>
      </w:pPr>
    </w:p>
    <w:p w:rsidR="009B254A" w:rsidRPr="00B23E57" w:rsidRDefault="009B254A" w:rsidP="009B254A">
      <w:pPr>
        <w:ind w:firstLine="900"/>
        <w:jc w:val="center"/>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FRANCISCO JAVIER TAMAYO TABARES</w:t>
      </w:r>
    </w:p>
    <w:p w:rsidR="009B254A" w:rsidRPr="00B23E57" w:rsidRDefault="009B254A" w:rsidP="009B254A">
      <w:pPr>
        <w:ind w:firstLine="900"/>
        <w:jc w:val="center"/>
        <w:rPr>
          <w:rFonts w:ascii="Arial Narrow" w:hAnsi="Arial Narrow" w:cs="Microsoft Sans Serif"/>
          <w:sz w:val="28"/>
          <w:szCs w:val="28"/>
          <w:lang w:val="es-ES"/>
        </w:rPr>
      </w:pPr>
      <w:r w:rsidRPr="00B23E57">
        <w:rPr>
          <w:rFonts w:ascii="Arial Narrow" w:hAnsi="Arial Narrow" w:cs="Microsoft Sans Serif"/>
          <w:sz w:val="28"/>
          <w:szCs w:val="28"/>
          <w:lang w:val="es-ES"/>
        </w:rPr>
        <w:t xml:space="preserve">Magistrado Ponente </w:t>
      </w:r>
    </w:p>
    <w:p w:rsidR="009B254A" w:rsidRPr="00B23E57" w:rsidRDefault="009B254A" w:rsidP="009B254A">
      <w:pPr>
        <w:jc w:val="both"/>
        <w:rPr>
          <w:rFonts w:ascii="Arial Narrow" w:hAnsi="Arial Narrow" w:cs="Microsoft Sans Serif"/>
          <w:bCs/>
          <w:iCs/>
          <w:sz w:val="28"/>
          <w:szCs w:val="28"/>
          <w:lang w:val="es-ES"/>
        </w:rPr>
      </w:pPr>
    </w:p>
    <w:p w:rsidR="009B254A" w:rsidRPr="00B23E57" w:rsidRDefault="009B254A" w:rsidP="009B254A">
      <w:pPr>
        <w:jc w:val="both"/>
        <w:rPr>
          <w:rFonts w:ascii="Arial Narrow" w:hAnsi="Arial Narrow" w:cs="Microsoft Sans Serif"/>
          <w:bCs/>
          <w:iCs/>
          <w:sz w:val="28"/>
          <w:szCs w:val="28"/>
          <w:lang w:val="es-ES"/>
        </w:rPr>
      </w:pPr>
    </w:p>
    <w:p w:rsidR="009B254A" w:rsidRPr="00B23E57" w:rsidRDefault="009B254A" w:rsidP="009B254A">
      <w:pPr>
        <w:jc w:val="both"/>
        <w:rPr>
          <w:rFonts w:ascii="Arial Narrow" w:hAnsi="Arial Narrow" w:cs="Microsoft Sans Serif"/>
          <w:bCs/>
          <w:iCs/>
          <w:sz w:val="28"/>
          <w:szCs w:val="28"/>
          <w:lang w:val="es-ES"/>
        </w:rPr>
      </w:pPr>
    </w:p>
    <w:p w:rsidR="009B254A" w:rsidRPr="00B23E57" w:rsidRDefault="009B254A" w:rsidP="009B254A">
      <w:pPr>
        <w:jc w:val="both"/>
        <w:rPr>
          <w:rFonts w:ascii="Arial Narrow" w:hAnsi="Arial Narrow" w:cs="Microsoft Sans Serif"/>
          <w:bCs/>
          <w:iCs/>
          <w:sz w:val="28"/>
          <w:szCs w:val="28"/>
          <w:lang w:val="es-ES"/>
        </w:rPr>
      </w:pPr>
    </w:p>
    <w:p w:rsidR="009B254A" w:rsidRPr="00B23E57" w:rsidRDefault="009B254A" w:rsidP="009B254A">
      <w:pPr>
        <w:jc w:val="both"/>
        <w:rPr>
          <w:rFonts w:ascii="Arial Narrow" w:hAnsi="Arial Narrow" w:cs="Microsoft Sans Serif"/>
          <w:sz w:val="28"/>
          <w:szCs w:val="28"/>
          <w:lang w:val="es-ES"/>
        </w:rPr>
      </w:pPr>
      <w:r w:rsidRPr="00B23E57">
        <w:rPr>
          <w:rFonts w:ascii="Arial Narrow" w:hAnsi="Arial Narrow" w:cs="Microsoft Sans Serif"/>
          <w:bCs/>
          <w:iCs/>
          <w:sz w:val="28"/>
          <w:szCs w:val="28"/>
          <w:lang w:val="es-ES"/>
        </w:rPr>
        <w:t>ANA LUCÍA CAICEDO CALDERÓN                           OLGA LUCIA HOYOS SEPÙLVEDA</w:t>
      </w:r>
      <w:r w:rsidRPr="00B23E57">
        <w:rPr>
          <w:rFonts w:ascii="Arial Narrow" w:hAnsi="Arial Narrow" w:cs="Microsoft Sans Serif"/>
          <w:sz w:val="28"/>
          <w:szCs w:val="28"/>
          <w:lang w:val="es-ES"/>
        </w:rPr>
        <w:t xml:space="preserve"> </w:t>
      </w:r>
    </w:p>
    <w:p w:rsidR="009B254A" w:rsidRPr="00B23E57" w:rsidRDefault="009B254A" w:rsidP="009B254A">
      <w:pPr>
        <w:ind w:firstLine="900"/>
        <w:jc w:val="both"/>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 xml:space="preserve">   Magistrada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w:t>
      </w:r>
      <w:proofErr w:type="spellStart"/>
      <w:r w:rsidRPr="00B23E57">
        <w:rPr>
          <w:rFonts w:ascii="Arial Narrow" w:hAnsi="Arial Narrow" w:cs="Microsoft Sans Serif"/>
          <w:bCs/>
          <w:iCs/>
          <w:sz w:val="28"/>
          <w:szCs w:val="28"/>
          <w:lang w:val="es-ES"/>
        </w:rPr>
        <w:t>Magistrada</w:t>
      </w:r>
      <w:proofErr w:type="spellEnd"/>
    </w:p>
    <w:p w:rsidR="009B254A" w:rsidRPr="00B23E57" w:rsidRDefault="009B254A" w:rsidP="009B254A">
      <w:pPr>
        <w:ind w:firstLine="900"/>
        <w:jc w:val="both"/>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 xml:space="preserve">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p>
    <w:p w:rsidR="009B254A" w:rsidRDefault="009B254A" w:rsidP="009B254A">
      <w:pPr>
        <w:spacing w:line="360" w:lineRule="auto"/>
        <w:ind w:firstLine="900"/>
        <w:jc w:val="both"/>
        <w:rPr>
          <w:rFonts w:ascii="Arial Narrow" w:hAnsi="Arial Narrow" w:cs="Microsoft Sans Serif"/>
          <w:bCs/>
          <w:iCs/>
          <w:sz w:val="28"/>
          <w:szCs w:val="28"/>
          <w:lang w:val="es-ES"/>
        </w:rPr>
      </w:pPr>
    </w:p>
    <w:p w:rsidR="009B254A" w:rsidRPr="00B23E57" w:rsidRDefault="009B254A" w:rsidP="009B254A">
      <w:pPr>
        <w:spacing w:line="360" w:lineRule="auto"/>
        <w:ind w:firstLine="900"/>
        <w:jc w:val="center"/>
        <w:rPr>
          <w:rFonts w:ascii="Arial Narrow" w:hAnsi="Arial Narrow" w:cs="Microsoft Sans Serif"/>
          <w:bCs/>
          <w:iCs/>
          <w:sz w:val="28"/>
          <w:szCs w:val="28"/>
          <w:lang w:val="es-ES"/>
        </w:rPr>
      </w:pPr>
    </w:p>
    <w:p w:rsidR="009B254A" w:rsidRPr="00B23E57" w:rsidRDefault="009B254A" w:rsidP="009B254A">
      <w:pPr>
        <w:ind w:firstLine="900"/>
        <w:jc w:val="center"/>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Alonso Gaviria Ocampo</w:t>
      </w:r>
    </w:p>
    <w:p w:rsidR="009B254A" w:rsidRPr="00B23E57" w:rsidRDefault="009B254A" w:rsidP="009B254A">
      <w:pPr>
        <w:ind w:firstLine="900"/>
        <w:jc w:val="center"/>
        <w:rPr>
          <w:rFonts w:ascii="Arial Narrow" w:hAnsi="Arial Narrow"/>
          <w:sz w:val="30"/>
          <w:szCs w:val="30"/>
        </w:rPr>
      </w:pPr>
      <w:r w:rsidRPr="00B23E57">
        <w:rPr>
          <w:rFonts w:ascii="Arial Narrow" w:hAnsi="Arial Narrow" w:cs="Microsoft Sans Serif"/>
          <w:iCs/>
          <w:sz w:val="28"/>
          <w:szCs w:val="28"/>
          <w:lang w:val="es-ES"/>
        </w:rPr>
        <w:t>Secretario</w:t>
      </w:r>
    </w:p>
    <w:p w:rsidR="009B254A" w:rsidRPr="00B23E57" w:rsidRDefault="009B254A" w:rsidP="009B254A">
      <w:pPr>
        <w:jc w:val="center"/>
      </w:pPr>
    </w:p>
    <w:p w:rsidR="00C35CA1" w:rsidRDefault="00C35CA1"/>
    <w:sectPr w:rsidR="00C35CA1" w:rsidSect="00B77952">
      <w:headerReference w:type="default" r:id="rId7"/>
      <w:footerReference w:type="even" r:id="rId8"/>
      <w:footerReference w:type="default" r:id="rId9"/>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156" w:rsidRDefault="009E7156" w:rsidP="009B254A">
      <w:r>
        <w:separator/>
      </w:r>
    </w:p>
  </w:endnote>
  <w:endnote w:type="continuationSeparator" w:id="0">
    <w:p w:rsidR="009E7156" w:rsidRDefault="009E7156" w:rsidP="009B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753D33" w:rsidP="00B77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2490" w:rsidRDefault="00175240" w:rsidP="00B779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753D33" w:rsidP="00B77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5240">
      <w:rPr>
        <w:rStyle w:val="Nmerodepgina"/>
        <w:noProof/>
      </w:rPr>
      <w:t>8</w:t>
    </w:r>
    <w:r>
      <w:rPr>
        <w:rStyle w:val="Nmerodepgina"/>
      </w:rPr>
      <w:fldChar w:fldCharType="end"/>
    </w:r>
  </w:p>
  <w:p w:rsidR="002A2490" w:rsidRDefault="00175240" w:rsidP="00B779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156" w:rsidRDefault="009E7156" w:rsidP="009B254A">
      <w:r>
        <w:separator/>
      </w:r>
    </w:p>
  </w:footnote>
  <w:footnote w:type="continuationSeparator" w:id="0">
    <w:p w:rsidR="009E7156" w:rsidRDefault="009E7156" w:rsidP="009B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753D33" w:rsidP="00B77952">
    <w:pPr>
      <w:jc w:val="both"/>
      <w:rPr>
        <w:rFonts w:ascii="Arial Narrow" w:hAnsi="Arial Narrow" w:cs="Arial"/>
        <w:bCs/>
        <w:sz w:val="16"/>
        <w:szCs w:val="16"/>
      </w:rPr>
    </w:pPr>
    <w:r w:rsidRPr="00FD38A6">
      <w:rPr>
        <w:rFonts w:ascii="Arial Narrow" w:hAnsi="Arial Narrow" w:cs="Arial"/>
        <w:bCs/>
        <w:sz w:val="16"/>
        <w:szCs w:val="16"/>
      </w:rPr>
      <w:t>Radicación No: 66001-31-05-00</w:t>
    </w:r>
    <w:r>
      <w:rPr>
        <w:rFonts w:ascii="Arial Narrow" w:hAnsi="Arial Narrow" w:cs="Arial"/>
        <w:bCs/>
        <w:sz w:val="16"/>
        <w:szCs w:val="16"/>
      </w:rPr>
      <w:t>5-</w:t>
    </w:r>
    <w:r w:rsidRPr="00FD38A6">
      <w:rPr>
        <w:rFonts w:ascii="Arial Narrow" w:hAnsi="Arial Narrow" w:cs="Arial"/>
        <w:bCs/>
        <w:sz w:val="16"/>
        <w:szCs w:val="16"/>
      </w:rPr>
      <w:t>201</w:t>
    </w:r>
    <w:r>
      <w:rPr>
        <w:rFonts w:ascii="Arial Narrow" w:hAnsi="Arial Narrow" w:cs="Arial"/>
        <w:bCs/>
        <w:sz w:val="16"/>
        <w:szCs w:val="16"/>
      </w:rPr>
      <w:t>5-00</w:t>
    </w:r>
    <w:r w:rsidR="009B254A">
      <w:rPr>
        <w:rFonts w:ascii="Arial Narrow" w:hAnsi="Arial Narrow" w:cs="Arial"/>
        <w:bCs/>
        <w:sz w:val="16"/>
        <w:szCs w:val="16"/>
      </w:rPr>
      <w:t>004</w:t>
    </w:r>
    <w:r>
      <w:rPr>
        <w:rFonts w:ascii="Arial Narrow" w:hAnsi="Arial Narrow" w:cs="Arial"/>
        <w:bCs/>
        <w:sz w:val="16"/>
        <w:szCs w:val="16"/>
      </w:rPr>
      <w:t>-01</w:t>
    </w:r>
  </w:p>
  <w:p w:rsidR="002A2490" w:rsidRPr="00FD38A6" w:rsidRDefault="009B254A" w:rsidP="00B77952">
    <w:pPr>
      <w:jc w:val="both"/>
    </w:pPr>
    <w:r>
      <w:rPr>
        <w:rFonts w:ascii="Arial Narrow" w:hAnsi="Arial Narrow" w:cs="Arial"/>
        <w:bCs/>
        <w:sz w:val="16"/>
        <w:szCs w:val="16"/>
      </w:rPr>
      <w:t xml:space="preserve">Alberto Mejía Arango </w:t>
    </w:r>
    <w:r w:rsidR="00753D33">
      <w:rPr>
        <w:rFonts w:ascii="Arial Narrow" w:hAnsi="Arial Narrow" w:cs="Arial"/>
        <w:bCs/>
        <w:sz w:val="16"/>
        <w:szCs w:val="16"/>
      </w:rPr>
      <w:t>v</w:t>
    </w:r>
    <w:r>
      <w:rPr>
        <w:rFonts w:ascii="Arial Narrow" w:hAnsi="Arial Narrow" w:cs="Arial"/>
        <w:bCs/>
        <w:sz w:val="16"/>
        <w:szCs w:val="16"/>
      </w:rPr>
      <w:t xml:space="preserve">s </w:t>
    </w:r>
    <w:proofErr w:type="spellStart"/>
    <w:r>
      <w:rPr>
        <w:rFonts w:ascii="Arial Narrow" w:hAnsi="Arial Narrow" w:cs="Arial"/>
        <w:bCs/>
        <w:sz w:val="16"/>
        <w:szCs w:val="16"/>
      </w:rPr>
      <w:t>C</w:t>
    </w:r>
    <w:r w:rsidR="00753D33" w:rsidRPr="00FD38A6">
      <w:rPr>
        <w:rFonts w:ascii="Arial Narrow" w:hAnsi="Arial Narrow" w:cs="Arial"/>
        <w:bCs/>
        <w:sz w:val="16"/>
        <w:szCs w:val="16"/>
      </w:rPr>
      <w:t>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82C2583"/>
    <w:multiLevelType w:val="hybridMultilevel"/>
    <w:tmpl w:val="D9841A9E"/>
    <w:lvl w:ilvl="0" w:tplc="7C043236">
      <w:start w:val="1"/>
      <w:numFmt w:val="decimal"/>
      <w:lvlText w:val="%1."/>
      <w:lvlJc w:val="left"/>
      <w:pPr>
        <w:ind w:left="3196" w:hanging="360"/>
      </w:pPr>
      <w:rPr>
        <w:rFonts w:hint="default"/>
        <w:b w:val="0"/>
        <w:i/>
        <w:color w:val="auto"/>
      </w:rPr>
    </w:lvl>
    <w:lvl w:ilvl="1" w:tplc="240A0019" w:tentative="1">
      <w:start w:val="1"/>
      <w:numFmt w:val="lowerLetter"/>
      <w:lvlText w:val="%2."/>
      <w:lvlJc w:val="left"/>
      <w:pPr>
        <w:ind w:left="3916" w:hanging="360"/>
      </w:pPr>
    </w:lvl>
    <w:lvl w:ilvl="2" w:tplc="240A001B" w:tentative="1">
      <w:start w:val="1"/>
      <w:numFmt w:val="lowerRoman"/>
      <w:lvlText w:val="%3."/>
      <w:lvlJc w:val="right"/>
      <w:pPr>
        <w:ind w:left="4636" w:hanging="180"/>
      </w:pPr>
    </w:lvl>
    <w:lvl w:ilvl="3" w:tplc="240A000F" w:tentative="1">
      <w:start w:val="1"/>
      <w:numFmt w:val="decimal"/>
      <w:lvlText w:val="%4."/>
      <w:lvlJc w:val="left"/>
      <w:pPr>
        <w:ind w:left="5356" w:hanging="360"/>
      </w:pPr>
    </w:lvl>
    <w:lvl w:ilvl="4" w:tplc="240A0019" w:tentative="1">
      <w:start w:val="1"/>
      <w:numFmt w:val="lowerLetter"/>
      <w:lvlText w:val="%5."/>
      <w:lvlJc w:val="left"/>
      <w:pPr>
        <w:ind w:left="6076" w:hanging="360"/>
      </w:pPr>
    </w:lvl>
    <w:lvl w:ilvl="5" w:tplc="240A001B" w:tentative="1">
      <w:start w:val="1"/>
      <w:numFmt w:val="lowerRoman"/>
      <w:lvlText w:val="%6."/>
      <w:lvlJc w:val="right"/>
      <w:pPr>
        <w:ind w:left="6796" w:hanging="180"/>
      </w:pPr>
    </w:lvl>
    <w:lvl w:ilvl="6" w:tplc="240A000F" w:tentative="1">
      <w:start w:val="1"/>
      <w:numFmt w:val="decimal"/>
      <w:lvlText w:val="%7."/>
      <w:lvlJc w:val="left"/>
      <w:pPr>
        <w:ind w:left="7516" w:hanging="360"/>
      </w:pPr>
    </w:lvl>
    <w:lvl w:ilvl="7" w:tplc="240A0019" w:tentative="1">
      <w:start w:val="1"/>
      <w:numFmt w:val="lowerLetter"/>
      <w:lvlText w:val="%8."/>
      <w:lvlJc w:val="left"/>
      <w:pPr>
        <w:ind w:left="8236" w:hanging="360"/>
      </w:pPr>
    </w:lvl>
    <w:lvl w:ilvl="8" w:tplc="240A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4A"/>
    <w:rsid w:val="00037CCC"/>
    <w:rsid w:val="00100A39"/>
    <w:rsid w:val="00141245"/>
    <w:rsid w:val="00156819"/>
    <w:rsid w:val="00175240"/>
    <w:rsid w:val="00201A8D"/>
    <w:rsid w:val="00235E96"/>
    <w:rsid w:val="00400A2B"/>
    <w:rsid w:val="00434940"/>
    <w:rsid w:val="00561C28"/>
    <w:rsid w:val="005F3A67"/>
    <w:rsid w:val="006876E7"/>
    <w:rsid w:val="006A024A"/>
    <w:rsid w:val="006C470A"/>
    <w:rsid w:val="0074759D"/>
    <w:rsid w:val="00753D33"/>
    <w:rsid w:val="007941FD"/>
    <w:rsid w:val="007946DB"/>
    <w:rsid w:val="007A73A6"/>
    <w:rsid w:val="0087600A"/>
    <w:rsid w:val="008F43A4"/>
    <w:rsid w:val="0093353A"/>
    <w:rsid w:val="00935F8B"/>
    <w:rsid w:val="00997BE9"/>
    <w:rsid w:val="009B254A"/>
    <w:rsid w:val="009E7156"/>
    <w:rsid w:val="00A01CA8"/>
    <w:rsid w:val="00A03413"/>
    <w:rsid w:val="00A40728"/>
    <w:rsid w:val="00AD1430"/>
    <w:rsid w:val="00B416C7"/>
    <w:rsid w:val="00B440AF"/>
    <w:rsid w:val="00B923AE"/>
    <w:rsid w:val="00BE7032"/>
    <w:rsid w:val="00C3230F"/>
    <w:rsid w:val="00C35CA1"/>
    <w:rsid w:val="00C55B55"/>
    <w:rsid w:val="00C947AF"/>
    <w:rsid w:val="00CA21BF"/>
    <w:rsid w:val="00CA7A50"/>
    <w:rsid w:val="00D76C59"/>
    <w:rsid w:val="00DD0515"/>
    <w:rsid w:val="00E85981"/>
    <w:rsid w:val="00EB173B"/>
    <w:rsid w:val="00F02CCA"/>
    <w:rsid w:val="00F10896"/>
    <w:rsid w:val="00F805B4"/>
    <w:rsid w:val="00FA4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DB975-4675-492C-B234-D4115885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4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B254A"/>
    <w:rPr>
      <w:rFonts w:ascii="Arial" w:hAnsi="Arial" w:cs="Arial"/>
      <w:sz w:val="24"/>
      <w:lang w:val="es-ES_tradnl" w:eastAsia="es-ES"/>
    </w:rPr>
  </w:style>
  <w:style w:type="paragraph" w:styleId="Textoindependiente">
    <w:name w:val="Body Text"/>
    <w:basedOn w:val="Normal"/>
    <w:link w:val="TextoindependienteCar"/>
    <w:rsid w:val="009B254A"/>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B254A"/>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B254A"/>
    <w:pPr>
      <w:tabs>
        <w:tab w:val="center" w:pos="4252"/>
        <w:tab w:val="right" w:pos="8504"/>
      </w:tabs>
    </w:pPr>
  </w:style>
  <w:style w:type="character" w:customStyle="1" w:styleId="PiedepginaCar">
    <w:name w:val="Pie de página Car"/>
    <w:basedOn w:val="Fuentedeprrafopredeter"/>
    <w:link w:val="Piedepgina"/>
    <w:rsid w:val="009B254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B254A"/>
  </w:style>
  <w:style w:type="paragraph" w:customStyle="1" w:styleId="Textoindependiente31">
    <w:name w:val="Texto independiente 31"/>
    <w:basedOn w:val="Normal"/>
    <w:rsid w:val="009B254A"/>
    <w:pPr>
      <w:spacing w:line="360" w:lineRule="auto"/>
      <w:jc w:val="both"/>
    </w:pPr>
    <w:rPr>
      <w:rFonts w:ascii="Arial" w:hAnsi="Arial"/>
    </w:rPr>
  </w:style>
  <w:style w:type="paragraph" w:customStyle="1" w:styleId="Prrafodelista2">
    <w:name w:val="Párrafo de lista2"/>
    <w:basedOn w:val="Normal"/>
    <w:rsid w:val="009B254A"/>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9B254A"/>
    <w:pPr>
      <w:ind w:left="708"/>
    </w:pPr>
  </w:style>
  <w:style w:type="paragraph" w:styleId="Sinespaciado">
    <w:name w:val="No Spacing"/>
    <w:uiPriority w:val="1"/>
    <w:qFormat/>
    <w:rsid w:val="009B254A"/>
    <w:pPr>
      <w:spacing w:after="0" w:line="240" w:lineRule="auto"/>
    </w:pPr>
    <w:rPr>
      <w:lang w:val="es-ES_tradnl"/>
    </w:rPr>
  </w:style>
  <w:style w:type="paragraph" w:customStyle="1" w:styleId="Textoindependiente32">
    <w:name w:val="Texto independiente 32"/>
    <w:basedOn w:val="Normal"/>
    <w:rsid w:val="009B254A"/>
    <w:pPr>
      <w:spacing w:line="360" w:lineRule="auto"/>
      <w:jc w:val="both"/>
    </w:pPr>
    <w:rPr>
      <w:rFonts w:ascii="Arial" w:hAnsi="Arial"/>
    </w:rPr>
  </w:style>
  <w:style w:type="paragraph" w:styleId="Encabezado">
    <w:name w:val="header"/>
    <w:basedOn w:val="Normal"/>
    <w:link w:val="EncabezadoCar"/>
    <w:uiPriority w:val="99"/>
    <w:unhideWhenUsed/>
    <w:rsid w:val="009B254A"/>
    <w:pPr>
      <w:tabs>
        <w:tab w:val="center" w:pos="4252"/>
        <w:tab w:val="right" w:pos="8504"/>
      </w:tabs>
    </w:pPr>
  </w:style>
  <w:style w:type="character" w:customStyle="1" w:styleId="EncabezadoCar">
    <w:name w:val="Encabezado Car"/>
    <w:basedOn w:val="Fuentedeprrafopredeter"/>
    <w:link w:val="Encabezado"/>
    <w:uiPriority w:val="99"/>
    <w:rsid w:val="009B254A"/>
    <w:rPr>
      <w:rFonts w:ascii="Times New Roman" w:eastAsia="Times New Roman" w:hAnsi="Times New Roman" w:cs="Times New Roman"/>
      <w:sz w:val="24"/>
      <w:szCs w:val="20"/>
      <w:lang w:val="es-ES_tradnl" w:eastAsia="es-ES"/>
    </w:rPr>
  </w:style>
  <w:style w:type="paragraph" w:customStyle="1" w:styleId="Textodebloque1">
    <w:name w:val="Texto de bloque1"/>
    <w:basedOn w:val="Normal"/>
    <w:rsid w:val="00201A8D"/>
    <w:pPr>
      <w:tabs>
        <w:tab w:val="left" w:pos="-720"/>
      </w:tabs>
      <w:suppressAutoHyphens/>
      <w:overflowPunct w:val="0"/>
      <w:autoSpaceDE w:val="0"/>
      <w:autoSpaceDN w:val="0"/>
      <w:adjustRightInd w:val="0"/>
      <w:ind w:left="284" w:right="284"/>
      <w:jc w:val="both"/>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2747</Words>
  <Characters>15112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8</cp:revision>
  <dcterms:created xsi:type="dcterms:W3CDTF">2017-06-29T21:35:00Z</dcterms:created>
  <dcterms:modified xsi:type="dcterms:W3CDTF">2017-09-02T17:17:00Z</dcterms:modified>
</cp:coreProperties>
</file>