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D6" w:rsidRDefault="009A37D6" w:rsidP="009A37D6">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DA5D26" w:rsidRPr="00402979" w:rsidRDefault="00DA5D26" w:rsidP="00DA5D26">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066E7D">
        <w:rPr>
          <w:rFonts w:ascii="Arial Narrow" w:hAnsi="Arial Narrow" w:cs="Arial"/>
          <w:i/>
          <w:sz w:val="18"/>
          <w:szCs w:val="18"/>
        </w:rPr>
        <w:t>27</w:t>
      </w:r>
      <w:r w:rsidRPr="00DA5D26">
        <w:rPr>
          <w:rFonts w:ascii="Arial Narrow" w:hAnsi="Arial Narrow" w:cs="Arial"/>
          <w:i/>
          <w:sz w:val="18"/>
          <w:szCs w:val="18"/>
        </w:rPr>
        <w:t xml:space="preserve"> de </w:t>
      </w:r>
      <w:r w:rsidR="00066E7D">
        <w:rPr>
          <w:rFonts w:ascii="Arial Narrow" w:hAnsi="Arial Narrow" w:cs="Arial"/>
          <w:i/>
          <w:sz w:val="18"/>
          <w:szCs w:val="18"/>
        </w:rPr>
        <w:t>julio</w:t>
      </w:r>
      <w:r w:rsidRPr="00DA5D26">
        <w:rPr>
          <w:rFonts w:ascii="Arial Narrow" w:hAnsi="Arial Narrow" w:cs="Arial"/>
          <w:i/>
          <w:sz w:val="18"/>
          <w:szCs w:val="18"/>
        </w:rPr>
        <w:t xml:space="preserve"> de 201</w:t>
      </w:r>
      <w:r w:rsidR="00066E7D">
        <w:rPr>
          <w:rFonts w:ascii="Arial Narrow" w:hAnsi="Arial Narrow" w:cs="Arial"/>
          <w:i/>
          <w:sz w:val="18"/>
          <w:szCs w:val="18"/>
        </w:rPr>
        <w:t>7</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066E7D">
        <w:rPr>
          <w:rFonts w:ascii="Arial Narrow" w:hAnsi="Arial Narrow" w:cs="Arial"/>
          <w:bCs/>
          <w:i/>
          <w:sz w:val="18"/>
          <w:szCs w:val="18"/>
        </w:rPr>
        <w:t>3</w:t>
      </w:r>
      <w:r>
        <w:rPr>
          <w:rFonts w:ascii="Arial Narrow" w:hAnsi="Arial Narrow" w:cs="Arial"/>
          <w:bCs/>
          <w:i/>
          <w:sz w:val="18"/>
          <w:szCs w:val="18"/>
        </w:rPr>
        <w:t>-201</w:t>
      </w:r>
      <w:r w:rsidR="00066E7D">
        <w:rPr>
          <w:rFonts w:ascii="Arial Narrow" w:hAnsi="Arial Narrow" w:cs="Arial"/>
          <w:bCs/>
          <w:i/>
          <w:sz w:val="18"/>
          <w:szCs w:val="18"/>
        </w:rPr>
        <w:t>6</w:t>
      </w:r>
      <w:r>
        <w:rPr>
          <w:rFonts w:ascii="Arial Narrow" w:hAnsi="Arial Narrow" w:cs="Arial"/>
          <w:bCs/>
          <w:i/>
          <w:sz w:val="18"/>
          <w:szCs w:val="18"/>
        </w:rPr>
        <w:t>-000</w:t>
      </w:r>
      <w:r w:rsidR="00066E7D">
        <w:rPr>
          <w:rFonts w:ascii="Arial Narrow" w:hAnsi="Arial Narrow" w:cs="Arial"/>
          <w:bCs/>
          <w:i/>
          <w:sz w:val="18"/>
          <w:szCs w:val="18"/>
        </w:rPr>
        <w:t>44</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proofErr w:type="spellStart"/>
      <w:r w:rsidR="00066E7D">
        <w:rPr>
          <w:rFonts w:ascii="Arial Narrow" w:hAnsi="Arial Narrow" w:cs="Arial"/>
          <w:i/>
          <w:iCs/>
          <w:sz w:val="18"/>
          <w:szCs w:val="18"/>
        </w:rPr>
        <w:t>Delso</w:t>
      </w:r>
      <w:proofErr w:type="spellEnd"/>
      <w:r w:rsidR="00066E7D">
        <w:rPr>
          <w:rFonts w:ascii="Arial Narrow" w:hAnsi="Arial Narrow" w:cs="Arial"/>
          <w:i/>
          <w:iCs/>
          <w:sz w:val="18"/>
          <w:szCs w:val="18"/>
        </w:rPr>
        <w:t xml:space="preserve"> de Jesús Castrillón </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066E7D">
        <w:rPr>
          <w:rFonts w:ascii="Arial Narrow" w:hAnsi="Arial Narrow" w:cs="Arial"/>
          <w:i/>
          <w:sz w:val="18"/>
          <w:szCs w:val="18"/>
        </w:rPr>
        <w:t>Tercero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C605CD" w:rsidRPr="003609EA" w:rsidRDefault="00DA5D26" w:rsidP="00C605CD">
      <w:pPr>
        <w:spacing w:before="20" w:after="20"/>
        <w:ind w:left="2124" w:hanging="2124"/>
        <w:jc w:val="both"/>
        <w:rPr>
          <w:rFonts w:ascii="Arial Narrow" w:hAnsi="Arial Narrow" w:cs="Tahoma"/>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3609EA">
        <w:rPr>
          <w:rFonts w:ascii="Arial Narrow" w:hAnsi="Arial Narrow" w:cs="Arial"/>
          <w:b/>
          <w:bCs/>
          <w:i/>
          <w:sz w:val="18"/>
          <w:szCs w:val="18"/>
        </w:rPr>
        <w:t xml:space="preserve">Naturaleza de los incrementos pensionales. Prescripción. </w:t>
      </w:r>
      <w:r w:rsidR="003609EA" w:rsidRPr="003609EA">
        <w:rPr>
          <w:rFonts w:ascii="Arial Narrow" w:hAnsi="Arial Narrow" w:cs="Arial"/>
          <w:bCs/>
          <w:i/>
          <w:sz w:val="18"/>
          <w:szCs w:val="18"/>
        </w:rPr>
        <w:t>Conforme a la norma citada, los incrementos tienen una naturaleza distinta a la pensión de invalidez o de vejez, lo que conlleva a que no tengan los mismos atributos o características 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666823">
        <w:rPr>
          <w:rFonts w:ascii="Arial Narrow" w:eastAsia="Calibri" w:hAnsi="Arial Narrow" w:cs="Arial"/>
          <w:sz w:val="28"/>
          <w:szCs w:val="28"/>
          <w:lang w:val="es-CO" w:eastAsia="en-US"/>
        </w:rPr>
        <w:t>veinti</w:t>
      </w:r>
      <w:r w:rsidR="00066E7D">
        <w:rPr>
          <w:rFonts w:ascii="Arial Narrow" w:eastAsia="Calibri" w:hAnsi="Arial Narrow" w:cs="Arial"/>
          <w:sz w:val="28"/>
          <w:szCs w:val="28"/>
          <w:lang w:val="es-CO" w:eastAsia="en-US"/>
        </w:rPr>
        <w:t>siete</w:t>
      </w:r>
      <w:r>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2</w:t>
      </w:r>
      <w:r w:rsidR="00066E7D">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066E7D">
        <w:rPr>
          <w:rFonts w:ascii="Arial Narrow" w:eastAsia="Calibri" w:hAnsi="Arial Narrow" w:cs="Arial"/>
          <w:sz w:val="28"/>
          <w:szCs w:val="28"/>
          <w:lang w:val="es-CO" w:eastAsia="en-US"/>
        </w:rPr>
        <w:t>julio</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w:t>
      </w:r>
      <w:r w:rsidR="00066E7D">
        <w:rPr>
          <w:rFonts w:ascii="Arial Narrow" w:eastAsia="Calibri" w:hAnsi="Arial Narrow" w:cs="Arial"/>
          <w:sz w:val="28"/>
          <w:szCs w:val="28"/>
          <w:lang w:val="es-CO" w:eastAsia="en-US"/>
        </w:rPr>
        <w:t>iete</w:t>
      </w:r>
      <w:r w:rsidRPr="00B02E05">
        <w:rPr>
          <w:rFonts w:ascii="Arial Narrow" w:eastAsia="Calibri" w:hAnsi="Arial Narrow" w:cs="Arial"/>
          <w:sz w:val="28"/>
          <w:szCs w:val="28"/>
          <w:lang w:val="es-CO" w:eastAsia="en-US"/>
        </w:rPr>
        <w:t xml:space="preserve"> (201</w:t>
      </w:r>
      <w:r w:rsidR="00066E7D">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666823">
        <w:rPr>
          <w:rFonts w:ascii="Arial Narrow" w:eastAsia="Calibri" w:hAnsi="Arial Narrow" w:cs="Arial"/>
          <w:sz w:val="28"/>
          <w:szCs w:val="28"/>
          <w:lang w:val="es-CO" w:eastAsia="en-US"/>
        </w:rPr>
        <w:t>ocho y quince</w:t>
      </w:r>
      <w:r>
        <w:rPr>
          <w:rFonts w:ascii="Arial Narrow" w:eastAsia="Calibri" w:hAnsi="Arial Narrow" w:cs="Arial"/>
          <w:sz w:val="28"/>
          <w:szCs w:val="28"/>
          <w:lang w:val="es-CO" w:eastAsia="en-US"/>
        </w:rPr>
        <w:t xml:space="preserve"> de la mañana (</w:t>
      </w:r>
      <w:r w:rsidR="00666823">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666823">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w:t>
      </w:r>
      <w:proofErr w:type="spellStart"/>
      <w:r>
        <w:rPr>
          <w:rFonts w:ascii="Arial Narrow" w:eastAsia="Calibri" w:hAnsi="Arial Narrow" w:cs="Arial"/>
          <w:sz w:val="28"/>
          <w:szCs w:val="28"/>
          <w:lang w:val="es-CO" w:eastAsia="en-US"/>
        </w:rPr>
        <w:t>a.m</w:t>
      </w:r>
      <w:proofErr w:type="spellEnd"/>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066E7D">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066E7D">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w:t>
      </w:r>
      <w:r w:rsidR="00066E7D">
        <w:rPr>
          <w:rFonts w:ascii="Arial Narrow" w:hAnsi="Arial Narrow" w:cs="Tahoma"/>
          <w:bCs/>
          <w:color w:val="000000"/>
          <w:sz w:val="28"/>
          <w:szCs w:val="28"/>
          <w:lang w:eastAsia="es-CO"/>
        </w:rPr>
        <w:t xml:space="preserve">que integran la </w:t>
      </w:r>
      <w:r w:rsidRPr="00B02E05">
        <w:rPr>
          <w:rFonts w:ascii="Arial Narrow" w:hAnsi="Arial Narrow" w:cs="Tahoma"/>
          <w:bCs/>
          <w:color w:val="000000"/>
          <w:sz w:val="28"/>
          <w:szCs w:val="28"/>
          <w:lang w:eastAsia="es-CO"/>
        </w:rPr>
        <w:t xml:space="preserve">Sala </w:t>
      </w:r>
      <w:r w:rsidR="00066E7D">
        <w:rPr>
          <w:rFonts w:ascii="Arial Narrow" w:hAnsi="Arial Narrow" w:cs="Tahoma"/>
          <w:bCs/>
          <w:color w:val="000000"/>
          <w:sz w:val="28"/>
          <w:szCs w:val="28"/>
          <w:lang w:eastAsia="es-CO"/>
        </w:rPr>
        <w:t xml:space="preserve">Tercera de </w:t>
      </w:r>
      <w:r w:rsidR="00E12EF7">
        <w:rPr>
          <w:rFonts w:ascii="Arial Narrow" w:hAnsi="Arial Narrow" w:cs="Tahoma"/>
          <w:bCs/>
          <w:color w:val="000000"/>
          <w:sz w:val="28"/>
          <w:szCs w:val="28"/>
          <w:lang w:eastAsia="es-CO"/>
        </w:rPr>
        <w:t xml:space="preserve">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el </w:t>
      </w:r>
      <w:r w:rsidR="00666823">
        <w:rPr>
          <w:rFonts w:ascii="Arial Narrow" w:hAnsi="Arial Narrow" w:cs="Tahoma"/>
          <w:bCs/>
          <w:color w:val="000000"/>
          <w:sz w:val="28"/>
          <w:szCs w:val="28"/>
          <w:lang w:eastAsia="es-CO"/>
        </w:rPr>
        <w:t xml:space="preserve">recurso de apelación propuesto por </w:t>
      </w:r>
      <w:r w:rsidR="00E12EF7">
        <w:rPr>
          <w:rFonts w:ascii="Arial Narrow" w:hAnsi="Arial Narrow" w:cs="Tahoma"/>
          <w:bCs/>
          <w:color w:val="000000"/>
          <w:sz w:val="28"/>
          <w:szCs w:val="28"/>
          <w:lang w:eastAsia="es-CO"/>
        </w:rPr>
        <w:t>la</w:t>
      </w:r>
      <w:r w:rsidR="00666823">
        <w:rPr>
          <w:rFonts w:ascii="Arial Narrow" w:hAnsi="Arial Narrow" w:cs="Tahoma"/>
          <w:bCs/>
          <w:color w:val="000000"/>
          <w:sz w:val="28"/>
          <w:szCs w:val="28"/>
          <w:lang w:eastAsia="es-CO"/>
        </w:rPr>
        <w:t xml:space="preserve"> portavoz judicial de la parte demanda</w:t>
      </w:r>
      <w:r w:rsidR="00E12EF7">
        <w:rPr>
          <w:rFonts w:ascii="Arial Narrow" w:hAnsi="Arial Narrow" w:cs="Tahoma"/>
          <w:bCs/>
          <w:color w:val="000000"/>
          <w:sz w:val="28"/>
          <w:szCs w:val="28"/>
          <w:lang w:eastAsia="es-CO"/>
        </w:rPr>
        <w:t>nte</w:t>
      </w:r>
      <w:r w:rsidR="00666823">
        <w:rPr>
          <w:rFonts w:ascii="Arial Narrow" w:hAnsi="Arial Narrow" w:cs="Tahoma"/>
          <w:bCs/>
          <w:color w:val="000000"/>
          <w:sz w:val="28"/>
          <w:szCs w:val="28"/>
          <w:lang w:eastAsia="es-CO"/>
        </w:rPr>
        <w:t xml:space="preserve">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E12EF7">
        <w:rPr>
          <w:rFonts w:ascii="Arial Narrow" w:hAnsi="Arial Narrow" w:cs="Arial"/>
          <w:sz w:val="28"/>
          <w:szCs w:val="28"/>
        </w:rPr>
        <w:t>08</w:t>
      </w:r>
      <w:r>
        <w:rPr>
          <w:rFonts w:ascii="Arial Narrow" w:hAnsi="Arial Narrow" w:cs="Arial"/>
          <w:sz w:val="28"/>
          <w:szCs w:val="28"/>
        </w:rPr>
        <w:t xml:space="preserve"> de </w:t>
      </w:r>
      <w:r w:rsidR="00E12EF7">
        <w:rPr>
          <w:rFonts w:ascii="Arial Narrow" w:hAnsi="Arial Narrow" w:cs="Arial"/>
          <w:sz w:val="28"/>
          <w:szCs w:val="28"/>
        </w:rPr>
        <w:t>agosto</w:t>
      </w:r>
      <w:r>
        <w:rPr>
          <w:rFonts w:ascii="Arial Narrow" w:hAnsi="Arial Narrow" w:cs="Arial"/>
          <w:sz w:val="28"/>
          <w:szCs w:val="28"/>
        </w:rPr>
        <w:t xml:space="preserve"> de 201</w:t>
      </w:r>
      <w:r w:rsidR="00E12EF7">
        <w:rPr>
          <w:rFonts w:ascii="Arial Narrow" w:hAnsi="Arial Narrow" w:cs="Arial"/>
          <w:sz w:val="28"/>
          <w:szCs w:val="28"/>
        </w:rPr>
        <w:t>6</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E12EF7">
        <w:rPr>
          <w:rFonts w:ascii="Arial Narrow" w:hAnsi="Arial Narrow" w:cs="Arial"/>
          <w:sz w:val="28"/>
          <w:szCs w:val="28"/>
        </w:rPr>
        <w:t>Tercero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proofErr w:type="spellStart"/>
      <w:r w:rsidR="00E12EF7">
        <w:rPr>
          <w:rFonts w:ascii="Arial Narrow" w:hAnsi="Arial Narrow" w:cs="Arial"/>
          <w:b/>
          <w:i/>
          <w:iCs/>
          <w:sz w:val="28"/>
          <w:szCs w:val="28"/>
        </w:rPr>
        <w:t>Delso</w:t>
      </w:r>
      <w:proofErr w:type="spellEnd"/>
      <w:r w:rsidR="00E12EF7">
        <w:rPr>
          <w:rFonts w:ascii="Arial Narrow" w:hAnsi="Arial Narrow" w:cs="Arial"/>
          <w:b/>
          <w:i/>
          <w:iCs/>
          <w:sz w:val="28"/>
          <w:szCs w:val="28"/>
        </w:rPr>
        <w:t xml:space="preserve"> de Jesús Castrillón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Pr="00B02E05" w:rsidRDefault="00DA5D26"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Pr="00B02E05"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Pr="000A6EA4" w:rsidRDefault="00DA5D26" w:rsidP="000A6EA4">
      <w:pPr>
        <w:pStyle w:val="Sinespaciado"/>
      </w:pPr>
    </w:p>
    <w:p w:rsidR="00E12EF7" w:rsidRDefault="00DA5D26" w:rsidP="00DA5D26">
      <w:pPr>
        <w:spacing w:line="360" w:lineRule="auto"/>
        <w:ind w:firstLine="900"/>
        <w:jc w:val="both"/>
        <w:rPr>
          <w:rFonts w:ascii="Arial Narrow" w:hAnsi="Arial Narrow" w:cs="Tahoma"/>
          <w:sz w:val="28"/>
          <w:szCs w:val="28"/>
        </w:rPr>
      </w:pPr>
      <w:r w:rsidRPr="00B02E05">
        <w:rPr>
          <w:rFonts w:ascii="Arial Narrow" w:hAnsi="Arial Narrow" w:cs="Tahoma"/>
          <w:sz w:val="28"/>
          <w:szCs w:val="28"/>
        </w:rPr>
        <w:t xml:space="preserve">Antes de que procedan los asistentes a descorrer el traslado en esta instancia, conforme a las voces del artículo 13 de la Ley 1149 de 2007, se tiene a modo de introducción, que el </w:t>
      </w:r>
      <w:r w:rsidR="00666823">
        <w:rPr>
          <w:rFonts w:ascii="Arial Narrow" w:hAnsi="Arial Narrow" w:cs="Tahoma"/>
          <w:sz w:val="28"/>
          <w:szCs w:val="28"/>
        </w:rPr>
        <w:t xml:space="preserve">actor persigue que se </w:t>
      </w:r>
      <w:r w:rsidR="00E12EF7">
        <w:rPr>
          <w:rFonts w:ascii="Arial Narrow" w:hAnsi="Arial Narrow" w:cs="Tahoma"/>
          <w:sz w:val="28"/>
          <w:szCs w:val="28"/>
        </w:rPr>
        <w:t>declare que tiene derecho al reconocimiento de los incrementos pensionales de que trata el canon 21 del Acuerdo 049 de 1990, en virtud de tener a su cargo a la señora María Lilia Suarez Henao y, en consecuencia pide que se condene al reconocimiento y pago de los mismos a partir del 01 de junio de 1996 con la debida indexación.</w:t>
      </w:r>
    </w:p>
    <w:p w:rsidR="00E12EF7" w:rsidRDefault="00E12EF7" w:rsidP="00DA5D26">
      <w:pPr>
        <w:spacing w:line="360" w:lineRule="auto"/>
        <w:ind w:firstLine="900"/>
        <w:jc w:val="both"/>
        <w:rPr>
          <w:rFonts w:ascii="Arial Narrow" w:hAnsi="Arial Narrow" w:cs="Tahoma"/>
          <w:sz w:val="28"/>
          <w:szCs w:val="28"/>
        </w:rPr>
      </w:pPr>
    </w:p>
    <w:p w:rsidR="00E12EF7" w:rsidRDefault="00E12EF7" w:rsidP="00DA5D2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Como sustento de sus pretensiones, se relata que el actora fue pensionado por vejez por parte del ISS, de conformidad con el Acuerdo 049 de 1990, a partir del 01 de junio de 1996, que es casado con la señora María Lilia Suarez desde el 26 de mayo de 1973, que ella se ha dedicado al hogar y a la crianza de los hijos, que nunca laboró con alguna empresa, ni percibe pensión y depende exclusivamente de su esposo, que el 25 de noviembre de 2014 solicitó el reconocimiento y pago del incremento pensional y que la entidad negó tal petición.</w:t>
      </w:r>
    </w:p>
    <w:p w:rsidR="00E12EF7" w:rsidRDefault="00E12EF7" w:rsidP="00DA5D26">
      <w:pPr>
        <w:spacing w:line="360" w:lineRule="auto"/>
        <w:ind w:firstLine="900"/>
        <w:jc w:val="both"/>
        <w:rPr>
          <w:rFonts w:ascii="Arial Narrow" w:hAnsi="Arial Narrow" w:cs="Tahoma"/>
          <w:sz w:val="28"/>
          <w:szCs w:val="28"/>
        </w:rPr>
      </w:pPr>
    </w:p>
    <w:p w:rsidR="00F54D60" w:rsidRDefault="00F54D60"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sociedad demandada, entidad que allegó respuesta por intermedio de procurador judicial, en la que aceptó la calidad de pensionado del actor, el fundamento legal de dicha prestación, la reclamación de los incrementos pensionales y la respuesta negativa de la entidad. Frente a los restantes indica que no le constan. Se opone a las pretensiones de la demanda y excepciona de fondo “Inexistencia del incremento pensional”, “Inexistencia de la obligación”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1D71C3" w:rsidRDefault="00F54D6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a-quo señala que los incrementos pensionales son aplicables en la actualidad y que en el caso puntual, se acreditó debidamente que el actor es pensionado de conformidad con el Acuerdo 049 de 1990, que está casado con la señora María Lilia Suárez desde 1973, que han convivido desde tal calenda y que el demandante es el encargado de velar por el sostenimiento económico de ella. Sin embargo, estima que el paso del tiempo ha extinto los mismos, dado que el derecho se hizo exigible </w:t>
      </w:r>
      <w:r w:rsidR="001D71C3">
        <w:rPr>
          <w:rFonts w:ascii="Arial Narrow" w:hAnsi="Arial Narrow" w:cs="Tahoma"/>
          <w:color w:val="000000"/>
          <w:sz w:val="28"/>
          <w:szCs w:val="28"/>
          <w:lang w:eastAsia="es-CO"/>
        </w:rPr>
        <w:t>el 01 de junio de 1996 y apenas se reclamó en el año 2014. Por tal motivo y al tener los incrementos una naturaleza diferente al de la pensión, debieron haberse reclamado en los tres años siguientes a su exigibilidad.</w:t>
      </w: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Por tal motivo niega las pretensiones de la demanda e impone costas a la parte actora.</w:t>
      </w:r>
    </w:p>
    <w:p w:rsidR="001D71C3" w:rsidRDefault="001D71C3"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III. APELACIÓN</w:t>
      </w:r>
    </w:p>
    <w:p w:rsidR="0089084F" w:rsidRDefault="0089084F" w:rsidP="000A6EA4">
      <w:pPr>
        <w:pStyle w:val="Sinespaciado"/>
        <w:rPr>
          <w:lang w:eastAsia="es-CO"/>
        </w:rPr>
      </w:pPr>
    </w:p>
    <w:p w:rsidR="001D71C3" w:rsidRDefault="001D71C3"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La apoderada de la parte actora estuvo inconforme con la decisión sintetizada, </w:t>
      </w:r>
      <w:r>
        <w:rPr>
          <w:rFonts w:ascii="Arial Narrow" w:hAnsi="Arial Narrow" w:cs="Arial"/>
          <w:iCs/>
          <w:sz w:val="28"/>
          <w:szCs w:val="28"/>
          <w:lang w:val="es-MX" w:eastAsia="es-MX"/>
        </w:rPr>
        <w:lastRenderedPageBreak/>
        <w:t>por lo que interpuso y sustentó recurso de apelación, manifestando que los incrementos pensionales si bien no tienen la misma naturaleza jurídica de las mesadas pensionales, si están ligados a esta y, mientras subsistan las causas que le dieron origen se deben mantener, aplicando la prescripción frente a las mesadas del mismo.</w:t>
      </w:r>
    </w:p>
    <w:p w:rsidR="001D71C3" w:rsidRDefault="001D71C3"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DA5D26" w:rsidRPr="00090E9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1D71C3">
        <w:rPr>
          <w:rFonts w:ascii="Arial Narrow" w:hAnsi="Arial Narrow"/>
          <w:i/>
          <w:sz w:val="28"/>
          <w:szCs w:val="26"/>
        </w:rPr>
        <w:t>Están los incrementos pensionales expuestos a su extinción en virtud de la prescripción</w:t>
      </w:r>
      <w:r w:rsidRPr="00090E92">
        <w:rPr>
          <w:rFonts w:ascii="Arial Narrow" w:hAnsi="Arial Narrow"/>
          <w:i/>
          <w:sz w:val="28"/>
          <w:szCs w:val="26"/>
        </w:rPr>
        <w:t xml:space="preserve">? </w:t>
      </w:r>
    </w:p>
    <w:p w:rsidR="00090E92" w:rsidRDefault="00090E9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rPr>
        <w:t xml:space="preserve">2. </w:t>
      </w: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584E97" w:rsidRDefault="00DA5D26" w:rsidP="00DA5D26">
      <w:pPr>
        <w:pStyle w:val="Prrafodelista"/>
        <w:numPr>
          <w:ilvl w:val="1"/>
          <w:numId w:val="1"/>
        </w:numPr>
        <w:autoSpaceDE w:val="0"/>
        <w:autoSpaceDN w:val="0"/>
        <w:adjustRightInd w:val="0"/>
        <w:spacing w:line="360" w:lineRule="auto"/>
        <w:jc w:val="both"/>
        <w:rPr>
          <w:rFonts w:ascii="Arial Narrow" w:hAnsi="Arial Narrow" w:cs="Arial"/>
          <w:b/>
          <w:i/>
          <w:sz w:val="28"/>
          <w:szCs w:val="28"/>
        </w:rPr>
      </w:pPr>
      <w:r>
        <w:rPr>
          <w:rFonts w:ascii="Arial Narrow" w:hAnsi="Arial Narrow" w:cs="Arial"/>
          <w:b/>
          <w:i/>
          <w:sz w:val="28"/>
          <w:szCs w:val="28"/>
        </w:rPr>
        <w:t xml:space="preserve"> V</w:t>
      </w:r>
      <w:r w:rsidRPr="00584E97">
        <w:rPr>
          <w:rFonts w:ascii="Arial Narrow" w:hAnsi="Arial Narrow" w:cs="Arial"/>
          <w:b/>
          <w:i/>
          <w:sz w:val="28"/>
          <w:szCs w:val="28"/>
        </w:rPr>
        <w:t>igencia de los incrementos pensionales.</w:t>
      </w:r>
    </w:p>
    <w:p w:rsidR="00DA5D26" w:rsidRPr="00B47DEE" w:rsidRDefault="00DA5D26" w:rsidP="00B47DEE">
      <w:pPr>
        <w:pStyle w:val="Sinespaciado"/>
      </w:pPr>
    </w:p>
    <w:p w:rsidR="00090E9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Es indispensable precisar que los incrementos pensionales se sustentan en el artículo 21 del Acuerdo 049 de 1990, indicando que los mismos se dan por tener al cónyuge, compañero o compañera a cargo o a los hijos menores. En la Ley 100 de 1993, actual norma que regula el tema de la seguridad social, nada se dice al respecto. Sin embargo, el silencio legal referido, no traduce indefectiblemente en que los incrementos pensionales hayan desaparecido o perdido vigencia.</w:t>
      </w:r>
    </w:p>
    <w:p w:rsidR="00C84802" w:rsidRDefault="00C84802" w:rsidP="00DA5D26">
      <w:pPr>
        <w:pStyle w:val="Textoindependiente"/>
        <w:spacing w:line="360" w:lineRule="auto"/>
        <w:ind w:firstLine="851"/>
        <w:rPr>
          <w:rFonts w:ascii="Arial Narrow" w:hAnsi="Arial Narrow"/>
          <w:sz w:val="28"/>
          <w:szCs w:val="28"/>
          <w:lang w:val="es-CO"/>
        </w:rPr>
      </w:pPr>
    </w:p>
    <w:p w:rsidR="00DA5D26" w:rsidRPr="00145342"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lastRenderedPageBreak/>
        <w:t>En efecto, s</w:t>
      </w:r>
      <w:r w:rsidR="00DA5D26" w:rsidRPr="00145342">
        <w:rPr>
          <w:rFonts w:ascii="Arial Narrow" w:hAnsi="Arial Narrow"/>
          <w:sz w:val="28"/>
          <w:szCs w:val="28"/>
          <w:lang w:val="es-CO"/>
        </w:rPr>
        <w:t xml:space="preserve">on múltiples los pronunciamientos del máximo órgano de cierre de </w:t>
      </w:r>
      <w:r>
        <w:rPr>
          <w:rFonts w:ascii="Arial Narrow" w:hAnsi="Arial Narrow"/>
          <w:sz w:val="28"/>
          <w:szCs w:val="28"/>
          <w:lang w:val="es-CO"/>
        </w:rPr>
        <w:t>la</w:t>
      </w:r>
      <w:r w:rsidR="00DA5D26" w:rsidRPr="00145342">
        <w:rPr>
          <w:rFonts w:ascii="Arial Narrow" w:hAnsi="Arial Narrow"/>
          <w:sz w:val="28"/>
          <w:szCs w:val="28"/>
          <w:lang w:val="es-CO"/>
        </w:rPr>
        <w:t xml:space="preserve"> jurisdicción</w:t>
      </w:r>
      <w:r>
        <w:rPr>
          <w:rFonts w:ascii="Arial Narrow" w:hAnsi="Arial Narrow"/>
          <w:sz w:val="28"/>
          <w:szCs w:val="28"/>
          <w:lang w:val="es-CO"/>
        </w:rPr>
        <w:t xml:space="preserve"> laboral</w:t>
      </w:r>
      <w:r w:rsidR="00DA5D26" w:rsidRPr="00145342">
        <w:rPr>
          <w:rFonts w:ascii="Arial Narrow" w:hAnsi="Arial Narrow"/>
          <w:sz w:val="28"/>
          <w:szCs w:val="28"/>
          <w:lang w:val="es-CO"/>
        </w:rPr>
        <w:t xml:space="preserve">, tanto en sede ordinaria como de tutela, en el sentido de que el incremento pensional por personas a cargo </w:t>
      </w:r>
      <w:r>
        <w:rPr>
          <w:rFonts w:ascii="Arial Narrow" w:hAnsi="Arial Narrow"/>
          <w:sz w:val="28"/>
          <w:szCs w:val="28"/>
          <w:lang w:val="es-CO"/>
        </w:rPr>
        <w:t xml:space="preserve">contenido en la norma mencionada </w:t>
      </w:r>
      <w:r w:rsidR="00DA5D26" w:rsidRPr="00145342">
        <w:rPr>
          <w:rFonts w:ascii="Arial Narrow" w:hAnsi="Arial Narrow"/>
          <w:sz w:val="28"/>
          <w:szCs w:val="28"/>
          <w:lang w:val="es-CO"/>
        </w:rPr>
        <w:t>aún conserva vigencia con la entrada en vigor de la Ley 100 de 1993, por aplicación del régimen de transición, sin que, su contenido con arreglo al artículo 31 de la Ley 100 riña en forma directa o indirecta con los postulados de ésta</w:t>
      </w:r>
      <w:r w:rsidR="00DA5D26">
        <w:rPr>
          <w:rFonts w:ascii="Arial Narrow" w:hAnsi="Arial Narrow"/>
          <w:sz w:val="28"/>
          <w:szCs w:val="28"/>
          <w:lang w:val="es-CO"/>
        </w:rPr>
        <w:t xml:space="preserve">, pues en contraste, </w:t>
      </w:r>
      <w:r w:rsidR="00DA5D26" w:rsidRPr="00145342">
        <w:rPr>
          <w:rFonts w:ascii="Arial Narrow" w:hAnsi="Arial Narrow"/>
          <w:sz w:val="28"/>
          <w:szCs w:val="28"/>
          <w:lang w:val="es-CO"/>
        </w:rPr>
        <w:t>su aplicación</w:t>
      </w:r>
      <w:r w:rsidR="00DA5D26">
        <w:rPr>
          <w:rFonts w:ascii="Arial Narrow" w:hAnsi="Arial Narrow"/>
          <w:sz w:val="28"/>
          <w:szCs w:val="28"/>
          <w:lang w:val="es-CO"/>
        </w:rPr>
        <w:t xml:space="preserve"> encuentra </w:t>
      </w:r>
      <w:r w:rsidR="00DA5D26" w:rsidRPr="00145342">
        <w:rPr>
          <w:rFonts w:ascii="Arial Narrow" w:hAnsi="Arial Narrow"/>
          <w:sz w:val="28"/>
          <w:szCs w:val="28"/>
          <w:lang w:val="es-CO"/>
        </w:rPr>
        <w:t>respaldo en los artículos 48 y 53 de la Constitución Política.</w:t>
      </w:r>
    </w:p>
    <w:p w:rsidR="00DA5D26" w:rsidRPr="00B47DEE" w:rsidRDefault="00DA5D26" w:rsidP="00B47DEE">
      <w:pPr>
        <w:pStyle w:val="Sinespaciado"/>
      </w:pPr>
    </w:p>
    <w:p w:rsidR="00DA5D26" w:rsidRDefault="00090E9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Lo anterior implica, necesariamente, </w:t>
      </w:r>
      <w:r w:rsidR="00DA5D26" w:rsidRPr="00145342">
        <w:rPr>
          <w:rFonts w:ascii="Arial Narrow" w:hAnsi="Arial Narrow"/>
          <w:sz w:val="28"/>
          <w:szCs w:val="28"/>
          <w:lang w:val="es-CO"/>
        </w:rPr>
        <w:t xml:space="preserve">que </w:t>
      </w:r>
      <w:r>
        <w:rPr>
          <w:rFonts w:ascii="Arial Narrow" w:hAnsi="Arial Narrow"/>
          <w:sz w:val="28"/>
          <w:szCs w:val="28"/>
          <w:lang w:val="es-CO"/>
        </w:rPr>
        <w:t xml:space="preserve">al no haber </w:t>
      </w:r>
      <w:r w:rsidR="00DA5D26" w:rsidRPr="00145342">
        <w:rPr>
          <w:rFonts w:ascii="Arial Narrow" w:hAnsi="Arial Narrow"/>
          <w:sz w:val="28"/>
          <w:szCs w:val="28"/>
          <w:lang w:val="es-CO"/>
        </w:rPr>
        <w:t xml:space="preserve">sido reguladas las adendas reclamadas por la Ley 100 de 1993, su permanencia en el ordenamiento de la seguridad social se impone no sólo para los pensionados que accedieron por derecho propio a la pensión de vejez, con base en el </w:t>
      </w:r>
      <w:r w:rsidR="00DA5D26">
        <w:rPr>
          <w:rFonts w:ascii="Arial Narrow" w:hAnsi="Arial Narrow"/>
          <w:sz w:val="28"/>
          <w:szCs w:val="28"/>
          <w:lang w:val="es-CO"/>
        </w:rPr>
        <w:t>Acuerdo 049 de 1990</w:t>
      </w:r>
      <w:r w:rsidR="00DA5D26" w:rsidRPr="00145342">
        <w:rPr>
          <w:rFonts w:ascii="Arial Narrow" w:hAnsi="Arial Narrow"/>
          <w:sz w:val="28"/>
          <w:szCs w:val="28"/>
          <w:lang w:val="es-CO"/>
        </w:rPr>
        <w:t>, sino también a quienes accedieron al mismo derecho</w:t>
      </w:r>
      <w:r>
        <w:rPr>
          <w:rFonts w:ascii="Arial Narrow" w:hAnsi="Arial Narrow"/>
          <w:sz w:val="28"/>
          <w:szCs w:val="28"/>
          <w:lang w:val="es-CO"/>
        </w:rPr>
        <w:t>, con amparo en esa normatividad,</w:t>
      </w:r>
      <w:r w:rsidR="00DA5D26" w:rsidRPr="00145342">
        <w:rPr>
          <w:rFonts w:ascii="Arial Narrow" w:hAnsi="Arial Narrow"/>
          <w:sz w:val="28"/>
          <w:szCs w:val="28"/>
          <w:lang w:val="es-CO"/>
        </w:rPr>
        <w:t xml:space="preserve"> por régimen de transición.</w:t>
      </w:r>
      <w:r w:rsidR="00DA5D26">
        <w:rPr>
          <w:rFonts w:ascii="Arial Narrow" w:hAnsi="Arial Narrow"/>
          <w:sz w:val="28"/>
          <w:szCs w:val="28"/>
          <w:lang w:val="es-CO"/>
        </w:rPr>
        <w:t xml:space="preserve"> </w:t>
      </w:r>
    </w:p>
    <w:p w:rsidR="00DA5D26" w:rsidRPr="00B47DEE" w:rsidRDefault="00DA5D26" w:rsidP="00B47DEE">
      <w:pPr>
        <w:pStyle w:val="Sinespaciado"/>
      </w:pPr>
    </w:p>
    <w:p w:rsidR="00090E92" w:rsidRDefault="00DA5D26" w:rsidP="00DA5D26">
      <w:pPr>
        <w:pStyle w:val="Textoindependiente"/>
        <w:spacing w:line="360" w:lineRule="auto"/>
        <w:ind w:firstLine="851"/>
        <w:rPr>
          <w:rFonts w:ascii="Arial Narrow" w:hAnsi="Arial Narrow"/>
          <w:sz w:val="28"/>
          <w:szCs w:val="28"/>
        </w:rPr>
      </w:pPr>
      <w:r w:rsidRPr="001646CC">
        <w:rPr>
          <w:rFonts w:ascii="Arial Narrow" w:hAnsi="Arial Narrow"/>
          <w:sz w:val="28"/>
          <w:szCs w:val="28"/>
        </w:rPr>
        <w:t>Así lo apuntan las providencias de</w:t>
      </w:r>
      <w:r>
        <w:rPr>
          <w:rFonts w:ascii="Arial Narrow" w:hAnsi="Arial Narrow"/>
          <w:sz w:val="28"/>
          <w:szCs w:val="28"/>
        </w:rPr>
        <w:t>l máximo órgano de cierre de la especialidad laboral</w:t>
      </w:r>
      <w:r w:rsidRPr="001646CC">
        <w:rPr>
          <w:rFonts w:ascii="Arial Narrow" w:hAnsi="Arial Narrow"/>
          <w:sz w:val="28"/>
          <w:szCs w:val="28"/>
        </w:rPr>
        <w:t xml:space="preserve">, proferidas el 9 de octubre de 2013 y 23 de abril de 2014, en sede de tutela, en las que recalca que tal beneficio se mantiene en vigor, para el afiliado </w:t>
      </w:r>
      <w:r w:rsidR="00090E92">
        <w:rPr>
          <w:rFonts w:ascii="Arial Narrow" w:hAnsi="Arial Narrow"/>
          <w:sz w:val="28"/>
          <w:szCs w:val="28"/>
        </w:rPr>
        <w:t xml:space="preserve">que disfrute de su pensión de vejez o de invalidez, en apoyo al multicitado Acuerdo, sea que se le aplique </w:t>
      </w:r>
      <w:r w:rsidRPr="001646CC">
        <w:rPr>
          <w:rFonts w:ascii="Arial Narrow" w:hAnsi="Arial Narrow"/>
          <w:sz w:val="28"/>
          <w:szCs w:val="28"/>
        </w:rPr>
        <w:t>por derecho propio o po</w:t>
      </w:r>
      <w:r>
        <w:rPr>
          <w:rFonts w:ascii="Arial Narrow" w:hAnsi="Arial Narrow"/>
          <w:sz w:val="28"/>
          <w:szCs w:val="28"/>
        </w:rPr>
        <w:t>r transición</w:t>
      </w:r>
      <w:r w:rsidR="00090E92">
        <w:rPr>
          <w:rFonts w:ascii="Arial Narrow" w:hAnsi="Arial Narrow"/>
          <w:sz w:val="28"/>
          <w:szCs w:val="28"/>
        </w:rPr>
        <w:t>.</w:t>
      </w:r>
    </w:p>
    <w:p w:rsidR="00AF19D4" w:rsidRDefault="00AF19D4" w:rsidP="00DA5D26">
      <w:pPr>
        <w:pStyle w:val="Textoindependiente"/>
        <w:spacing w:line="360" w:lineRule="auto"/>
        <w:ind w:firstLine="851"/>
        <w:rPr>
          <w:rFonts w:ascii="Arial Narrow" w:hAnsi="Arial Narrow"/>
          <w:sz w:val="28"/>
          <w:szCs w:val="28"/>
        </w:rPr>
      </w:pPr>
    </w:p>
    <w:p w:rsidR="0000634D" w:rsidRDefault="0000634D" w:rsidP="00DA5D26">
      <w:pPr>
        <w:pStyle w:val="Textoindependiente"/>
        <w:spacing w:line="360" w:lineRule="auto"/>
        <w:ind w:firstLine="851"/>
        <w:rPr>
          <w:rFonts w:ascii="Arial Narrow" w:hAnsi="Arial Narrow"/>
          <w:b/>
          <w:i/>
          <w:sz w:val="28"/>
          <w:szCs w:val="28"/>
        </w:rPr>
      </w:pPr>
      <w:r>
        <w:rPr>
          <w:rFonts w:ascii="Arial Narrow" w:hAnsi="Arial Narrow"/>
          <w:b/>
          <w:i/>
          <w:sz w:val="28"/>
          <w:szCs w:val="28"/>
        </w:rPr>
        <w:t>2.2. Prescripción.</w:t>
      </w:r>
    </w:p>
    <w:p w:rsidR="0000634D" w:rsidRDefault="0000634D" w:rsidP="00DA5D26">
      <w:pPr>
        <w:pStyle w:val="Textoindependiente"/>
        <w:spacing w:line="360" w:lineRule="auto"/>
        <w:ind w:firstLine="851"/>
        <w:rPr>
          <w:rFonts w:ascii="Arial Narrow" w:hAnsi="Arial Narrow"/>
          <w:b/>
          <w:i/>
          <w:sz w:val="28"/>
          <w:szCs w:val="28"/>
        </w:rPr>
      </w:pPr>
    </w:p>
    <w:p w:rsidR="0000634D" w:rsidRDefault="0000634D"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Aclarada la vigencia y aplicabilidad de los incrementos pensionales en la normatividad actual, es necesario entrar –primeramente- a analizar la naturaleza jurídica de los mismos. Tal asunto se resuelve acudiendo al artículo 22 del Acuerdo 049 de 1990, el cual dice en su tenor literal: </w:t>
      </w:r>
    </w:p>
    <w:p w:rsidR="0000634D" w:rsidRDefault="0000634D" w:rsidP="00DA5D26">
      <w:pPr>
        <w:pStyle w:val="Textoindependiente"/>
        <w:spacing w:line="360" w:lineRule="auto"/>
        <w:ind w:firstLine="851"/>
        <w:rPr>
          <w:rFonts w:ascii="Arial Narrow" w:hAnsi="Arial Narrow"/>
          <w:sz w:val="28"/>
          <w:szCs w:val="28"/>
        </w:rPr>
      </w:pPr>
    </w:p>
    <w:p w:rsidR="0000634D" w:rsidRDefault="0000634D" w:rsidP="00DA5D26">
      <w:pPr>
        <w:pStyle w:val="Textoindependiente"/>
        <w:spacing w:line="360" w:lineRule="auto"/>
        <w:ind w:firstLine="851"/>
        <w:rPr>
          <w:rFonts w:ascii="Arial Narrow" w:hAnsi="Arial Narrow"/>
          <w:i/>
          <w:sz w:val="28"/>
          <w:szCs w:val="28"/>
        </w:rPr>
      </w:pPr>
      <w:r>
        <w:rPr>
          <w:rFonts w:ascii="Arial Narrow" w:hAnsi="Arial Narrow"/>
          <w:i/>
          <w:sz w:val="28"/>
          <w:szCs w:val="28"/>
        </w:rPr>
        <w:t>“</w:t>
      </w:r>
      <w:r w:rsidRPr="0000634D">
        <w:rPr>
          <w:rFonts w:ascii="Arial Narrow" w:hAnsi="Arial Narrow"/>
          <w:i/>
          <w:sz w:val="28"/>
          <w:szCs w:val="28"/>
        </w:rPr>
        <w:t>Los incrementos de que trata el artículo anterior no forman parte integrante de la pensión de invalidez o de vejez que reconoce el Instituto de Seguros Sociales y el derecho a ellos subsiste mientras perduren las causas que les dieron origen</w:t>
      </w:r>
      <w:r>
        <w:rPr>
          <w:rFonts w:ascii="Arial Narrow" w:hAnsi="Arial Narrow"/>
          <w:i/>
          <w:sz w:val="28"/>
          <w:szCs w:val="28"/>
        </w:rPr>
        <w:t>”</w:t>
      </w:r>
      <w:r w:rsidRPr="0000634D">
        <w:rPr>
          <w:rFonts w:ascii="Arial Narrow" w:hAnsi="Arial Narrow"/>
          <w:i/>
          <w:sz w:val="28"/>
          <w:szCs w:val="28"/>
        </w:rPr>
        <w:t>.</w:t>
      </w:r>
    </w:p>
    <w:p w:rsidR="0000634D" w:rsidRDefault="0000634D" w:rsidP="00DA5D26">
      <w:pPr>
        <w:pStyle w:val="Textoindependiente"/>
        <w:spacing w:line="360" w:lineRule="auto"/>
        <w:ind w:firstLine="851"/>
        <w:rPr>
          <w:rFonts w:ascii="Arial Narrow" w:hAnsi="Arial Narrow"/>
          <w:i/>
          <w:sz w:val="28"/>
          <w:szCs w:val="28"/>
        </w:rPr>
      </w:pPr>
    </w:p>
    <w:p w:rsidR="00BB6550" w:rsidRDefault="0000634D"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Conforme a la norma citada, los incrementos tienen una naturaleza distinta a la pensión de invalidez o de vejez, lo que conlleva a que no tengan los mismos atributos </w:t>
      </w:r>
      <w:r>
        <w:rPr>
          <w:rFonts w:ascii="Arial Narrow" w:hAnsi="Arial Narrow"/>
          <w:sz w:val="28"/>
          <w:szCs w:val="28"/>
        </w:rPr>
        <w:lastRenderedPageBreak/>
        <w:t xml:space="preserve">o características </w:t>
      </w:r>
      <w:r w:rsidR="00BB6550">
        <w:rPr>
          <w:rFonts w:ascii="Arial Narrow" w:hAnsi="Arial Narrow"/>
          <w:sz w:val="28"/>
          <w:szCs w:val="28"/>
        </w:rPr>
        <w:t>de tales pretensiones, como lo es la imprescriptibilidad, es decir la imposibilidad de que el simple paso del tiempo enerve la existencia del derecho en sí mismo. Por lo tanto, al tener los incrementos una naturaleza distinta a la pensión, claramente están sujetos a que el tiempo impida su reclamación coactiva. El tema ha sido abordado por la jurisprudencia patria, siendo pertinente citar algunos apartes de uno de tales pronunciamientos:</w:t>
      </w:r>
    </w:p>
    <w:p w:rsidR="00BB6550" w:rsidRDefault="00BB6550" w:rsidP="00283D7F">
      <w:pPr>
        <w:pStyle w:val="Sinespaciado"/>
      </w:pPr>
    </w:p>
    <w:p w:rsidR="00BB6550" w:rsidRPr="00BB6550" w:rsidRDefault="00283D7F" w:rsidP="00BB6550">
      <w:pPr>
        <w:pStyle w:val="Textoindependiente"/>
        <w:spacing w:line="360" w:lineRule="auto"/>
        <w:ind w:firstLine="851"/>
        <w:rPr>
          <w:rFonts w:ascii="Arial Narrow" w:hAnsi="Arial Narrow"/>
          <w:i/>
          <w:sz w:val="28"/>
          <w:szCs w:val="28"/>
          <w:lang w:val="es-ES"/>
        </w:rPr>
      </w:pPr>
      <w:r>
        <w:rPr>
          <w:rFonts w:ascii="Arial Narrow" w:hAnsi="Arial Narrow"/>
          <w:i/>
          <w:sz w:val="28"/>
          <w:szCs w:val="28"/>
          <w:lang w:val="es-ES"/>
        </w:rPr>
        <w:t>“</w:t>
      </w:r>
      <w:r w:rsidR="00BB6550" w:rsidRPr="00BB6550">
        <w:rPr>
          <w:rFonts w:ascii="Arial Narrow" w:hAnsi="Arial Narrow"/>
          <w:i/>
          <w:sz w:val="28"/>
          <w:szCs w:val="28"/>
          <w:lang w:val="es-ES"/>
        </w:rPr>
        <w:t>Al ser un hecho indiscutido que entre la fecha de reconocimiento de la pensión de vejez al actor esto es,  1º de julio de 1999, y aquella en la que reclamó el incremento pensional - 22 de julio de 2009-, transcurrió un tiempo superior a los 3 años de que tratan los artículos 151 del Código Procesal del Trabajo y 488 del procesal de la misma especialidad, no hay duda que el derecho a los incrementos por personas a cargo se encuentran prescritos, como con reiteración y uniformidad lo ha decantado esta Sala de  Casación, entre otras, en la sentencia CSJSL, 9638-2014 del 23 jul. 2014, rad 57367, donde al resolver un asunto de similares contornos, así reflexionó:</w:t>
      </w:r>
    </w:p>
    <w:p w:rsidR="00BB6550" w:rsidRPr="00BB6550" w:rsidRDefault="00BB6550" w:rsidP="00283D7F">
      <w:pPr>
        <w:pStyle w:val="Sinespaciado"/>
        <w:rPr>
          <w:lang w:val="es-ES"/>
        </w:rPr>
      </w:pPr>
    </w:p>
    <w:p w:rsidR="00BB6550" w:rsidRPr="00BB6550" w:rsidRDefault="00BB6550" w:rsidP="00BB6550">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 xml:space="preserve">“Al confrontar los fundamentos que le sirven de soporte a la decisión acusada, observa la Corte que el sentenciador de alzada no incurrió en la interpretación errónea de las normas relacionadas en la proposición jurídica, al declarar la prescripción de los derechos reclamados por concepto del incremento pensional por personas a cargo, dado que la jurisprudencia de esta Sala, así lo ha adoctrinado.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 xml:space="preserve">En efecto, esta Corporación señaló en sentencia CSJ SL, 18 sep. 2012, rad. 42300, que la calidad del pensionado es permanente y vitalicia y consecuencialmente la acción para impetrar su reconocimiento es imprescriptible. Pero igualmente ha precisado su doctrina de que una es esa condición del individuo, cuya titularidad del derecho pensional no fenece con el transcurrir del tiempo y, otra diferente los derechos derivados de ese status, tales como el pago de las mesadas pensionales o, en el caso en estudio, los incrementos reclamados, lo que en criterio de la Corte sí prescriben en los términos de los Arts. 488 del CST y 151 del CPT y de la SS.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lastRenderedPageBreak/>
        <w:t xml:space="preserve">Así se dijo, y ahora se reitera, en sentencia CSJ SL, 12 dic. 2007, rad. 27923, en la que respecto a la prescripción del derecho a reclamar los incrementos por personas a cargo, se puntualizó: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 xml:space="preserve">(…) el artículo 22 del Acuerdo 049 de 1990 prevé que los incrementos por persona a cargo ‘no forman parte integrante de la pensión de invalidez o de vejez que reconoce el Instituto de Seguros Sociales’ es lógico que no pueden participar de los atributos y ventajas que el legislador ha señalado para éstas, entre ellas el de la imprescriptibilidad del estado jurídico del pensionado y que se justifican justamente por el carácter fundamental y vital de la prestación, reafirmado por la Constitución de 1991, y además por el hecho de ser de tracto sucesivo, por regla general, y de carácter vitalicio.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No puede negarse que los incrementos nacen del reconocimiento de la pensión de vejez,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BB6550" w:rsidRPr="00BB6550" w:rsidRDefault="00BB6550" w:rsidP="003609EA">
      <w:pPr>
        <w:pStyle w:val="Sinespaciado"/>
        <w:rPr>
          <w:lang w:val="es-ES"/>
        </w:rPr>
      </w:pPr>
    </w:p>
    <w:p w:rsidR="00BB6550" w:rsidRPr="00BB6550" w:rsidRDefault="00BB6550" w:rsidP="00283D7F">
      <w:pPr>
        <w:pStyle w:val="Textoindependiente"/>
        <w:spacing w:line="360" w:lineRule="auto"/>
        <w:ind w:left="1416" w:firstLine="851"/>
        <w:rPr>
          <w:rFonts w:ascii="Arial Narrow" w:hAnsi="Arial Narrow"/>
          <w:i/>
          <w:sz w:val="28"/>
          <w:szCs w:val="28"/>
          <w:lang w:val="es-ES"/>
        </w:rPr>
      </w:pPr>
      <w:r w:rsidRPr="00BB6550">
        <w:rPr>
          <w:rFonts w:ascii="Arial Narrow" w:hAnsi="Arial Narrow"/>
          <w:i/>
          <w:sz w:val="28"/>
          <w:szCs w:val="28"/>
          <w:lang w:val="es-ES"/>
        </w:rPr>
        <w:t xml:space="preserve">De ahí que a juicio de esta Sala bien puede aplicarse para efectos de estos incrementos la tesis de que los mismos prescriben si no se reclaman dentro de los 3 años siguientes a su exigibilidad, debiendo entenderse que son exigibles desde el momento en que se produjo el reconocimiento de la pensión de vejez o de invalidez. </w:t>
      </w:r>
    </w:p>
    <w:p w:rsidR="00BB6550" w:rsidRPr="00BB6550" w:rsidRDefault="00BB6550" w:rsidP="00283D7F">
      <w:pPr>
        <w:pStyle w:val="Sinespaciado"/>
        <w:rPr>
          <w:lang w:val="es-ES"/>
        </w:rPr>
      </w:pPr>
    </w:p>
    <w:p w:rsidR="00BB6550" w:rsidRPr="00BB6550" w:rsidRDefault="00BB6550" w:rsidP="00283D7F">
      <w:pPr>
        <w:pStyle w:val="Textoindependiente"/>
        <w:spacing w:line="360" w:lineRule="auto"/>
        <w:ind w:left="708" w:firstLine="851"/>
        <w:rPr>
          <w:rFonts w:ascii="Arial Narrow" w:hAnsi="Arial Narrow"/>
          <w:i/>
          <w:sz w:val="28"/>
          <w:szCs w:val="28"/>
          <w:lang w:val="es-ES"/>
        </w:rPr>
      </w:pPr>
      <w:r w:rsidRPr="00BB6550">
        <w:rPr>
          <w:rFonts w:ascii="Arial Narrow" w:hAnsi="Arial Narrow"/>
          <w:i/>
          <w:sz w:val="28"/>
          <w:szCs w:val="28"/>
          <w:lang w:val="es-ES"/>
        </w:rPr>
        <w:t>En este orden de ideas, a la luz de la jurisprudencia citada, es razonable afirmar la extinción del derecho a incrementar la pensión en los porcentajes señalados en los artículos 21 y 22 del Acuerdo 049 de 1990, por personas a cargo, por el acaecimiento de la prescripción, al haberse cumplido el plazo trienal establecido por la ley, en la medida en que entre la fecha del reconocimiento pensional (1º de diciembre de 2004) y la reclamación administrativa (10 de julio de 2010), transcurrieron 5 años, 7 meses y 8 días.</w:t>
      </w:r>
      <w:r>
        <w:rPr>
          <w:rFonts w:ascii="Arial Narrow" w:hAnsi="Arial Narrow"/>
          <w:i/>
          <w:sz w:val="28"/>
          <w:szCs w:val="28"/>
          <w:lang w:val="es-ES"/>
        </w:rPr>
        <w:t>”</w:t>
      </w:r>
      <w:r w:rsidR="00283D7F">
        <w:rPr>
          <w:rFonts w:ascii="Arial Narrow" w:hAnsi="Arial Narrow"/>
          <w:i/>
          <w:sz w:val="28"/>
          <w:szCs w:val="28"/>
          <w:lang w:val="es-ES"/>
        </w:rPr>
        <w:t>(CSJ Sal. Cas. Laboral. Sentencia SL 2645ª-2016)</w:t>
      </w:r>
    </w:p>
    <w:p w:rsidR="0000634D" w:rsidRDefault="00BB6550"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 </w:t>
      </w:r>
      <w:r w:rsidR="0000634D" w:rsidRPr="0000634D">
        <w:rPr>
          <w:rFonts w:ascii="Arial Narrow" w:hAnsi="Arial Narrow"/>
          <w:i/>
          <w:sz w:val="28"/>
          <w:szCs w:val="28"/>
        </w:rPr>
        <w:t xml:space="preserve"> </w:t>
      </w:r>
    </w:p>
    <w:p w:rsidR="00283D7F" w:rsidRPr="00283D7F" w:rsidRDefault="00283D7F" w:rsidP="00DA5D26">
      <w:pPr>
        <w:pStyle w:val="Textoindependiente"/>
        <w:spacing w:line="360" w:lineRule="auto"/>
        <w:ind w:firstLine="851"/>
        <w:rPr>
          <w:rFonts w:ascii="Arial Narrow" w:hAnsi="Arial Narrow"/>
          <w:sz w:val="30"/>
          <w:szCs w:val="30"/>
        </w:rPr>
      </w:pPr>
      <w:r>
        <w:rPr>
          <w:rFonts w:ascii="Arial Narrow" w:hAnsi="Arial Narrow"/>
          <w:sz w:val="30"/>
          <w:szCs w:val="30"/>
        </w:rPr>
        <w:t>Como se evidencia, es claro que los incrementos pensionales sí son pasibles de la prescripción y, de no reclamarse en tiempo, una vez hechos exigibles, se extinguirá el derecho a los mismos</w:t>
      </w:r>
      <w:proofErr w:type="gramStart"/>
      <w:r>
        <w:rPr>
          <w:rFonts w:ascii="Arial Narrow" w:hAnsi="Arial Narrow"/>
          <w:sz w:val="30"/>
          <w:szCs w:val="30"/>
        </w:rPr>
        <w:t>..</w:t>
      </w:r>
      <w:proofErr w:type="gramEnd"/>
    </w:p>
    <w:p w:rsidR="00283D7F" w:rsidRDefault="00283D7F" w:rsidP="00DA5D26">
      <w:pPr>
        <w:pStyle w:val="Textoindependiente"/>
        <w:spacing w:line="360" w:lineRule="auto"/>
        <w:ind w:firstLine="851"/>
        <w:rPr>
          <w:rFonts w:ascii="Arial Narrow" w:hAnsi="Arial Narrow"/>
          <w:b/>
          <w:i/>
          <w:sz w:val="30"/>
          <w:szCs w:val="30"/>
        </w:rPr>
      </w:pPr>
    </w:p>
    <w:p w:rsidR="00DA5D26" w:rsidRPr="0063501C" w:rsidRDefault="00DA5D26" w:rsidP="00DA5D26">
      <w:pPr>
        <w:pStyle w:val="Textoindependiente"/>
        <w:spacing w:line="360" w:lineRule="auto"/>
        <w:ind w:firstLine="851"/>
        <w:rPr>
          <w:rFonts w:ascii="Arial Narrow" w:hAnsi="Arial Narrow"/>
          <w:b/>
          <w:i/>
          <w:sz w:val="30"/>
          <w:szCs w:val="30"/>
        </w:rPr>
      </w:pPr>
      <w:r>
        <w:rPr>
          <w:rFonts w:ascii="Arial Narrow" w:hAnsi="Arial Narrow"/>
          <w:b/>
          <w:i/>
          <w:sz w:val="30"/>
          <w:szCs w:val="30"/>
        </w:rPr>
        <w:t xml:space="preserve">3. </w:t>
      </w:r>
      <w:r w:rsidRPr="0063501C">
        <w:rPr>
          <w:rFonts w:ascii="Arial Narrow" w:hAnsi="Arial Narrow"/>
          <w:b/>
          <w:i/>
          <w:sz w:val="30"/>
          <w:szCs w:val="30"/>
        </w:rPr>
        <w:t>Caso Concreto</w:t>
      </w:r>
    </w:p>
    <w:p w:rsidR="00DA5D26" w:rsidRPr="00C605CD" w:rsidRDefault="00DA5D26" w:rsidP="00C605CD">
      <w:pPr>
        <w:pStyle w:val="Sinespaciado"/>
      </w:pPr>
    </w:p>
    <w:p w:rsidR="008B62FB" w:rsidRDefault="00AF19D4"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En el caso puntual, se tiene que </w:t>
      </w:r>
      <w:r w:rsidR="00283D7F">
        <w:rPr>
          <w:rFonts w:ascii="Arial Narrow" w:hAnsi="Arial Narrow"/>
          <w:sz w:val="28"/>
          <w:szCs w:val="28"/>
        </w:rPr>
        <w:t xml:space="preserve">al señor Castrillón </w:t>
      </w:r>
      <w:proofErr w:type="spellStart"/>
      <w:r w:rsidR="00283D7F">
        <w:rPr>
          <w:rFonts w:ascii="Arial Narrow" w:hAnsi="Arial Narrow"/>
          <w:sz w:val="28"/>
          <w:szCs w:val="28"/>
        </w:rPr>
        <w:t>Castrillón</w:t>
      </w:r>
      <w:proofErr w:type="spellEnd"/>
      <w:r w:rsidR="00283D7F">
        <w:rPr>
          <w:rFonts w:ascii="Arial Narrow" w:hAnsi="Arial Narrow"/>
          <w:sz w:val="28"/>
          <w:szCs w:val="28"/>
        </w:rPr>
        <w:t xml:space="preserve"> se le reconoció su pensión de vejez mediante Resolución No. 7105 del 18 de diciembre de 1996, con efectos a partir del 01 de junio de 1996 y cuyo fundamento legal lo fue el Acuerdo 049 de 1990. Existe además en el infolio prueba documental idónea que acredita el </w:t>
      </w:r>
      <w:r w:rsidR="008B62FB">
        <w:rPr>
          <w:rFonts w:ascii="Arial Narrow" w:hAnsi="Arial Narrow"/>
          <w:sz w:val="28"/>
          <w:szCs w:val="28"/>
        </w:rPr>
        <w:t>vínculo</w:t>
      </w:r>
      <w:r w:rsidR="00283D7F">
        <w:rPr>
          <w:rFonts w:ascii="Arial Narrow" w:hAnsi="Arial Narrow"/>
          <w:sz w:val="28"/>
          <w:szCs w:val="28"/>
        </w:rPr>
        <w:t xml:space="preserve"> marital del actor con la señora </w:t>
      </w:r>
      <w:r w:rsidR="008B62FB">
        <w:rPr>
          <w:rFonts w:ascii="Arial Narrow" w:hAnsi="Arial Narrow"/>
          <w:sz w:val="28"/>
          <w:szCs w:val="28"/>
        </w:rPr>
        <w:t>María</w:t>
      </w:r>
      <w:r w:rsidR="00283D7F">
        <w:rPr>
          <w:rFonts w:ascii="Arial Narrow" w:hAnsi="Arial Narrow"/>
          <w:sz w:val="28"/>
          <w:szCs w:val="28"/>
        </w:rPr>
        <w:t xml:space="preserve"> </w:t>
      </w:r>
      <w:proofErr w:type="spellStart"/>
      <w:r w:rsidR="00283D7F">
        <w:rPr>
          <w:rFonts w:ascii="Arial Narrow" w:hAnsi="Arial Narrow"/>
          <w:sz w:val="28"/>
          <w:szCs w:val="28"/>
        </w:rPr>
        <w:t>Llilia</w:t>
      </w:r>
      <w:proofErr w:type="spellEnd"/>
      <w:r w:rsidR="00283D7F">
        <w:rPr>
          <w:rFonts w:ascii="Arial Narrow" w:hAnsi="Arial Narrow"/>
          <w:sz w:val="28"/>
          <w:szCs w:val="28"/>
        </w:rPr>
        <w:t xml:space="preserve"> Suarez, el cual data desde el 26 de mayo de 1973 –</w:t>
      </w:r>
      <w:proofErr w:type="spellStart"/>
      <w:r w:rsidR="00283D7F">
        <w:rPr>
          <w:rFonts w:ascii="Arial Narrow" w:hAnsi="Arial Narrow"/>
          <w:sz w:val="28"/>
          <w:szCs w:val="28"/>
        </w:rPr>
        <w:t>fl</w:t>
      </w:r>
      <w:proofErr w:type="spellEnd"/>
      <w:r w:rsidR="00283D7F">
        <w:rPr>
          <w:rFonts w:ascii="Arial Narrow" w:hAnsi="Arial Narrow"/>
          <w:sz w:val="28"/>
          <w:szCs w:val="28"/>
        </w:rPr>
        <w:t xml:space="preserve">. 15- sin que exista nota alguna que desdiga de la existencia del </w:t>
      </w:r>
      <w:r w:rsidR="008B62FB">
        <w:rPr>
          <w:rFonts w:ascii="Arial Narrow" w:hAnsi="Arial Narrow"/>
          <w:sz w:val="28"/>
          <w:szCs w:val="28"/>
        </w:rPr>
        <w:t xml:space="preserve">vínculo. Además, los testimonios de Isabel Rodríguez Ascencio y Alonso de Jesús Peláez Calle, dan fe de que la mencionada señora y el actor conviven y lo han hecho de manera </w:t>
      </w:r>
      <w:proofErr w:type="spellStart"/>
      <w:r w:rsidR="008B62FB">
        <w:rPr>
          <w:rFonts w:ascii="Arial Narrow" w:hAnsi="Arial Narrow"/>
          <w:sz w:val="28"/>
          <w:szCs w:val="28"/>
        </w:rPr>
        <w:t>initerrumpida</w:t>
      </w:r>
      <w:proofErr w:type="spellEnd"/>
      <w:r w:rsidR="008B62FB">
        <w:rPr>
          <w:rFonts w:ascii="Arial Narrow" w:hAnsi="Arial Narrow"/>
          <w:sz w:val="28"/>
          <w:szCs w:val="28"/>
        </w:rPr>
        <w:t xml:space="preserve">, que aquella depende económicamente de éste, pues no cuenta con pensión, trabajo ni bienes que le produzcan renta, razón por la cual, ninguna duda queda acerca de que en el caso puntual el señor Castrillón cuenta con el derecho a los incrementos pensionales, los cuales se le hicieron exigible desde la calenda de reconocimiento pensional. </w:t>
      </w:r>
    </w:p>
    <w:p w:rsidR="008B62FB" w:rsidRDefault="008B62FB" w:rsidP="00DA5D26">
      <w:pPr>
        <w:pStyle w:val="Textoindependiente"/>
        <w:spacing w:line="360" w:lineRule="auto"/>
        <w:ind w:firstLine="851"/>
        <w:rPr>
          <w:rFonts w:ascii="Arial Narrow" w:hAnsi="Arial Narrow"/>
          <w:sz w:val="28"/>
          <w:szCs w:val="28"/>
        </w:rPr>
      </w:pPr>
    </w:p>
    <w:p w:rsidR="008B62FB" w:rsidRDefault="008B62FB" w:rsidP="00DA5D26">
      <w:pPr>
        <w:pStyle w:val="Textoindependiente"/>
        <w:spacing w:line="360" w:lineRule="auto"/>
        <w:ind w:firstLine="851"/>
        <w:rPr>
          <w:rFonts w:ascii="Arial Narrow" w:hAnsi="Arial Narrow"/>
          <w:sz w:val="28"/>
          <w:szCs w:val="28"/>
        </w:rPr>
      </w:pPr>
      <w:r>
        <w:rPr>
          <w:rFonts w:ascii="Arial Narrow" w:hAnsi="Arial Narrow"/>
          <w:sz w:val="28"/>
          <w:szCs w:val="28"/>
        </w:rPr>
        <w:t xml:space="preserve">No obstante lo anterior, el aludido derecho se encuentra claramente prescrito, conforme a los cánones 151 y 488 del CPLSS y del CL, pues claramente se han superado los tres años concedidos en dichos artículos para la reclamación de los </w:t>
      </w:r>
      <w:r>
        <w:rPr>
          <w:rFonts w:ascii="Arial Narrow" w:hAnsi="Arial Narrow"/>
          <w:sz w:val="28"/>
          <w:szCs w:val="28"/>
        </w:rPr>
        <w:lastRenderedPageBreak/>
        <w:t>mismos, pero la misma se elevó casi 18 años después de la exigibilidad, por lo que salta a la vista que total razón le asiste a la a-quo en su decisión.</w:t>
      </w:r>
    </w:p>
    <w:p w:rsidR="008B62FB" w:rsidRDefault="008B62FB" w:rsidP="00DA5D26">
      <w:pPr>
        <w:pStyle w:val="Textoindependiente"/>
        <w:spacing w:line="360" w:lineRule="auto"/>
        <w:ind w:firstLine="851"/>
        <w:rPr>
          <w:rFonts w:ascii="Arial Narrow" w:hAnsi="Arial Narrow"/>
          <w:sz w:val="28"/>
          <w:szCs w:val="28"/>
        </w:rPr>
      </w:pPr>
    </w:p>
    <w:p w:rsidR="008B62FB" w:rsidRDefault="008B62FB" w:rsidP="00DA5D26">
      <w:pPr>
        <w:pStyle w:val="Textoindependiente"/>
        <w:spacing w:line="360" w:lineRule="auto"/>
        <w:ind w:firstLine="851"/>
        <w:rPr>
          <w:rFonts w:ascii="Arial Narrow" w:hAnsi="Arial Narrow"/>
          <w:sz w:val="28"/>
          <w:szCs w:val="28"/>
        </w:rPr>
      </w:pPr>
      <w:r>
        <w:rPr>
          <w:rFonts w:ascii="Arial Narrow" w:hAnsi="Arial Narrow"/>
          <w:sz w:val="28"/>
          <w:szCs w:val="28"/>
        </w:rPr>
        <w:t>Por lo tanto, se deberá confirmar la providencia apelada.</w:t>
      </w:r>
    </w:p>
    <w:p w:rsidR="008B62FB" w:rsidRDefault="008B62FB" w:rsidP="00DA5D26">
      <w:pPr>
        <w:pStyle w:val="Textoindependiente"/>
        <w:spacing w:line="360" w:lineRule="auto"/>
        <w:ind w:firstLine="851"/>
        <w:rPr>
          <w:rFonts w:ascii="Arial Narrow" w:hAnsi="Arial Narrow"/>
          <w:sz w:val="28"/>
          <w:szCs w:val="28"/>
        </w:rPr>
      </w:pPr>
      <w:r>
        <w:rPr>
          <w:rFonts w:ascii="Arial Narrow" w:hAnsi="Arial Narrow"/>
          <w:sz w:val="28"/>
          <w:szCs w:val="28"/>
        </w:rPr>
        <w:t>Las costas en esta instancia serán a cargo del apelante.</w:t>
      </w:r>
    </w:p>
    <w:p w:rsidR="008B62FB" w:rsidRDefault="008B62FB" w:rsidP="00DA5D26">
      <w:pPr>
        <w:pStyle w:val="Prrafodelista1"/>
        <w:spacing w:after="0" w:line="360" w:lineRule="auto"/>
        <w:ind w:left="0" w:firstLine="900"/>
        <w:jc w:val="both"/>
        <w:rPr>
          <w:rFonts w:ascii="Arial Narrow" w:hAnsi="Arial Narrow"/>
          <w:sz w:val="28"/>
          <w:szCs w:val="28"/>
        </w:rPr>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0F0BA7" w:rsidRDefault="000F0BA7" w:rsidP="00D45CAC">
      <w:pPr>
        <w:pStyle w:val="Prrafodelista"/>
        <w:numPr>
          <w:ilvl w:val="0"/>
          <w:numId w:val="3"/>
        </w:numPr>
        <w:spacing w:line="360" w:lineRule="auto"/>
        <w:ind w:left="0" w:firstLine="360"/>
        <w:jc w:val="both"/>
        <w:rPr>
          <w:rFonts w:ascii="Arial Narrow" w:hAnsi="Arial Narrow" w:cs="Arial"/>
          <w:sz w:val="28"/>
          <w:szCs w:val="28"/>
        </w:rPr>
      </w:pPr>
      <w:r>
        <w:rPr>
          <w:rFonts w:ascii="Arial Narrow" w:hAnsi="Arial Narrow" w:cs="Arial"/>
          <w:b/>
          <w:i/>
          <w:sz w:val="28"/>
          <w:szCs w:val="28"/>
        </w:rPr>
        <w:t xml:space="preserve">Confirmar </w:t>
      </w:r>
      <w:r w:rsidR="00DA58C1" w:rsidRPr="00C605CD">
        <w:rPr>
          <w:rFonts w:ascii="Arial Narrow" w:hAnsi="Arial Narrow" w:cs="Arial"/>
          <w:sz w:val="28"/>
          <w:szCs w:val="28"/>
        </w:rPr>
        <w:t xml:space="preserve">la sentencia proferida el </w:t>
      </w:r>
      <w:r>
        <w:rPr>
          <w:rFonts w:ascii="Arial Narrow" w:hAnsi="Arial Narrow" w:cs="Arial"/>
          <w:sz w:val="28"/>
          <w:szCs w:val="28"/>
        </w:rPr>
        <w:t>08</w:t>
      </w:r>
      <w:r w:rsidR="00DA58C1" w:rsidRPr="00C605CD">
        <w:rPr>
          <w:rFonts w:ascii="Arial Narrow" w:hAnsi="Arial Narrow" w:cs="Arial"/>
          <w:sz w:val="28"/>
          <w:szCs w:val="28"/>
        </w:rPr>
        <w:t xml:space="preserve"> de </w:t>
      </w:r>
      <w:r>
        <w:rPr>
          <w:rFonts w:ascii="Arial Narrow" w:hAnsi="Arial Narrow" w:cs="Arial"/>
          <w:sz w:val="28"/>
          <w:szCs w:val="28"/>
        </w:rPr>
        <w:t>agosto</w:t>
      </w:r>
      <w:r w:rsidR="00AF19D4">
        <w:rPr>
          <w:rFonts w:ascii="Arial Narrow" w:hAnsi="Arial Narrow" w:cs="Arial"/>
          <w:sz w:val="28"/>
          <w:szCs w:val="28"/>
        </w:rPr>
        <w:t xml:space="preserve"> </w:t>
      </w:r>
      <w:r w:rsidR="00DA58C1" w:rsidRPr="00C605CD">
        <w:rPr>
          <w:rFonts w:ascii="Arial Narrow" w:hAnsi="Arial Narrow" w:cs="Arial"/>
          <w:sz w:val="28"/>
          <w:szCs w:val="28"/>
        </w:rPr>
        <w:t>de 201</w:t>
      </w:r>
      <w:r>
        <w:rPr>
          <w:rFonts w:ascii="Arial Narrow" w:hAnsi="Arial Narrow" w:cs="Arial"/>
          <w:sz w:val="28"/>
          <w:szCs w:val="28"/>
        </w:rPr>
        <w:t>6</w:t>
      </w:r>
      <w:r w:rsidR="00DA58C1" w:rsidRPr="00C605CD">
        <w:rPr>
          <w:rFonts w:ascii="Arial Narrow" w:hAnsi="Arial Narrow" w:cs="Arial"/>
          <w:sz w:val="28"/>
          <w:szCs w:val="28"/>
        </w:rPr>
        <w:t xml:space="preserve"> por el Juzgado </w:t>
      </w:r>
      <w:r>
        <w:rPr>
          <w:rFonts w:ascii="Arial Narrow" w:hAnsi="Arial Narrow" w:cs="Arial"/>
          <w:sz w:val="28"/>
          <w:szCs w:val="28"/>
        </w:rPr>
        <w:t>Tercero</w:t>
      </w:r>
      <w:r w:rsidR="00DA58C1" w:rsidRPr="00C605CD">
        <w:rPr>
          <w:rFonts w:ascii="Arial Narrow" w:hAnsi="Arial Narrow" w:cs="Arial"/>
          <w:sz w:val="28"/>
          <w:szCs w:val="28"/>
        </w:rPr>
        <w:t xml:space="preserve"> Laboral del Circuito de Pereira, dentro del proceso ordinario laboral </w:t>
      </w:r>
      <w:r>
        <w:rPr>
          <w:rFonts w:ascii="Arial Narrow" w:hAnsi="Arial Narrow" w:cs="Arial"/>
          <w:sz w:val="28"/>
          <w:szCs w:val="28"/>
        </w:rPr>
        <w:t>de la referencia.</w:t>
      </w:r>
    </w:p>
    <w:p w:rsidR="000F0BA7" w:rsidRPr="00C605CD" w:rsidRDefault="000F0BA7" w:rsidP="00B855A0">
      <w:pPr>
        <w:spacing w:line="360" w:lineRule="auto"/>
        <w:jc w:val="both"/>
      </w:pPr>
    </w:p>
    <w:p w:rsidR="00C605CD" w:rsidRPr="00C605CD" w:rsidRDefault="000F0BA7" w:rsidP="00C605CD">
      <w:pPr>
        <w:pStyle w:val="Prrafodelista"/>
        <w:numPr>
          <w:ilvl w:val="0"/>
          <w:numId w:val="3"/>
        </w:numPr>
        <w:spacing w:line="360" w:lineRule="auto"/>
        <w:jc w:val="both"/>
        <w:rPr>
          <w:rFonts w:ascii="Arial Narrow" w:hAnsi="Arial Narrow" w:cs="Arial"/>
          <w:sz w:val="28"/>
          <w:szCs w:val="28"/>
        </w:rPr>
      </w:pPr>
      <w:r>
        <w:rPr>
          <w:rFonts w:ascii="Arial Narrow" w:hAnsi="Arial Narrow" w:cs="Arial"/>
          <w:sz w:val="28"/>
          <w:szCs w:val="28"/>
        </w:rPr>
        <w:t>C</w:t>
      </w:r>
      <w:r w:rsidR="00C605CD" w:rsidRPr="00C605CD">
        <w:rPr>
          <w:rFonts w:ascii="Arial Narrow" w:hAnsi="Arial Narrow" w:cs="Arial"/>
          <w:sz w:val="28"/>
          <w:szCs w:val="28"/>
        </w:rPr>
        <w:t>ostas en esta instancia</w:t>
      </w:r>
      <w:r>
        <w:rPr>
          <w:rFonts w:ascii="Arial Narrow" w:hAnsi="Arial Narrow" w:cs="Arial"/>
          <w:sz w:val="28"/>
          <w:szCs w:val="28"/>
        </w:rPr>
        <w:t xml:space="preserve"> a cargo del apelante</w:t>
      </w:r>
      <w:r w:rsidR="00C605CD" w:rsidRPr="00C605CD">
        <w:rPr>
          <w:rFonts w:ascii="Arial Narrow" w:hAnsi="Arial Narrow" w:cs="Arial"/>
          <w:sz w:val="28"/>
          <w:szCs w:val="28"/>
        </w:rPr>
        <w:t>.</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Pr="00A9242B" w:rsidRDefault="00DA5D26" w:rsidP="00C605CD">
      <w:pPr>
        <w:pStyle w:val="Sinespaciado"/>
        <w:spacing w:line="360" w:lineRule="auto"/>
        <w:rPr>
          <w:lang w:val="es-ES"/>
        </w:rPr>
      </w:pP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DA5D26" w:rsidP="00DA5D26">
      <w:pPr>
        <w:jc w:val="both"/>
        <w:rPr>
          <w:rFonts w:ascii="Arial Narrow" w:hAnsi="Arial Narrow" w:cs="Microsoft Sans Serif"/>
          <w:sz w:val="28"/>
          <w:szCs w:val="28"/>
          <w:lang w:val="es-ES"/>
        </w:rPr>
      </w:pP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0F0BA7">
        <w:rPr>
          <w:rFonts w:ascii="Arial Narrow" w:hAnsi="Arial Narrow" w:cs="Microsoft Sans Serif"/>
          <w:b/>
          <w:bCs/>
          <w:iCs/>
          <w:sz w:val="28"/>
          <w:szCs w:val="28"/>
          <w:lang w:val="es-ES"/>
        </w:rPr>
        <w:t>OLGA LUCIA HOYOS SEPULVEDA</w:t>
      </w:r>
      <w:r w:rsidRPr="00A9242B">
        <w:rPr>
          <w:rFonts w:ascii="Arial Narrow" w:hAnsi="Arial Narrow" w:cs="Microsoft Sans Serif"/>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Magistrada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sidR="000F0BA7">
        <w:rPr>
          <w:rFonts w:ascii="Arial Narrow" w:hAnsi="Arial Narrow" w:cs="Microsoft Sans Serif"/>
          <w:sz w:val="28"/>
          <w:szCs w:val="28"/>
          <w:lang w:val="es-ES"/>
        </w:rPr>
        <w:t>Magistrada</w:t>
      </w:r>
      <w:proofErr w:type="spellEnd"/>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DA5D26" w:rsidRDefault="00DA5D26" w:rsidP="00B855A0">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DA5D26" w:rsidRPr="00A9242B" w:rsidRDefault="00DA5D26" w:rsidP="00DA5D26">
      <w:pPr>
        <w:ind w:firstLine="900"/>
        <w:jc w:val="both"/>
        <w:rPr>
          <w:rFonts w:ascii="Arial Narrow" w:hAnsi="Arial Narrow" w:cs="Microsoft Sans Serif"/>
          <w:bCs/>
          <w:iCs/>
          <w:sz w:val="28"/>
          <w:szCs w:val="28"/>
          <w:lang w:val="es-ES"/>
        </w:rPr>
      </w:pPr>
    </w:p>
    <w:p w:rsidR="00DA5D26" w:rsidRPr="00A9242B" w:rsidRDefault="000F0BA7" w:rsidP="00DA5D2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211C21" w:rsidRDefault="00DA5D26" w:rsidP="00B855A0">
      <w:pPr>
        <w:ind w:firstLine="900"/>
        <w:jc w:val="center"/>
      </w:pPr>
      <w:r w:rsidRPr="00A9242B">
        <w:rPr>
          <w:rFonts w:ascii="Arial Narrow" w:hAnsi="Arial Narrow" w:cs="Microsoft Sans Serif"/>
          <w:iCs/>
          <w:sz w:val="28"/>
          <w:szCs w:val="28"/>
          <w:lang w:val="es-ES"/>
        </w:rPr>
        <w:t>Secretari</w:t>
      </w:r>
      <w:r w:rsidR="000F0BA7">
        <w:rPr>
          <w:rFonts w:ascii="Arial Narrow" w:hAnsi="Arial Narrow" w:cs="Microsoft Sans Serif"/>
          <w:iCs/>
          <w:sz w:val="28"/>
          <w:szCs w:val="28"/>
          <w:lang w:val="es-ES"/>
        </w:rPr>
        <w:t>o</w:t>
      </w:r>
    </w:p>
    <w:sectPr w:rsidR="00211C2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2C" w:rsidRDefault="00E22C2C" w:rsidP="00DA5D26">
      <w:r>
        <w:separator/>
      </w:r>
    </w:p>
  </w:endnote>
  <w:endnote w:type="continuationSeparator" w:id="0">
    <w:p w:rsidR="00E22C2C" w:rsidRDefault="00E22C2C"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37D6">
      <w:rPr>
        <w:rStyle w:val="Nmerodepgina"/>
        <w:noProof/>
      </w:rPr>
      <w:t>8</w:t>
    </w:r>
    <w:r>
      <w:rPr>
        <w:rStyle w:val="Nmerodepgina"/>
      </w:rPr>
      <w:fldChar w:fldCharType="end"/>
    </w:r>
  </w:p>
  <w:p w:rsidR="00211C21" w:rsidRDefault="00211C21"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2C" w:rsidRDefault="00E22C2C" w:rsidP="00DA5D26">
      <w:r>
        <w:separator/>
      </w:r>
    </w:p>
  </w:footnote>
  <w:footnote w:type="continuationSeparator" w:id="0">
    <w:p w:rsidR="00E22C2C" w:rsidRDefault="00E22C2C"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BD0CC8" w:rsidRDefault="00211C21"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66E7D">
      <w:rPr>
        <w:rFonts w:ascii="Arial" w:hAnsi="Arial" w:cs="Arial"/>
        <w:bCs/>
        <w:i/>
        <w:sz w:val="16"/>
        <w:szCs w:val="16"/>
      </w:rPr>
      <w:t>3</w:t>
    </w:r>
    <w:r>
      <w:rPr>
        <w:rFonts w:ascii="Arial" w:hAnsi="Arial" w:cs="Arial"/>
        <w:bCs/>
        <w:i/>
        <w:sz w:val="16"/>
        <w:szCs w:val="16"/>
      </w:rPr>
      <w:t>-201</w:t>
    </w:r>
    <w:r w:rsidR="00066E7D">
      <w:rPr>
        <w:rFonts w:ascii="Arial" w:hAnsi="Arial" w:cs="Arial"/>
        <w:bCs/>
        <w:i/>
        <w:sz w:val="16"/>
        <w:szCs w:val="16"/>
      </w:rPr>
      <w:t>6</w:t>
    </w:r>
    <w:r>
      <w:rPr>
        <w:rFonts w:ascii="Arial" w:hAnsi="Arial" w:cs="Arial"/>
        <w:bCs/>
        <w:i/>
        <w:sz w:val="16"/>
        <w:szCs w:val="16"/>
      </w:rPr>
      <w:t>-000</w:t>
    </w:r>
    <w:r w:rsidR="00066E7D">
      <w:rPr>
        <w:rFonts w:ascii="Arial" w:hAnsi="Arial" w:cs="Arial"/>
        <w:bCs/>
        <w:i/>
        <w:sz w:val="16"/>
        <w:szCs w:val="16"/>
      </w:rPr>
      <w:t>44</w:t>
    </w:r>
    <w:r>
      <w:rPr>
        <w:rFonts w:ascii="Arial" w:hAnsi="Arial" w:cs="Arial"/>
        <w:bCs/>
        <w:i/>
        <w:sz w:val="16"/>
        <w:szCs w:val="16"/>
      </w:rPr>
      <w:t>-01</w:t>
    </w:r>
  </w:p>
  <w:p w:rsidR="00211C21" w:rsidRPr="00BD0CC8" w:rsidRDefault="00066E7D" w:rsidP="00211C21">
    <w:pPr>
      <w:jc w:val="both"/>
      <w:rPr>
        <w:rFonts w:ascii="Arial" w:hAnsi="Arial" w:cs="Arial"/>
        <w:bCs/>
        <w:i/>
        <w:iCs/>
        <w:sz w:val="16"/>
        <w:szCs w:val="16"/>
      </w:rPr>
    </w:pPr>
    <w:proofErr w:type="spellStart"/>
    <w:r>
      <w:rPr>
        <w:rFonts w:ascii="Arial" w:hAnsi="Arial" w:cs="Arial"/>
        <w:bCs/>
        <w:i/>
        <w:sz w:val="16"/>
        <w:szCs w:val="16"/>
      </w:rPr>
      <w:t>Delso</w:t>
    </w:r>
    <w:proofErr w:type="spellEnd"/>
    <w:r>
      <w:rPr>
        <w:rFonts w:ascii="Arial" w:hAnsi="Arial" w:cs="Arial"/>
        <w:bCs/>
        <w:i/>
        <w:sz w:val="16"/>
        <w:szCs w:val="16"/>
      </w:rPr>
      <w:t xml:space="preserve"> de Jesús Castrillón</w:t>
    </w:r>
    <w:r w:rsidR="00211C21">
      <w:rPr>
        <w:rFonts w:ascii="Arial" w:hAnsi="Arial" w:cs="Arial"/>
        <w:bCs/>
        <w:i/>
        <w:sz w:val="16"/>
        <w:szCs w:val="16"/>
      </w:rPr>
      <w:t xml:space="preserve"> </w:t>
    </w:r>
    <w:r w:rsidR="00211C21" w:rsidRPr="00BD0CC8">
      <w:rPr>
        <w:rFonts w:ascii="Arial" w:hAnsi="Arial" w:cs="Arial"/>
        <w:bCs/>
        <w:i/>
        <w:sz w:val="16"/>
        <w:szCs w:val="16"/>
      </w:rPr>
      <w:t xml:space="preserve">vs </w:t>
    </w:r>
    <w:r w:rsidR="00211C21">
      <w:rPr>
        <w:rFonts w:ascii="Arial" w:hAnsi="Arial" w:cs="Arial"/>
        <w:bCs/>
        <w:i/>
        <w:sz w:val="16"/>
        <w:szCs w:val="16"/>
      </w:rPr>
      <w:t>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15:restartNumberingAfterBreak="0">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15:restartNumberingAfterBreak="0">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634D"/>
    <w:rsid w:val="000578FB"/>
    <w:rsid w:val="00066E7D"/>
    <w:rsid w:val="00090E92"/>
    <w:rsid w:val="000A6EA4"/>
    <w:rsid w:val="000C6A88"/>
    <w:rsid w:val="000E7F42"/>
    <w:rsid w:val="000F0BA7"/>
    <w:rsid w:val="00120D19"/>
    <w:rsid w:val="00154202"/>
    <w:rsid w:val="00165B76"/>
    <w:rsid w:val="00172834"/>
    <w:rsid w:val="00193B4E"/>
    <w:rsid w:val="001D71C3"/>
    <w:rsid w:val="00211C21"/>
    <w:rsid w:val="002137BE"/>
    <w:rsid w:val="002328BA"/>
    <w:rsid w:val="00242152"/>
    <w:rsid w:val="00283D7F"/>
    <w:rsid w:val="00311580"/>
    <w:rsid w:val="003609EA"/>
    <w:rsid w:val="004405BF"/>
    <w:rsid w:val="00480570"/>
    <w:rsid w:val="004D01C5"/>
    <w:rsid w:val="00515BDC"/>
    <w:rsid w:val="00532E74"/>
    <w:rsid w:val="00563496"/>
    <w:rsid w:val="005F1D1F"/>
    <w:rsid w:val="005F5E82"/>
    <w:rsid w:val="006135E9"/>
    <w:rsid w:val="00666823"/>
    <w:rsid w:val="006945A9"/>
    <w:rsid w:val="006B40B8"/>
    <w:rsid w:val="006F2FF3"/>
    <w:rsid w:val="00714593"/>
    <w:rsid w:val="007245D1"/>
    <w:rsid w:val="00765A83"/>
    <w:rsid w:val="00787588"/>
    <w:rsid w:val="00794D39"/>
    <w:rsid w:val="007B5499"/>
    <w:rsid w:val="00840E22"/>
    <w:rsid w:val="0089084F"/>
    <w:rsid w:val="008B62FB"/>
    <w:rsid w:val="008F003B"/>
    <w:rsid w:val="00907A5F"/>
    <w:rsid w:val="00937250"/>
    <w:rsid w:val="00943808"/>
    <w:rsid w:val="0096710B"/>
    <w:rsid w:val="009A37D6"/>
    <w:rsid w:val="009E0886"/>
    <w:rsid w:val="00A23CFA"/>
    <w:rsid w:val="00A368C2"/>
    <w:rsid w:val="00A928D2"/>
    <w:rsid w:val="00AB17ED"/>
    <w:rsid w:val="00AB267F"/>
    <w:rsid w:val="00AB37E6"/>
    <w:rsid w:val="00AB73EB"/>
    <w:rsid w:val="00AC72AC"/>
    <w:rsid w:val="00AD0855"/>
    <w:rsid w:val="00AD7B28"/>
    <w:rsid w:val="00AF19D4"/>
    <w:rsid w:val="00B47DEE"/>
    <w:rsid w:val="00B55B27"/>
    <w:rsid w:val="00B56E76"/>
    <w:rsid w:val="00B855A0"/>
    <w:rsid w:val="00BA0C20"/>
    <w:rsid w:val="00BB547D"/>
    <w:rsid w:val="00BB6550"/>
    <w:rsid w:val="00BC22B0"/>
    <w:rsid w:val="00C21964"/>
    <w:rsid w:val="00C605CD"/>
    <w:rsid w:val="00C84802"/>
    <w:rsid w:val="00CE0D41"/>
    <w:rsid w:val="00CF576A"/>
    <w:rsid w:val="00D45CAC"/>
    <w:rsid w:val="00DA5765"/>
    <w:rsid w:val="00DA58C1"/>
    <w:rsid w:val="00DA5D26"/>
    <w:rsid w:val="00DF30A5"/>
    <w:rsid w:val="00E12EF7"/>
    <w:rsid w:val="00E22C2C"/>
    <w:rsid w:val="00E27B52"/>
    <w:rsid w:val="00E55BB9"/>
    <w:rsid w:val="00E73814"/>
    <w:rsid w:val="00E94359"/>
    <w:rsid w:val="00F113D7"/>
    <w:rsid w:val="00F51080"/>
    <w:rsid w:val="00F54D60"/>
    <w:rsid w:val="00F65645"/>
    <w:rsid w:val="00FB3A50"/>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E0BB-8D8F-4954-A7FF-7D88309D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2381</Words>
  <Characters>13097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7</cp:revision>
  <cp:lastPrinted>2017-07-12T18:55:00Z</cp:lastPrinted>
  <dcterms:created xsi:type="dcterms:W3CDTF">2017-07-12T15:52:00Z</dcterms:created>
  <dcterms:modified xsi:type="dcterms:W3CDTF">2017-09-02T17:15:00Z</dcterms:modified>
</cp:coreProperties>
</file>