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1" w:rsidRPr="00E8772F" w:rsidRDefault="005F3331" w:rsidP="005F3331">
      <w:pPr>
        <w:jc w:val="center"/>
        <w:rPr>
          <w:rFonts w:ascii="Arial Narrow" w:hAnsi="Arial Narrow" w:cs="Arial"/>
          <w:b/>
          <w:sz w:val="28"/>
          <w:szCs w:val="28"/>
        </w:rPr>
      </w:pPr>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 xml:space="preserve">SALA </w:t>
      </w:r>
      <w:r w:rsidR="00CB66DA">
        <w:rPr>
          <w:rFonts w:ascii="Arial Narrow" w:hAnsi="Arial Narrow" w:cs="Arial"/>
          <w:b/>
          <w:bCs/>
          <w:kern w:val="32"/>
          <w:sz w:val="28"/>
          <w:szCs w:val="28"/>
        </w:rPr>
        <w:t xml:space="preserve">TERCERA </w:t>
      </w:r>
      <w:r w:rsidRPr="00E8772F">
        <w:rPr>
          <w:rFonts w:ascii="Arial Narrow" w:hAnsi="Arial Narrow" w:cs="Arial"/>
          <w:b/>
          <w:bCs/>
          <w:kern w:val="32"/>
          <w:sz w:val="28"/>
          <w:szCs w:val="28"/>
        </w:rPr>
        <w:t>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66001-22-05-000-201</w:t>
      </w:r>
      <w:r w:rsidR="00CB66DA">
        <w:rPr>
          <w:rFonts w:ascii="Arial Narrow" w:hAnsi="Arial Narrow" w:cs="Tahoma"/>
          <w:i/>
          <w:sz w:val="18"/>
          <w:szCs w:val="18"/>
        </w:rPr>
        <w:t>7</w:t>
      </w:r>
      <w:r w:rsidRPr="005904B0">
        <w:rPr>
          <w:rFonts w:ascii="Arial Narrow" w:hAnsi="Arial Narrow" w:cs="Tahoma"/>
          <w:i/>
          <w:sz w:val="18"/>
          <w:szCs w:val="18"/>
        </w:rPr>
        <w:t>-00</w:t>
      </w:r>
      <w:r w:rsidR="00CB66DA">
        <w:rPr>
          <w:rFonts w:ascii="Arial Narrow" w:hAnsi="Arial Narrow" w:cs="Tahoma"/>
          <w:i/>
          <w:sz w:val="18"/>
          <w:szCs w:val="18"/>
        </w:rPr>
        <w:t>1</w:t>
      </w:r>
      <w:r w:rsidR="00E72882">
        <w:rPr>
          <w:rFonts w:ascii="Arial Narrow" w:hAnsi="Arial Narrow" w:cs="Tahoma"/>
          <w:i/>
          <w:sz w:val="18"/>
          <w:szCs w:val="18"/>
        </w:rPr>
        <w:t>39</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sidR="00E72882">
        <w:rPr>
          <w:rFonts w:ascii="Arial Narrow" w:hAnsi="Arial Narrow" w:cs="Arial"/>
          <w:bCs/>
          <w:i/>
          <w:iCs/>
          <w:sz w:val="18"/>
          <w:szCs w:val="18"/>
        </w:rPr>
        <w:t>Rosa Elena Robles Hernández</w:t>
      </w:r>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00E72882">
        <w:rPr>
          <w:rFonts w:ascii="Arial Narrow" w:hAnsi="Arial Narrow" w:cs="Arial"/>
          <w:i/>
          <w:sz w:val="18"/>
          <w:szCs w:val="18"/>
        </w:rPr>
        <w:t>Ministerio de Salud y Protección Social y Administradora de los Recursos del Sistema General de Seguridad Social - ADRES</w:t>
      </w:r>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Sentencia de primera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5F3331" w:rsidRPr="001969A5" w:rsidRDefault="005F3331" w:rsidP="00C81E69">
      <w:pPr>
        <w:spacing w:before="20" w:after="20"/>
        <w:ind w:left="2805" w:hanging="2805"/>
        <w:jc w:val="both"/>
        <w:rPr>
          <w:rFonts w:ascii="Arial Narrow" w:hAnsi="Arial Narrow" w:cs="Tahoma"/>
          <w:bCs/>
          <w:i/>
          <w:iCs/>
          <w:sz w:val="18"/>
          <w:szCs w:val="18"/>
        </w:rPr>
      </w:pPr>
      <w:r w:rsidRPr="00612E8F">
        <w:rPr>
          <w:rFonts w:ascii="Arial Narrow" w:hAnsi="Arial Narrow" w:cs="Tahoma"/>
          <w:b/>
          <w:i/>
          <w:sz w:val="18"/>
          <w:szCs w:val="18"/>
        </w:rPr>
        <w:t>Tema</w:t>
      </w:r>
      <w:r w:rsidRPr="00612E8F">
        <w:rPr>
          <w:rFonts w:ascii="Arial Narrow" w:hAnsi="Arial Narrow" w:cs="Tahoma"/>
          <w:sz w:val="18"/>
          <w:szCs w:val="18"/>
        </w:rPr>
        <w:t xml:space="preserve"> </w:t>
      </w:r>
      <w:r w:rsidRPr="00612E8F">
        <w:rPr>
          <w:rFonts w:ascii="Arial Narrow" w:hAnsi="Arial Narrow" w:cs="Tahoma"/>
          <w:b/>
          <w:i/>
          <w:sz w:val="18"/>
          <w:szCs w:val="18"/>
        </w:rPr>
        <w:t>a tratar</w:t>
      </w:r>
      <w:r w:rsidRPr="00612E8F">
        <w:rPr>
          <w:rFonts w:ascii="Arial Narrow" w:hAnsi="Arial Narrow" w:cs="Tahoma"/>
          <w:i/>
          <w:sz w:val="18"/>
          <w:szCs w:val="18"/>
        </w:rPr>
        <w:t>:</w:t>
      </w:r>
      <w:r w:rsidRPr="00612E8F">
        <w:rPr>
          <w:rFonts w:ascii="Arial Narrow" w:hAnsi="Arial Narrow" w:cs="Tahoma"/>
          <w:i/>
          <w:sz w:val="18"/>
          <w:szCs w:val="18"/>
        </w:rPr>
        <w:tab/>
      </w:r>
      <w:r w:rsidR="001969A5">
        <w:rPr>
          <w:rFonts w:ascii="Arial Narrow" w:hAnsi="Arial Narrow" w:cs="Tahoma"/>
          <w:b/>
          <w:bCs/>
          <w:i/>
          <w:iCs/>
          <w:sz w:val="18"/>
          <w:szCs w:val="18"/>
        </w:rPr>
        <w:t xml:space="preserve">Debido Proceso Administrativo. </w:t>
      </w:r>
      <w:r w:rsidR="001969A5" w:rsidRPr="001969A5">
        <w:rPr>
          <w:rFonts w:ascii="Arial Narrow" w:hAnsi="Arial Narrow" w:cs="Tahoma"/>
          <w:bCs/>
          <w:i/>
          <w:iCs/>
          <w:sz w:val="18"/>
          <w:szCs w:val="18"/>
        </w:rPr>
        <w:t>El derecho al debido proceso, consagrado en el canon 29 de la Carta Política, garantiza que todas las personas que se estén inmersas en procesos administrativos o judiciales, obtengan una decisión definitiva y clara del asunto correspondiente, con el respeto pleno del trámite establecido en la normatividad correspondiente y con conocimiento de las razones que motiven las decisiones que se adopten.</w:t>
      </w:r>
    </w:p>
    <w:p w:rsidR="00D1282C" w:rsidRPr="00A87F12" w:rsidRDefault="00D1282C" w:rsidP="00D1282C">
      <w:pPr>
        <w:spacing w:before="20" w:after="20"/>
        <w:ind w:left="2805" w:hanging="2805"/>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CB66DA">
        <w:rPr>
          <w:rFonts w:ascii="Arial Narrow" w:hAnsi="Arial Narrow" w:cs="Arial"/>
          <w:sz w:val="28"/>
          <w:szCs w:val="28"/>
          <w:lang w:val="es-CO"/>
        </w:rPr>
        <w:t>agosto</w:t>
      </w:r>
      <w:r w:rsidR="00E26844">
        <w:rPr>
          <w:rFonts w:ascii="Arial Narrow" w:hAnsi="Arial Narrow" w:cs="Arial"/>
          <w:sz w:val="28"/>
          <w:szCs w:val="28"/>
          <w:lang w:val="es-CO"/>
        </w:rPr>
        <w:t xml:space="preserve"> </w:t>
      </w:r>
      <w:r w:rsidR="00E72882">
        <w:rPr>
          <w:rFonts w:ascii="Arial Narrow" w:hAnsi="Arial Narrow" w:cs="Arial"/>
          <w:sz w:val="28"/>
          <w:szCs w:val="28"/>
          <w:lang w:val="es-CO"/>
        </w:rPr>
        <w:t>treinta</w:t>
      </w:r>
      <w:r>
        <w:rPr>
          <w:rFonts w:ascii="Arial Narrow" w:hAnsi="Arial Narrow" w:cs="Arial"/>
          <w:sz w:val="28"/>
          <w:szCs w:val="28"/>
          <w:lang w:val="es-CO"/>
        </w:rPr>
        <w:t xml:space="preserve"> </w:t>
      </w:r>
      <w:r w:rsidRPr="005904B0">
        <w:rPr>
          <w:rFonts w:ascii="Arial Narrow" w:hAnsi="Arial Narrow" w:cs="Arial"/>
          <w:sz w:val="28"/>
          <w:szCs w:val="28"/>
          <w:lang w:val="es-CO"/>
        </w:rPr>
        <w:t>(</w:t>
      </w:r>
      <w:r w:rsidR="00E72882">
        <w:rPr>
          <w:rFonts w:ascii="Arial Narrow" w:hAnsi="Arial Narrow" w:cs="Arial"/>
          <w:sz w:val="28"/>
          <w:szCs w:val="28"/>
          <w:lang w:val="es-CO"/>
        </w:rPr>
        <w:t>3</w:t>
      </w:r>
      <w:r w:rsidR="00CB66DA">
        <w:rPr>
          <w:rFonts w:ascii="Arial Narrow" w:hAnsi="Arial Narrow" w:cs="Arial"/>
          <w:sz w:val="28"/>
          <w:szCs w:val="28"/>
          <w:lang w:val="es-CO"/>
        </w:rPr>
        <w:t>0</w:t>
      </w:r>
      <w:r w:rsidRPr="005904B0">
        <w:rPr>
          <w:rFonts w:ascii="Arial Narrow" w:hAnsi="Arial Narrow" w:cs="Arial"/>
          <w:sz w:val="28"/>
          <w:szCs w:val="28"/>
          <w:lang w:val="es-CO"/>
        </w:rPr>
        <w:t xml:space="preserve">) de dos mil </w:t>
      </w:r>
      <w:r w:rsidR="0090147F">
        <w:rPr>
          <w:rFonts w:ascii="Arial Narrow" w:hAnsi="Arial Narrow" w:cs="Arial"/>
          <w:sz w:val="28"/>
          <w:szCs w:val="28"/>
          <w:lang w:val="es-CO"/>
        </w:rPr>
        <w:t>diecis</w:t>
      </w:r>
      <w:r w:rsidR="00CB66DA">
        <w:rPr>
          <w:rFonts w:ascii="Arial Narrow" w:hAnsi="Arial Narrow" w:cs="Arial"/>
          <w:sz w:val="28"/>
          <w:szCs w:val="28"/>
          <w:lang w:val="es-CO"/>
        </w:rPr>
        <w:t>iete</w:t>
      </w:r>
      <w:r w:rsidR="0090147F">
        <w:rPr>
          <w:rFonts w:ascii="Arial Narrow" w:hAnsi="Arial Narrow" w:cs="Arial"/>
          <w:sz w:val="28"/>
          <w:szCs w:val="28"/>
          <w:lang w:val="es-CO"/>
        </w:rPr>
        <w:t xml:space="preserve"> (201</w:t>
      </w:r>
      <w:r w:rsidR="00CB66DA">
        <w:rPr>
          <w:rFonts w:ascii="Arial Narrow" w:hAnsi="Arial Narrow" w:cs="Arial"/>
          <w:sz w:val="28"/>
          <w:szCs w:val="28"/>
          <w:lang w:val="es-CO"/>
        </w:rPr>
        <w:t>7</w:t>
      </w:r>
      <w:r w:rsidR="0090147F">
        <w:rPr>
          <w:rFonts w:ascii="Arial Narrow" w:hAnsi="Arial Narrow" w:cs="Arial"/>
          <w:sz w:val="28"/>
          <w:szCs w:val="28"/>
          <w:lang w:val="es-CO"/>
        </w:rPr>
        <w:t>)</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E72882">
        <w:rPr>
          <w:rFonts w:ascii="Arial Narrow" w:hAnsi="Arial Narrow" w:cs="Arial"/>
          <w:sz w:val="28"/>
          <w:szCs w:val="28"/>
        </w:rPr>
        <w:t>3</w:t>
      </w:r>
      <w:r w:rsidR="00CB66DA">
        <w:rPr>
          <w:rFonts w:ascii="Arial Narrow" w:hAnsi="Arial Narrow" w:cs="Arial"/>
          <w:sz w:val="28"/>
          <w:szCs w:val="28"/>
        </w:rPr>
        <w:t>0</w:t>
      </w:r>
      <w:r>
        <w:rPr>
          <w:rFonts w:ascii="Arial Narrow" w:hAnsi="Arial Narrow" w:cs="Arial"/>
          <w:sz w:val="28"/>
          <w:szCs w:val="28"/>
        </w:rPr>
        <w:t xml:space="preserve"> de </w:t>
      </w:r>
      <w:r w:rsidR="00CB66DA">
        <w:rPr>
          <w:rFonts w:ascii="Arial Narrow" w:hAnsi="Arial Narrow" w:cs="Arial"/>
          <w:sz w:val="28"/>
          <w:szCs w:val="28"/>
        </w:rPr>
        <w:t>agosto</w:t>
      </w:r>
      <w:r>
        <w:rPr>
          <w:rFonts w:ascii="Arial Narrow" w:hAnsi="Arial Narrow" w:cs="Arial"/>
          <w:sz w:val="28"/>
          <w:szCs w:val="28"/>
        </w:rPr>
        <w:t xml:space="preserve"> de 201</w:t>
      </w:r>
      <w:r w:rsidR="00CB66DA">
        <w:rPr>
          <w:rFonts w:ascii="Arial Narrow" w:hAnsi="Arial Narrow" w:cs="Arial"/>
          <w:sz w:val="28"/>
          <w:szCs w:val="28"/>
        </w:rPr>
        <w:t>7</w:t>
      </w:r>
      <w:r w:rsidR="0090147F">
        <w:rPr>
          <w:rFonts w:ascii="Arial Narrow" w:hAnsi="Arial Narrow" w:cs="Arial"/>
          <w:sz w:val="28"/>
          <w:szCs w:val="28"/>
        </w:rPr>
        <w:t>.</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90147F" w:rsidRDefault="005F3331" w:rsidP="005F333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por</w:t>
      </w:r>
      <w:r>
        <w:rPr>
          <w:rFonts w:ascii="Arial Narrow" w:hAnsi="Arial Narrow" w:cs="Arial"/>
          <w:bCs/>
          <w:iCs/>
          <w:spacing w:val="-3"/>
          <w:sz w:val="28"/>
          <w:szCs w:val="28"/>
        </w:rPr>
        <w:t xml:space="preserve"> </w:t>
      </w:r>
      <w:r w:rsidR="00CB66DA">
        <w:rPr>
          <w:rFonts w:ascii="Arial Narrow" w:hAnsi="Arial Narrow" w:cs="Arial"/>
          <w:bCs/>
          <w:iCs/>
          <w:spacing w:val="-3"/>
          <w:sz w:val="28"/>
          <w:szCs w:val="28"/>
        </w:rPr>
        <w:t>el</w:t>
      </w:r>
      <w:r>
        <w:rPr>
          <w:rFonts w:ascii="Arial Narrow" w:hAnsi="Arial Narrow" w:cs="Arial"/>
          <w:bCs/>
          <w:iCs/>
          <w:spacing w:val="-3"/>
          <w:sz w:val="28"/>
          <w:szCs w:val="28"/>
        </w:rPr>
        <w:t xml:space="preserve"> </w:t>
      </w:r>
      <w:r w:rsidR="00E72882">
        <w:rPr>
          <w:rFonts w:ascii="Arial Narrow" w:hAnsi="Arial Narrow" w:cs="Arial"/>
          <w:bCs/>
          <w:iCs/>
          <w:spacing w:val="-3"/>
          <w:sz w:val="28"/>
          <w:szCs w:val="28"/>
        </w:rPr>
        <w:t>portavoz judicial de la señora Rosa Elena Robles Hernández, quien actúa en representación del menor Jesùs David Moreno Robles</w:t>
      </w:r>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 derecho fundamental</w:t>
      </w:r>
      <w:r>
        <w:rPr>
          <w:rFonts w:ascii="Arial Narrow" w:hAnsi="Arial Narrow" w:cs="Arial"/>
          <w:bCs/>
          <w:iCs/>
          <w:spacing w:val="-3"/>
          <w:sz w:val="28"/>
          <w:szCs w:val="28"/>
        </w:rPr>
        <w:t xml:space="preserve"> al </w:t>
      </w:r>
      <w:r w:rsidR="0090147F">
        <w:rPr>
          <w:rFonts w:ascii="Arial Narrow" w:hAnsi="Arial Narrow" w:cs="Arial"/>
          <w:bCs/>
          <w:iCs/>
          <w:spacing w:val="-3"/>
          <w:sz w:val="28"/>
          <w:szCs w:val="28"/>
        </w:rPr>
        <w:t>d</w:t>
      </w:r>
      <w:r>
        <w:rPr>
          <w:rFonts w:ascii="Arial Narrow" w:hAnsi="Arial Narrow" w:cs="Arial"/>
          <w:bCs/>
          <w:iCs/>
          <w:spacing w:val="-3"/>
          <w:sz w:val="28"/>
          <w:szCs w:val="28"/>
        </w:rPr>
        <w:t>ebido proceso</w:t>
      </w:r>
      <w:r w:rsidR="0090147F">
        <w:rPr>
          <w:rFonts w:ascii="Arial Narrow" w:hAnsi="Arial Narrow" w:cs="Arial"/>
          <w:bCs/>
          <w:iCs/>
          <w:spacing w:val="-3"/>
          <w:sz w:val="28"/>
          <w:szCs w:val="28"/>
        </w:rPr>
        <w:t>.</w:t>
      </w:r>
    </w:p>
    <w:p w:rsidR="005F3331" w:rsidRPr="005904B0" w:rsidRDefault="005F3331" w:rsidP="005F3331">
      <w:pPr>
        <w:pStyle w:val="Ttulo4"/>
        <w:spacing w:line="240" w:lineRule="auto"/>
        <w:rPr>
          <w:rFonts w:ascii="Arial Narrow" w:hAnsi="Arial Narrow" w:cs="Arial"/>
          <w:sz w:val="28"/>
          <w:szCs w:val="28"/>
        </w:rPr>
      </w:pPr>
    </w:p>
    <w:p w:rsidR="005F3331" w:rsidRPr="005904B0" w:rsidRDefault="005F3331" w:rsidP="005F3331">
      <w:pPr>
        <w:pStyle w:val="Ttulo4"/>
        <w:rPr>
          <w:rFonts w:ascii="Arial Narrow" w:hAnsi="Arial Narrow" w:cs="Arial"/>
          <w:sz w:val="28"/>
          <w:szCs w:val="28"/>
        </w:rPr>
      </w:pPr>
      <w:r w:rsidRPr="005904B0">
        <w:rPr>
          <w:rFonts w:ascii="Arial Narrow" w:hAnsi="Arial Narrow" w:cs="Arial"/>
          <w:sz w:val="28"/>
          <w:szCs w:val="28"/>
        </w:rPr>
        <w:t>IDENTIFICACIÓN DE LAS PARTES</w:t>
      </w:r>
    </w:p>
    <w:p w:rsidR="005F3331" w:rsidRPr="005904B0" w:rsidRDefault="005F3331" w:rsidP="005F3331">
      <w:pPr>
        <w:jc w:val="center"/>
        <w:rPr>
          <w:rFonts w:ascii="Arial Narrow" w:hAnsi="Arial Narrow" w:cs="Arial"/>
          <w:b/>
          <w:bCs/>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E72882" w:rsidRDefault="00E72882" w:rsidP="005F333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Jesús David Moreno Robles</w:t>
      </w:r>
      <w:r w:rsidR="005F3331">
        <w:rPr>
          <w:rFonts w:ascii="Arial Narrow" w:hAnsi="Arial Narrow" w:cs="Arial"/>
          <w:bCs/>
          <w:iCs/>
          <w:spacing w:val="-3"/>
          <w:sz w:val="28"/>
          <w:szCs w:val="28"/>
        </w:rPr>
        <w:t xml:space="preserve">, </w:t>
      </w:r>
      <w:r>
        <w:rPr>
          <w:rFonts w:ascii="Arial Narrow" w:hAnsi="Arial Narrow" w:cs="Arial"/>
          <w:bCs/>
          <w:iCs/>
          <w:spacing w:val="-3"/>
          <w:sz w:val="28"/>
          <w:szCs w:val="28"/>
        </w:rPr>
        <w:t>menor que actúa representado por su progenitora Rosa Elena Robles Hernández.</w:t>
      </w:r>
    </w:p>
    <w:p w:rsidR="005F3331" w:rsidRPr="005904B0" w:rsidRDefault="005F3331" w:rsidP="005F3331">
      <w:pPr>
        <w:jc w:val="both"/>
        <w:rPr>
          <w:rFonts w:ascii="Arial Narrow" w:hAnsi="Arial Narrow" w:cs="Arial"/>
          <w:bCs/>
          <w:iCs/>
          <w:spacing w:val="-3"/>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ACCIONAD</w:t>
      </w:r>
      <w:r w:rsidR="00CB66DA">
        <w:rPr>
          <w:rFonts w:ascii="Arial Narrow" w:hAnsi="Arial Narrow" w:cs="Arial"/>
          <w:b/>
          <w:bCs/>
          <w:i/>
          <w:sz w:val="28"/>
          <w:szCs w:val="28"/>
        </w:rPr>
        <w:t>A</w:t>
      </w:r>
      <w:r w:rsidRPr="005904B0">
        <w:rPr>
          <w:rFonts w:ascii="Arial Narrow" w:hAnsi="Arial Narrow" w:cs="Arial"/>
          <w:b/>
          <w:bCs/>
          <w:i/>
          <w:sz w:val="28"/>
          <w:szCs w:val="28"/>
        </w:rPr>
        <w:t>:</w:t>
      </w:r>
    </w:p>
    <w:p w:rsidR="00451AE6" w:rsidRDefault="00E72882" w:rsidP="005F3331">
      <w:pPr>
        <w:spacing w:line="360" w:lineRule="auto"/>
        <w:jc w:val="both"/>
        <w:rPr>
          <w:rFonts w:ascii="Arial Narrow" w:hAnsi="Arial Narrow" w:cs="Arial"/>
          <w:sz w:val="28"/>
          <w:szCs w:val="28"/>
        </w:rPr>
      </w:pPr>
      <w:r>
        <w:rPr>
          <w:rFonts w:ascii="Arial Narrow" w:hAnsi="Arial Narrow" w:cs="Arial"/>
          <w:sz w:val="28"/>
          <w:szCs w:val="28"/>
        </w:rPr>
        <w:t>Ministerio de Salud y Protecci</w:t>
      </w:r>
      <w:r w:rsidR="00451AE6">
        <w:rPr>
          <w:rFonts w:ascii="Arial Narrow" w:hAnsi="Arial Narrow" w:cs="Arial"/>
          <w:sz w:val="28"/>
          <w:szCs w:val="28"/>
        </w:rPr>
        <w:t>ón Social, quien está representado por el Ministro Alejandro Gaviria Uribe.</w:t>
      </w:r>
    </w:p>
    <w:p w:rsidR="00451AE6" w:rsidRDefault="00451AE6" w:rsidP="005F3331">
      <w:pPr>
        <w:spacing w:line="360" w:lineRule="auto"/>
        <w:jc w:val="both"/>
        <w:rPr>
          <w:rFonts w:ascii="Arial Narrow" w:hAnsi="Arial Narrow" w:cs="Arial"/>
          <w:sz w:val="28"/>
          <w:szCs w:val="28"/>
        </w:rPr>
      </w:pPr>
    </w:p>
    <w:p w:rsidR="00451AE6" w:rsidRDefault="00451AE6" w:rsidP="005F3331">
      <w:pPr>
        <w:spacing w:line="360" w:lineRule="auto"/>
        <w:jc w:val="both"/>
        <w:rPr>
          <w:rFonts w:ascii="Arial Narrow" w:hAnsi="Arial Narrow" w:cs="Arial"/>
          <w:sz w:val="28"/>
          <w:szCs w:val="28"/>
        </w:rPr>
      </w:pPr>
      <w:r>
        <w:rPr>
          <w:rFonts w:ascii="Arial Narrow" w:hAnsi="Arial Narrow" w:cs="Arial"/>
          <w:sz w:val="28"/>
          <w:szCs w:val="28"/>
        </w:rPr>
        <w:t>La Administradora de los Recursos del Sistema General de Seguridad Social en Salud – Adres.</w:t>
      </w:r>
    </w:p>
    <w:p w:rsidR="005F3331" w:rsidRDefault="00451AE6" w:rsidP="005F3331">
      <w:pPr>
        <w:spacing w:line="360" w:lineRule="auto"/>
        <w:jc w:val="both"/>
        <w:rPr>
          <w:rFonts w:ascii="Arial Narrow" w:hAnsi="Arial Narrow" w:cs="Arial"/>
          <w:sz w:val="28"/>
          <w:szCs w:val="28"/>
        </w:rPr>
      </w:pPr>
      <w:r>
        <w:rPr>
          <w:rFonts w:ascii="Arial Narrow" w:hAnsi="Arial Narrow" w:cs="Arial"/>
          <w:sz w:val="28"/>
          <w:szCs w:val="28"/>
        </w:rPr>
        <w:t xml:space="preserve"> </w:t>
      </w:r>
    </w:p>
    <w:p w:rsidR="005F3331" w:rsidRPr="00EC2C02"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451AE6" w:rsidRDefault="00CB66DA" w:rsidP="005F3331">
      <w:pPr>
        <w:pStyle w:val="Textoindependiente21"/>
        <w:ind w:firstLine="900"/>
        <w:rPr>
          <w:rFonts w:ascii="Arial Narrow" w:hAnsi="Arial Narrow" w:cs="Arial"/>
          <w:b w:val="0"/>
          <w:szCs w:val="28"/>
        </w:rPr>
      </w:pPr>
      <w:r>
        <w:rPr>
          <w:rFonts w:ascii="Arial Narrow" w:hAnsi="Arial Narrow" w:cs="Arial"/>
          <w:b w:val="0"/>
          <w:szCs w:val="28"/>
        </w:rPr>
        <w:lastRenderedPageBreak/>
        <w:t xml:space="preserve">Se pide en la demanda de tutela que </w:t>
      </w:r>
      <w:r w:rsidR="006960AA">
        <w:rPr>
          <w:rFonts w:ascii="Arial Narrow" w:hAnsi="Arial Narrow" w:cs="Arial"/>
          <w:b w:val="0"/>
          <w:szCs w:val="28"/>
        </w:rPr>
        <w:t xml:space="preserve">se tutele el derecho al debido proceso y, en consecuencia, </w:t>
      </w:r>
      <w:r w:rsidR="00451AE6">
        <w:rPr>
          <w:rFonts w:ascii="Arial Narrow" w:hAnsi="Arial Narrow" w:cs="Arial"/>
          <w:b w:val="0"/>
          <w:szCs w:val="28"/>
        </w:rPr>
        <w:t>que se ordene al Ministerio de Salud y de la Protección Social que proceda a generar la ordenación del gasto y la autorización del giro correspondiente a la reclamación 51015026 y a ADRES, cumplidas las anteriores gestiones a cargo del Ministerio, proceda a pagar de manera inmediata a desembolsar los recursos correspondientes.</w:t>
      </w:r>
    </w:p>
    <w:p w:rsidR="00451AE6" w:rsidRDefault="00451AE6" w:rsidP="005F3331">
      <w:pPr>
        <w:pStyle w:val="Textoindependiente21"/>
        <w:ind w:firstLine="900"/>
        <w:rPr>
          <w:rFonts w:ascii="Arial Narrow" w:hAnsi="Arial Narrow" w:cs="Arial"/>
          <w:b w:val="0"/>
          <w:szCs w:val="28"/>
        </w:rPr>
      </w:pPr>
    </w:p>
    <w:p w:rsidR="00E51D0B" w:rsidRDefault="00451AE6" w:rsidP="005F3331">
      <w:pPr>
        <w:pStyle w:val="Textoindependiente21"/>
        <w:ind w:firstLine="900"/>
        <w:rPr>
          <w:rFonts w:ascii="Arial Narrow" w:hAnsi="Arial Narrow" w:cs="Arial"/>
          <w:b w:val="0"/>
          <w:szCs w:val="28"/>
        </w:rPr>
      </w:pPr>
      <w:r>
        <w:rPr>
          <w:rFonts w:ascii="Arial Narrow" w:hAnsi="Arial Narrow" w:cs="Arial"/>
          <w:b w:val="0"/>
          <w:szCs w:val="28"/>
        </w:rPr>
        <w:t>Para así pedir, refiere que el señor Laurencio José Moreno Montenegro falleció en un accidente de tránsito en la ciudad de Ciénaga, Magdalena el 02 de mayo de 2016, que se solicitó el 31 de enero de 2017 la indemnización por muerte y gastos funerarios ante la subcuenta del ECAT del Fosyga, de conformidad con el Decreto 056 de 2015, quedando la solicitud radicada con el No. 51015026</w:t>
      </w:r>
      <w:r w:rsidR="00E51D0B">
        <w:rPr>
          <w:rFonts w:ascii="Arial Narrow" w:hAnsi="Arial Narrow" w:cs="Arial"/>
          <w:b w:val="0"/>
          <w:szCs w:val="28"/>
        </w:rPr>
        <w:t>, que el 30 de mayo de 2017 se aprobó la petición y se indicó que el pago se haría en el paquete 22022, que el 28 de junio de 2017 se notificó en página del Fosyga el pago de las reclamaciones aprobadas, al verificar la información del giro la reclamación anunciada no fue pagada , que se efectuó llamada telefónica indicando que el Ministerio de Salud no incluyó el reclamo de la demandante, sin sustentar las razones de ello, que con ello se trasgredió la Resolución 1645 de 2016 de la misma entidad.</w:t>
      </w:r>
    </w:p>
    <w:p w:rsidR="00E51D0B" w:rsidRDefault="00E51D0B" w:rsidP="005F3331">
      <w:pPr>
        <w:pStyle w:val="Textoindependiente21"/>
        <w:ind w:firstLine="900"/>
        <w:rPr>
          <w:rFonts w:ascii="Arial Narrow" w:hAnsi="Arial Narrow" w:cs="Arial"/>
          <w:b w:val="0"/>
          <w:szCs w:val="28"/>
        </w:rPr>
      </w:pPr>
    </w:p>
    <w:p w:rsidR="00E51D0B" w:rsidRDefault="00E51D0B" w:rsidP="005F3331">
      <w:pPr>
        <w:pStyle w:val="Textoindependiente21"/>
        <w:ind w:firstLine="900"/>
        <w:rPr>
          <w:rFonts w:ascii="Arial Narrow" w:hAnsi="Arial Narrow" w:cs="Arial"/>
          <w:b w:val="0"/>
          <w:szCs w:val="28"/>
        </w:rPr>
      </w:pPr>
      <w:r>
        <w:rPr>
          <w:rFonts w:ascii="Arial Narrow" w:hAnsi="Arial Narrow" w:cs="Arial"/>
          <w:b w:val="0"/>
          <w:szCs w:val="28"/>
        </w:rPr>
        <w:t>Admitida la acción de amparo constitucional se dio traslado a las entidades accionadas, las cuales guardaron silencio.</w:t>
      </w:r>
    </w:p>
    <w:p w:rsidR="0029269C" w:rsidRDefault="00E51D0B" w:rsidP="001969A5">
      <w:pPr>
        <w:pStyle w:val="Textoindependiente21"/>
        <w:ind w:firstLine="900"/>
        <w:rPr>
          <w:rFonts w:ascii="Arial Narrow" w:hAnsi="Arial Narrow" w:cs="Arial"/>
          <w:b w:val="0"/>
          <w:szCs w:val="28"/>
        </w:rPr>
      </w:pPr>
      <w:r>
        <w:rPr>
          <w:rFonts w:ascii="Arial Narrow" w:hAnsi="Arial Narrow" w:cs="Arial"/>
          <w:b w:val="0"/>
          <w:szCs w:val="28"/>
        </w:rPr>
        <w:t xml:space="preserve">  </w:t>
      </w:r>
      <w:bookmarkStart w:id="0" w:name="_GoBack"/>
      <w:bookmarkEnd w:id="0"/>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0E2AEC" w:rsidRDefault="005F3331" w:rsidP="004F6263">
      <w:pPr>
        <w:spacing w:line="360" w:lineRule="auto"/>
        <w:ind w:right="-187" w:firstLine="900"/>
        <w:jc w:val="both"/>
        <w:rPr>
          <w:rFonts w:ascii="Arial Narrow" w:hAnsi="Arial Narrow" w:cs="Arial"/>
          <w:i/>
          <w:iCs/>
          <w:sz w:val="28"/>
          <w:szCs w:val="28"/>
        </w:rPr>
      </w:pPr>
      <w:r w:rsidRPr="00633A46">
        <w:rPr>
          <w:rFonts w:ascii="Arial Narrow" w:hAnsi="Arial Narrow" w:cs="Arial"/>
          <w:i/>
          <w:iCs/>
          <w:sz w:val="28"/>
          <w:szCs w:val="28"/>
        </w:rPr>
        <w:t>¿</w:t>
      </w:r>
      <w:r w:rsidR="005C31AA">
        <w:rPr>
          <w:rFonts w:ascii="Arial Narrow" w:hAnsi="Arial Narrow" w:cs="Arial"/>
          <w:i/>
          <w:iCs/>
          <w:sz w:val="28"/>
          <w:szCs w:val="28"/>
        </w:rPr>
        <w:t>Se</w:t>
      </w:r>
      <w:r w:rsidR="00E51D0B">
        <w:rPr>
          <w:rFonts w:ascii="Arial Narrow" w:hAnsi="Arial Narrow" w:cs="Arial"/>
          <w:i/>
          <w:iCs/>
          <w:sz w:val="28"/>
          <w:szCs w:val="28"/>
        </w:rPr>
        <w:t xml:space="preserve"> vulner</w:t>
      </w:r>
      <w:r w:rsidR="000E2AEC">
        <w:rPr>
          <w:rFonts w:ascii="Arial Narrow" w:hAnsi="Arial Narrow" w:cs="Arial"/>
          <w:i/>
          <w:iCs/>
          <w:sz w:val="28"/>
          <w:szCs w:val="28"/>
        </w:rPr>
        <w:t>ó</w:t>
      </w:r>
      <w:r w:rsidR="00E51D0B">
        <w:rPr>
          <w:rFonts w:ascii="Arial Narrow" w:hAnsi="Arial Narrow" w:cs="Arial"/>
          <w:i/>
          <w:iCs/>
          <w:sz w:val="28"/>
          <w:szCs w:val="28"/>
        </w:rPr>
        <w:t xml:space="preserve"> el derecho al debido proceso</w:t>
      </w:r>
      <w:r w:rsidR="000E2AEC">
        <w:rPr>
          <w:rFonts w:ascii="Arial Narrow" w:hAnsi="Arial Narrow" w:cs="Arial"/>
          <w:i/>
          <w:iCs/>
          <w:sz w:val="28"/>
          <w:szCs w:val="28"/>
        </w:rPr>
        <w:t xml:space="preserve"> ante el no pago de la indemnización preaprobada con cargo a los recursos del ECAT?</w:t>
      </w:r>
    </w:p>
    <w:p w:rsidR="005C31AA" w:rsidRDefault="005C31AA" w:rsidP="005F3331">
      <w:pPr>
        <w:spacing w:line="360" w:lineRule="auto"/>
        <w:ind w:right="-187" w:firstLine="900"/>
        <w:jc w:val="both"/>
        <w:rPr>
          <w:rFonts w:ascii="Arial Narrow" w:hAnsi="Arial Narrow" w:cs="Arial"/>
          <w:i/>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C31AA" w:rsidRDefault="005C31AA" w:rsidP="00934D60">
      <w:pPr>
        <w:spacing w:line="360" w:lineRule="auto"/>
        <w:ind w:firstLine="900"/>
        <w:jc w:val="both"/>
        <w:rPr>
          <w:rFonts w:ascii="Arial Narrow" w:hAnsi="Arial Narrow" w:cs="Arial"/>
          <w:sz w:val="28"/>
          <w:szCs w:val="28"/>
        </w:rPr>
      </w:pPr>
      <w:r>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110580" w:rsidRDefault="00110580" w:rsidP="00934D60">
      <w:pPr>
        <w:spacing w:line="360" w:lineRule="auto"/>
        <w:ind w:firstLine="900"/>
        <w:jc w:val="both"/>
        <w:rPr>
          <w:rFonts w:ascii="Arial Narrow" w:hAnsi="Arial Narrow" w:cs="Arial"/>
          <w:sz w:val="28"/>
          <w:szCs w:val="28"/>
        </w:rPr>
      </w:pPr>
    </w:p>
    <w:p w:rsidR="00F3121C" w:rsidRDefault="00110580" w:rsidP="00934D60">
      <w:pPr>
        <w:spacing w:line="360" w:lineRule="auto"/>
        <w:ind w:firstLine="900"/>
        <w:jc w:val="both"/>
        <w:rPr>
          <w:rFonts w:ascii="Arial Narrow" w:hAnsi="Arial Narrow" w:cs="Arial"/>
          <w:sz w:val="28"/>
          <w:szCs w:val="28"/>
        </w:rPr>
      </w:pPr>
      <w:r>
        <w:rPr>
          <w:rFonts w:ascii="Arial Narrow" w:hAnsi="Arial Narrow" w:cs="Arial"/>
          <w:sz w:val="28"/>
          <w:szCs w:val="28"/>
        </w:rPr>
        <w:t xml:space="preserve">El derecho al debido proceso, consagrado en el canon 29 de la Carta Política, garantiza que todas las personas que se </w:t>
      </w:r>
      <w:r w:rsidR="00F3121C">
        <w:rPr>
          <w:rFonts w:ascii="Arial Narrow" w:hAnsi="Arial Narrow" w:cs="Arial"/>
          <w:sz w:val="28"/>
          <w:szCs w:val="28"/>
        </w:rPr>
        <w:t>estén</w:t>
      </w:r>
      <w:r>
        <w:rPr>
          <w:rFonts w:ascii="Arial Narrow" w:hAnsi="Arial Narrow" w:cs="Arial"/>
          <w:sz w:val="28"/>
          <w:szCs w:val="28"/>
        </w:rPr>
        <w:t xml:space="preserve"> inmersas en procesos administrativos o judiciales, </w:t>
      </w:r>
      <w:r w:rsidR="00F3121C">
        <w:rPr>
          <w:rFonts w:ascii="Arial Narrow" w:hAnsi="Arial Narrow" w:cs="Arial"/>
          <w:sz w:val="28"/>
          <w:szCs w:val="28"/>
        </w:rPr>
        <w:t>obtengan una decisión definitiva y clara del asunto correspondiente, con el respeto pleno del trámite establecido en la normatividad correspondiente y con conocimiento de las razones que motiven las decisiones que se adopten.</w:t>
      </w:r>
    </w:p>
    <w:p w:rsidR="005C31AA" w:rsidRDefault="005C31AA" w:rsidP="00934D60">
      <w:pPr>
        <w:spacing w:line="360" w:lineRule="auto"/>
        <w:ind w:firstLine="900"/>
        <w:jc w:val="both"/>
        <w:rPr>
          <w:rFonts w:ascii="Arial Narrow" w:hAnsi="Arial Narrow" w:cs="Arial"/>
          <w:sz w:val="28"/>
          <w:szCs w:val="28"/>
        </w:rPr>
      </w:pPr>
    </w:p>
    <w:p w:rsidR="000B0977" w:rsidRDefault="00F3121C"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 xml:space="preserve">El debido proceso también se aplica en el trámite sobre las peticiones de indemnizaciones que se pidan por vía administrativa, como por ejemplo las que se piden con cargo a la subcuenta ECAT del Fosyga, por muerte en accidente de tránsito y gastos funerarios (arts. 17 y ss. Decreto 056 de 2015).  </w:t>
      </w:r>
      <w:r w:rsidR="004B6B5E">
        <w:rPr>
          <w:rFonts w:ascii="Arial Narrow" w:hAnsi="Arial Narrow" w:cs="Arial"/>
          <w:sz w:val="28"/>
          <w:szCs w:val="28"/>
        </w:rPr>
        <w:t xml:space="preserve">El </w:t>
      </w:r>
      <w:r w:rsidR="000B0977">
        <w:rPr>
          <w:rFonts w:ascii="Arial Narrow" w:hAnsi="Arial Narrow" w:cs="Arial"/>
          <w:sz w:val="28"/>
          <w:szCs w:val="28"/>
        </w:rPr>
        <w:t>trámite</w:t>
      </w:r>
      <w:r w:rsidR="004B6B5E">
        <w:rPr>
          <w:rFonts w:ascii="Arial Narrow" w:hAnsi="Arial Narrow" w:cs="Arial"/>
          <w:sz w:val="28"/>
          <w:szCs w:val="28"/>
        </w:rPr>
        <w:t xml:space="preserve"> que deben surtir las peticiones que en virtud de </w:t>
      </w:r>
      <w:r w:rsidR="000B0977">
        <w:rPr>
          <w:rFonts w:ascii="Arial Narrow" w:hAnsi="Arial Narrow" w:cs="Arial"/>
          <w:sz w:val="28"/>
          <w:szCs w:val="28"/>
        </w:rPr>
        <w:t>estas normas se hagan, esta establecido en la Resolución 1645 de 2016 del Ministerio de Salud, destacándose el contenido del artículo 9º que en su tenor literal reza:</w:t>
      </w:r>
    </w:p>
    <w:p w:rsidR="000B0977" w:rsidRDefault="000B0977" w:rsidP="004721A0">
      <w:pPr>
        <w:tabs>
          <w:tab w:val="left" w:pos="-720"/>
        </w:tabs>
        <w:suppressAutoHyphens/>
        <w:spacing w:line="360" w:lineRule="auto"/>
        <w:ind w:right="-7" w:firstLine="900"/>
        <w:jc w:val="both"/>
        <w:rPr>
          <w:rFonts w:ascii="Arial Narrow" w:hAnsi="Arial Narrow" w:cs="Arial"/>
          <w:sz w:val="28"/>
          <w:szCs w:val="28"/>
        </w:rPr>
      </w:pPr>
    </w:p>
    <w:p w:rsidR="000B0977" w:rsidRPr="000B0977" w:rsidRDefault="000B0977" w:rsidP="004721A0">
      <w:pPr>
        <w:tabs>
          <w:tab w:val="left" w:pos="-720"/>
        </w:tabs>
        <w:suppressAutoHyphens/>
        <w:spacing w:line="360" w:lineRule="auto"/>
        <w:ind w:right="-7" w:firstLine="900"/>
        <w:jc w:val="both"/>
        <w:rPr>
          <w:rFonts w:ascii="Arial Narrow" w:hAnsi="Arial Narrow" w:cs="Arial"/>
          <w:i/>
          <w:sz w:val="28"/>
          <w:szCs w:val="28"/>
        </w:rPr>
      </w:pPr>
      <w:r>
        <w:rPr>
          <w:rFonts w:ascii="Arial Narrow" w:hAnsi="Arial Narrow" w:cs="Arial"/>
          <w:i/>
          <w:sz w:val="28"/>
          <w:szCs w:val="28"/>
        </w:rPr>
        <w:t>“</w:t>
      </w:r>
      <w:r w:rsidRPr="000B0977">
        <w:rPr>
          <w:rFonts w:ascii="Arial Narrow" w:hAnsi="Arial Narrow" w:cs="Arial"/>
          <w:i/>
          <w:sz w:val="28"/>
          <w:szCs w:val="28"/>
        </w:rPr>
        <w:t>Toda reclamación ante la Subcuenta ECAT del Fosyga o quien haga sus veces, surtirá para su verificación, control y pago, las etapas de: 1) prerradicación; 2) radicación; 3) auditoría integral; 4) comunicación del resultado de auditoría y respuesta al mismo; y/o 5) pago, cuando este último proceda</w:t>
      </w:r>
      <w:r>
        <w:rPr>
          <w:rFonts w:ascii="Arial Narrow" w:hAnsi="Arial Narrow" w:cs="Arial"/>
          <w:i/>
          <w:sz w:val="28"/>
          <w:szCs w:val="28"/>
        </w:rPr>
        <w:t>”</w:t>
      </w:r>
      <w:r w:rsidRPr="000B0977">
        <w:rPr>
          <w:rFonts w:ascii="Arial Narrow" w:hAnsi="Arial Narrow" w:cs="Arial"/>
          <w:i/>
          <w:sz w:val="28"/>
          <w:szCs w:val="28"/>
        </w:rPr>
        <w:t>.</w:t>
      </w:r>
    </w:p>
    <w:p w:rsidR="000B0977" w:rsidRDefault="000B0977" w:rsidP="004721A0">
      <w:pPr>
        <w:tabs>
          <w:tab w:val="left" w:pos="-720"/>
        </w:tabs>
        <w:suppressAutoHyphens/>
        <w:spacing w:line="360" w:lineRule="auto"/>
        <w:ind w:right="-7" w:firstLine="900"/>
        <w:jc w:val="both"/>
        <w:rPr>
          <w:rFonts w:ascii="Arial Narrow" w:hAnsi="Arial Narrow" w:cs="Arial"/>
          <w:sz w:val="28"/>
          <w:szCs w:val="28"/>
        </w:rPr>
      </w:pPr>
    </w:p>
    <w:p w:rsidR="000B0977" w:rsidRDefault="000B0977"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Como se observa, existen unas etapas claramente determinadas por la cartera ministerial que están desarrolladas en los artículos posteriores, indicándose que una vez culminada cada una de las etapas, se debe seguir con la siguiente, lo que indica que son preclusivas y que señalan como fin del procedimiento el pago de una indemnización si hay lugar a ella o la declaratoria de extinción de la misma, conforme al canon 26 de la referida resolución.</w:t>
      </w:r>
    </w:p>
    <w:p w:rsidR="000B0977" w:rsidRDefault="000B0977" w:rsidP="004721A0">
      <w:pPr>
        <w:tabs>
          <w:tab w:val="left" w:pos="-720"/>
        </w:tabs>
        <w:suppressAutoHyphens/>
        <w:spacing w:line="360" w:lineRule="auto"/>
        <w:ind w:right="-7" w:firstLine="900"/>
        <w:jc w:val="both"/>
        <w:rPr>
          <w:rFonts w:ascii="Arial Narrow" w:hAnsi="Arial Narrow" w:cs="Arial"/>
          <w:sz w:val="28"/>
          <w:szCs w:val="28"/>
        </w:rPr>
      </w:pPr>
    </w:p>
    <w:p w:rsidR="00583B81" w:rsidRDefault="000B0977"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En el caso puntual, se tiene certeza de que la accionante reclamó de manera oportuna y con el lleno de los requisitos correspondientes la indemnización correspondiente ante el deceso de su esposo y padre de su menor hijo representado.</w:t>
      </w:r>
      <w:r w:rsidR="00C820C8">
        <w:rPr>
          <w:rFonts w:ascii="Arial Narrow" w:hAnsi="Arial Narrow" w:cs="Arial"/>
          <w:sz w:val="28"/>
          <w:szCs w:val="28"/>
        </w:rPr>
        <w:t xml:space="preserve"> Por ello, la entidad correspondiente le informó mediante comunicación UTF2014-OPE-22502 del 30 de mayo de este año –fl. 30- que la reclamación resultó aprobada, luego de haberse surtido el trámite correspondiente de auditoría integral. Por lo tanto, el paso que quedaba faltando era el del giro de los recursos, el cual se anunció en la página de la entidad</w:t>
      </w:r>
      <w:r w:rsidR="00583B81">
        <w:rPr>
          <w:rFonts w:ascii="Arial Narrow" w:hAnsi="Arial Narrow" w:cs="Arial"/>
          <w:sz w:val="28"/>
          <w:szCs w:val="28"/>
        </w:rPr>
        <w:t xml:space="preserve"> -fl. 31- para el 27 de julio de 2017 dentro del paquete 22022, sin embargo no se ha pagado, sin expresarse la razón para ello.</w:t>
      </w:r>
    </w:p>
    <w:p w:rsidR="00583B81" w:rsidRDefault="00583B81" w:rsidP="004721A0">
      <w:pPr>
        <w:tabs>
          <w:tab w:val="left" w:pos="-720"/>
        </w:tabs>
        <w:suppressAutoHyphens/>
        <w:spacing w:line="360" w:lineRule="auto"/>
        <w:ind w:right="-7" w:firstLine="900"/>
        <w:jc w:val="both"/>
        <w:rPr>
          <w:rFonts w:ascii="Arial Narrow" w:hAnsi="Arial Narrow" w:cs="Arial"/>
          <w:sz w:val="28"/>
          <w:szCs w:val="28"/>
        </w:rPr>
      </w:pPr>
    </w:p>
    <w:p w:rsidR="009908A9" w:rsidRDefault="00583B81"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Es claro para esta Sala que la omisión de la entidad en el pago de la indemnización ya reconocida genera una vulneración del debido proceso, máxime cuando el inciso tercero del artículo 38 del Decreto 56 de 2015</w:t>
      </w:r>
      <w:r w:rsidR="009908A9">
        <w:rPr>
          <w:rFonts w:ascii="Arial Narrow" w:hAnsi="Arial Narrow" w:cs="Arial"/>
          <w:sz w:val="28"/>
          <w:szCs w:val="28"/>
        </w:rPr>
        <w:t xml:space="preserve"> establece que en caso no existir glosas a las reclamaciones, la misma se debe pagar en el mes siguiente a la fecha del cierre efectivo, lo que se informó por la entidad el 30 de mayo de 2017.</w:t>
      </w:r>
    </w:p>
    <w:p w:rsidR="009908A9" w:rsidRDefault="009908A9" w:rsidP="004721A0">
      <w:pPr>
        <w:tabs>
          <w:tab w:val="left" w:pos="-720"/>
        </w:tabs>
        <w:suppressAutoHyphens/>
        <w:spacing w:line="360" w:lineRule="auto"/>
        <w:ind w:right="-7" w:firstLine="900"/>
        <w:jc w:val="both"/>
        <w:rPr>
          <w:rFonts w:ascii="Arial Narrow" w:hAnsi="Arial Narrow" w:cs="Arial"/>
          <w:sz w:val="28"/>
          <w:szCs w:val="28"/>
        </w:rPr>
      </w:pPr>
    </w:p>
    <w:p w:rsidR="00A74F0D" w:rsidRDefault="009908A9"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 xml:space="preserve">Por lo tanto, es claro que la omisión en el pago ya aprobado, </w:t>
      </w:r>
      <w:r w:rsidR="001A7EBE">
        <w:rPr>
          <w:rFonts w:ascii="Arial Narrow" w:hAnsi="Arial Narrow" w:cs="Arial"/>
          <w:sz w:val="28"/>
          <w:szCs w:val="28"/>
        </w:rPr>
        <w:t xml:space="preserve">como se dijo, es una clara agresión al debido proceso, pues desconoce los pasos preestablecidos por las normas </w:t>
      </w:r>
      <w:r w:rsidR="00A74F0D">
        <w:rPr>
          <w:rFonts w:ascii="Arial Narrow" w:hAnsi="Arial Narrow" w:cs="Arial"/>
          <w:sz w:val="28"/>
          <w:szCs w:val="28"/>
        </w:rPr>
        <w:t>respectivas y los plazos establecidos para los pagos correspondientes. Por tal motivo, se concederá la acción de tutela y se dispondrá que:</w:t>
      </w:r>
    </w:p>
    <w:p w:rsidR="00A74F0D" w:rsidRDefault="00A74F0D" w:rsidP="004721A0">
      <w:pPr>
        <w:tabs>
          <w:tab w:val="left" w:pos="-720"/>
        </w:tabs>
        <w:suppressAutoHyphens/>
        <w:spacing w:line="360" w:lineRule="auto"/>
        <w:ind w:right="-7" w:firstLine="900"/>
        <w:jc w:val="both"/>
        <w:rPr>
          <w:rFonts w:ascii="Arial Narrow" w:hAnsi="Arial Narrow" w:cs="Arial"/>
          <w:sz w:val="28"/>
          <w:szCs w:val="28"/>
        </w:rPr>
      </w:pPr>
    </w:p>
    <w:p w:rsidR="001969A5" w:rsidRDefault="00A74F0D" w:rsidP="00A74F0D">
      <w:pPr>
        <w:pStyle w:val="Prrafodelista"/>
        <w:numPr>
          <w:ilvl w:val="0"/>
          <w:numId w:val="2"/>
        </w:num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En el término de cuarenta y ocho (48) horas</w:t>
      </w:r>
      <w:r w:rsidR="001969A5">
        <w:rPr>
          <w:rFonts w:ascii="Arial Narrow" w:hAnsi="Arial Narrow" w:cs="Arial"/>
          <w:sz w:val="28"/>
          <w:szCs w:val="28"/>
        </w:rPr>
        <w:t xml:space="preserve"> después de notificado el fallo de tutela, el Ministerio de Salud y Protección Social, por medio del titular de su cartera, disponga lo necesario para generar la ordenación del gasto y la autorización de giro correspondiente a la reclamación 51015026.</w:t>
      </w:r>
    </w:p>
    <w:p w:rsidR="009908A9" w:rsidRPr="00A74F0D" w:rsidRDefault="001969A5" w:rsidP="00A74F0D">
      <w:pPr>
        <w:pStyle w:val="Prrafodelista"/>
        <w:numPr>
          <w:ilvl w:val="0"/>
          <w:numId w:val="2"/>
        </w:num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 xml:space="preserve">Una vez cumplido lo anterior, la Administradora de los Recursos del Sistema General de Seguridad Social en salud –Adres- a través de su Director General, deberá desembolsar los recursos correspondientes. Para tal fin, se concede el término de cuarenta y ocho (48) horas después de cumplido el trámite por parte del Ministerio de Salud.    </w:t>
      </w:r>
      <w:r w:rsidR="00A74F0D">
        <w:rPr>
          <w:rFonts w:ascii="Arial Narrow" w:hAnsi="Arial Narrow" w:cs="Arial"/>
          <w:sz w:val="28"/>
          <w:szCs w:val="28"/>
        </w:rPr>
        <w:t xml:space="preserve"> </w:t>
      </w:r>
      <w:r w:rsidR="00A74F0D" w:rsidRPr="00A74F0D">
        <w:rPr>
          <w:rFonts w:ascii="Arial Narrow" w:hAnsi="Arial Narrow" w:cs="Arial"/>
          <w:sz w:val="28"/>
          <w:szCs w:val="28"/>
        </w:rPr>
        <w:t xml:space="preserve"> </w:t>
      </w:r>
      <w:r w:rsidR="009908A9" w:rsidRPr="00A74F0D">
        <w:rPr>
          <w:rFonts w:ascii="Arial Narrow" w:hAnsi="Arial Narrow" w:cs="Arial"/>
          <w:sz w:val="28"/>
          <w:szCs w:val="28"/>
        </w:rPr>
        <w:t xml:space="preserve"> </w:t>
      </w:r>
    </w:p>
    <w:p w:rsidR="009908A9" w:rsidRDefault="009908A9" w:rsidP="004721A0">
      <w:pPr>
        <w:tabs>
          <w:tab w:val="left" w:pos="-720"/>
        </w:tabs>
        <w:suppressAutoHyphens/>
        <w:spacing w:line="360" w:lineRule="auto"/>
        <w:ind w:right="-7" w:firstLine="900"/>
        <w:jc w:val="both"/>
        <w:rPr>
          <w:rFonts w:ascii="Arial Narrow" w:hAnsi="Arial Narrow" w:cs="Arial"/>
          <w:sz w:val="28"/>
          <w:szCs w:val="28"/>
        </w:rPr>
      </w:pPr>
    </w:p>
    <w:p w:rsidR="0090370C" w:rsidRPr="007619C2" w:rsidRDefault="0090370C"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A358C4" w:rsidRDefault="00A358C4" w:rsidP="005F3331">
      <w:pPr>
        <w:spacing w:line="360" w:lineRule="auto"/>
        <w:jc w:val="center"/>
        <w:rPr>
          <w:rFonts w:ascii="Arial Narrow" w:eastAsia="SimSun" w:hAnsi="Arial Narrow" w:cs="Arial"/>
          <w:b/>
          <w:i/>
          <w:sz w:val="28"/>
          <w:szCs w:val="28"/>
          <w:lang w:val="es-ES_tradnl"/>
        </w:rPr>
      </w:pP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1969A5" w:rsidRDefault="005F3331" w:rsidP="005F3331">
      <w:pPr>
        <w:shd w:val="clear" w:color="auto" w:fill="FFFFFF"/>
        <w:spacing w:line="360" w:lineRule="auto"/>
        <w:jc w:val="both"/>
        <w:rPr>
          <w:rFonts w:ascii="Arial Narrow" w:hAnsi="Arial Narrow"/>
          <w:bCs/>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001969A5">
        <w:rPr>
          <w:rFonts w:ascii="Arial Narrow" w:hAnsi="Arial Narrow"/>
          <w:b/>
          <w:bCs/>
          <w:i/>
          <w:color w:val="000000"/>
          <w:sz w:val="28"/>
          <w:szCs w:val="28"/>
        </w:rPr>
        <w:t>Tutelar</w:t>
      </w:r>
      <w:r>
        <w:rPr>
          <w:rFonts w:ascii="Arial Narrow" w:hAnsi="Arial Narrow"/>
          <w:b/>
          <w:bCs/>
          <w:i/>
          <w:color w:val="000000"/>
          <w:sz w:val="28"/>
          <w:szCs w:val="28"/>
        </w:rPr>
        <w:t xml:space="preserve"> </w:t>
      </w:r>
      <w:r w:rsidR="001969A5">
        <w:rPr>
          <w:rFonts w:ascii="Arial Narrow" w:hAnsi="Arial Narrow"/>
          <w:bCs/>
          <w:color w:val="000000"/>
          <w:sz w:val="28"/>
          <w:szCs w:val="28"/>
        </w:rPr>
        <w:t xml:space="preserve">el derecho al debido proceso del menor </w:t>
      </w:r>
      <w:r w:rsidR="001969A5">
        <w:rPr>
          <w:rFonts w:ascii="Arial Narrow" w:hAnsi="Arial Narrow"/>
          <w:b/>
          <w:bCs/>
          <w:color w:val="000000"/>
          <w:sz w:val="28"/>
          <w:szCs w:val="28"/>
        </w:rPr>
        <w:t xml:space="preserve">Jesús David Moreno Robles, </w:t>
      </w:r>
      <w:r w:rsidR="001969A5">
        <w:rPr>
          <w:rFonts w:ascii="Arial Narrow" w:hAnsi="Arial Narrow"/>
          <w:bCs/>
          <w:color w:val="000000"/>
          <w:sz w:val="28"/>
          <w:szCs w:val="28"/>
        </w:rPr>
        <w:t xml:space="preserve">representado por su progenitora </w:t>
      </w:r>
      <w:r w:rsidR="001969A5">
        <w:rPr>
          <w:rFonts w:ascii="Arial Narrow" w:hAnsi="Arial Narrow"/>
          <w:b/>
          <w:bCs/>
          <w:color w:val="000000"/>
          <w:sz w:val="28"/>
          <w:szCs w:val="28"/>
        </w:rPr>
        <w:t xml:space="preserve">Rosa Elena Robles Hernández, </w:t>
      </w:r>
      <w:r w:rsidR="001969A5" w:rsidRPr="001969A5">
        <w:rPr>
          <w:rFonts w:ascii="Arial Narrow" w:hAnsi="Arial Narrow"/>
          <w:bCs/>
          <w:color w:val="000000"/>
          <w:sz w:val="28"/>
          <w:szCs w:val="28"/>
        </w:rPr>
        <w:t>que est</w:t>
      </w:r>
      <w:r w:rsidR="001969A5">
        <w:rPr>
          <w:rFonts w:ascii="Arial Narrow" w:hAnsi="Arial Narrow"/>
          <w:bCs/>
          <w:color w:val="000000"/>
          <w:sz w:val="28"/>
          <w:szCs w:val="28"/>
        </w:rPr>
        <w:t>á siendo vulnerado por el Ministerio de Salud y Protección Social y por la Administradora de los Recursos del Sistema General de Seguridad Social en Salud – ADRES.</w:t>
      </w:r>
    </w:p>
    <w:p w:rsidR="005F3331" w:rsidRPr="00612E8F" w:rsidRDefault="005F3331" w:rsidP="005F3331">
      <w:pPr>
        <w:shd w:val="clear" w:color="auto" w:fill="FFFFFF"/>
        <w:jc w:val="both"/>
        <w:rPr>
          <w:rFonts w:ascii="Arial Narrow" w:hAnsi="Arial Narrow"/>
          <w:color w:val="000000"/>
          <w:sz w:val="28"/>
          <w:szCs w:val="28"/>
        </w:rPr>
      </w:pPr>
    </w:p>
    <w:p w:rsidR="001969A5" w:rsidRDefault="005F3331" w:rsidP="005F3331">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Pr="00612E8F">
        <w:rPr>
          <w:rFonts w:ascii="Arial Narrow" w:hAnsi="Arial Narrow"/>
          <w:color w:val="000000"/>
          <w:sz w:val="28"/>
          <w:szCs w:val="28"/>
        </w:rPr>
        <w:t> </w:t>
      </w:r>
      <w:r w:rsidRPr="00612E8F">
        <w:rPr>
          <w:rStyle w:val="apple-converted-space"/>
          <w:rFonts w:ascii="Arial Narrow" w:hAnsi="Arial Narrow"/>
          <w:sz w:val="28"/>
          <w:szCs w:val="28"/>
          <w:shd w:val="clear" w:color="auto" w:fill="FFFFFF"/>
        </w:rPr>
        <w:t xml:space="preserve"> </w:t>
      </w:r>
      <w:r w:rsidR="001969A5">
        <w:rPr>
          <w:rStyle w:val="apple-converted-space"/>
          <w:rFonts w:ascii="Arial Narrow" w:hAnsi="Arial Narrow"/>
          <w:sz w:val="28"/>
          <w:szCs w:val="28"/>
          <w:shd w:val="clear" w:color="auto" w:fill="FFFFFF"/>
        </w:rPr>
        <w:t>Consecuencia de lo anterior:</w:t>
      </w:r>
    </w:p>
    <w:p w:rsidR="001969A5" w:rsidRDefault="001969A5" w:rsidP="005F3331">
      <w:pPr>
        <w:spacing w:line="360" w:lineRule="auto"/>
        <w:jc w:val="both"/>
        <w:rPr>
          <w:rStyle w:val="apple-converted-space"/>
          <w:rFonts w:ascii="Arial Narrow" w:hAnsi="Arial Narrow"/>
          <w:sz w:val="28"/>
          <w:szCs w:val="28"/>
          <w:shd w:val="clear" w:color="auto" w:fill="FFFFFF"/>
        </w:rPr>
      </w:pPr>
    </w:p>
    <w:p w:rsidR="001969A5" w:rsidRDefault="001969A5" w:rsidP="001969A5">
      <w:pPr>
        <w:pStyle w:val="Prrafodelista"/>
        <w:numPr>
          <w:ilvl w:val="0"/>
          <w:numId w:val="2"/>
        </w:num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En el término de cuarenta y ocho (48) horas después de notificado el fallo de tutela, el Ministerio de Salud y Protección Social, por medio del titular de su cartera, disponga lo necesario para generar la ordenación del gasto y la autorización de giro correspondiente a la reclamación 51015026.</w:t>
      </w:r>
    </w:p>
    <w:p w:rsidR="001969A5" w:rsidRPr="00A74F0D" w:rsidRDefault="001969A5" w:rsidP="001969A5">
      <w:pPr>
        <w:pStyle w:val="Prrafodelista"/>
        <w:numPr>
          <w:ilvl w:val="0"/>
          <w:numId w:val="2"/>
        </w:num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 xml:space="preserve">Una vez cumplido lo anterior, la Administradora de los Recursos del Sistema General de Seguridad Social en salud –Adres- a través de su Director General, deberá desembolsar los recursos correspondientes. Para tal fin, se concede el término de cuarenta y ocho (48) horas después de cumplido el trámite por parte del Ministerio de Salud.     </w:t>
      </w:r>
      <w:r w:rsidRPr="00A74F0D">
        <w:rPr>
          <w:rFonts w:ascii="Arial Narrow" w:hAnsi="Arial Narrow" w:cs="Arial"/>
          <w:sz w:val="28"/>
          <w:szCs w:val="28"/>
        </w:rPr>
        <w:t xml:space="preserve">  </w:t>
      </w:r>
    </w:p>
    <w:p w:rsidR="001969A5" w:rsidRDefault="001969A5" w:rsidP="005F3331">
      <w:pPr>
        <w:spacing w:line="360" w:lineRule="auto"/>
        <w:jc w:val="both"/>
        <w:rPr>
          <w:rStyle w:val="apple-converted-space"/>
          <w:rFonts w:ascii="Arial Narrow" w:hAnsi="Arial Narrow"/>
          <w:sz w:val="28"/>
          <w:szCs w:val="28"/>
          <w:shd w:val="clear" w:color="auto" w:fill="FFFFFF"/>
        </w:rPr>
      </w:pPr>
    </w:p>
    <w:p w:rsidR="005F3331" w:rsidRDefault="001969A5" w:rsidP="001969A5">
      <w:pPr>
        <w:spacing w:line="360" w:lineRule="auto"/>
        <w:ind w:firstLine="709"/>
        <w:jc w:val="both"/>
        <w:rPr>
          <w:rStyle w:val="apple-converted-space"/>
          <w:rFonts w:ascii="Arial Narrow" w:hAnsi="Arial Narrow"/>
          <w:sz w:val="28"/>
          <w:szCs w:val="28"/>
          <w:shd w:val="clear" w:color="auto" w:fill="FFFFFF"/>
        </w:rPr>
      </w:pPr>
      <w:r w:rsidRPr="001969A5">
        <w:rPr>
          <w:rStyle w:val="apple-converted-space"/>
          <w:rFonts w:ascii="Arial Narrow" w:hAnsi="Arial Narrow"/>
          <w:b/>
          <w:sz w:val="28"/>
          <w:szCs w:val="28"/>
          <w:shd w:val="clear" w:color="auto" w:fill="FFFFFF"/>
        </w:rPr>
        <w:t>3º.</w:t>
      </w:r>
      <w:r>
        <w:rPr>
          <w:rStyle w:val="apple-converted-space"/>
          <w:rFonts w:ascii="Arial Narrow" w:hAnsi="Arial Narrow"/>
          <w:sz w:val="28"/>
          <w:szCs w:val="28"/>
          <w:shd w:val="clear" w:color="auto" w:fill="FFFFFF"/>
        </w:rPr>
        <w:t xml:space="preserve"> </w:t>
      </w:r>
      <w:r w:rsidR="004721A0" w:rsidRPr="00612E8F">
        <w:rPr>
          <w:rFonts w:ascii="Arial Narrow" w:eastAsia="SimSun" w:hAnsi="Arial Narrow" w:cs="Arial"/>
          <w:b/>
          <w:i/>
          <w:sz w:val="28"/>
          <w:szCs w:val="28"/>
          <w:lang w:val="es-ES_tradnl"/>
        </w:rPr>
        <w:t>Notificar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t xml:space="preserve"> </w:t>
      </w:r>
      <w:r>
        <w:rPr>
          <w:rStyle w:val="apple-converted-space"/>
          <w:rFonts w:ascii="Arial Narrow" w:hAnsi="Arial Narrow"/>
          <w:sz w:val="28"/>
          <w:szCs w:val="28"/>
          <w:shd w:val="clear" w:color="auto" w:fill="FFFFFF"/>
        </w:rPr>
        <w:tab/>
      </w:r>
      <w:r w:rsidR="001969A5">
        <w:rPr>
          <w:rFonts w:ascii="Arial Narrow" w:eastAsia="SimSun" w:hAnsi="Arial Narrow" w:cs="Arial"/>
          <w:b/>
          <w:i/>
          <w:sz w:val="28"/>
          <w:szCs w:val="28"/>
          <w:lang w:val="es-ES_tradnl"/>
        </w:rPr>
        <w:t>4</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004721A0" w:rsidRPr="00612E8F">
        <w:rPr>
          <w:rFonts w:ascii="Arial Narrow" w:eastAsia="SimSun" w:hAnsi="Arial Narrow" w:cs="Arial"/>
          <w:b/>
          <w:i/>
          <w:sz w:val="28"/>
          <w:szCs w:val="28"/>
          <w:lang w:val="es-ES_tradnl"/>
        </w:rPr>
        <w:t>Disponer,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 xml:space="preserve">que en caso de que la presente decisión no fuese impugnada, se remita el </w:t>
      </w:r>
      <w:r w:rsidR="004721A0"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004721A0" w:rsidRPr="005904B0">
          <w:rPr>
            <w:rFonts w:ascii="Arial Narrow" w:eastAsia="SimSun" w:hAnsi="Arial Narrow" w:cs="Arial"/>
            <w:sz w:val="28"/>
            <w:szCs w:val="28"/>
            <w:lang w:val="es-ES_tradnl"/>
          </w:rPr>
          <w:t>la Honorable Corte</w:t>
        </w:r>
      </w:smartTag>
      <w:r w:rsidR="004721A0" w:rsidRPr="005904B0">
        <w:rPr>
          <w:rFonts w:ascii="Arial Narrow" w:eastAsia="SimSun" w:hAnsi="Arial Narrow" w:cs="Arial"/>
          <w:sz w:val="28"/>
          <w:szCs w:val="28"/>
          <w:lang w:val="es-ES_tradnl"/>
        </w:rPr>
        <w:t xml:space="preserve"> Constitucional para su eventual revisión.</w:t>
      </w:r>
    </w:p>
    <w:p w:rsidR="00A358C4" w:rsidRDefault="005F3331" w:rsidP="004721A0">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5F3331" w:rsidRPr="00612E8F" w:rsidRDefault="005F3331" w:rsidP="004721A0">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w:t>
      </w:r>
      <w:r w:rsidR="00142648">
        <w:rPr>
          <w:rFonts w:ascii="Arial Narrow" w:hAnsi="Arial Narrow" w:cs="Arial"/>
          <w:b/>
          <w:sz w:val="28"/>
          <w:szCs w:val="28"/>
        </w:rPr>
        <w:t>OLGA LUCIA HOYOS SEPÚLVEDA</w:t>
      </w:r>
    </w:p>
    <w:p w:rsidR="004721A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sidR="004721A0" w:rsidRPr="004721A0">
        <w:rPr>
          <w:rFonts w:ascii="Arial Narrow" w:hAnsi="Arial Narrow" w:cs="Arial"/>
          <w:sz w:val="28"/>
          <w:szCs w:val="28"/>
        </w:rPr>
        <w:t xml:space="preserve"> </w:t>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t>Magistrad</w:t>
      </w:r>
      <w:r w:rsidR="00142648">
        <w:rPr>
          <w:rFonts w:ascii="Arial Narrow" w:hAnsi="Arial Narrow" w:cs="Arial"/>
          <w:sz w:val="28"/>
          <w:szCs w:val="28"/>
        </w:rPr>
        <w:t>a</w:t>
      </w:r>
    </w:p>
    <w:p w:rsidR="005F3331" w:rsidRDefault="005F3331" w:rsidP="00142648">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C81E69">
        <w:rPr>
          <w:rFonts w:ascii="Arial Narrow" w:hAnsi="Arial Narrow" w:cs="Arial"/>
          <w:sz w:val="28"/>
          <w:szCs w:val="28"/>
        </w:rPr>
        <w:tab/>
      </w:r>
      <w:r w:rsidR="008A575B">
        <w:rPr>
          <w:rFonts w:ascii="Arial Narrow" w:hAnsi="Arial Narrow" w:cs="Arial"/>
          <w:sz w:val="28"/>
          <w:szCs w:val="28"/>
        </w:rPr>
        <w:t xml:space="preserve">     </w:t>
      </w:r>
    </w:p>
    <w:p w:rsidR="00142648" w:rsidRPr="005904B0" w:rsidRDefault="00142648" w:rsidP="00142648">
      <w:pPr>
        <w:tabs>
          <w:tab w:val="left" w:pos="4047"/>
        </w:tabs>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C81E69" w:rsidP="005F3331">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CF5E21" w:rsidRDefault="005F3331" w:rsidP="004721A0">
      <w:pPr>
        <w:tabs>
          <w:tab w:val="left" w:pos="4047"/>
        </w:tabs>
        <w:spacing w:line="360" w:lineRule="auto"/>
        <w:jc w:val="center"/>
      </w:pPr>
      <w:r w:rsidRPr="005904B0">
        <w:rPr>
          <w:rFonts w:ascii="Arial Narrow" w:hAnsi="Arial Narrow" w:cs="Arial"/>
          <w:sz w:val="28"/>
          <w:szCs w:val="28"/>
        </w:rPr>
        <w:t>Secretari</w:t>
      </w:r>
      <w:r w:rsidR="00C81E69">
        <w:rPr>
          <w:rFonts w:ascii="Arial Narrow" w:hAnsi="Arial Narrow" w:cs="Arial"/>
          <w:sz w:val="28"/>
          <w:szCs w:val="28"/>
        </w:rPr>
        <w:t>o</w:t>
      </w:r>
    </w:p>
    <w:sectPr w:rsidR="00CF5E21"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44" w:rsidRDefault="00CD5A44" w:rsidP="005F3331">
      <w:r>
        <w:separator/>
      </w:r>
    </w:p>
  </w:endnote>
  <w:endnote w:type="continuationSeparator" w:id="0">
    <w:p w:rsidR="00CD5A44" w:rsidRDefault="00CD5A44"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44" w:rsidRDefault="00CD5A44" w:rsidP="005F3331">
      <w:r>
        <w:separator/>
      </w:r>
    </w:p>
  </w:footnote>
  <w:footnote w:type="continuationSeparator" w:id="0">
    <w:p w:rsidR="00CD5A44" w:rsidRDefault="00CD5A44" w:rsidP="005F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46" w:rsidRDefault="00FE7BF0" w:rsidP="002321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2146" w:rsidRDefault="00232146" w:rsidP="0023214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46" w:rsidRPr="005F3331" w:rsidRDefault="00FE7BF0" w:rsidP="00232146">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CD5A44">
      <w:rPr>
        <w:rStyle w:val="Nmerodepgina"/>
        <w:noProof/>
      </w:rPr>
      <w:t>1</w:t>
    </w:r>
    <w:r>
      <w:rPr>
        <w:rStyle w:val="Nmerodepgina"/>
      </w:rPr>
      <w:fldChar w:fldCharType="end"/>
    </w:r>
  </w:p>
  <w:p w:rsidR="00232146" w:rsidRPr="005F3331" w:rsidRDefault="00FE7BF0" w:rsidP="00232146">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w:t>
    </w:r>
    <w:r w:rsidR="00CB66DA">
      <w:rPr>
        <w:rFonts w:ascii="Arial Narrow" w:hAnsi="Arial Narrow" w:cs="Arial"/>
        <w:bCs/>
        <w:iCs/>
        <w:sz w:val="16"/>
        <w:szCs w:val="16"/>
        <w:lang w:eastAsia="es-MX"/>
      </w:rPr>
      <w:t>7</w:t>
    </w:r>
    <w:r w:rsidRPr="005F3331">
      <w:rPr>
        <w:rFonts w:ascii="Arial Narrow" w:hAnsi="Arial Narrow" w:cs="Arial"/>
        <w:bCs/>
        <w:iCs/>
        <w:sz w:val="16"/>
        <w:szCs w:val="16"/>
        <w:lang w:eastAsia="es-MX"/>
      </w:rPr>
      <w:t>-00</w:t>
    </w:r>
    <w:r w:rsidR="00CB66DA">
      <w:rPr>
        <w:rFonts w:ascii="Arial Narrow" w:hAnsi="Arial Narrow" w:cs="Arial"/>
        <w:bCs/>
        <w:iCs/>
        <w:sz w:val="16"/>
        <w:szCs w:val="16"/>
        <w:lang w:eastAsia="es-MX"/>
      </w:rPr>
      <w:t>1</w:t>
    </w:r>
    <w:r w:rsidR="00E72882">
      <w:rPr>
        <w:rFonts w:ascii="Arial Narrow" w:hAnsi="Arial Narrow" w:cs="Arial"/>
        <w:bCs/>
        <w:iCs/>
        <w:sz w:val="16"/>
        <w:szCs w:val="16"/>
        <w:lang w:eastAsia="es-MX"/>
      </w:rPr>
      <w:t>39</w:t>
    </w:r>
    <w:r w:rsidRPr="005F3331">
      <w:rPr>
        <w:rFonts w:ascii="Arial Narrow" w:hAnsi="Arial Narrow" w:cs="Arial"/>
        <w:bCs/>
        <w:iCs/>
        <w:sz w:val="16"/>
        <w:szCs w:val="16"/>
        <w:lang w:eastAsia="es-MX"/>
      </w:rPr>
      <w:t>-00</w:t>
    </w:r>
  </w:p>
  <w:p w:rsidR="00232146" w:rsidRPr="005F3331" w:rsidRDefault="00E72882" w:rsidP="00CB66DA">
    <w:pPr>
      <w:pStyle w:val="Encabezado"/>
      <w:tabs>
        <w:tab w:val="clear" w:pos="8504"/>
        <w:tab w:val="left" w:pos="5655"/>
      </w:tabs>
      <w:ind w:right="360"/>
      <w:jc w:val="both"/>
      <w:rPr>
        <w:rFonts w:ascii="Arial Narrow" w:hAnsi="Arial Narrow" w:cs="Arial"/>
        <w:sz w:val="16"/>
        <w:szCs w:val="16"/>
      </w:rPr>
    </w:pPr>
    <w:r>
      <w:rPr>
        <w:rFonts w:ascii="Arial Narrow" w:hAnsi="Arial Narrow" w:cs="Arial"/>
        <w:sz w:val="16"/>
        <w:szCs w:val="16"/>
      </w:rPr>
      <w:t xml:space="preserve">Rosa Elena Robles Hernández </w:t>
    </w:r>
    <w:r w:rsidR="005F3331" w:rsidRPr="005F3331">
      <w:rPr>
        <w:rFonts w:ascii="Arial Narrow" w:hAnsi="Arial Narrow" w:cs="Arial"/>
        <w:sz w:val="16"/>
        <w:szCs w:val="16"/>
      </w:rPr>
      <w:t xml:space="preserve"> </w:t>
    </w:r>
    <w:r w:rsidR="00FE7BF0" w:rsidRPr="005F3331">
      <w:rPr>
        <w:rFonts w:ascii="Arial Narrow" w:hAnsi="Arial Narrow" w:cs="Arial"/>
        <w:sz w:val="16"/>
        <w:szCs w:val="16"/>
      </w:rPr>
      <w:t xml:space="preserve">vs </w:t>
    </w:r>
    <w:r>
      <w:rPr>
        <w:rFonts w:ascii="Arial Narrow" w:hAnsi="Arial Narrow" w:cs="Arial"/>
        <w:sz w:val="16"/>
        <w:szCs w:val="16"/>
      </w:rPr>
      <w:t>Ministerio de Salud y Protección Social y otra</w:t>
    </w:r>
    <w:r w:rsidR="00CB66DA">
      <w:rPr>
        <w:rFonts w:ascii="Arial Narrow" w:hAnsi="Arial Narrow" w:cs="Arial"/>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nsid w:val="7B4F5A80"/>
    <w:multiLevelType w:val="hybridMultilevel"/>
    <w:tmpl w:val="7D3ABF0C"/>
    <w:lvl w:ilvl="0" w:tplc="BE8230B2">
      <w:numFmt w:val="bullet"/>
      <w:lvlText w:val="-"/>
      <w:lvlJc w:val="left"/>
      <w:pPr>
        <w:ind w:left="1260" w:hanging="360"/>
      </w:pPr>
      <w:rPr>
        <w:rFonts w:ascii="Arial Narrow" w:eastAsia="Times New Roman" w:hAnsi="Arial Narrow"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00252D"/>
    <w:rsid w:val="000228EB"/>
    <w:rsid w:val="00030710"/>
    <w:rsid w:val="000B0977"/>
    <w:rsid w:val="000E2AEC"/>
    <w:rsid w:val="000E401C"/>
    <w:rsid w:val="000F033A"/>
    <w:rsid w:val="00110580"/>
    <w:rsid w:val="00141015"/>
    <w:rsid w:val="0014140F"/>
    <w:rsid w:val="00142648"/>
    <w:rsid w:val="00156DC7"/>
    <w:rsid w:val="00157F78"/>
    <w:rsid w:val="00164C18"/>
    <w:rsid w:val="00170B86"/>
    <w:rsid w:val="00186A7C"/>
    <w:rsid w:val="001969A5"/>
    <w:rsid w:val="001A7EBE"/>
    <w:rsid w:val="001E6649"/>
    <w:rsid w:val="00202208"/>
    <w:rsid w:val="00232146"/>
    <w:rsid w:val="002343FC"/>
    <w:rsid w:val="0029269C"/>
    <w:rsid w:val="002A16DB"/>
    <w:rsid w:val="0030496D"/>
    <w:rsid w:val="0036070D"/>
    <w:rsid w:val="003731A7"/>
    <w:rsid w:val="003C52D9"/>
    <w:rsid w:val="003E1E27"/>
    <w:rsid w:val="004027C4"/>
    <w:rsid w:val="00407FC2"/>
    <w:rsid w:val="00451AE6"/>
    <w:rsid w:val="00452CF0"/>
    <w:rsid w:val="00466758"/>
    <w:rsid w:val="004721A0"/>
    <w:rsid w:val="00490721"/>
    <w:rsid w:val="00492781"/>
    <w:rsid w:val="004A3354"/>
    <w:rsid w:val="004B6B5E"/>
    <w:rsid w:val="004C4263"/>
    <w:rsid w:val="004F6263"/>
    <w:rsid w:val="00503D1B"/>
    <w:rsid w:val="00522D6F"/>
    <w:rsid w:val="005679EF"/>
    <w:rsid w:val="00583B81"/>
    <w:rsid w:val="00594F85"/>
    <w:rsid w:val="005C31AA"/>
    <w:rsid w:val="005F3331"/>
    <w:rsid w:val="00611F2B"/>
    <w:rsid w:val="00686DB7"/>
    <w:rsid w:val="006960AA"/>
    <w:rsid w:val="006C395F"/>
    <w:rsid w:val="00713416"/>
    <w:rsid w:val="007C4C5C"/>
    <w:rsid w:val="007F4A96"/>
    <w:rsid w:val="0084603C"/>
    <w:rsid w:val="008722EA"/>
    <w:rsid w:val="008A575B"/>
    <w:rsid w:val="008B3934"/>
    <w:rsid w:val="008C225E"/>
    <w:rsid w:val="0090147F"/>
    <w:rsid w:val="0090370C"/>
    <w:rsid w:val="00934D60"/>
    <w:rsid w:val="00936B21"/>
    <w:rsid w:val="00945EBC"/>
    <w:rsid w:val="00953796"/>
    <w:rsid w:val="00956338"/>
    <w:rsid w:val="00960CFA"/>
    <w:rsid w:val="0096223E"/>
    <w:rsid w:val="00971B94"/>
    <w:rsid w:val="009908A9"/>
    <w:rsid w:val="009B629E"/>
    <w:rsid w:val="00A01265"/>
    <w:rsid w:val="00A24F69"/>
    <w:rsid w:val="00A358C4"/>
    <w:rsid w:val="00A628E2"/>
    <w:rsid w:val="00A74F0D"/>
    <w:rsid w:val="00A87F12"/>
    <w:rsid w:val="00B01427"/>
    <w:rsid w:val="00B14FE5"/>
    <w:rsid w:val="00B60126"/>
    <w:rsid w:val="00B717DF"/>
    <w:rsid w:val="00B7265E"/>
    <w:rsid w:val="00B77291"/>
    <w:rsid w:val="00BA3F3D"/>
    <w:rsid w:val="00BF3057"/>
    <w:rsid w:val="00C81E69"/>
    <w:rsid w:val="00C820C8"/>
    <w:rsid w:val="00CB66DA"/>
    <w:rsid w:val="00CB74DD"/>
    <w:rsid w:val="00CD5A44"/>
    <w:rsid w:val="00CF5E21"/>
    <w:rsid w:val="00D10475"/>
    <w:rsid w:val="00D1282C"/>
    <w:rsid w:val="00D328EC"/>
    <w:rsid w:val="00D41809"/>
    <w:rsid w:val="00D97348"/>
    <w:rsid w:val="00DE306D"/>
    <w:rsid w:val="00DE625C"/>
    <w:rsid w:val="00E120A8"/>
    <w:rsid w:val="00E26844"/>
    <w:rsid w:val="00E51D0B"/>
    <w:rsid w:val="00E6434A"/>
    <w:rsid w:val="00E70F0D"/>
    <w:rsid w:val="00E721AC"/>
    <w:rsid w:val="00E72882"/>
    <w:rsid w:val="00E94BDC"/>
    <w:rsid w:val="00EC48F3"/>
    <w:rsid w:val="00ED5AFD"/>
    <w:rsid w:val="00F3121C"/>
    <w:rsid w:val="00F33A8A"/>
    <w:rsid w:val="00F403C2"/>
    <w:rsid w:val="00FA331C"/>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30D65A3-D9A6-42BD-9B93-28A85013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934D60"/>
  </w:style>
  <w:style w:type="character" w:customStyle="1" w:styleId="TextonotapieCar">
    <w:name w:val="Texto nota pie Car"/>
    <w:basedOn w:val="Fuentedeprrafopredeter"/>
    <w:uiPriority w:val="99"/>
    <w:semiHidden/>
    <w:rsid w:val="00934D60"/>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934D6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7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086">
      <w:bodyDiv w:val="1"/>
      <w:marLeft w:val="0"/>
      <w:marRight w:val="0"/>
      <w:marTop w:val="0"/>
      <w:marBottom w:val="0"/>
      <w:divBdr>
        <w:top w:val="none" w:sz="0" w:space="0" w:color="auto"/>
        <w:left w:val="none" w:sz="0" w:space="0" w:color="auto"/>
        <w:bottom w:val="none" w:sz="0" w:space="0" w:color="auto"/>
        <w:right w:val="none" w:sz="0" w:space="0" w:color="auto"/>
      </w:divBdr>
    </w:div>
    <w:div w:id="192696888">
      <w:bodyDiv w:val="1"/>
      <w:marLeft w:val="0"/>
      <w:marRight w:val="0"/>
      <w:marTop w:val="0"/>
      <w:marBottom w:val="0"/>
      <w:divBdr>
        <w:top w:val="none" w:sz="0" w:space="0" w:color="auto"/>
        <w:left w:val="none" w:sz="0" w:space="0" w:color="auto"/>
        <w:bottom w:val="none" w:sz="0" w:space="0" w:color="auto"/>
        <w:right w:val="none" w:sz="0" w:space="0" w:color="auto"/>
      </w:divBdr>
    </w:div>
    <w:div w:id="331690368">
      <w:bodyDiv w:val="1"/>
      <w:marLeft w:val="0"/>
      <w:marRight w:val="0"/>
      <w:marTop w:val="0"/>
      <w:marBottom w:val="0"/>
      <w:divBdr>
        <w:top w:val="none" w:sz="0" w:space="0" w:color="auto"/>
        <w:left w:val="none" w:sz="0" w:space="0" w:color="auto"/>
        <w:bottom w:val="none" w:sz="0" w:space="0" w:color="auto"/>
        <w:right w:val="none" w:sz="0" w:space="0" w:color="auto"/>
      </w:divBdr>
    </w:div>
    <w:div w:id="441844803">
      <w:bodyDiv w:val="1"/>
      <w:marLeft w:val="0"/>
      <w:marRight w:val="0"/>
      <w:marTop w:val="0"/>
      <w:marBottom w:val="0"/>
      <w:divBdr>
        <w:top w:val="none" w:sz="0" w:space="0" w:color="auto"/>
        <w:left w:val="none" w:sz="0" w:space="0" w:color="auto"/>
        <w:bottom w:val="none" w:sz="0" w:space="0" w:color="auto"/>
        <w:right w:val="none" w:sz="0" w:space="0" w:color="auto"/>
      </w:divBdr>
    </w:div>
    <w:div w:id="449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4CD0-522A-42DB-A387-B3B3D954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1433</Words>
  <Characters>7883</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SALA TERCERA DE DECISIÓN LABORAL</vt:lpstr>
      <vt:lpstr>        Acta número ___ del 30 de agosto de 2017.</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5</cp:revision>
  <cp:lastPrinted>2017-08-29T20:51:00Z</cp:lastPrinted>
  <dcterms:created xsi:type="dcterms:W3CDTF">2017-08-29T18:22:00Z</dcterms:created>
  <dcterms:modified xsi:type="dcterms:W3CDTF">2017-08-29T20:59:00Z</dcterms:modified>
</cp:coreProperties>
</file>