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84" w:rsidRPr="00A817A6" w:rsidRDefault="00DE7C84" w:rsidP="00DE7C8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DE7C84" w:rsidRPr="009275F8" w:rsidRDefault="00DE7C84" w:rsidP="00DE7C84">
      <w:pPr>
        <w:pStyle w:val="Sinespaciado"/>
        <w:rPr>
          <w:sz w:val="18"/>
          <w:szCs w:val="18"/>
        </w:rPr>
      </w:pPr>
    </w:p>
    <w:p w:rsidR="001A4962" w:rsidRDefault="001A4962" w:rsidP="001A4962">
      <w:pPr>
        <w:tabs>
          <w:tab w:val="left" w:pos="5670"/>
        </w:tabs>
        <w:spacing w:line="360" w:lineRule="auto"/>
        <w:jc w:val="both"/>
        <w:rPr>
          <w:rFonts w:ascii="Arial Narrow" w:hAnsi="Arial Narrow" w:cs="Arial"/>
          <w:bCs/>
          <w:i/>
          <w:iCs/>
          <w:sz w:val="32"/>
          <w:szCs w:val="32"/>
          <w:u w:val="single"/>
        </w:rPr>
      </w:pPr>
      <w:bookmarkStart w:id="0" w:name="_GoBack"/>
      <w:bookmarkEnd w:id="0"/>
      <w:r w:rsidRPr="00AE68C8">
        <w:rPr>
          <w:rFonts w:ascii="Arial Narrow" w:hAnsi="Arial Narrow" w:cs="Arial"/>
          <w:bCs/>
          <w:i/>
          <w:iCs/>
          <w:sz w:val="32"/>
          <w:szCs w:val="32"/>
          <w:u w:val="single"/>
        </w:rPr>
        <w:t>ORALIDAD</w:t>
      </w:r>
    </w:p>
    <w:p w:rsidR="001A4962" w:rsidRPr="00AE68C8" w:rsidRDefault="001A4962" w:rsidP="001A4962">
      <w:pPr>
        <w:pStyle w:val="Sinespaciado"/>
      </w:pPr>
    </w:p>
    <w:p w:rsidR="001A4962" w:rsidRPr="001A3D6C" w:rsidRDefault="001A4962" w:rsidP="001A4962">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3 de agosto de 2017</w:t>
      </w:r>
      <w:r w:rsidRPr="001A3D6C">
        <w:rPr>
          <w:rFonts w:ascii="Arial Narrow" w:hAnsi="Arial Narrow" w:cs="Arial"/>
          <w:sz w:val="18"/>
          <w:szCs w:val="18"/>
        </w:rPr>
        <w:t>.</w:t>
      </w:r>
    </w:p>
    <w:p w:rsidR="001A4962" w:rsidRDefault="001A4962" w:rsidP="001A4962">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5-2015-00388-01</w:t>
      </w:r>
    </w:p>
    <w:p w:rsidR="001A4962" w:rsidRPr="001A3D6C" w:rsidRDefault="001A4962" w:rsidP="001A4962">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1A4962" w:rsidRPr="001A3D6C" w:rsidRDefault="001A4962" w:rsidP="001A4962">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Héctor Hoyos López      </w:t>
      </w:r>
    </w:p>
    <w:p w:rsidR="001A4962" w:rsidRPr="002E0A65" w:rsidRDefault="001A4962" w:rsidP="001A4962">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1A4962" w:rsidRPr="002E0A65" w:rsidRDefault="001A4962" w:rsidP="001A4962">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Quinto </w:t>
      </w:r>
      <w:r w:rsidRPr="002E0A65">
        <w:rPr>
          <w:rFonts w:ascii="Arial Narrow" w:hAnsi="Arial Narrow" w:cs="Arial"/>
          <w:sz w:val="18"/>
          <w:szCs w:val="18"/>
        </w:rPr>
        <w:t>Laboral del Circuito de Pereira.</w:t>
      </w:r>
    </w:p>
    <w:p w:rsidR="001A4962" w:rsidRPr="002E0A65" w:rsidRDefault="001A4962" w:rsidP="001A4962">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8243B0" w:rsidRPr="008243B0" w:rsidRDefault="001A4962" w:rsidP="008243B0">
      <w:pPr>
        <w:pStyle w:val="Textoindependiente21"/>
        <w:spacing w:line="240" w:lineRule="auto"/>
        <w:ind w:left="2124" w:hanging="2124"/>
        <w:rPr>
          <w:rFonts w:ascii="Arial Narrow" w:hAnsi="Arial Narrow" w:cs="Arial"/>
          <w:b w:val="0"/>
          <w:iCs/>
          <w:kern w:val="28"/>
          <w:sz w:val="18"/>
          <w:szCs w:val="18"/>
          <w:lang w:val="es-CO"/>
        </w:rPr>
      </w:pPr>
      <w:r w:rsidRPr="008243B0">
        <w:rPr>
          <w:rFonts w:ascii="Arial Narrow" w:hAnsi="Arial Narrow" w:cs="Arial"/>
          <w:bCs/>
          <w:sz w:val="18"/>
          <w:szCs w:val="18"/>
        </w:rPr>
        <w:t xml:space="preserve">Tema a tratar: </w:t>
      </w:r>
      <w:r w:rsidRPr="008243B0">
        <w:rPr>
          <w:rFonts w:ascii="Arial Narrow" w:hAnsi="Arial Narrow" w:cs="Arial"/>
          <w:bCs/>
          <w:sz w:val="18"/>
          <w:szCs w:val="18"/>
        </w:rPr>
        <w:tab/>
      </w:r>
      <w:r w:rsidR="008243B0" w:rsidRPr="008243B0">
        <w:rPr>
          <w:rFonts w:ascii="Arial Narrow" w:hAnsi="Arial Narrow"/>
          <w:sz w:val="18"/>
          <w:szCs w:val="18"/>
        </w:rPr>
        <w:t>Consecuencias de la falta de afiliación al ISS antes de la entrada en vigencia del sistema general de pensiones:</w:t>
      </w:r>
      <w:r w:rsidR="008243B0" w:rsidRPr="008243B0">
        <w:rPr>
          <w:rFonts w:ascii="Arial Narrow" w:hAnsi="Arial Narrow" w:cs="Arial"/>
          <w:b w:val="0"/>
          <w:sz w:val="18"/>
          <w:szCs w:val="18"/>
        </w:rPr>
        <w:t xml:space="preserve"> en </w:t>
      </w:r>
      <w:r w:rsidR="008243B0" w:rsidRPr="008243B0">
        <w:rPr>
          <w:rFonts w:ascii="Arial Narrow" w:hAnsi="Arial Narrow" w:cs="Arial"/>
          <w:b w:val="0"/>
          <w:iCs/>
          <w:kern w:val="28"/>
          <w:sz w:val="18"/>
          <w:szCs w:val="18"/>
          <w:lang w:val="es-CO"/>
        </w:rPr>
        <w:t xml:space="preserve">la órbita del régimen de transición, la aplicación del régimen anterior, se encuentra condicionada a que en cualquier momento de su relación de trabajo o afiliación, este régimen anterior hubiera estado vigente, o lo que es lo mismo, que éste en algún momento hubiera regido su vinculación o afiliación al mismo, por cuanto la afiliación es la expresión de la voluntad de hacerse destinatario de las obligaciones y de obtener los beneficios que aquel ofrece. </w:t>
      </w:r>
      <w:r w:rsidR="008243B0" w:rsidRPr="008243B0">
        <w:rPr>
          <w:rFonts w:ascii="Arial Narrow" w:hAnsi="Arial Narrow"/>
          <w:b w:val="0"/>
          <w:sz w:val="18"/>
          <w:szCs w:val="18"/>
        </w:rPr>
        <w:t>De modo entonces que, al demandante, como beneficiario del régimen de transición previsto en el artículo 36 de la Ley 100/93, le eran aplicables los regímenes pensionales establecidos en la Ley 33 de 1985 y 71 de 1988, más no el del Acuerdo 049 de 1990, aprobado por el Decreto 758 de ese mismo año, como erradamente lo estimó la sentenciadora de primer grado, habida cuenta que su afiliación al régimen de prima media con prestación definida administrado por el antiguo ISS hoy Colpensiones, sólo se vino a presentar el 2 de agosto de 1994, por lo que mal podría solicitar que se le respete y aplique un régimen al cual nunca perteneció antes de la vigencia del Sistema General de Pensiones</w:t>
      </w:r>
      <w:r w:rsidR="008243B0">
        <w:rPr>
          <w:rFonts w:ascii="Arial Narrow" w:hAnsi="Arial Narrow"/>
          <w:b w:val="0"/>
          <w:sz w:val="18"/>
          <w:szCs w:val="18"/>
        </w:rPr>
        <w:t>.</w:t>
      </w:r>
    </w:p>
    <w:p w:rsidR="001A4962" w:rsidRPr="001A4962" w:rsidRDefault="001A4962" w:rsidP="008243B0">
      <w:pPr>
        <w:pStyle w:val="Sinespaciado"/>
        <w:ind w:left="2124" w:hanging="2124"/>
        <w:jc w:val="both"/>
        <w:rPr>
          <w:rFonts w:ascii="Arial Narrow" w:hAnsi="Arial Narrow" w:cs="Arial"/>
          <w:color w:val="FF0000"/>
          <w:sz w:val="16"/>
          <w:szCs w:val="16"/>
          <w:lang w:val="es-ES"/>
        </w:rPr>
      </w:pPr>
    </w:p>
    <w:p w:rsidR="001A4962" w:rsidRPr="002E0A65" w:rsidRDefault="001A4962" w:rsidP="007077F9">
      <w:pPr>
        <w:pStyle w:val="Sinespaciado"/>
      </w:pPr>
    </w:p>
    <w:p w:rsidR="001A4962" w:rsidRPr="00AE68C8" w:rsidRDefault="001A4962" w:rsidP="001A4962">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1A4962" w:rsidRPr="005C2D1D" w:rsidRDefault="001A4962" w:rsidP="005C2D1D">
      <w:pPr>
        <w:pStyle w:val="Sinespaciado"/>
      </w:pPr>
    </w:p>
    <w:p w:rsidR="001A4962" w:rsidRPr="00685EF6" w:rsidRDefault="001A4962" w:rsidP="001A4962">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n Pereira, a los</w:t>
      </w:r>
      <w:r>
        <w:rPr>
          <w:rFonts w:ascii="Arial Narrow" w:eastAsia="Calibri" w:hAnsi="Arial Narrow" w:cs="Arial"/>
          <w:sz w:val="28"/>
          <w:szCs w:val="28"/>
          <w:lang w:val="es-CO" w:eastAsia="en-US"/>
        </w:rPr>
        <w:t xml:space="preserve"> tres (3) </w:t>
      </w:r>
      <w:r w:rsidRPr="008105C9">
        <w:rPr>
          <w:rFonts w:ascii="Arial Narrow" w:eastAsia="Calibri" w:hAnsi="Arial Narrow" w:cs="Arial"/>
          <w:sz w:val="28"/>
          <w:szCs w:val="28"/>
          <w:lang w:val="es-CO" w:eastAsia="en-US"/>
        </w:rPr>
        <w:t>días del mes d</w:t>
      </w:r>
      <w:r>
        <w:rPr>
          <w:rFonts w:ascii="Arial Narrow" w:eastAsia="Calibri" w:hAnsi="Arial Narrow" w:cs="Arial"/>
          <w:sz w:val="28"/>
          <w:szCs w:val="28"/>
          <w:lang w:val="es-CO" w:eastAsia="en-US"/>
        </w:rPr>
        <w:t>e agosto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w:t>
      </w:r>
      <w:r w:rsidRPr="008105C9">
        <w:rPr>
          <w:rFonts w:ascii="Arial Narrow" w:eastAsia="Calibri" w:hAnsi="Arial Narrow" w:cs="Arial"/>
          <w:sz w:val="28"/>
          <w:szCs w:val="28"/>
          <w:lang w:val="es-CO" w:eastAsia="en-US"/>
        </w:rPr>
        <w:t>mañana (</w:t>
      </w:r>
      <w:r>
        <w:rPr>
          <w:rFonts w:ascii="Arial Narrow" w:eastAsia="Calibri" w:hAnsi="Arial Narrow" w:cs="Arial"/>
          <w:sz w:val="28"/>
          <w:szCs w:val="28"/>
          <w:lang w:val="es-CO" w:eastAsia="en-US"/>
        </w:rPr>
        <w:t>7:30 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de la Sala Laboral del Tribunal Superior de Pereira, el ponente declara abierto el acto, que tiene por objeto resolver el</w:t>
      </w:r>
      <w:r>
        <w:rPr>
          <w:rFonts w:ascii="Arial Narrow" w:hAnsi="Arial Narrow" w:cs="Tahoma"/>
          <w:bCs/>
          <w:color w:val="000000"/>
          <w:sz w:val="28"/>
          <w:szCs w:val="28"/>
          <w:lang w:eastAsia="es-CO"/>
        </w:rPr>
        <w:t xml:space="preserve"> recurso de apelación y el 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22 de junio de 2016</w:t>
      </w:r>
      <w:r w:rsidRPr="008105C9">
        <w:rPr>
          <w:rFonts w:ascii="Arial Narrow" w:hAnsi="Arial Narrow" w:cs="Arial"/>
          <w:sz w:val="28"/>
          <w:szCs w:val="28"/>
        </w:rPr>
        <w:t xml:space="preserve"> por el Juzgado </w:t>
      </w:r>
      <w:r>
        <w:rPr>
          <w:rFonts w:ascii="Arial Narrow" w:hAnsi="Arial Narrow" w:cs="Arial"/>
          <w:sz w:val="28"/>
          <w:szCs w:val="28"/>
        </w:rPr>
        <w:t xml:space="preserve">Quinto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Héctor Hoyos López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iana de Pensiones Colpensiones.</w:t>
      </w:r>
    </w:p>
    <w:p w:rsidR="001A4962" w:rsidRPr="00837C04" w:rsidRDefault="001A4962" w:rsidP="001A4962">
      <w:pPr>
        <w:pStyle w:val="Sinespaciado"/>
      </w:pPr>
    </w:p>
    <w:p w:rsidR="001A4962" w:rsidRPr="00F51071" w:rsidRDefault="001A4962" w:rsidP="001A4962">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1A4962" w:rsidRPr="005C2D1D" w:rsidRDefault="001A4962" w:rsidP="005C2D1D">
      <w:pPr>
        <w:pStyle w:val="Sinespaciado"/>
      </w:pPr>
    </w:p>
    <w:p w:rsidR="001A4962" w:rsidRPr="008105C9" w:rsidRDefault="001A4962" w:rsidP="001A4962">
      <w:pPr>
        <w:spacing w:line="360" w:lineRule="auto"/>
        <w:ind w:firstLine="900"/>
        <w:jc w:val="both"/>
        <w:rPr>
          <w:rFonts w:ascii="Arial Narrow" w:hAnsi="Arial Narrow" w:cs="Tahoma"/>
          <w:sz w:val="28"/>
          <w:szCs w:val="28"/>
        </w:rPr>
      </w:pPr>
      <w:r>
        <w:rPr>
          <w:rFonts w:ascii="Arial Narrow" w:hAnsi="Arial Narrow" w:cs="Tahoma"/>
          <w:sz w:val="28"/>
          <w:szCs w:val="28"/>
        </w:rPr>
        <w:t>El demandante pretende que se declare que es beneficiario de la pensión de vejez a partir del 21 de noviembre de 2008, y en consecuencia, se condene a la entidad demandada a reconocer y pagar la prestación pensional en cuantía mensual de un salario mínimo legal mensual vigente</w:t>
      </w:r>
      <w:r w:rsidR="00F46C41">
        <w:rPr>
          <w:rFonts w:ascii="Arial Narrow" w:hAnsi="Arial Narrow" w:cs="Tahoma"/>
          <w:sz w:val="28"/>
          <w:szCs w:val="28"/>
        </w:rPr>
        <w:t>, junto con los intereses moratorios de que trata el artículo 141 de la Ley100/93, y las costas del proceso.</w:t>
      </w:r>
    </w:p>
    <w:p w:rsidR="001A4962" w:rsidRPr="005C2D1D" w:rsidRDefault="001A4962" w:rsidP="005C2D1D">
      <w:pPr>
        <w:pStyle w:val="Sinespaciado"/>
      </w:pPr>
    </w:p>
    <w:p w:rsidR="006D0638" w:rsidRDefault="001A4962" w:rsidP="001A4962">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w:t>
      </w:r>
      <w:r w:rsidR="00F46C41">
        <w:rPr>
          <w:rFonts w:ascii="Arial Narrow" w:hAnsi="Arial Narrow" w:cs="Tahoma"/>
          <w:color w:val="000000"/>
          <w:sz w:val="28"/>
          <w:szCs w:val="28"/>
          <w:lang w:eastAsia="es-CO"/>
        </w:rPr>
        <w:t xml:space="preserve">fundamento a sus pedimentos expone que nació en el Municipio de Filandia, Quindío, el 20 de noviembre de 1948, por lo que al 1º de abril de 1994 contaba </w:t>
      </w:r>
      <w:r w:rsidR="00F46C41">
        <w:rPr>
          <w:rFonts w:ascii="Arial Narrow" w:hAnsi="Arial Narrow" w:cs="Tahoma"/>
          <w:color w:val="000000"/>
          <w:sz w:val="28"/>
          <w:szCs w:val="28"/>
          <w:lang w:eastAsia="es-CO"/>
        </w:rPr>
        <w:lastRenderedPageBreak/>
        <w:t>con más de 45 años de edad; que realizó cotizaciones al Sistema General de Pensiones en el Régimen de Prima Media administrado por el entonces ISS, desde el 29 de mayo de 1991</w:t>
      </w:r>
      <w:r w:rsidR="006D0638">
        <w:rPr>
          <w:rFonts w:ascii="Arial Narrow" w:hAnsi="Arial Narrow" w:cs="Tahoma"/>
          <w:color w:val="000000"/>
          <w:sz w:val="28"/>
          <w:szCs w:val="28"/>
          <w:lang w:eastAsia="es-CO"/>
        </w:rPr>
        <w:t>; que el 2º de diciembre de 2011 solicitó ante el ISS el reconocimiento y pago de la pensión de vejez, por considerar que cumplía con los requisitos de edad y densidad de semanas exigidas en el artículo 12 del Acuerdo 049 de 1990, sin embargo, mediante Resolución GNR 129889 de 2013 le fue negada por la entidad de seguridad social; que contra dicha decisión in</w:t>
      </w:r>
      <w:r w:rsidR="0057240E">
        <w:rPr>
          <w:rFonts w:ascii="Arial Narrow" w:hAnsi="Arial Narrow" w:cs="Tahoma"/>
          <w:color w:val="000000"/>
          <w:sz w:val="28"/>
          <w:szCs w:val="28"/>
          <w:lang w:eastAsia="es-CO"/>
        </w:rPr>
        <w:t xml:space="preserve">terpuso el recurso de reposición, el cual fue resuelto mediante Resolución GNR 126842 de 2014, confirmando la anterior. </w:t>
      </w:r>
    </w:p>
    <w:p w:rsidR="001A4962" w:rsidRPr="005C2D1D" w:rsidRDefault="001A4962" w:rsidP="005C2D1D">
      <w:pPr>
        <w:pStyle w:val="Sinespaciado"/>
      </w:pPr>
    </w:p>
    <w:p w:rsidR="001A4962" w:rsidRDefault="001A4962" w:rsidP="001A4962">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r w:rsidRPr="009868D1">
        <w:rPr>
          <w:rFonts w:ascii="Arial Narrow" w:hAnsi="Arial Narrow" w:cs="Arial"/>
          <w:sz w:val="28"/>
          <w:szCs w:val="28"/>
        </w:rPr>
        <w:t>Colpensiones</w:t>
      </w:r>
      <w:r>
        <w:rPr>
          <w:rFonts w:ascii="Arial Narrow" w:hAnsi="Arial Narrow" w:cs="Arial"/>
          <w:b/>
          <w:sz w:val="28"/>
          <w:szCs w:val="28"/>
        </w:rPr>
        <w:t xml:space="preserve">, </w:t>
      </w:r>
      <w:r w:rsidRPr="00881C80">
        <w:rPr>
          <w:rFonts w:ascii="Arial Narrow" w:hAnsi="Arial Narrow" w:cs="Arial"/>
          <w:sz w:val="28"/>
          <w:szCs w:val="28"/>
        </w:rPr>
        <w:t>quien dentro del término allegó respuesta a la demanda, oponiéndose a</w:t>
      </w:r>
      <w:r w:rsidR="0057240E">
        <w:rPr>
          <w:rFonts w:ascii="Arial Narrow" w:hAnsi="Arial Narrow" w:cs="Arial"/>
          <w:sz w:val="28"/>
          <w:szCs w:val="28"/>
        </w:rPr>
        <w:t xml:space="preserve"> la totalidad de </w:t>
      </w:r>
      <w:r w:rsidRPr="00881C80">
        <w:rPr>
          <w:rFonts w:ascii="Arial Narrow" w:hAnsi="Arial Narrow" w:cs="Arial"/>
          <w:sz w:val="28"/>
          <w:szCs w:val="28"/>
        </w:rPr>
        <w:t xml:space="preserve">las pretensiones, por considerar que </w:t>
      </w:r>
      <w:r w:rsidR="0057240E">
        <w:rPr>
          <w:rFonts w:ascii="Arial Narrow" w:hAnsi="Arial Narrow" w:cs="Arial"/>
          <w:sz w:val="28"/>
          <w:szCs w:val="28"/>
        </w:rPr>
        <w:t>el actor perdió los beneficios del régimen de transición previsto en el artículo 36 de la Ley 100/93, por no acreditar el requisito establecido en</w:t>
      </w:r>
      <w:r w:rsidR="008A648F">
        <w:rPr>
          <w:rFonts w:ascii="Arial Narrow" w:hAnsi="Arial Narrow" w:cs="Arial"/>
          <w:sz w:val="28"/>
          <w:szCs w:val="28"/>
        </w:rPr>
        <w:t xml:space="preserve"> el Acto Legislativo 01 de 2005.</w:t>
      </w:r>
      <w:r w:rsidRPr="00881C80">
        <w:rPr>
          <w:rFonts w:ascii="Arial Narrow" w:hAnsi="Arial Narrow" w:cs="Arial"/>
          <w:sz w:val="28"/>
          <w:szCs w:val="28"/>
        </w:rPr>
        <w:t xml:space="preserve"> En su defensa, propuso como excepciones de fondo las que denominó “Inexistencia de la obligación</w:t>
      </w:r>
      <w:r w:rsidR="008A648F">
        <w:rPr>
          <w:rFonts w:ascii="Arial Narrow" w:hAnsi="Arial Narrow" w:cs="Arial"/>
          <w:sz w:val="28"/>
          <w:szCs w:val="28"/>
        </w:rPr>
        <w:t>”, “Prescripción” e “Improcedencia de intereses de mora”.</w:t>
      </w:r>
    </w:p>
    <w:p w:rsidR="001A4962" w:rsidRDefault="001A4962" w:rsidP="001A4962">
      <w:pPr>
        <w:pStyle w:val="Sinespaciado"/>
        <w:spacing w:line="360" w:lineRule="auto"/>
      </w:pPr>
    </w:p>
    <w:p w:rsidR="001A4962" w:rsidRPr="00881C80" w:rsidRDefault="001A4962" w:rsidP="001A4962">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1A4962" w:rsidRPr="005C2D1D" w:rsidRDefault="001A4962" w:rsidP="005C2D1D">
      <w:pPr>
        <w:pStyle w:val="Sinespaciado"/>
      </w:pPr>
    </w:p>
    <w:p w:rsidR="001A4962" w:rsidRPr="007077F9" w:rsidRDefault="001A4962" w:rsidP="001A4962">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8A648F">
        <w:rPr>
          <w:rFonts w:ascii="Arial Narrow" w:hAnsi="Arial Narrow" w:cs="Arial"/>
          <w:sz w:val="28"/>
          <w:szCs w:val="28"/>
        </w:rPr>
        <w:t>22 de junio de 2016</w:t>
      </w:r>
      <w:r>
        <w:rPr>
          <w:rFonts w:ascii="Arial Narrow" w:hAnsi="Arial Narrow" w:cs="Arial"/>
          <w:sz w:val="28"/>
          <w:szCs w:val="28"/>
        </w:rPr>
        <w:t xml:space="preserve">, accedió a </w:t>
      </w:r>
      <w:r w:rsidR="008A648F">
        <w:rPr>
          <w:rFonts w:ascii="Arial Narrow" w:hAnsi="Arial Narrow" w:cs="Arial"/>
          <w:sz w:val="28"/>
          <w:szCs w:val="28"/>
        </w:rPr>
        <w:t xml:space="preserve">parcialmente a </w:t>
      </w:r>
      <w:r>
        <w:rPr>
          <w:rFonts w:ascii="Arial Narrow" w:hAnsi="Arial Narrow" w:cs="Arial"/>
          <w:sz w:val="28"/>
          <w:szCs w:val="28"/>
        </w:rPr>
        <w:t xml:space="preserve">las pretensiones de la demanda, declarando que </w:t>
      </w:r>
      <w:r w:rsidR="008A648F">
        <w:rPr>
          <w:rFonts w:ascii="Arial Narrow" w:hAnsi="Arial Narrow" w:cs="Arial"/>
          <w:sz w:val="28"/>
          <w:szCs w:val="28"/>
        </w:rPr>
        <w:t>el</w:t>
      </w:r>
      <w:r>
        <w:rPr>
          <w:rFonts w:ascii="Arial Narrow" w:hAnsi="Arial Narrow" w:cs="Arial"/>
          <w:sz w:val="28"/>
          <w:szCs w:val="28"/>
        </w:rPr>
        <w:t xml:space="preserve"> demandante tiene derecho a la pensión de vejez con fundamento en el Acuerdo 049 de 1990 aprobado por el Decreto 758 del</w:t>
      </w:r>
      <w:r w:rsidR="008A648F">
        <w:rPr>
          <w:rFonts w:ascii="Arial Narrow" w:hAnsi="Arial Narrow" w:cs="Arial"/>
          <w:sz w:val="28"/>
          <w:szCs w:val="28"/>
        </w:rPr>
        <w:t xml:space="preserve"> mismo año, por ser beneficiario</w:t>
      </w:r>
      <w:r>
        <w:rPr>
          <w:rFonts w:ascii="Arial Narrow" w:hAnsi="Arial Narrow" w:cs="Arial"/>
          <w:sz w:val="28"/>
          <w:szCs w:val="28"/>
        </w:rPr>
        <w:t xml:space="preserve"> del régimen de transición consagrado </w:t>
      </w:r>
      <w:r w:rsidRPr="007077F9">
        <w:rPr>
          <w:rFonts w:ascii="Arial Narrow" w:hAnsi="Arial Narrow" w:cs="Arial"/>
          <w:sz w:val="28"/>
          <w:szCs w:val="28"/>
        </w:rPr>
        <w:t xml:space="preserve">en </w:t>
      </w:r>
      <w:r w:rsidR="00BA6C3C" w:rsidRPr="007077F9">
        <w:rPr>
          <w:rFonts w:ascii="Arial Narrow" w:hAnsi="Arial Narrow" w:cs="Arial"/>
          <w:sz w:val="28"/>
          <w:szCs w:val="28"/>
        </w:rPr>
        <w:t>e</w:t>
      </w:r>
      <w:r w:rsidR="00786062" w:rsidRPr="007077F9">
        <w:rPr>
          <w:rFonts w:ascii="Arial Narrow" w:hAnsi="Arial Narrow" w:cs="Arial"/>
          <w:sz w:val="28"/>
          <w:szCs w:val="28"/>
        </w:rPr>
        <w:t>l artículo 36 de la Ley 100/93.</w:t>
      </w:r>
      <w:r w:rsidR="009D376F" w:rsidRPr="007077F9">
        <w:rPr>
          <w:rFonts w:ascii="Arial Narrow" w:hAnsi="Arial Narrow" w:cs="Arial"/>
          <w:sz w:val="28"/>
          <w:szCs w:val="28"/>
        </w:rPr>
        <w:t xml:space="preserve"> </w:t>
      </w:r>
      <w:r w:rsidRPr="007077F9">
        <w:rPr>
          <w:rFonts w:ascii="Arial Narrow" w:hAnsi="Arial Narrow" w:cs="Arial"/>
          <w:sz w:val="28"/>
          <w:szCs w:val="28"/>
        </w:rPr>
        <w:t xml:space="preserve">En consecuencia, condenó a Colpensiones a reconocer y pagar la prestación pensional a partir del </w:t>
      </w:r>
      <w:r w:rsidR="009D376F" w:rsidRPr="007077F9">
        <w:rPr>
          <w:rFonts w:ascii="Arial Narrow" w:hAnsi="Arial Narrow" w:cs="Arial"/>
          <w:sz w:val="28"/>
          <w:szCs w:val="28"/>
        </w:rPr>
        <w:t>1 de enero de 2012</w:t>
      </w:r>
      <w:r w:rsidRPr="007077F9">
        <w:rPr>
          <w:rFonts w:ascii="Arial Narrow" w:hAnsi="Arial Narrow" w:cs="Arial"/>
          <w:sz w:val="28"/>
          <w:szCs w:val="28"/>
        </w:rPr>
        <w:t>, en cuantía equivalente a 1 SMLMV y por catorce mesadas anuales, junto con los intereses moratorios del</w:t>
      </w:r>
      <w:r w:rsidR="009D376F" w:rsidRPr="007077F9">
        <w:rPr>
          <w:rFonts w:ascii="Arial Narrow" w:hAnsi="Arial Narrow" w:cs="Arial"/>
          <w:sz w:val="28"/>
          <w:szCs w:val="28"/>
        </w:rPr>
        <w:t xml:space="preserve"> artículo 141 de la Ley 100/93.</w:t>
      </w:r>
    </w:p>
    <w:p w:rsidR="001A4962" w:rsidRPr="005C2D1D" w:rsidRDefault="001A4962" w:rsidP="005C2D1D">
      <w:pPr>
        <w:pStyle w:val="Sinespaciado"/>
      </w:pPr>
    </w:p>
    <w:p w:rsidR="001A4962" w:rsidRPr="007077F9" w:rsidRDefault="001A4962" w:rsidP="001A4962">
      <w:pPr>
        <w:spacing w:line="360" w:lineRule="auto"/>
        <w:ind w:firstLine="708"/>
        <w:jc w:val="both"/>
        <w:rPr>
          <w:rFonts w:ascii="Arial Narrow" w:hAnsi="Arial Narrow" w:cs="Arial"/>
          <w:sz w:val="28"/>
          <w:szCs w:val="28"/>
        </w:rPr>
      </w:pPr>
      <w:r w:rsidRPr="007077F9">
        <w:rPr>
          <w:rFonts w:ascii="Arial Narrow" w:hAnsi="Arial Narrow" w:cs="Arial"/>
          <w:sz w:val="28"/>
          <w:szCs w:val="28"/>
        </w:rPr>
        <w:t xml:space="preserve">Para el efecto, indicó que </w:t>
      </w:r>
      <w:r w:rsidR="006A300C" w:rsidRPr="007077F9">
        <w:rPr>
          <w:rFonts w:ascii="Arial Narrow" w:hAnsi="Arial Narrow" w:cs="Arial"/>
          <w:sz w:val="28"/>
          <w:szCs w:val="28"/>
        </w:rPr>
        <w:t>el demandante cumplió 60 años de edad el 20 de noviembre de 2008 y</w:t>
      </w:r>
      <w:r w:rsidR="00D96522" w:rsidRPr="007077F9">
        <w:rPr>
          <w:rFonts w:ascii="Arial Narrow" w:hAnsi="Arial Narrow" w:cs="Arial"/>
          <w:sz w:val="28"/>
          <w:szCs w:val="28"/>
        </w:rPr>
        <w:t xml:space="preserve"> cotizó </w:t>
      </w:r>
      <w:r w:rsidR="00D96522" w:rsidRPr="007077F9">
        <w:rPr>
          <w:rFonts w:ascii="Arial Narrow" w:hAnsi="Arial Narrow" w:cs="Tahoma"/>
          <w:color w:val="000000"/>
          <w:sz w:val="28"/>
          <w:szCs w:val="28"/>
          <w:lang w:eastAsia="es-CO"/>
        </w:rPr>
        <w:t>694.14 fueron cotizadas en los 20 años anteriores</w:t>
      </w:r>
      <w:r w:rsidR="00D96522" w:rsidRPr="007077F9">
        <w:rPr>
          <w:rFonts w:ascii="Arial Narrow" w:hAnsi="Arial Narrow" w:cs="Arial"/>
          <w:sz w:val="28"/>
          <w:szCs w:val="28"/>
        </w:rPr>
        <w:t xml:space="preserve"> al cumplimiento de la edad mínima, conforme a las resoluciones expedidas por la entidad de seguridad social, sin que las exigencias contenidas </w:t>
      </w:r>
      <w:r w:rsidRPr="007077F9">
        <w:rPr>
          <w:rFonts w:ascii="Arial Narrow" w:hAnsi="Arial Narrow" w:cs="Arial"/>
          <w:sz w:val="28"/>
          <w:szCs w:val="28"/>
        </w:rPr>
        <w:t xml:space="preserve">en el A. L.01 de 2005, para </w:t>
      </w:r>
      <w:r w:rsidR="00EF65E3" w:rsidRPr="007077F9">
        <w:rPr>
          <w:rFonts w:ascii="Arial Narrow" w:hAnsi="Arial Narrow" w:cs="Arial"/>
          <w:sz w:val="28"/>
          <w:szCs w:val="28"/>
        </w:rPr>
        <w:t>la extensión de los beneficios del régimen de transición hasta el 2014, l</w:t>
      </w:r>
      <w:r w:rsidR="00D96522" w:rsidRPr="007077F9">
        <w:rPr>
          <w:rFonts w:ascii="Arial Narrow" w:hAnsi="Arial Narrow" w:cs="Arial"/>
          <w:sz w:val="28"/>
          <w:szCs w:val="28"/>
        </w:rPr>
        <w:t xml:space="preserve">e sean </w:t>
      </w:r>
      <w:r w:rsidR="009D376F" w:rsidRPr="007077F9">
        <w:rPr>
          <w:rFonts w:ascii="Arial Narrow" w:hAnsi="Arial Narrow" w:cs="Arial"/>
          <w:sz w:val="28"/>
          <w:szCs w:val="28"/>
        </w:rPr>
        <w:t>aplicables</w:t>
      </w:r>
      <w:r w:rsidR="00D96522" w:rsidRPr="007077F9">
        <w:rPr>
          <w:rFonts w:ascii="Arial Narrow" w:hAnsi="Arial Narrow" w:cs="Arial"/>
          <w:sz w:val="28"/>
          <w:szCs w:val="28"/>
        </w:rPr>
        <w:t xml:space="preserve">, </w:t>
      </w:r>
      <w:r w:rsidR="00D96522" w:rsidRPr="007077F9">
        <w:rPr>
          <w:rFonts w:ascii="Arial Narrow" w:hAnsi="Arial Narrow" w:cs="Arial"/>
          <w:sz w:val="28"/>
          <w:szCs w:val="28"/>
        </w:rPr>
        <w:lastRenderedPageBreak/>
        <w:t xml:space="preserve">pues cumplió </w:t>
      </w:r>
      <w:r w:rsidRPr="007077F9">
        <w:rPr>
          <w:rFonts w:ascii="Arial Narrow" w:hAnsi="Arial Narrow" w:cs="Arial"/>
          <w:sz w:val="28"/>
          <w:szCs w:val="28"/>
        </w:rPr>
        <w:t xml:space="preserve">los requisitos de edad y tiempo antes del 31 de julio de 2010. </w:t>
      </w:r>
      <w:r w:rsidR="00EF65E3" w:rsidRPr="007077F9">
        <w:rPr>
          <w:rFonts w:ascii="Arial Narrow" w:hAnsi="Arial Narrow" w:cs="Arial"/>
          <w:sz w:val="28"/>
          <w:szCs w:val="28"/>
        </w:rPr>
        <w:t xml:space="preserve">Encontró </w:t>
      </w:r>
      <w:r w:rsidRPr="007077F9">
        <w:rPr>
          <w:rFonts w:ascii="Arial Narrow" w:hAnsi="Arial Narrow" w:cs="Arial"/>
          <w:sz w:val="28"/>
          <w:szCs w:val="28"/>
        </w:rPr>
        <w:t xml:space="preserve">que el disfrute de la </w:t>
      </w:r>
      <w:r w:rsidR="00D96522" w:rsidRPr="007077F9">
        <w:rPr>
          <w:rFonts w:ascii="Arial Narrow" w:hAnsi="Arial Narrow" w:cs="Arial"/>
          <w:sz w:val="28"/>
          <w:szCs w:val="28"/>
        </w:rPr>
        <w:t xml:space="preserve">prestación </w:t>
      </w:r>
      <w:r w:rsidRPr="007077F9">
        <w:rPr>
          <w:rFonts w:ascii="Arial Narrow" w:hAnsi="Arial Narrow" w:cs="Arial"/>
          <w:sz w:val="28"/>
          <w:szCs w:val="28"/>
        </w:rPr>
        <w:t>procedía a partir de</w:t>
      </w:r>
      <w:r w:rsidR="009D376F" w:rsidRPr="007077F9">
        <w:rPr>
          <w:rFonts w:ascii="Arial Narrow" w:hAnsi="Arial Narrow" w:cs="Arial"/>
          <w:sz w:val="28"/>
          <w:szCs w:val="28"/>
        </w:rPr>
        <w:t>l momento en que</w:t>
      </w:r>
      <w:r w:rsidR="0033612A" w:rsidRPr="007077F9">
        <w:rPr>
          <w:rFonts w:ascii="Arial Narrow" w:hAnsi="Arial Narrow" w:cs="Arial"/>
          <w:sz w:val="28"/>
          <w:szCs w:val="28"/>
        </w:rPr>
        <w:t xml:space="preserve"> el </w:t>
      </w:r>
      <w:r w:rsidR="00EF65E3" w:rsidRPr="007077F9">
        <w:rPr>
          <w:rFonts w:ascii="Arial Narrow" w:hAnsi="Arial Narrow" w:cs="Arial"/>
          <w:sz w:val="28"/>
          <w:szCs w:val="28"/>
        </w:rPr>
        <w:t>actor</w:t>
      </w:r>
      <w:r w:rsidR="009D376F" w:rsidRPr="007077F9">
        <w:rPr>
          <w:rFonts w:ascii="Arial Narrow" w:hAnsi="Arial Narrow" w:cs="Arial"/>
          <w:sz w:val="28"/>
          <w:szCs w:val="28"/>
        </w:rPr>
        <w:t xml:space="preserve"> </w:t>
      </w:r>
      <w:r w:rsidR="00EF65E3" w:rsidRPr="007077F9">
        <w:rPr>
          <w:rFonts w:ascii="Arial Narrow" w:hAnsi="Arial Narrow" w:cs="Arial"/>
          <w:sz w:val="28"/>
          <w:szCs w:val="28"/>
        </w:rPr>
        <w:t xml:space="preserve">elevó </w:t>
      </w:r>
      <w:r w:rsidR="009D376F" w:rsidRPr="007077F9">
        <w:rPr>
          <w:rFonts w:ascii="Arial Narrow" w:hAnsi="Arial Narrow" w:cs="Arial"/>
          <w:sz w:val="28"/>
          <w:szCs w:val="28"/>
        </w:rPr>
        <w:t xml:space="preserve">la </w:t>
      </w:r>
      <w:r w:rsidR="00D96522" w:rsidRPr="007077F9">
        <w:rPr>
          <w:rFonts w:ascii="Arial Narrow" w:hAnsi="Arial Narrow" w:cs="Arial"/>
          <w:sz w:val="28"/>
          <w:szCs w:val="28"/>
        </w:rPr>
        <w:t>solicitud de pen</w:t>
      </w:r>
      <w:r w:rsidR="009D376F" w:rsidRPr="007077F9">
        <w:rPr>
          <w:rFonts w:ascii="Arial Narrow" w:hAnsi="Arial Narrow" w:cs="Arial"/>
          <w:sz w:val="28"/>
          <w:szCs w:val="28"/>
        </w:rPr>
        <w:t xml:space="preserve">sión, pues pese a que </w:t>
      </w:r>
      <w:r w:rsidR="0033612A" w:rsidRPr="007077F9">
        <w:rPr>
          <w:rFonts w:ascii="Arial Narrow" w:hAnsi="Arial Narrow" w:cs="Arial"/>
          <w:sz w:val="28"/>
          <w:szCs w:val="28"/>
        </w:rPr>
        <w:t xml:space="preserve">continuó efectuando cotizaciones al sistema pensional hasta el mes de enero de 2014, fue la </w:t>
      </w:r>
      <w:r w:rsidR="00D96522" w:rsidRPr="007077F9">
        <w:rPr>
          <w:rFonts w:ascii="Arial Narrow" w:hAnsi="Arial Narrow" w:cs="Arial"/>
          <w:sz w:val="28"/>
          <w:szCs w:val="28"/>
        </w:rPr>
        <w:t xml:space="preserve">propia </w:t>
      </w:r>
      <w:r w:rsidR="0033612A" w:rsidRPr="007077F9">
        <w:rPr>
          <w:rFonts w:ascii="Arial Narrow" w:hAnsi="Arial Narrow" w:cs="Arial"/>
          <w:sz w:val="28"/>
          <w:szCs w:val="28"/>
        </w:rPr>
        <w:t>entidad quien lo indujo a error</w:t>
      </w:r>
      <w:r w:rsidR="00720D89" w:rsidRPr="007077F9">
        <w:rPr>
          <w:rFonts w:ascii="Arial Narrow" w:hAnsi="Arial Narrow" w:cs="Arial"/>
          <w:sz w:val="28"/>
          <w:szCs w:val="28"/>
        </w:rPr>
        <w:t xml:space="preserve"> pese a que a ya reunía los requi</w:t>
      </w:r>
      <w:r w:rsidR="00EF65E3" w:rsidRPr="007077F9">
        <w:rPr>
          <w:rFonts w:ascii="Arial Narrow" w:hAnsi="Arial Narrow" w:cs="Arial"/>
          <w:sz w:val="28"/>
          <w:szCs w:val="28"/>
        </w:rPr>
        <w:t>sitos para acceder al derecho pensional</w:t>
      </w:r>
      <w:r w:rsidR="0033612A" w:rsidRPr="007077F9">
        <w:rPr>
          <w:rFonts w:ascii="Arial Narrow" w:hAnsi="Arial Narrow" w:cs="Arial"/>
          <w:sz w:val="28"/>
          <w:szCs w:val="28"/>
        </w:rPr>
        <w:t xml:space="preserve">. Declaró prescritas las mesadas causadas con antelación al 24 de julio de 2012, en razón a que </w:t>
      </w:r>
      <w:r w:rsidR="00292BFD" w:rsidRPr="007077F9">
        <w:rPr>
          <w:rFonts w:ascii="Arial Narrow" w:hAnsi="Arial Narrow" w:cs="Arial"/>
          <w:sz w:val="28"/>
          <w:szCs w:val="28"/>
        </w:rPr>
        <w:t xml:space="preserve">la demanda fue presentada </w:t>
      </w:r>
      <w:r w:rsidR="005E4287" w:rsidRPr="007077F9">
        <w:rPr>
          <w:rFonts w:ascii="Arial Narrow" w:hAnsi="Arial Narrow" w:cs="Arial"/>
          <w:sz w:val="28"/>
          <w:szCs w:val="28"/>
        </w:rPr>
        <w:t xml:space="preserve">por fuera del trienio que otorga la Ley, luego de presentada la solicitud de pensión. </w:t>
      </w:r>
    </w:p>
    <w:p w:rsidR="005E4287" w:rsidRPr="005C2D1D" w:rsidRDefault="005E4287" w:rsidP="005C2D1D">
      <w:pPr>
        <w:pStyle w:val="Sinespaciado"/>
      </w:pPr>
    </w:p>
    <w:p w:rsidR="005E4287" w:rsidRPr="007077F9" w:rsidRDefault="00124528" w:rsidP="005E4287">
      <w:pPr>
        <w:spacing w:line="360" w:lineRule="auto"/>
        <w:ind w:firstLine="708"/>
        <w:jc w:val="both"/>
        <w:rPr>
          <w:rFonts w:ascii="Arial Narrow" w:hAnsi="Arial Narrow"/>
          <w:sz w:val="28"/>
          <w:szCs w:val="28"/>
        </w:rPr>
      </w:pPr>
      <w:r w:rsidRPr="007077F9">
        <w:rPr>
          <w:rFonts w:ascii="Arial Narrow" w:hAnsi="Arial Narrow" w:cs="Arial"/>
          <w:sz w:val="28"/>
          <w:szCs w:val="28"/>
        </w:rPr>
        <w:t xml:space="preserve">El vocero judicial del demandante </w:t>
      </w:r>
      <w:r w:rsidR="00874358" w:rsidRPr="007077F9">
        <w:rPr>
          <w:rFonts w:ascii="Arial Narrow" w:hAnsi="Arial Narrow" w:cs="Arial"/>
          <w:sz w:val="28"/>
          <w:szCs w:val="28"/>
        </w:rPr>
        <w:t xml:space="preserve">se alzó contra la decisión, presentando inconformidad </w:t>
      </w:r>
      <w:r w:rsidR="001B3FA3" w:rsidRPr="007077F9">
        <w:rPr>
          <w:rFonts w:ascii="Arial Narrow" w:hAnsi="Arial Narrow" w:cs="Arial"/>
          <w:sz w:val="28"/>
          <w:szCs w:val="28"/>
        </w:rPr>
        <w:t xml:space="preserve">con </w:t>
      </w:r>
      <w:r w:rsidR="00874358" w:rsidRPr="007077F9">
        <w:rPr>
          <w:rFonts w:ascii="Arial Narrow" w:hAnsi="Arial Narrow" w:cs="Arial"/>
          <w:sz w:val="28"/>
          <w:szCs w:val="28"/>
        </w:rPr>
        <w:t>la declaratoria</w:t>
      </w:r>
      <w:r w:rsidRPr="007077F9">
        <w:rPr>
          <w:rFonts w:ascii="Arial Narrow" w:hAnsi="Arial Narrow" w:cs="Arial"/>
          <w:sz w:val="28"/>
          <w:szCs w:val="28"/>
        </w:rPr>
        <w:t xml:space="preserve"> parcial de la excepción de prescripción. </w:t>
      </w:r>
      <w:r w:rsidR="00381DC3" w:rsidRPr="007077F9">
        <w:rPr>
          <w:rFonts w:ascii="Arial Narrow" w:hAnsi="Arial Narrow" w:cs="Arial"/>
          <w:sz w:val="28"/>
          <w:szCs w:val="28"/>
        </w:rPr>
        <w:t xml:space="preserve">En la sustentación, indicó que </w:t>
      </w:r>
      <w:r w:rsidR="00874358" w:rsidRPr="007077F9">
        <w:rPr>
          <w:rFonts w:ascii="Arial Narrow" w:hAnsi="Arial Narrow" w:cs="Arial"/>
          <w:sz w:val="28"/>
          <w:szCs w:val="28"/>
        </w:rPr>
        <w:t>al haberse solicitado el reconocimiento de la pensión el 2 de diciembre de 2011, no transcurrió el t</w:t>
      </w:r>
      <w:r w:rsidR="00545146" w:rsidRPr="007077F9">
        <w:rPr>
          <w:rFonts w:ascii="Arial Narrow" w:hAnsi="Arial Narrow" w:cs="Arial"/>
          <w:sz w:val="28"/>
          <w:szCs w:val="28"/>
        </w:rPr>
        <w:t xml:space="preserve">érmino trienal para la extinción de </w:t>
      </w:r>
      <w:r w:rsidR="00725EEA">
        <w:rPr>
          <w:rFonts w:ascii="Arial Narrow" w:hAnsi="Arial Narrow" w:cs="Arial"/>
          <w:sz w:val="28"/>
          <w:szCs w:val="28"/>
        </w:rPr>
        <w:t>la prim</w:t>
      </w:r>
      <w:r w:rsidR="006863CF">
        <w:rPr>
          <w:rFonts w:ascii="Arial Narrow" w:hAnsi="Arial Narrow" w:cs="Arial"/>
          <w:sz w:val="28"/>
          <w:szCs w:val="28"/>
        </w:rPr>
        <w:t>era mesada pensional del año 2008, cuando se causó el derecho pensional</w:t>
      </w:r>
      <w:r w:rsidR="005C2D1D">
        <w:rPr>
          <w:rFonts w:ascii="Arial Narrow" w:hAnsi="Arial Narrow" w:cs="Arial"/>
          <w:sz w:val="28"/>
          <w:szCs w:val="28"/>
        </w:rPr>
        <w:t>, de modo que al haberse r</w:t>
      </w:r>
      <w:r w:rsidR="00545146" w:rsidRPr="007077F9">
        <w:rPr>
          <w:rFonts w:ascii="Arial Narrow" w:hAnsi="Arial Narrow" w:cs="Arial"/>
          <w:sz w:val="28"/>
          <w:szCs w:val="28"/>
        </w:rPr>
        <w:t>esuelto en forma definitiva la</w:t>
      </w:r>
      <w:r w:rsidR="006863CF">
        <w:rPr>
          <w:rFonts w:ascii="Arial Narrow" w:hAnsi="Arial Narrow" w:cs="Arial"/>
          <w:sz w:val="28"/>
          <w:szCs w:val="28"/>
        </w:rPr>
        <w:t xml:space="preserve"> reclamación administrativa e</w:t>
      </w:r>
      <w:r w:rsidR="00545146" w:rsidRPr="007077F9">
        <w:rPr>
          <w:rFonts w:ascii="Arial Narrow" w:hAnsi="Arial Narrow" w:cs="Arial"/>
          <w:sz w:val="28"/>
          <w:szCs w:val="28"/>
        </w:rPr>
        <w:t xml:space="preserve">l 14 de abril de 2014, cuando </w:t>
      </w:r>
      <w:r w:rsidR="005C2D1D">
        <w:rPr>
          <w:rFonts w:ascii="Arial Narrow" w:hAnsi="Arial Narrow" w:cs="Arial"/>
          <w:sz w:val="28"/>
          <w:szCs w:val="28"/>
        </w:rPr>
        <w:t>se desató</w:t>
      </w:r>
      <w:r w:rsidR="00CA3F83" w:rsidRPr="007077F9">
        <w:rPr>
          <w:rFonts w:ascii="Arial Narrow" w:hAnsi="Arial Narrow" w:cs="Arial"/>
          <w:sz w:val="28"/>
          <w:szCs w:val="28"/>
        </w:rPr>
        <w:t xml:space="preserve"> </w:t>
      </w:r>
      <w:r w:rsidR="00545146" w:rsidRPr="007077F9">
        <w:rPr>
          <w:rFonts w:ascii="Arial Narrow" w:hAnsi="Arial Narrow" w:cs="Arial"/>
          <w:sz w:val="28"/>
          <w:szCs w:val="28"/>
        </w:rPr>
        <w:t>el recurso de reposición presentado contra el acto administrativo que negó el derecho, y habiéndose presentado la demanda dentro del año siguiente, no hay lugar a declarar la prosperidad de dicho medio exceptivo.</w:t>
      </w:r>
      <w:r w:rsidR="00CA3F83" w:rsidRPr="007077F9">
        <w:rPr>
          <w:rFonts w:ascii="Arial Narrow" w:hAnsi="Arial Narrow" w:cs="Arial"/>
          <w:sz w:val="28"/>
          <w:szCs w:val="28"/>
        </w:rPr>
        <w:t xml:space="preserve"> Solicitó además el reconocimiento de los intereses de mora desde el primer día de reconocimiento de la gracia pensional. </w:t>
      </w:r>
    </w:p>
    <w:p w:rsidR="00874358" w:rsidRPr="005C2D1D" w:rsidRDefault="00874358" w:rsidP="005C2D1D">
      <w:pPr>
        <w:pStyle w:val="Sinespaciado"/>
      </w:pPr>
    </w:p>
    <w:p w:rsidR="001A4962" w:rsidRPr="007077F9" w:rsidRDefault="001A4962" w:rsidP="001A4962">
      <w:pPr>
        <w:shd w:val="clear" w:color="auto" w:fill="FFFFFF"/>
        <w:spacing w:line="360" w:lineRule="auto"/>
        <w:ind w:firstLine="708"/>
        <w:jc w:val="both"/>
        <w:rPr>
          <w:rFonts w:ascii="Arial Narrow" w:hAnsi="Arial Narrow" w:cs="Tahoma"/>
          <w:color w:val="000000"/>
          <w:sz w:val="28"/>
          <w:szCs w:val="28"/>
          <w:lang w:eastAsia="es-CO"/>
        </w:rPr>
      </w:pPr>
      <w:r w:rsidRPr="007077F9">
        <w:rPr>
          <w:rFonts w:ascii="Arial Narrow" w:hAnsi="Arial Narrow" w:cs="Tahoma"/>
          <w:color w:val="000000"/>
          <w:sz w:val="28"/>
          <w:szCs w:val="28"/>
          <w:lang w:eastAsia="es-CO"/>
        </w:rPr>
        <w:t>Respecto del citado proveído se dispuso el grado jurisdiccional de consulta ante esta Sala y surtido como se encuentra el trámite procesa</w:t>
      </w:r>
      <w:r w:rsidR="001B3FA3" w:rsidRPr="007077F9">
        <w:rPr>
          <w:rFonts w:ascii="Arial Narrow" w:hAnsi="Arial Narrow" w:cs="Tahoma"/>
          <w:color w:val="000000"/>
          <w:sz w:val="28"/>
          <w:szCs w:val="28"/>
          <w:lang w:eastAsia="es-CO"/>
        </w:rPr>
        <w:t xml:space="preserve">l de la instancia, se procede a </w:t>
      </w:r>
      <w:r w:rsidRPr="007077F9">
        <w:rPr>
          <w:rFonts w:ascii="Arial Narrow" w:hAnsi="Arial Narrow" w:cs="Tahoma"/>
          <w:color w:val="000000"/>
          <w:sz w:val="28"/>
          <w:szCs w:val="28"/>
          <w:lang w:eastAsia="es-CO"/>
        </w:rPr>
        <w:t xml:space="preserve">desatarlo.  </w:t>
      </w:r>
    </w:p>
    <w:p w:rsidR="008A648F" w:rsidRPr="005C2D1D" w:rsidRDefault="008A648F" w:rsidP="005C2D1D">
      <w:pPr>
        <w:pStyle w:val="Sinespaciado"/>
      </w:pPr>
    </w:p>
    <w:p w:rsidR="001A4962" w:rsidRPr="007077F9" w:rsidRDefault="001A4962" w:rsidP="001A496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077F9">
        <w:rPr>
          <w:rFonts w:ascii="Arial Narrow" w:hAnsi="Arial Narrow" w:cs="Tahoma"/>
          <w:color w:val="000000"/>
          <w:sz w:val="28"/>
          <w:szCs w:val="28"/>
          <w:lang w:eastAsia="es-CO"/>
        </w:rPr>
        <w:t>Visto el recuento anterior, la Sala formula los si</w:t>
      </w:r>
      <w:r w:rsidR="005C2D1D">
        <w:rPr>
          <w:rFonts w:ascii="Arial Narrow" w:hAnsi="Arial Narrow" w:cs="Tahoma"/>
          <w:color w:val="000000"/>
          <w:sz w:val="28"/>
          <w:szCs w:val="28"/>
          <w:lang w:eastAsia="es-CO"/>
        </w:rPr>
        <w:t>guientes problemas jurídicos</w:t>
      </w:r>
      <w:r w:rsidRPr="007077F9">
        <w:rPr>
          <w:rFonts w:ascii="Arial Narrow" w:hAnsi="Arial Narrow" w:cs="Tahoma"/>
          <w:color w:val="000000"/>
          <w:sz w:val="28"/>
          <w:szCs w:val="28"/>
          <w:lang w:eastAsia="es-CO"/>
        </w:rPr>
        <w:t>:</w:t>
      </w:r>
    </w:p>
    <w:p w:rsidR="001A4962" w:rsidRPr="005C2D1D" w:rsidRDefault="001A4962" w:rsidP="005C2D1D">
      <w:pPr>
        <w:pStyle w:val="Sinespaciado"/>
      </w:pPr>
    </w:p>
    <w:p w:rsidR="001A4962" w:rsidRPr="005C2D1D" w:rsidRDefault="001A4962" w:rsidP="001A4962">
      <w:pPr>
        <w:shd w:val="clear" w:color="auto" w:fill="FFFFFF"/>
        <w:tabs>
          <w:tab w:val="left" w:pos="567"/>
        </w:tabs>
        <w:jc w:val="both"/>
        <w:rPr>
          <w:rFonts w:ascii="Arial Narrow" w:hAnsi="Arial Narrow" w:cs="Tahoma"/>
          <w:i/>
          <w:color w:val="000000"/>
          <w:sz w:val="28"/>
          <w:szCs w:val="28"/>
          <w:lang w:eastAsia="es-CO"/>
        </w:rPr>
      </w:pPr>
      <w:r w:rsidRPr="005C2D1D">
        <w:rPr>
          <w:rFonts w:ascii="Arial Narrow" w:hAnsi="Arial Narrow" w:cs="Tahoma"/>
          <w:i/>
          <w:color w:val="000000"/>
          <w:sz w:val="26"/>
          <w:szCs w:val="26"/>
          <w:lang w:eastAsia="es-CO"/>
        </w:rPr>
        <w:tab/>
      </w:r>
      <w:r w:rsidRPr="005C2D1D">
        <w:rPr>
          <w:rFonts w:ascii="Arial Narrow" w:hAnsi="Arial Narrow" w:cs="Tahoma"/>
          <w:i/>
          <w:color w:val="000000"/>
          <w:sz w:val="28"/>
          <w:szCs w:val="28"/>
          <w:lang w:eastAsia="es-CO"/>
        </w:rPr>
        <w:t>¿</w:t>
      </w:r>
      <w:r w:rsidR="007077F9" w:rsidRPr="005C2D1D">
        <w:rPr>
          <w:rFonts w:ascii="Arial Narrow" w:hAnsi="Arial Narrow" w:cs="Tahoma"/>
          <w:i/>
          <w:color w:val="000000"/>
          <w:sz w:val="28"/>
          <w:szCs w:val="28"/>
          <w:lang w:eastAsia="es-CO"/>
        </w:rPr>
        <w:t>El</w:t>
      </w:r>
      <w:r w:rsidRPr="005C2D1D">
        <w:rPr>
          <w:rFonts w:ascii="Arial Narrow" w:hAnsi="Arial Narrow" w:cs="Tahoma"/>
          <w:i/>
          <w:color w:val="000000"/>
          <w:sz w:val="28"/>
          <w:szCs w:val="28"/>
          <w:lang w:eastAsia="es-CO"/>
        </w:rPr>
        <w:t xml:space="preserve"> demandante es beneficiari</w:t>
      </w:r>
      <w:r w:rsidR="007077F9" w:rsidRPr="005C2D1D">
        <w:rPr>
          <w:rFonts w:ascii="Arial Narrow" w:hAnsi="Arial Narrow" w:cs="Tahoma"/>
          <w:i/>
          <w:color w:val="000000"/>
          <w:sz w:val="28"/>
          <w:szCs w:val="28"/>
          <w:lang w:eastAsia="es-CO"/>
        </w:rPr>
        <w:t>o</w:t>
      </w:r>
      <w:r w:rsidRPr="005C2D1D">
        <w:rPr>
          <w:rFonts w:ascii="Arial Narrow" w:hAnsi="Arial Narrow" w:cs="Tahoma"/>
          <w:i/>
          <w:color w:val="000000"/>
          <w:sz w:val="28"/>
          <w:szCs w:val="28"/>
          <w:lang w:eastAsia="es-CO"/>
        </w:rPr>
        <w:t xml:space="preserve"> del régimen de transición </w:t>
      </w:r>
      <w:r w:rsidR="007077F9" w:rsidRPr="005C2D1D">
        <w:rPr>
          <w:rFonts w:ascii="Arial Narrow" w:hAnsi="Arial Narrow" w:cs="Tahoma"/>
          <w:i/>
          <w:color w:val="000000"/>
          <w:sz w:val="28"/>
          <w:szCs w:val="28"/>
          <w:lang w:eastAsia="es-CO"/>
        </w:rPr>
        <w:t xml:space="preserve">contenido en el </w:t>
      </w:r>
      <w:r w:rsidRPr="005C2D1D">
        <w:rPr>
          <w:rFonts w:ascii="Arial Narrow" w:hAnsi="Arial Narrow" w:cs="Tahoma"/>
          <w:i/>
          <w:color w:val="000000"/>
          <w:sz w:val="28"/>
          <w:szCs w:val="28"/>
          <w:lang w:eastAsia="es-CO"/>
        </w:rPr>
        <w:t>artículo 36 de la Ley 100/93?</w:t>
      </w:r>
    </w:p>
    <w:p w:rsidR="001A4962" w:rsidRPr="005C2D1D" w:rsidRDefault="001A4962" w:rsidP="005C2D1D">
      <w:pPr>
        <w:pStyle w:val="Sinespaciado"/>
      </w:pPr>
    </w:p>
    <w:p w:rsidR="001A4962" w:rsidRPr="005C2D1D" w:rsidRDefault="001A4962" w:rsidP="001A4962">
      <w:pPr>
        <w:shd w:val="clear" w:color="auto" w:fill="FFFFFF"/>
        <w:tabs>
          <w:tab w:val="left" w:pos="567"/>
        </w:tabs>
        <w:jc w:val="both"/>
        <w:rPr>
          <w:rFonts w:ascii="Arial Narrow" w:hAnsi="Arial Narrow" w:cs="Tahoma"/>
          <w:i/>
          <w:iCs/>
          <w:color w:val="000000"/>
          <w:sz w:val="28"/>
          <w:szCs w:val="28"/>
          <w:lang w:val="es-MX" w:eastAsia="es-CO"/>
        </w:rPr>
      </w:pPr>
      <w:r w:rsidRPr="005C2D1D">
        <w:rPr>
          <w:rFonts w:ascii="Arial Narrow" w:hAnsi="Arial Narrow" w:cs="Tahoma"/>
          <w:color w:val="000000"/>
          <w:sz w:val="28"/>
          <w:szCs w:val="28"/>
          <w:lang w:eastAsia="es-CO"/>
        </w:rPr>
        <w:tab/>
      </w:r>
      <w:r w:rsidRPr="005C2D1D">
        <w:rPr>
          <w:rFonts w:ascii="Arial Narrow" w:hAnsi="Arial Narrow" w:cs="Tahoma"/>
          <w:i/>
          <w:iCs/>
          <w:color w:val="000000"/>
          <w:sz w:val="28"/>
          <w:szCs w:val="28"/>
          <w:lang w:eastAsia="es-CO"/>
        </w:rPr>
        <w:t>¿</w:t>
      </w:r>
      <w:r w:rsidRPr="005C2D1D">
        <w:rPr>
          <w:rFonts w:ascii="Arial Narrow" w:hAnsi="Arial Narrow" w:cs="Tahoma"/>
          <w:i/>
          <w:iCs/>
          <w:color w:val="000000"/>
          <w:sz w:val="28"/>
          <w:szCs w:val="28"/>
          <w:lang w:val="es-MX" w:eastAsia="es-CO"/>
        </w:rPr>
        <w:t xml:space="preserve">Tiene derecho a obtener la pensión de vejez que reclama? </w:t>
      </w:r>
      <w:r w:rsidR="007077F9" w:rsidRPr="005C2D1D">
        <w:rPr>
          <w:rFonts w:ascii="Arial Narrow" w:hAnsi="Arial Narrow" w:cs="Tahoma"/>
          <w:i/>
          <w:iCs/>
          <w:color w:val="000000"/>
          <w:sz w:val="28"/>
          <w:szCs w:val="28"/>
          <w:lang w:val="es-MX" w:eastAsia="es-CO"/>
        </w:rPr>
        <w:t xml:space="preserve">En caso positivo, </w:t>
      </w:r>
    </w:p>
    <w:p w:rsidR="00725EEA" w:rsidRPr="005C2D1D" w:rsidRDefault="00725EEA" w:rsidP="005C2D1D">
      <w:pPr>
        <w:pStyle w:val="Sinespaciado"/>
        <w:rPr>
          <w:lang w:val="es-MX"/>
        </w:rPr>
      </w:pPr>
    </w:p>
    <w:p w:rsidR="00725EEA" w:rsidRPr="005C2D1D" w:rsidRDefault="00725EEA" w:rsidP="00725EEA">
      <w:pPr>
        <w:ind w:firstLine="567"/>
        <w:jc w:val="both"/>
        <w:rPr>
          <w:rFonts w:ascii="Arial Narrow" w:hAnsi="Arial Narrow" w:cs="Tahoma"/>
          <w:i/>
          <w:iCs/>
          <w:color w:val="000000"/>
          <w:sz w:val="28"/>
          <w:szCs w:val="28"/>
          <w:lang w:val="es-MX" w:eastAsia="es-CO"/>
        </w:rPr>
      </w:pPr>
      <w:r w:rsidRPr="005C2D1D">
        <w:rPr>
          <w:rFonts w:ascii="Arial Narrow" w:hAnsi="Arial Narrow" w:cs="Tahoma"/>
          <w:i/>
          <w:iCs/>
          <w:color w:val="000000"/>
          <w:sz w:val="28"/>
          <w:szCs w:val="28"/>
          <w:lang w:val="es-MX" w:eastAsia="es-CO"/>
        </w:rPr>
        <w:t>A partir de qué fecha debe otorgarse el reconocimiento de la prestación pensional?</w:t>
      </w:r>
    </w:p>
    <w:p w:rsidR="00725EEA" w:rsidRPr="005C2D1D" w:rsidRDefault="00725EEA" w:rsidP="001A4962">
      <w:pPr>
        <w:shd w:val="clear" w:color="auto" w:fill="FFFFFF"/>
        <w:tabs>
          <w:tab w:val="left" w:pos="567"/>
        </w:tabs>
        <w:jc w:val="both"/>
        <w:rPr>
          <w:rFonts w:ascii="Arial Narrow" w:hAnsi="Arial Narrow" w:cs="Tahoma"/>
          <w:i/>
          <w:iCs/>
          <w:color w:val="000000"/>
          <w:sz w:val="28"/>
          <w:szCs w:val="28"/>
          <w:lang w:val="es-MX" w:eastAsia="es-CO"/>
        </w:rPr>
      </w:pPr>
    </w:p>
    <w:p w:rsidR="00340AF0" w:rsidRPr="005C2D1D" w:rsidRDefault="001A4962" w:rsidP="001A4962">
      <w:pPr>
        <w:ind w:firstLine="567"/>
        <w:jc w:val="both"/>
        <w:rPr>
          <w:rFonts w:ascii="Arial Narrow" w:hAnsi="Arial Narrow" w:cs="Tahoma"/>
          <w:i/>
          <w:iCs/>
          <w:color w:val="000000"/>
          <w:sz w:val="28"/>
          <w:szCs w:val="28"/>
          <w:lang w:val="es-MX" w:eastAsia="es-CO"/>
        </w:rPr>
      </w:pPr>
      <w:r w:rsidRPr="005C2D1D">
        <w:rPr>
          <w:rFonts w:ascii="Arial Narrow" w:hAnsi="Arial Narrow" w:cs="Tahoma"/>
          <w:i/>
          <w:iCs/>
          <w:color w:val="000000"/>
          <w:sz w:val="28"/>
          <w:szCs w:val="28"/>
          <w:lang w:val="es-MX" w:eastAsia="es-CO"/>
        </w:rPr>
        <w:t>¿</w:t>
      </w:r>
      <w:r w:rsidR="007077F9" w:rsidRPr="005C2D1D">
        <w:rPr>
          <w:rFonts w:ascii="Arial Narrow" w:hAnsi="Arial Narrow" w:cs="Tahoma"/>
          <w:i/>
          <w:iCs/>
          <w:color w:val="000000"/>
          <w:sz w:val="28"/>
          <w:szCs w:val="28"/>
          <w:lang w:val="es-MX" w:eastAsia="es-CO"/>
        </w:rPr>
        <w:t>Hay lugar a declarar probada la excepción de prescripción</w:t>
      </w:r>
      <w:r w:rsidR="00340AF0" w:rsidRPr="005C2D1D">
        <w:rPr>
          <w:rFonts w:ascii="Arial Narrow" w:hAnsi="Arial Narrow" w:cs="Tahoma"/>
          <w:i/>
          <w:iCs/>
          <w:color w:val="000000"/>
          <w:sz w:val="28"/>
          <w:szCs w:val="28"/>
          <w:lang w:val="es-MX" w:eastAsia="es-CO"/>
        </w:rPr>
        <w:t xml:space="preserve"> propuesta por la entidad? </w:t>
      </w:r>
    </w:p>
    <w:p w:rsidR="00340AF0" w:rsidRPr="005C2D1D" w:rsidRDefault="00340AF0" w:rsidP="001A4962">
      <w:pPr>
        <w:ind w:firstLine="567"/>
        <w:jc w:val="both"/>
        <w:rPr>
          <w:rFonts w:ascii="Arial Narrow" w:hAnsi="Arial Narrow" w:cs="Tahoma"/>
          <w:i/>
          <w:iCs/>
          <w:color w:val="000000"/>
          <w:sz w:val="28"/>
          <w:szCs w:val="28"/>
          <w:lang w:val="es-MX" w:eastAsia="es-CO"/>
        </w:rPr>
      </w:pPr>
      <w:r w:rsidRPr="005C2D1D">
        <w:rPr>
          <w:rFonts w:ascii="Arial Narrow" w:hAnsi="Arial Narrow" w:cs="Tahoma"/>
          <w:i/>
          <w:iCs/>
          <w:color w:val="000000"/>
          <w:sz w:val="28"/>
          <w:szCs w:val="28"/>
          <w:lang w:val="es-MX" w:eastAsia="es-CO"/>
        </w:rPr>
        <w:lastRenderedPageBreak/>
        <w:t>¿Procede la condena al pago de intereses moratorios de que trata el artículo 14</w:t>
      </w:r>
      <w:r w:rsidR="005C2D1D">
        <w:rPr>
          <w:rFonts w:ascii="Arial Narrow" w:hAnsi="Arial Narrow" w:cs="Tahoma"/>
          <w:i/>
          <w:iCs/>
          <w:color w:val="000000"/>
          <w:sz w:val="28"/>
          <w:szCs w:val="28"/>
          <w:lang w:val="es-MX" w:eastAsia="es-CO"/>
        </w:rPr>
        <w:t>1</w:t>
      </w:r>
      <w:r w:rsidRPr="005C2D1D">
        <w:rPr>
          <w:rFonts w:ascii="Arial Narrow" w:hAnsi="Arial Narrow" w:cs="Tahoma"/>
          <w:i/>
          <w:iCs/>
          <w:color w:val="000000"/>
          <w:sz w:val="28"/>
          <w:szCs w:val="28"/>
          <w:lang w:val="es-MX" w:eastAsia="es-CO"/>
        </w:rPr>
        <w:t xml:space="preserve"> de la Ley 100/93?</w:t>
      </w:r>
    </w:p>
    <w:p w:rsidR="001A4962" w:rsidRPr="00BA04D0" w:rsidRDefault="001A4962" w:rsidP="001A4962">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1A4962" w:rsidRPr="008243B0" w:rsidRDefault="001A4962" w:rsidP="008243B0">
      <w:pPr>
        <w:pStyle w:val="Sinespaciado"/>
      </w:pPr>
    </w:p>
    <w:p w:rsidR="001A4962" w:rsidRPr="00BA04D0" w:rsidRDefault="001A4962" w:rsidP="001A4962">
      <w:pPr>
        <w:spacing w:line="360" w:lineRule="auto"/>
        <w:ind w:firstLine="851"/>
        <w:jc w:val="both"/>
        <w:rPr>
          <w:rFonts w:ascii="Arial Narrow" w:hAnsi="Arial Narrow" w:cs="Tahoma"/>
          <w:sz w:val="28"/>
          <w:szCs w:val="28"/>
        </w:rPr>
      </w:pPr>
      <w:r w:rsidRPr="00BA04D0">
        <w:rPr>
          <w:rFonts w:ascii="Arial Narrow" w:hAnsi="Arial Narrow" w:cs="Tahoma"/>
          <w:sz w:val="28"/>
          <w:szCs w:val="28"/>
        </w:rPr>
        <w:t>En este estado de la diligencia y antes de que la Colegiatura, de respuesta al problema jurídico planteado, con el propósito de desatar</w:t>
      </w:r>
      <w:r w:rsidR="005C2D1D">
        <w:rPr>
          <w:rFonts w:ascii="Arial Narrow" w:hAnsi="Arial Narrow" w:cs="Tahoma"/>
          <w:sz w:val="28"/>
          <w:szCs w:val="28"/>
        </w:rPr>
        <w:t xml:space="preserve"> la instancia</w:t>
      </w:r>
      <w:r w:rsidRPr="00BA04D0">
        <w:rPr>
          <w:rFonts w:ascii="Arial Narrow" w:hAnsi="Arial Narrow" w:cs="Tahoma"/>
          <w:sz w:val="28"/>
          <w:szCs w:val="28"/>
        </w:rPr>
        <w:t>, se corre traslado por el término de 8 minutos para alegar, a cada uno de los voceros judiciales de las partes asistentes a</w:t>
      </w:r>
      <w:r w:rsidR="005C2D1D">
        <w:rPr>
          <w:rFonts w:ascii="Arial Narrow" w:hAnsi="Arial Narrow" w:cs="Tahoma"/>
          <w:sz w:val="28"/>
          <w:szCs w:val="28"/>
        </w:rPr>
        <w:t xml:space="preserve"> la audiencia, empezando por el recurrente</w:t>
      </w:r>
      <w:r w:rsidRPr="00BA04D0">
        <w:rPr>
          <w:rFonts w:ascii="Arial Narrow" w:hAnsi="Arial Narrow" w:cs="Tahoma"/>
          <w:sz w:val="28"/>
          <w:szCs w:val="28"/>
        </w:rPr>
        <w:t xml:space="preserve">. Escuchadas las anteriores intervenciones que en síntesis reflejan los mismos puntos debatidos por los integrantes de la Sala, se procede a decidir de fondo, previa las siguientes: </w:t>
      </w:r>
    </w:p>
    <w:p w:rsidR="001A4962" w:rsidRPr="00074EE3" w:rsidRDefault="001A4962" w:rsidP="005C2D1D">
      <w:pPr>
        <w:pStyle w:val="Sinespaciado"/>
        <w:spacing w:line="360" w:lineRule="auto"/>
      </w:pPr>
    </w:p>
    <w:p w:rsidR="001A4962" w:rsidRDefault="001A4962" w:rsidP="001A4962">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1A4962" w:rsidRPr="008243B0" w:rsidRDefault="001A4962" w:rsidP="008243B0">
      <w:pPr>
        <w:pStyle w:val="Sinespaciado"/>
      </w:pPr>
    </w:p>
    <w:p w:rsidR="00140E93" w:rsidRDefault="004A5BD8" w:rsidP="001A4962">
      <w:pPr>
        <w:pStyle w:val="Sinespaciado"/>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C</w:t>
      </w:r>
      <w:r w:rsidR="00B568FE">
        <w:rPr>
          <w:rFonts w:ascii="Arial Narrow" w:hAnsi="Arial Narrow" w:cs="Arial"/>
          <w:sz w:val="28"/>
          <w:szCs w:val="28"/>
          <w:lang w:val="es-ES"/>
        </w:rPr>
        <w:t>o</w:t>
      </w:r>
      <w:r w:rsidR="001A4962" w:rsidRPr="0006758F">
        <w:rPr>
          <w:rFonts w:ascii="Arial Narrow" w:hAnsi="Arial Narrow" w:cs="Arial"/>
          <w:sz w:val="28"/>
          <w:szCs w:val="28"/>
          <w:lang w:val="es-ES"/>
        </w:rPr>
        <w:t xml:space="preserve">n el advenimiento de la Ley 100 de 1993 y con miras a proteger expectativas legítimas, el legislador estableció un régimen de transición, en virtud del cual, se mantenían vigentes para ciertos grupos, los presupuestos para pensionarse del régimen anterior. </w:t>
      </w:r>
    </w:p>
    <w:p w:rsidR="00140E93" w:rsidRPr="008243B0" w:rsidRDefault="00140E93" w:rsidP="008243B0">
      <w:pPr>
        <w:pStyle w:val="Sinespaciado"/>
      </w:pPr>
    </w:p>
    <w:p w:rsidR="001A4962" w:rsidRPr="0006758F" w:rsidRDefault="001A4962" w:rsidP="001A4962">
      <w:pPr>
        <w:pStyle w:val="Sinespaciado"/>
        <w:spacing w:line="360" w:lineRule="auto"/>
        <w:ind w:firstLine="708"/>
        <w:jc w:val="both"/>
        <w:rPr>
          <w:rFonts w:ascii="Arial Narrow" w:hAnsi="Arial Narrow" w:cs="Arial"/>
          <w:sz w:val="28"/>
          <w:szCs w:val="28"/>
          <w:lang w:val="es-ES"/>
        </w:rPr>
      </w:pPr>
      <w:r w:rsidRPr="0006758F">
        <w:rPr>
          <w:rFonts w:ascii="Arial Narrow" w:hAnsi="Arial Narrow"/>
          <w:sz w:val="28"/>
          <w:szCs w:val="28"/>
        </w:rPr>
        <w:t>Es así como el artículo 36 de la citada disposición,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w:t>
      </w:r>
    </w:p>
    <w:p w:rsidR="001A4962" w:rsidRPr="008243B0" w:rsidRDefault="001A4962" w:rsidP="008243B0">
      <w:pPr>
        <w:pStyle w:val="Sinespaciado"/>
      </w:pPr>
    </w:p>
    <w:p w:rsidR="001A4962" w:rsidRPr="0006758F" w:rsidRDefault="001A4962" w:rsidP="001A4962">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En el caso d</w:t>
      </w:r>
      <w:r w:rsidR="00140E93">
        <w:rPr>
          <w:rFonts w:ascii="Arial Narrow" w:hAnsi="Arial Narrow" w:cs="Arial"/>
          <w:sz w:val="28"/>
          <w:szCs w:val="28"/>
          <w:lang w:val="es-ES"/>
        </w:rPr>
        <w:t xml:space="preserve">el </w:t>
      </w:r>
      <w:r w:rsidRPr="0006758F">
        <w:rPr>
          <w:rFonts w:ascii="Arial Narrow" w:hAnsi="Arial Narrow" w:cs="Arial"/>
          <w:sz w:val="28"/>
          <w:szCs w:val="28"/>
          <w:lang w:val="es-ES"/>
        </w:rPr>
        <w:t xml:space="preserve">demandante, </w:t>
      </w:r>
      <w:r w:rsidR="00EC15E2">
        <w:rPr>
          <w:rFonts w:ascii="Arial Narrow" w:hAnsi="Arial Narrow" w:cs="Arial"/>
          <w:sz w:val="28"/>
          <w:szCs w:val="28"/>
          <w:lang w:val="es-ES"/>
        </w:rPr>
        <w:t>se tiene que en efecto como lo indicó la a-quo es b</w:t>
      </w:r>
      <w:r w:rsidRPr="0006758F">
        <w:rPr>
          <w:rFonts w:ascii="Arial Narrow" w:hAnsi="Arial Narrow" w:cs="Arial"/>
          <w:sz w:val="28"/>
          <w:szCs w:val="28"/>
          <w:lang w:val="es-ES"/>
        </w:rPr>
        <w:t>eneficiari</w:t>
      </w:r>
      <w:r w:rsidR="00140E93">
        <w:rPr>
          <w:rFonts w:ascii="Arial Narrow" w:hAnsi="Arial Narrow" w:cs="Arial"/>
          <w:sz w:val="28"/>
          <w:szCs w:val="28"/>
          <w:lang w:val="es-ES"/>
        </w:rPr>
        <w:t>o</w:t>
      </w:r>
      <w:r w:rsidRPr="0006758F">
        <w:rPr>
          <w:rFonts w:ascii="Arial Narrow" w:hAnsi="Arial Narrow" w:cs="Arial"/>
          <w:sz w:val="28"/>
          <w:szCs w:val="28"/>
          <w:lang w:val="es-ES"/>
        </w:rPr>
        <w:t xml:space="preserve"> del régimen de transición </w:t>
      </w:r>
      <w:r w:rsidR="00EC15E2">
        <w:rPr>
          <w:rFonts w:ascii="Arial Narrow" w:hAnsi="Arial Narrow" w:cs="Arial"/>
          <w:sz w:val="28"/>
          <w:szCs w:val="28"/>
          <w:lang w:val="es-ES"/>
        </w:rPr>
        <w:t>al que se ha hecho referencia</w:t>
      </w:r>
      <w:r w:rsidRPr="0006758F">
        <w:rPr>
          <w:rFonts w:ascii="Arial Narrow" w:hAnsi="Arial Narrow" w:cs="Arial"/>
          <w:sz w:val="28"/>
          <w:szCs w:val="28"/>
          <w:lang w:val="es-ES"/>
        </w:rPr>
        <w:t xml:space="preserve">, pues al momento de </w:t>
      </w:r>
      <w:r w:rsidR="00140E93">
        <w:rPr>
          <w:rFonts w:ascii="Arial Narrow" w:hAnsi="Arial Narrow" w:cs="Arial"/>
          <w:sz w:val="28"/>
          <w:szCs w:val="28"/>
          <w:lang w:val="es-ES"/>
        </w:rPr>
        <w:t xml:space="preserve">la </w:t>
      </w:r>
      <w:r w:rsidRPr="0006758F">
        <w:rPr>
          <w:rFonts w:ascii="Arial Narrow" w:hAnsi="Arial Narrow" w:cs="Arial"/>
          <w:sz w:val="28"/>
          <w:szCs w:val="28"/>
          <w:lang w:val="es-ES"/>
        </w:rPr>
        <w:t>entrada en vigencia d</w:t>
      </w:r>
      <w:r w:rsidR="00EC15E2">
        <w:rPr>
          <w:rFonts w:ascii="Arial Narrow" w:hAnsi="Arial Narrow" w:cs="Arial"/>
          <w:sz w:val="28"/>
          <w:szCs w:val="28"/>
          <w:lang w:val="es-ES"/>
        </w:rPr>
        <w:t xml:space="preserve">e la Ley 100/93, </w:t>
      </w:r>
      <w:r w:rsidRPr="0006758F">
        <w:rPr>
          <w:rFonts w:ascii="Arial Narrow" w:hAnsi="Arial Narrow" w:cs="Arial"/>
          <w:sz w:val="28"/>
          <w:szCs w:val="28"/>
          <w:lang w:val="es-ES"/>
        </w:rPr>
        <w:t xml:space="preserve">contaba con </w:t>
      </w:r>
      <w:r w:rsidR="00140E93">
        <w:rPr>
          <w:rFonts w:ascii="Arial Narrow" w:hAnsi="Arial Narrow" w:cs="Arial"/>
          <w:sz w:val="28"/>
          <w:szCs w:val="28"/>
          <w:lang w:val="es-ES"/>
        </w:rPr>
        <w:t xml:space="preserve">más de 45 </w:t>
      </w:r>
      <w:r w:rsidRPr="0006758F">
        <w:rPr>
          <w:rFonts w:ascii="Arial Narrow" w:hAnsi="Arial Narrow" w:cs="Arial"/>
          <w:sz w:val="28"/>
          <w:szCs w:val="28"/>
          <w:lang w:val="es-ES"/>
        </w:rPr>
        <w:t xml:space="preserve">años de edad, tal como </w:t>
      </w:r>
      <w:r w:rsidR="006F369A">
        <w:rPr>
          <w:rFonts w:ascii="Arial Narrow" w:hAnsi="Arial Narrow" w:cs="Arial"/>
          <w:sz w:val="28"/>
          <w:szCs w:val="28"/>
          <w:lang w:val="es-ES"/>
        </w:rPr>
        <w:t>consta en</w:t>
      </w:r>
      <w:r w:rsidRPr="0006758F">
        <w:rPr>
          <w:rFonts w:ascii="Arial Narrow" w:hAnsi="Arial Narrow" w:cs="Arial"/>
          <w:sz w:val="28"/>
          <w:szCs w:val="28"/>
          <w:lang w:val="es-ES"/>
        </w:rPr>
        <w:t xml:space="preserve"> el registro civil de nacimiento obrante a f</w:t>
      </w:r>
      <w:r w:rsidR="006F369A">
        <w:rPr>
          <w:rFonts w:ascii="Arial Narrow" w:hAnsi="Arial Narrow" w:cs="Arial"/>
          <w:sz w:val="28"/>
          <w:szCs w:val="28"/>
          <w:lang w:val="es-ES"/>
        </w:rPr>
        <w:t>l.</w:t>
      </w:r>
      <w:r w:rsidR="00140E93">
        <w:rPr>
          <w:rFonts w:ascii="Arial Narrow" w:hAnsi="Arial Narrow" w:cs="Arial"/>
          <w:sz w:val="28"/>
          <w:szCs w:val="28"/>
          <w:lang w:val="es-ES"/>
        </w:rPr>
        <w:t>9</w:t>
      </w:r>
      <w:r w:rsidRPr="0006758F">
        <w:rPr>
          <w:rFonts w:ascii="Arial Narrow" w:hAnsi="Arial Narrow" w:cs="Arial"/>
          <w:sz w:val="28"/>
          <w:szCs w:val="28"/>
          <w:lang w:val="es-ES"/>
        </w:rPr>
        <w:t xml:space="preserve">, que da cuenta </w:t>
      </w:r>
      <w:r w:rsidR="004338D1">
        <w:rPr>
          <w:rFonts w:ascii="Arial Narrow" w:hAnsi="Arial Narrow" w:cs="Arial"/>
          <w:sz w:val="28"/>
          <w:szCs w:val="28"/>
          <w:lang w:val="es-ES"/>
        </w:rPr>
        <w:t xml:space="preserve">de </w:t>
      </w:r>
      <w:r w:rsidRPr="0006758F">
        <w:rPr>
          <w:rFonts w:ascii="Arial Narrow" w:hAnsi="Arial Narrow" w:cs="Arial"/>
          <w:sz w:val="28"/>
          <w:szCs w:val="28"/>
          <w:lang w:val="es-ES"/>
        </w:rPr>
        <w:t xml:space="preserve">que </w:t>
      </w:r>
      <w:r w:rsidR="006F369A">
        <w:rPr>
          <w:rFonts w:ascii="Arial Narrow" w:hAnsi="Arial Narrow" w:cs="Arial"/>
          <w:sz w:val="28"/>
          <w:szCs w:val="28"/>
          <w:lang w:val="es-ES"/>
        </w:rPr>
        <w:t xml:space="preserve">su natalicio se produjo </w:t>
      </w:r>
      <w:r w:rsidRPr="0006758F">
        <w:rPr>
          <w:rFonts w:ascii="Arial Narrow" w:hAnsi="Arial Narrow" w:cs="Arial"/>
          <w:sz w:val="28"/>
          <w:szCs w:val="28"/>
          <w:lang w:val="es-ES"/>
        </w:rPr>
        <w:t>el</w:t>
      </w:r>
      <w:r w:rsidR="00140E93">
        <w:rPr>
          <w:rFonts w:ascii="Arial Narrow" w:hAnsi="Arial Narrow" w:cs="Arial"/>
          <w:sz w:val="28"/>
          <w:szCs w:val="28"/>
          <w:lang w:val="es-ES"/>
        </w:rPr>
        <w:t xml:space="preserve"> 20 de noviembre de 1948.</w:t>
      </w:r>
      <w:r w:rsidRPr="0006758F">
        <w:rPr>
          <w:rFonts w:ascii="Arial Narrow" w:hAnsi="Arial Narrow" w:cs="Arial"/>
          <w:sz w:val="28"/>
          <w:szCs w:val="28"/>
          <w:lang w:val="es-ES"/>
        </w:rPr>
        <w:t xml:space="preserve"> </w:t>
      </w:r>
    </w:p>
    <w:p w:rsidR="001A4962" w:rsidRPr="00074EE3" w:rsidRDefault="001A4962" w:rsidP="001A4962">
      <w:pPr>
        <w:pStyle w:val="Sinespaciado"/>
      </w:pPr>
    </w:p>
    <w:p w:rsidR="00FA4007" w:rsidRDefault="001A4962" w:rsidP="001A4962">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 xml:space="preserve">Verificada </w:t>
      </w:r>
      <w:r w:rsidR="004338D1">
        <w:rPr>
          <w:rFonts w:ascii="Arial Narrow" w:hAnsi="Arial Narrow" w:cs="Arial"/>
          <w:sz w:val="28"/>
          <w:szCs w:val="28"/>
          <w:lang w:val="es-ES"/>
        </w:rPr>
        <w:t xml:space="preserve">pues, su </w:t>
      </w:r>
      <w:r w:rsidR="006F369A">
        <w:rPr>
          <w:rFonts w:ascii="Arial Narrow" w:hAnsi="Arial Narrow" w:cs="Arial"/>
          <w:sz w:val="28"/>
          <w:szCs w:val="28"/>
          <w:lang w:val="es-ES"/>
        </w:rPr>
        <w:t xml:space="preserve">calidad de </w:t>
      </w:r>
      <w:r w:rsidR="00073556">
        <w:rPr>
          <w:rFonts w:ascii="Arial Narrow" w:hAnsi="Arial Narrow" w:cs="Arial"/>
          <w:sz w:val="28"/>
          <w:szCs w:val="28"/>
          <w:lang w:val="es-ES"/>
        </w:rPr>
        <w:t xml:space="preserve">beneficiario </w:t>
      </w:r>
      <w:r w:rsidR="004B1F38">
        <w:rPr>
          <w:rFonts w:ascii="Arial Narrow" w:hAnsi="Arial Narrow" w:cs="Arial"/>
          <w:sz w:val="28"/>
          <w:szCs w:val="28"/>
          <w:lang w:val="es-ES"/>
        </w:rPr>
        <w:t>del régimen de transición, l</w:t>
      </w:r>
      <w:r w:rsidRPr="0006758F">
        <w:rPr>
          <w:rFonts w:ascii="Arial Narrow" w:hAnsi="Arial Narrow" w:cs="Arial"/>
          <w:sz w:val="28"/>
          <w:szCs w:val="28"/>
          <w:lang w:val="es-ES"/>
        </w:rPr>
        <w:t xml:space="preserve">a cual no muta bajo la vigencia del Acto Legislativo 01 de 2005, pues el cumplimiento de la edad </w:t>
      </w:r>
      <w:r w:rsidRPr="0006758F">
        <w:rPr>
          <w:rFonts w:ascii="Arial Narrow" w:hAnsi="Arial Narrow" w:cs="Arial"/>
          <w:sz w:val="28"/>
          <w:szCs w:val="28"/>
          <w:lang w:val="es-ES"/>
        </w:rPr>
        <w:lastRenderedPageBreak/>
        <w:t>d</w:t>
      </w:r>
      <w:r w:rsidR="004B1F38">
        <w:rPr>
          <w:rFonts w:ascii="Arial Narrow" w:hAnsi="Arial Narrow" w:cs="Arial"/>
          <w:sz w:val="28"/>
          <w:szCs w:val="28"/>
          <w:lang w:val="es-ES"/>
        </w:rPr>
        <w:t xml:space="preserve">el actor </w:t>
      </w:r>
      <w:r w:rsidRPr="0006758F">
        <w:rPr>
          <w:rFonts w:ascii="Arial Narrow" w:hAnsi="Arial Narrow" w:cs="Arial"/>
          <w:sz w:val="28"/>
          <w:szCs w:val="28"/>
          <w:lang w:val="es-ES"/>
        </w:rPr>
        <w:t>se dio antes del 31 de jul</w:t>
      </w:r>
      <w:r w:rsidR="004338D1">
        <w:rPr>
          <w:rFonts w:ascii="Arial Narrow" w:hAnsi="Arial Narrow" w:cs="Arial"/>
          <w:sz w:val="28"/>
          <w:szCs w:val="28"/>
          <w:lang w:val="es-ES"/>
        </w:rPr>
        <w:t xml:space="preserve">io de 2010, </w:t>
      </w:r>
      <w:r w:rsidR="0040645D">
        <w:rPr>
          <w:rFonts w:ascii="Arial Narrow" w:hAnsi="Arial Narrow" w:cs="Arial"/>
          <w:sz w:val="28"/>
          <w:szCs w:val="28"/>
          <w:lang w:val="es-ES"/>
        </w:rPr>
        <w:t xml:space="preserve">paso obligado es determinar cuál </w:t>
      </w:r>
      <w:r w:rsidR="00FA4007">
        <w:rPr>
          <w:rFonts w:ascii="Arial Narrow" w:hAnsi="Arial Narrow" w:cs="Arial"/>
          <w:sz w:val="28"/>
          <w:szCs w:val="28"/>
          <w:lang w:val="es-ES"/>
        </w:rPr>
        <w:t>e</w:t>
      </w:r>
      <w:r w:rsidR="00071C8B">
        <w:rPr>
          <w:rFonts w:ascii="Arial Narrow" w:hAnsi="Arial Narrow" w:cs="Arial"/>
          <w:sz w:val="28"/>
          <w:szCs w:val="28"/>
          <w:lang w:val="es-ES"/>
        </w:rPr>
        <w:t xml:space="preserve">s </w:t>
      </w:r>
      <w:r w:rsidR="00FA4007">
        <w:rPr>
          <w:rFonts w:ascii="Arial Narrow" w:hAnsi="Arial Narrow" w:cs="Arial"/>
          <w:sz w:val="28"/>
          <w:szCs w:val="28"/>
          <w:lang w:val="es-ES"/>
        </w:rPr>
        <w:t xml:space="preserve">el régimen anterior aplicable que </w:t>
      </w:r>
      <w:r w:rsidR="00071C8B">
        <w:rPr>
          <w:rFonts w:ascii="Arial Narrow" w:hAnsi="Arial Narrow" w:cs="Arial"/>
          <w:sz w:val="28"/>
          <w:szCs w:val="28"/>
          <w:lang w:val="es-ES"/>
        </w:rPr>
        <w:t xml:space="preserve">venía regulando su situación pensional. </w:t>
      </w:r>
      <w:r w:rsidR="0040645D">
        <w:rPr>
          <w:rFonts w:ascii="Arial Narrow" w:hAnsi="Arial Narrow" w:cs="Arial"/>
          <w:sz w:val="28"/>
          <w:szCs w:val="28"/>
          <w:lang w:val="es-ES"/>
        </w:rPr>
        <w:t xml:space="preserve"> </w:t>
      </w:r>
    </w:p>
    <w:p w:rsidR="00040FE8" w:rsidRDefault="00071C8B" w:rsidP="00CB1BE1">
      <w:pPr>
        <w:spacing w:line="360" w:lineRule="auto"/>
        <w:ind w:firstLine="851"/>
        <w:jc w:val="both"/>
        <w:rPr>
          <w:rFonts w:ascii="Arial Narrow" w:hAnsi="Arial Narrow"/>
          <w:sz w:val="28"/>
          <w:szCs w:val="28"/>
        </w:rPr>
      </w:pPr>
      <w:r>
        <w:rPr>
          <w:rFonts w:ascii="Arial Narrow" w:hAnsi="Arial Narrow" w:cs="Arial"/>
          <w:sz w:val="28"/>
          <w:szCs w:val="28"/>
          <w:lang w:val="es-ES"/>
        </w:rPr>
        <w:t xml:space="preserve">Para ello, </w:t>
      </w:r>
      <w:r w:rsidR="00E9068F">
        <w:rPr>
          <w:rFonts w:ascii="Arial Narrow" w:hAnsi="Arial Narrow" w:cs="Arial"/>
          <w:sz w:val="28"/>
          <w:szCs w:val="28"/>
          <w:lang w:val="es-ES"/>
        </w:rPr>
        <w:t xml:space="preserve">al acudir a los medios probatorios </w:t>
      </w:r>
      <w:r w:rsidR="00CB1BE1">
        <w:rPr>
          <w:rFonts w:ascii="Arial Narrow" w:hAnsi="Arial Narrow" w:cs="Arial"/>
          <w:sz w:val="28"/>
          <w:szCs w:val="28"/>
          <w:lang w:val="es-ES"/>
        </w:rPr>
        <w:t>que obran en la actu</w:t>
      </w:r>
      <w:r>
        <w:rPr>
          <w:rFonts w:ascii="Arial Narrow" w:hAnsi="Arial Narrow" w:cs="Arial"/>
          <w:sz w:val="28"/>
          <w:szCs w:val="28"/>
          <w:lang w:val="es-ES"/>
        </w:rPr>
        <w:t>ación</w:t>
      </w:r>
      <w:r w:rsidR="00CB1BE1">
        <w:rPr>
          <w:rFonts w:ascii="Arial Narrow" w:hAnsi="Arial Narrow" w:cs="Arial"/>
          <w:sz w:val="28"/>
          <w:szCs w:val="28"/>
          <w:lang w:val="es-ES"/>
        </w:rPr>
        <w:t xml:space="preserve">, entre </w:t>
      </w:r>
      <w:r w:rsidR="004F187C">
        <w:rPr>
          <w:rFonts w:ascii="Arial Narrow" w:hAnsi="Arial Narrow" w:cs="Arial"/>
          <w:sz w:val="28"/>
          <w:szCs w:val="28"/>
          <w:lang w:val="es-ES"/>
        </w:rPr>
        <w:t xml:space="preserve">ellos, al </w:t>
      </w:r>
      <w:r w:rsidR="00E9068F">
        <w:rPr>
          <w:rFonts w:ascii="Arial Narrow" w:hAnsi="Arial Narrow" w:cs="Arial"/>
          <w:sz w:val="28"/>
          <w:szCs w:val="28"/>
          <w:lang w:val="es-ES"/>
        </w:rPr>
        <w:t>expediente administrativo</w:t>
      </w:r>
      <w:r w:rsidR="004F187C">
        <w:rPr>
          <w:rFonts w:ascii="Arial Narrow" w:hAnsi="Arial Narrow" w:cs="Arial"/>
          <w:sz w:val="28"/>
          <w:szCs w:val="28"/>
          <w:lang w:val="es-ES"/>
        </w:rPr>
        <w:t xml:space="preserve"> que fue allegado </w:t>
      </w:r>
      <w:r w:rsidR="00E9068F">
        <w:rPr>
          <w:rFonts w:ascii="Arial Narrow" w:hAnsi="Arial Narrow" w:cs="Arial"/>
          <w:sz w:val="28"/>
          <w:szCs w:val="28"/>
          <w:lang w:val="es-ES"/>
        </w:rPr>
        <w:t xml:space="preserve">en medio magnético </w:t>
      </w:r>
      <w:r w:rsidR="00CB1BE1">
        <w:rPr>
          <w:rFonts w:ascii="Arial Narrow" w:hAnsi="Arial Narrow" w:cs="Arial"/>
          <w:sz w:val="28"/>
          <w:szCs w:val="28"/>
          <w:lang w:val="es-ES"/>
        </w:rPr>
        <w:t xml:space="preserve">CD, </w:t>
      </w:r>
      <w:r w:rsidR="00CB1BE1" w:rsidRPr="00E561F6">
        <w:rPr>
          <w:rFonts w:ascii="Arial Narrow" w:hAnsi="Arial Narrow" w:cs="Arial"/>
          <w:sz w:val="28"/>
          <w:szCs w:val="28"/>
          <w:lang w:val="es-ES"/>
        </w:rPr>
        <w:t xml:space="preserve">el cual tiene plena validez y fuerza probatoria, conforme lo establecen los artículos </w:t>
      </w:r>
      <w:r w:rsidR="00CB1BE1" w:rsidRPr="00E561F6">
        <w:rPr>
          <w:rFonts w:ascii="Arial Narrow" w:hAnsi="Arial Narrow"/>
          <w:sz w:val="28"/>
          <w:szCs w:val="28"/>
        </w:rPr>
        <w:t xml:space="preserve">55 de la Ley 1437 de 2011 y 244 </w:t>
      </w:r>
      <w:r w:rsidR="00CB1BE1">
        <w:rPr>
          <w:rFonts w:ascii="Arial Narrow" w:hAnsi="Arial Narrow"/>
          <w:sz w:val="28"/>
          <w:szCs w:val="28"/>
        </w:rPr>
        <w:t xml:space="preserve">del Código General del Proceso, se observa que </w:t>
      </w:r>
      <w:r w:rsidR="00040FE8">
        <w:rPr>
          <w:rFonts w:ascii="Arial Narrow" w:hAnsi="Arial Narrow"/>
          <w:sz w:val="28"/>
          <w:szCs w:val="28"/>
        </w:rPr>
        <w:t xml:space="preserve">antes </w:t>
      </w:r>
      <w:r w:rsidR="00C876DD">
        <w:rPr>
          <w:rFonts w:ascii="Arial Narrow" w:hAnsi="Arial Narrow"/>
          <w:sz w:val="28"/>
          <w:szCs w:val="28"/>
        </w:rPr>
        <w:t>de la entrada en vigencia d</w:t>
      </w:r>
      <w:r w:rsidR="00040FE8">
        <w:rPr>
          <w:rFonts w:ascii="Arial Narrow" w:hAnsi="Arial Narrow"/>
          <w:sz w:val="28"/>
          <w:szCs w:val="28"/>
        </w:rPr>
        <w:t>el Sistema General de Pensiones</w:t>
      </w:r>
      <w:r w:rsidR="00C876DD">
        <w:rPr>
          <w:rFonts w:ascii="Arial Narrow" w:hAnsi="Arial Narrow"/>
          <w:sz w:val="28"/>
          <w:szCs w:val="28"/>
        </w:rPr>
        <w:t>,</w:t>
      </w:r>
      <w:r w:rsidR="00040FE8">
        <w:rPr>
          <w:rFonts w:ascii="Arial Narrow" w:hAnsi="Arial Narrow"/>
          <w:sz w:val="28"/>
          <w:szCs w:val="28"/>
        </w:rPr>
        <w:t xml:space="preserve"> </w:t>
      </w:r>
      <w:r w:rsidR="00CB1BE1">
        <w:rPr>
          <w:rFonts w:ascii="Arial Narrow" w:hAnsi="Arial Narrow"/>
          <w:sz w:val="28"/>
          <w:szCs w:val="28"/>
        </w:rPr>
        <w:t xml:space="preserve">el demandante </w:t>
      </w:r>
      <w:r w:rsidR="00040FE8">
        <w:rPr>
          <w:rFonts w:ascii="Arial Narrow" w:hAnsi="Arial Narrow"/>
          <w:sz w:val="28"/>
          <w:szCs w:val="28"/>
        </w:rPr>
        <w:t>había prestado sus servicios en el sector público, puntualmente, en la Gobernación del Valle del Cauc</w:t>
      </w:r>
      <w:r w:rsidR="00453FC4">
        <w:rPr>
          <w:rFonts w:ascii="Arial Narrow" w:hAnsi="Arial Narrow"/>
          <w:sz w:val="28"/>
          <w:szCs w:val="28"/>
        </w:rPr>
        <w:t xml:space="preserve">a, </w:t>
      </w:r>
      <w:r w:rsidR="00DC300B">
        <w:rPr>
          <w:rFonts w:ascii="Arial Narrow" w:hAnsi="Arial Narrow"/>
          <w:sz w:val="28"/>
          <w:szCs w:val="28"/>
        </w:rPr>
        <w:t xml:space="preserve">según </w:t>
      </w:r>
      <w:r w:rsidR="00040FE8">
        <w:rPr>
          <w:rFonts w:ascii="Arial Narrow" w:hAnsi="Arial Narrow"/>
          <w:sz w:val="28"/>
          <w:szCs w:val="28"/>
        </w:rPr>
        <w:t>se extrae del certificado de información laboral</w:t>
      </w:r>
      <w:r w:rsidR="00C876DD">
        <w:rPr>
          <w:rFonts w:ascii="Arial Narrow" w:hAnsi="Arial Narrow"/>
          <w:sz w:val="28"/>
          <w:szCs w:val="28"/>
        </w:rPr>
        <w:t xml:space="preserve"> expedido el 10 de septiembre de 2010, en el formato establecido por el Ministerio de Hacienda y Crédito Público. </w:t>
      </w:r>
    </w:p>
    <w:p w:rsidR="00040FE8" w:rsidRDefault="00040FE8" w:rsidP="00DC300B">
      <w:pPr>
        <w:pStyle w:val="Sinespaciado"/>
      </w:pPr>
    </w:p>
    <w:p w:rsidR="00571590" w:rsidRDefault="00C876DD" w:rsidP="00764DE2">
      <w:pPr>
        <w:pStyle w:val="Textoindependiente21"/>
        <w:ind w:firstLine="708"/>
        <w:rPr>
          <w:rFonts w:ascii="Arial Narrow" w:hAnsi="Arial Narrow"/>
          <w:b w:val="0"/>
          <w:szCs w:val="28"/>
        </w:rPr>
      </w:pPr>
      <w:r w:rsidRPr="002F183C">
        <w:rPr>
          <w:rFonts w:ascii="Arial Narrow" w:hAnsi="Arial Narrow"/>
          <w:b w:val="0"/>
          <w:szCs w:val="28"/>
        </w:rPr>
        <w:t xml:space="preserve">De modo </w:t>
      </w:r>
      <w:r w:rsidR="00DC300B" w:rsidRPr="002F183C">
        <w:rPr>
          <w:rFonts w:ascii="Arial Narrow" w:hAnsi="Arial Narrow"/>
          <w:b w:val="0"/>
          <w:szCs w:val="28"/>
        </w:rPr>
        <w:t xml:space="preserve">entonces </w:t>
      </w:r>
      <w:r w:rsidRPr="002F183C">
        <w:rPr>
          <w:rFonts w:ascii="Arial Narrow" w:hAnsi="Arial Narrow"/>
          <w:b w:val="0"/>
          <w:szCs w:val="28"/>
        </w:rPr>
        <w:t xml:space="preserve">que, </w:t>
      </w:r>
      <w:r w:rsidR="00453FC4" w:rsidRPr="002F183C">
        <w:rPr>
          <w:rFonts w:ascii="Arial Narrow" w:hAnsi="Arial Narrow"/>
          <w:b w:val="0"/>
          <w:szCs w:val="28"/>
        </w:rPr>
        <w:t xml:space="preserve">al demandante, </w:t>
      </w:r>
      <w:r w:rsidRPr="002F183C">
        <w:rPr>
          <w:rFonts w:ascii="Arial Narrow" w:hAnsi="Arial Narrow"/>
          <w:b w:val="0"/>
          <w:szCs w:val="28"/>
        </w:rPr>
        <w:t>como beneficiario del régimen de transición previsto en el artículo 36 de la Ley 100/93, le era</w:t>
      </w:r>
      <w:r w:rsidR="00E45009">
        <w:rPr>
          <w:rFonts w:ascii="Arial Narrow" w:hAnsi="Arial Narrow"/>
          <w:b w:val="0"/>
          <w:szCs w:val="28"/>
        </w:rPr>
        <w:t xml:space="preserve"> aplicable </w:t>
      </w:r>
      <w:r w:rsidR="00482F23">
        <w:rPr>
          <w:rFonts w:ascii="Arial Narrow" w:hAnsi="Arial Narrow"/>
          <w:b w:val="0"/>
          <w:szCs w:val="28"/>
        </w:rPr>
        <w:t xml:space="preserve">el régimen </w:t>
      </w:r>
      <w:r w:rsidR="003F68CE">
        <w:rPr>
          <w:rFonts w:ascii="Arial Narrow" w:hAnsi="Arial Narrow"/>
          <w:b w:val="0"/>
          <w:szCs w:val="28"/>
        </w:rPr>
        <w:t>pensional establecido para los servidores públicos o empleados oficiales, esto es, la Ley 33 de 1985</w:t>
      </w:r>
      <w:r w:rsidR="00DC2DBB">
        <w:rPr>
          <w:rFonts w:ascii="Arial Narrow" w:hAnsi="Arial Narrow"/>
          <w:b w:val="0"/>
          <w:szCs w:val="28"/>
        </w:rPr>
        <w:t>;</w:t>
      </w:r>
      <w:r w:rsidR="003F68CE">
        <w:rPr>
          <w:rFonts w:ascii="Arial Narrow" w:hAnsi="Arial Narrow"/>
          <w:b w:val="0"/>
          <w:szCs w:val="28"/>
        </w:rPr>
        <w:t xml:space="preserve"> o bien la Ley 71 de 1988</w:t>
      </w:r>
      <w:r w:rsidR="00925DB4">
        <w:rPr>
          <w:rFonts w:ascii="Arial Narrow" w:hAnsi="Arial Narrow"/>
          <w:b w:val="0"/>
          <w:szCs w:val="28"/>
        </w:rPr>
        <w:t xml:space="preserve">, que autorizó </w:t>
      </w:r>
      <w:r w:rsidR="00571590">
        <w:rPr>
          <w:rFonts w:ascii="Arial Narrow" w:hAnsi="Arial Narrow"/>
          <w:b w:val="0"/>
          <w:szCs w:val="28"/>
        </w:rPr>
        <w:t xml:space="preserve">para efectos pensionales, </w:t>
      </w:r>
      <w:r w:rsidR="00925DB4">
        <w:rPr>
          <w:rFonts w:ascii="Arial Narrow" w:hAnsi="Arial Narrow"/>
          <w:b w:val="0"/>
          <w:szCs w:val="28"/>
        </w:rPr>
        <w:t>la acumulación de tiempos tanto del sector público como del privado,</w:t>
      </w:r>
      <w:r w:rsidR="00571590">
        <w:rPr>
          <w:rFonts w:ascii="Arial Narrow" w:hAnsi="Arial Narrow"/>
          <w:b w:val="0"/>
          <w:szCs w:val="28"/>
        </w:rPr>
        <w:t xml:space="preserve"> </w:t>
      </w:r>
      <w:r w:rsidR="00CE7869">
        <w:rPr>
          <w:rFonts w:ascii="Arial Narrow" w:hAnsi="Arial Narrow"/>
          <w:b w:val="0"/>
          <w:szCs w:val="28"/>
        </w:rPr>
        <w:t>pues</w:t>
      </w:r>
      <w:r w:rsidR="00DC2DBB">
        <w:rPr>
          <w:rFonts w:ascii="Arial Narrow" w:hAnsi="Arial Narrow"/>
          <w:b w:val="0"/>
          <w:szCs w:val="28"/>
        </w:rPr>
        <w:t xml:space="preserve">to que </w:t>
      </w:r>
      <w:r w:rsidR="00CE7869">
        <w:rPr>
          <w:rFonts w:ascii="Arial Narrow" w:hAnsi="Arial Narrow"/>
          <w:b w:val="0"/>
          <w:szCs w:val="28"/>
        </w:rPr>
        <w:t>a</w:t>
      </w:r>
      <w:r w:rsidR="00571590">
        <w:rPr>
          <w:rFonts w:ascii="Arial Narrow" w:hAnsi="Arial Narrow"/>
          <w:b w:val="0"/>
          <w:szCs w:val="28"/>
        </w:rPr>
        <w:t>l tenor de lo establecido en el artículo 7º ibídem, modificado por el artículo 1º del Decreto 2709 de 1994, las semanas cotizadas al ISS p</w:t>
      </w:r>
      <w:r w:rsidR="00CE7869">
        <w:rPr>
          <w:rFonts w:ascii="Arial Narrow" w:hAnsi="Arial Narrow"/>
          <w:b w:val="0"/>
          <w:szCs w:val="28"/>
        </w:rPr>
        <w:t xml:space="preserve">odían </w:t>
      </w:r>
      <w:r w:rsidR="00571590">
        <w:rPr>
          <w:rFonts w:ascii="Arial Narrow" w:hAnsi="Arial Narrow"/>
          <w:b w:val="0"/>
          <w:szCs w:val="28"/>
        </w:rPr>
        <w:t>ser acreditadas en cualquier tiempo, sea anterior o posterior a la vigencia del nuevo Sistema General de Seguridad Social.</w:t>
      </w:r>
      <w:r w:rsidR="00764DE2">
        <w:rPr>
          <w:rFonts w:ascii="Arial Narrow" w:hAnsi="Arial Narrow"/>
          <w:b w:val="0"/>
          <w:szCs w:val="28"/>
        </w:rPr>
        <w:t xml:space="preserve"> Así lo ha señalado en múltiples oportunidades la Sala de Casación Laboral, </w:t>
      </w:r>
      <w:r w:rsidR="00DC2DBB">
        <w:rPr>
          <w:rFonts w:ascii="Arial Narrow" w:hAnsi="Arial Narrow"/>
          <w:b w:val="0"/>
          <w:szCs w:val="28"/>
        </w:rPr>
        <w:t xml:space="preserve">entre otras, </w:t>
      </w:r>
      <w:r w:rsidR="00764DE2">
        <w:rPr>
          <w:rFonts w:ascii="Arial Narrow" w:hAnsi="Arial Narrow"/>
          <w:b w:val="0"/>
          <w:szCs w:val="28"/>
        </w:rPr>
        <w:t xml:space="preserve">en sentencia </w:t>
      </w:r>
      <w:r w:rsidR="00DC2DBB">
        <w:rPr>
          <w:rFonts w:ascii="Arial Narrow" w:hAnsi="Arial Narrow"/>
          <w:b w:val="0"/>
          <w:szCs w:val="28"/>
        </w:rPr>
        <w:t xml:space="preserve">reciente </w:t>
      </w:r>
      <w:r w:rsidR="00764DE2">
        <w:rPr>
          <w:rFonts w:ascii="Arial Narrow" w:hAnsi="Arial Narrow"/>
          <w:b w:val="0"/>
          <w:szCs w:val="28"/>
        </w:rPr>
        <w:t>SL8951 de 2017, radicación 65833.</w:t>
      </w:r>
    </w:p>
    <w:p w:rsidR="004E5220" w:rsidRDefault="004E5220" w:rsidP="00DC2DBB">
      <w:pPr>
        <w:pStyle w:val="Sinespaciado"/>
      </w:pPr>
    </w:p>
    <w:p w:rsidR="002F183C" w:rsidRDefault="00DC2DBB" w:rsidP="00925DB4">
      <w:pPr>
        <w:pStyle w:val="Textoindependiente21"/>
        <w:ind w:firstLine="708"/>
        <w:rPr>
          <w:rFonts w:ascii="Arial Narrow" w:hAnsi="Arial Narrow" w:cs="Arial"/>
          <w:b w:val="0"/>
          <w:iCs/>
          <w:kern w:val="28"/>
          <w:szCs w:val="28"/>
          <w:lang w:val="es-CO"/>
        </w:rPr>
      </w:pPr>
      <w:r>
        <w:rPr>
          <w:rFonts w:ascii="Arial Narrow" w:hAnsi="Arial Narrow"/>
          <w:b w:val="0"/>
          <w:szCs w:val="28"/>
        </w:rPr>
        <w:t xml:space="preserve">A contrario sensu, no le resultaba </w:t>
      </w:r>
      <w:r w:rsidR="0041637E">
        <w:rPr>
          <w:rFonts w:ascii="Arial Narrow" w:hAnsi="Arial Narrow"/>
          <w:b w:val="0"/>
          <w:szCs w:val="28"/>
        </w:rPr>
        <w:t xml:space="preserve">aplicable </w:t>
      </w:r>
      <w:r w:rsidR="00CE7869">
        <w:rPr>
          <w:rFonts w:ascii="Arial Narrow" w:hAnsi="Arial Narrow"/>
          <w:b w:val="0"/>
          <w:szCs w:val="28"/>
        </w:rPr>
        <w:t>el Acuerdo 049 de 1990</w:t>
      </w:r>
      <w:r w:rsidR="00670B57">
        <w:rPr>
          <w:rFonts w:ascii="Arial Narrow" w:hAnsi="Arial Narrow"/>
          <w:b w:val="0"/>
          <w:szCs w:val="28"/>
        </w:rPr>
        <w:t xml:space="preserve">, </w:t>
      </w:r>
      <w:r w:rsidR="00DC300B" w:rsidRPr="002F183C">
        <w:rPr>
          <w:rFonts w:ascii="Arial Narrow" w:hAnsi="Arial Narrow"/>
          <w:b w:val="0"/>
          <w:szCs w:val="28"/>
        </w:rPr>
        <w:t xml:space="preserve">aprobado por el Decreto 758 de ese mismo año, como erradamente lo estimó la sentenciadora de primer grado, </w:t>
      </w:r>
      <w:r w:rsidR="00E45009">
        <w:rPr>
          <w:rFonts w:ascii="Arial Narrow" w:hAnsi="Arial Narrow"/>
          <w:b w:val="0"/>
          <w:szCs w:val="28"/>
        </w:rPr>
        <w:t>pues</w:t>
      </w:r>
      <w:r w:rsidR="0041637E">
        <w:rPr>
          <w:rFonts w:ascii="Arial Narrow" w:hAnsi="Arial Narrow"/>
          <w:b w:val="0"/>
          <w:szCs w:val="28"/>
        </w:rPr>
        <w:t xml:space="preserve"> </w:t>
      </w:r>
      <w:r w:rsidR="00A12D8A">
        <w:rPr>
          <w:rFonts w:ascii="Arial Narrow" w:hAnsi="Arial Narrow"/>
          <w:b w:val="0"/>
          <w:szCs w:val="28"/>
        </w:rPr>
        <w:t xml:space="preserve">su </w:t>
      </w:r>
      <w:r w:rsidR="0041637E">
        <w:rPr>
          <w:rFonts w:ascii="Arial Narrow" w:hAnsi="Arial Narrow"/>
          <w:b w:val="0"/>
          <w:szCs w:val="28"/>
        </w:rPr>
        <w:t>afiliación a</w:t>
      </w:r>
      <w:r w:rsidR="00C876DD" w:rsidRPr="002F183C">
        <w:rPr>
          <w:rFonts w:ascii="Arial Narrow" w:hAnsi="Arial Narrow"/>
          <w:b w:val="0"/>
          <w:szCs w:val="28"/>
        </w:rPr>
        <w:t xml:space="preserve">l régimen de prima media con prestación definida administrado por el </w:t>
      </w:r>
      <w:r w:rsidR="00DC300B" w:rsidRPr="002F183C">
        <w:rPr>
          <w:rFonts w:ascii="Arial Narrow" w:hAnsi="Arial Narrow"/>
          <w:b w:val="0"/>
          <w:szCs w:val="28"/>
        </w:rPr>
        <w:t>antiguo ISS hoy Colpensiones, só</w:t>
      </w:r>
      <w:r w:rsidR="00C876DD" w:rsidRPr="002F183C">
        <w:rPr>
          <w:rFonts w:ascii="Arial Narrow" w:hAnsi="Arial Narrow"/>
          <w:b w:val="0"/>
          <w:szCs w:val="28"/>
        </w:rPr>
        <w:t xml:space="preserve">lo se vino a presentar el 2 de agosto de 1994, </w:t>
      </w:r>
      <w:r w:rsidR="0041637E">
        <w:rPr>
          <w:rFonts w:ascii="Arial Narrow" w:hAnsi="Arial Narrow"/>
          <w:b w:val="0"/>
          <w:szCs w:val="28"/>
        </w:rPr>
        <w:t>de modo que, mal p</w:t>
      </w:r>
      <w:r w:rsidR="004F187C" w:rsidRPr="002F183C">
        <w:rPr>
          <w:rFonts w:ascii="Arial Narrow" w:hAnsi="Arial Narrow"/>
          <w:b w:val="0"/>
          <w:szCs w:val="28"/>
        </w:rPr>
        <w:t xml:space="preserve">odría solicitar </w:t>
      </w:r>
      <w:r w:rsidR="0041637E">
        <w:rPr>
          <w:rFonts w:ascii="Arial Narrow" w:hAnsi="Arial Narrow"/>
          <w:b w:val="0"/>
          <w:szCs w:val="28"/>
        </w:rPr>
        <w:t xml:space="preserve">el respeto y </w:t>
      </w:r>
      <w:r w:rsidR="00A12D8A">
        <w:rPr>
          <w:rFonts w:ascii="Arial Narrow" w:hAnsi="Arial Narrow"/>
          <w:b w:val="0"/>
          <w:szCs w:val="28"/>
        </w:rPr>
        <w:t xml:space="preserve">la </w:t>
      </w:r>
      <w:r w:rsidR="0041637E">
        <w:rPr>
          <w:rFonts w:ascii="Arial Narrow" w:hAnsi="Arial Narrow"/>
          <w:b w:val="0"/>
          <w:szCs w:val="28"/>
        </w:rPr>
        <w:t xml:space="preserve">aplicación de </w:t>
      </w:r>
      <w:r w:rsidR="00BB2EA8" w:rsidRPr="002F183C">
        <w:rPr>
          <w:rFonts w:ascii="Arial Narrow" w:hAnsi="Arial Narrow"/>
          <w:b w:val="0"/>
          <w:szCs w:val="28"/>
        </w:rPr>
        <w:t xml:space="preserve">un régimen </w:t>
      </w:r>
      <w:r w:rsidR="00925DB4">
        <w:rPr>
          <w:rFonts w:ascii="Arial Narrow" w:hAnsi="Arial Narrow"/>
          <w:b w:val="0"/>
          <w:szCs w:val="28"/>
        </w:rPr>
        <w:t xml:space="preserve">pensional </w:t>
      </w:r>
      <w:r w:rsidR="004F187C" w:rsidRPr="002F183C">
        <w:rPr>
          <w:rFonts w:ascii="Arial Narrow" w:hAnsi="Arial Narrow"/>
          <w:b w:val="0"/>
          <w:szCs w:val="28"/>
        </w:rPr>
        <w:t xml:space="preserve">al cual nunca perteneció </w:t>
      </w:r>
      <w:r w:rsidR="00676989" w:rsidRPr="002F183C">
        <w:rPr>
          <w:rFonts w:ascii="Arial Narrow" w:hAnsi="Arial Narrow"/>
          <w:b w:val="0"/>
          <w:szCs w:val="28"/>
        </w:rPr>
        <w:t xml:space="preserve">antes de la vigencia del </w:t>
      </w:r>
      <w:r w:rsidR="00DC300B" w:rsidRPr="002F183C">
        <w:rPr>
          <w:rFonts w:ascii="Arial Narrow" w:hAnsi="Arial Narrow"/>
          <w:b w:val="0"/>
          <w:szCs w:val="28"/>
        </w:rPr>
        <w:t xml:space="preserve">Sistema General </w:t>
      </w:r>
      <w:r w:rsidR="00BB2EA8" w:rsidRPr="002F183C">
        <w:rPr>
          <w:rFonts w:ascii="Arial Narrow" w:hAnsi="Arial Narrow"/>
          <w:b w:val="0"/>
          <w:szCs w:val="28"/>
        </w:rPr>
        <w:t>de Pensiones</w:t>
      </w:r>
      <w:r w:rsidR="002F183C" w:rsidRPr="002F183C">
        <w:rPr>
          <w:rFonts w:ascii="Arial Narrow" w:hAnsi="Arial Narrow"/>
          <w:b w:val="0"/>
          <w:szCs w:val="28"/>
        </w:rPr>
        <w:t xml:space="preserve">, </w:t>
      </w:r>
      <w:r w:rsidR="002F183C" w:rsidRPr="002F183C">
        <w:rPr>
          <w:rFonts w:ascii="Arial Narrow" w:hAnsi="Arial Narrow" w:cs="Arial"/>
          <w:b w:val="0"/>
          <w:szCs w:val="28"/>
        </w:rPr>
        <w:t xml:space="preserve">pues </w:t>
      </w:r>
      <w:r w:rsidR="0041637E">
        <w:rPr>
          <w:rFonts w:ascii="Arial Narrow" w:hAnsi="Arial Narrow" w:cs="Arial"/>
          <w:b w:val="0"/>
          <w:szCs w:val="28"/>
        </w:rPr>
        <w:t xml:space="preserve">como es sabido, </w:t>
      </w:r>
      <w:r w:rsidR="002F183C" w:rsidRPr="002F183C">
        <w:rPr>
          <w:rFonts w:ascii="Arial Narrow" w:hAnsi="Arial Narrow" w:cs="Arial"/>
          <w:b w:val="0"/>
          <w:szCs w:val="28"/>
        </w:rPr>
        <w:t xml:space="preserve">en </w:t>
      </w:r>
      <w:r w:rsidR="002F183C" w:rsidRPr="002F183C">
        <w:rPr>
          <w:rFonts w:ascii="Arial Narrow" w:hAnsi="Arial Narrow" w:cs="Arial"/>
          <w:b w:val="0"/>
          <w:iCs/>
          <w:kern w:val="28"/>
          <w:szCs w:val="28"/>
          <w:lang w:val="es-CO"/>
        </w:rPr>
        <w:t xml:space="preserve">la órbita del régimen de transición, la aplicación del régimen anterior se encuentra condicionada a que en cualquier momento de su relación de trabajo o afiliación, este régimen anterior hubiera estado vigente, o lo que es lo mismo, que éste en algún momento hubiera regido </w:t>
      </w:r>
      <w:r w:rsidR="00A12D8A">
        <w:rPr>
          <w:rFonts w:ascii="Arial Narrow" w:hAnsi="Arial Narrow" w:cs="Arial"/>
          <w:b w:val="0"/>
          <w:iCs/>
          <w:kern w:val="28"/>
          <w:szCs w:val="28"/>
          <w:lang w:val="es-CO"/>
        </w:rPr>
        <w:t xml:space="preserve">la </w:t>
      </w:r>
      <w:r w:rsidR="002F183C" w:rsidRPr="002F183C">
        <w:rPr>
          <w:rFonts w:ascii="Arial Narrow" w:hAnsi="Arial Narrow" w:cs="Arial"/>
          <w:b w:val="0"/>
          <w:iCs/>
          <w:kern w:val="28"/>
          <w:szCs w:val="28"/>
          <w:lang w:val="es-CO"/>
        </w:rPr>
        <w:t xml:space="preserve">vinculación al mismo, por </w:t>
      </w:r>
      <w:r w:rsidR="002F183C" w:rsidRPr="002F183C">
        <w:rPr>
          <w:rFonts w:ascii="Arial Narrow" w:hAnsi="Arial Narrow" w:cs="Arial"/>
          <w:b w:val="0"/>
          <w:iCs/>
          <w:kern w:val="28"/>
          <w:szCs w:val="28"/>
          <w:lang w:val="es-CO"/>
        </w:rPr>
        <w:lastRenderedPageBreak/>
        <w:t>cuanto la afiliación es la expresión de la voluntad de hacerse destinatario de las obligaciones y de obtener los beneficios que aquel ofrece.</w:t>
      </w:r>
    </w:p>
    <w:p w:rsidR="0041637E" w:rsidRDefault="0041637E" w:rsidP="00764DE2">
      <w:pPr>
        <w:pStyle w:val="Sinespaciado"/>
        <w:rPr>
          <w:lang w:val="es-CO"/>
        </w:rPr>
      </w:pPr>
    </w:p>
    <w:p w:rsidR="00807256" w:rsidRPr="00E2224F" w:rsidRDefault="0041637E" w:rsidP="00E2224F">
      <w:pPr>
        <w:pStyle w:val="Textoindependiente21"/>
        <w:ind w:firstLine="708"/>
        <w:rPr>
          <w:rFonts w:ascii="Arial Narrow" w:hAnsi="Arial Narrow"/>
          <w:b w:val="0"/>
          <w:szCs w:val="28"/>
        </w:rPr>
      </w:pPr>
      <w:r w:rsidRPr="00E2224F">
        <w:rPr>
          <w:rFonts w:ascii="Arial Narrow" w:hAnsi="Arial Narrow" w:cs="Arial"/>
          <w:b w:val="0"/>
          <w:iCs/>
          <w:kern w:val="28"/>
          <w:szCs w:val="28"/>
          <w:lang w:val="es-CO"/>
        </w:rPr>
        <w:t>En conclusión, pese a que en este proveído se acoge la postura del órgano de cierre de la especialidad laboral</w:t>
      </w:r>
      <w:r w:rsidR="00764DE2" w:rsidRPr="00E2224F">
        <w:rPr>
          <w:rFonts w:ascii="Arial Narrow" w:hAnsi="Arial Narrow" w:cs="Arial"/>
          <w:b w:val="0"/>
          <w:iCs/>
          <w:kern w:val="28"/>
          <w:szCs w:val="28"/>
          <w:lang w:val="es-CO"/>
        </w:rPr>
        <w:t>,</w:t>
      </w:r>
      <w:r w:rsidRPr="00E2224F">
        <w:rPr>
          <w:rFonts w:ascii="Arial Narrow" w:hAnsi="Arial Narrow" w:cs="Arial"/>
          <w:b w:val="0"/>
          <w:iCs/>
          <w:kern w:val="28"/>
          <w:szCs w:val="28"/>
          <w:lang w:val="es-CO"/>
        </w:rPr>
        <w:t xml:space="preserve"> </w:t>
      </w:r>
      <w:r w:rsidR="00764DE2" w:rsidRPr="00E2224F">
        <w:rPr>
          <w:rFonts w:ascii="Arial Narrow" w:hAnsi="Arial Narrow" w:cs="Arial"/>
          <w:b w:val="0"/>
          <w:iCs/>
          <w:kern w:val="28"/>
          <w:szCs w:val="28"/>
          <w:lang w:val="es-CO"/>
        </w:rPr>
        <w:t>en cuanto a que en orden a reconocer la acumulación de aportes de que trata la Ley 71 de 1988, es suficiente que la afiliación al antiguo ISS se hub</w:t>
      </w:r>
      <w:r w:rsidR="00A12D8A" w:rsidRPr="00E2224F">
        <w:rPr>
          <w:rFonts w:ascii="Arial Narrow" w:hAnsi="Arial Narrow" w:cs="Arial"/>
          <w:b w:val="0"/>
          <w:iCs/>
          <w:kern w:val="28"/>
          <w:szCs w:val="28"/>
          <w:lang w:val="es-CO"/>
        </w:rPr>
        <w:t xml:space="preserve">iere producido por primera vez </w:t>
      </w:r>
      <w:r w:rsidR="00764DE2" w:rsidRPr="00E2224F">
        <w:rPr>
          <w:rFonts w:ascii="Arial Narrow" w:hAnsi="Arial Narrow" w:cs="Arial"/>
          <w:b w:val="0"/>
          <w:iCs/>
          <w:kern w:val="28"/>
          <w:szCs w:val="28"/>
          <w:lang w:val="es-CO"/>
        </w:rPr>
        <w:t>en vigencia de la Ley 100/93, no sucede igual con el acogimiento de la postura de la Corte Constitucional</w:t>
      </w:r>
      <w:r w:rsidR="00A12D8A" w:rsidRPr="00E2224F">
        <w:rPr>
          <w:rStyle w:val="Refdenotaalpie"/>
          <w:rFonts w:ascii="Arial Narrow" w:hAnsi="Arial Narrow" w:cs="Arial"/>
          <w:b w:val="0"/>
          <w:iCs/>
          <w:kern w:val="28"/>
          <w:szCs w:val="28"/>
          <w:lang w:val="es-CO"/>
        </w:rPr>
        <w:footnoteReference w:id="1"/>
      </w:r>
      <w:r w:rsidR="00764DE2" w:rsidRPr="00E2224F">
        <w:rPr>
          <w:rFonts w:ascii="Arial Narrow" w:hAnsi="Arial Narrow" w:cs="Arial"/>
          <w:b w:val="0"/>
          <w:iCs/>
          <w:kern w:val="28"/>
          <w:szCs w:val="28"/>
          <w:lang w:val="es-CO"/>
        </w:rPr>
        <w:t xml:space="preserve">, en cuanto a la libertad de escogencia de uno u otro estatuto </w:t>
      </w:r>
      <w:r w:rsidR="00A12D8A" w:rsidRPr="00E2224F">
        <w:rPr>
          <w:rFonts w:ascii="Arial Narrow" w:hAnsi="Arial Narrow" w:cs="Arial"/>
          <w:b w:val="0"/>
          <w:iCs/>
          <w:kern w:val="28"/>
          <w:szCs w:val="28"/>
          <w:lang w:val="es-CO"/>
        </w:rPr>
        <w:t xml:space="preserve">(Ley 71 de 1988 o  Decreto 758 de 1990), en orden a liquidar la prestación de acuerdo con el que más le favorezca al afiliado, por la potísima razón </w:t>
      </w:r>
      <w:r w:rsidR="00033592" w:rsidRPr="00E2224F">
        <w:rPr>
          <w:rFonts w:ascii="Arial Narrow" w:hAnsi="Arial Narrow" w:cs="Arial"/>
          <w:b w:val="0"/>
          <w:iCs/>
          <w:kern w:val="28"/>
          <w:szCs w:val="28"/>
          <w:lang w:val="es-CO"/>
        </w:rPr>
        <w:t>de que para la aplicación de esta última pauta jurisprudencial, se exige que la inscripción al ISS se hubiere efectuado con antelación a la citada Ley 100/93, para el c</w:t>
      </w:r>
      <w:r w:rsidR="00807256" w:rsidRPr="00E2224F">
        <w:rPr>
          <w:rFonts w:ascii="Arial Narrow" w:hAnsi="Arial Narrow" w:cs="Arial"/>
          <w:b w:val="0"/>
          <w:iCs/>
          <w:kern w:val="28"/>
          <w:szCs w:val="28"/>
          <w:lang w:val="es-CO"/>
        </w:rPr>
        <w:t>ó</w:t>
      </w:r>
      <w:r w:rsidR="00033592" w:rsidRPr="00E2224F">
        <w:rPr>
          <w:rFonts w:ascii="Arial Narrow" w:hAnsi="Arial Narrow" w:cs="Arial"/>
          <w:b w:val="0"/>
          <w:iCs/>
          <w:kern w:val="28"/>
          <w:szCs w:val="28"/>
          <w:lang w:val="es-CO"/>
        </w:rPr>
        <w:t xml:space="preserve">mputo respectivo de las </w:t>
      </w:r>
      <w:r w:rsidR="00E2224F" w:rsidRPr="00E2224F">
        <w:rPr>
          <w:rFonts w:ascii="Arial Narrow" w:hAnsi="Arial Narrow" w:cs="Arial"/>
          <w:b w:val="0"/>
          <w:iCs/>
          <w:kern w:val="28"/>
          <w:szCs w:val="28"/>
          <w:lang w:val="es-CO"/>
        </w:rPr>
        <w:t xml:space="preserve">500 semanas dentro de los 20 años anteriores al cumplimiento de la edad requerida, o 1000 en cualquier tiempo.  </w:t>
      </w:r>
    </w:p>
    <w:p w:rsidR="00C876DD" w:rsidRPr="008243B0" w:rsidRDefault="00C876DD" w:rsidP="008243B0">
      <w:pPr>
        <w:pStyle w:val="Sinespaciado"/>
      </w:pPr>
    </w:p>
    <w:p w:rsidR="004924FD" w:rsidRDefault="00033592" w:rsidP="006D5058">
      <w:pPr>
        <w:spacing w:line="360" w:lineRule="auto"/>
        <w:ind w:firstLine="708"/>
        <w:jc w:val="both"/>
        <w:rPr>
          <w:rFonts w:ascii="Arial Narrow" w:hAnsi="Arial Narrow"/>
          <w:sz w:val="28"/>
          <w:szCs w:val="28"/>
        </w:rPr>
      </w:pPr>
      <w:r>
        <w:rPr>
          <w:rFonts w:ascii="Arial Narrow" w:hAnsi="Arial Narrow"/>
          <w:sz w:val="28"/>
          <w:szCs w:val="28"/>
        </w:rPr>
        <w:t xml:space="preserve">Aclarado lo anterior, </w:t>
      </w:r>
      <w:r w:rsidR="009A0145">
        <w:rPr>
          <w:rFonts w:ascii="Arial Narrow" w:hAnsi="Arial Narrow"/>
          <w:sz w:val="28"/>
          <w:szCs w:val="28"/>
        </w:rPr>
        <w:t>procede la Sala a verificar el cumplimiento de l</w:t>
      </w:r>
      <w:r w:rsidR="002A2E54">
        <w:rPr>
          <w:rFonts w:ascii="Arial Narrow" w:hAnsi="Arial Narrow"/>
          <w:sz w:val="28"/>
          <w:szCs w:val="28"/>
        </w:rPr>
        <w:t>os requisitos establecidos en</w:t>
      </w:r>
      <w:r w:rsidR="009A0145">
        <w:rPr>
          <w:rFonts w:ascii="Arial Narrow" w:hAnsi="Arial Narrow"/>
          <w:sz w:val="28"/>
          <w:szCs w:val="28"/>
        </w:rPr>
        <w:t xml:space="preserve"> los regímenes anteriores que</w:t>
      </w:r>
      <w:r w:rsidR="002A2E54">
        <w:rPr>
          <w:rFonts w:ascii="Arial Narrow" w:hAnsi="Arial Narrow"/>
          <w:sz w:val="28"/>
          <w:szCs w:val="28"/>
        </w:rPr>
        <w:t xml:space="preserve"> resultaban aplicables</w:t>
      </w:r>
      <w:r w:rsidR="00D9609A">
        <w:rPr>
          <w:rFonts w:ascii="Arial Narrow" w:hAnsi="Arial Narrow"/>
          <w:sz w:val="28"/>
          <w:szCs w:val="28"/>
        </w:rPr>
        <w:t xml:space="preserve"> al actor </w:t>
      </w:r>
      <w:r w:rsidR="009A0145">
        <w:rPr>
          <w:rFonts w:ascii="Arial Narrow" w:hAnsi="Arial Narrow"/>
          <w:sz w:val="28"/>
          <w:szCs w:val="28"/>
        </w:rPr>
        <w:t>(</w:t>
      </w:r>
      <w:r w:rsidR="002A2E54">
        <w:rPr>
          <w:rFonts w:ascii="Arial Narrow" w:hAnsi="Arial Narrow"/>
          <w:sz w:val="28"/>
          <w:szCs w:val="28"/>
        </w:rPr>
        <w:t>Ley 33 de 1985 y 71 de 1988</w:t>
      </w:r>
      <w:r w:rsidR="009A0145">
        <w:rPr>
          <w:rFonts w:ascii="Arial Narrow" w:hAnsi="Arial Narrow"/>
          <w:sz w:val="28"/>
          <w:szCs w:val="28"/>
        </w:rPr>
        <w:t xml:space="preserve">) </w:t>
      </w:r>
      <w:r w:rsidR="002A2E54">
        <w:rPr>
          <w:rFonts w:ascii="Arial Narrow" w:hAnsi="Arial Narrow"/>
          <w:sz w:val="28"/>
          <w:szCs w:val="28"/>
        </w:rPr>
        <w:t xml:space="preserve"> </w:t>
      </w:r>
      <w:r w:rsidR="009A0145">
        <w:rPr>
          <w:rFonts w:ascii="Arial Narrow" w:hAnsi="Arial Narrow"/>
          <w:sz w:val="28"/>
          <w:szCs w:val="28"/>
        </w:rPr>
        <w:t xml:space="preserve">para lo cual dirá que si bien acredita el cumplimiento de </w:t>
      </w:r>
      <w:r w:rsidR="002A2E54" w:rsidRPr="002A2E54">
        <w:rPr>
          <w:rFonts w:ascii="Arial Narrow" w:hAnsi="Arial Narrow"/>
          <w:sz w:val="28"/>
          <w:szCs w:val="28"/>
        </w:rPr>
        <w:t xml:space="preserve">las edades exigidas en esos compendios normativos, al haber cumplido los 55 años de edad el </w:t>
      </w:r>
      <w:r w:rsidR="002A2E54">
        <w:rPr>
          <w:rFonts w:ascii="Arial Narrow" w:hAnsi="Arial Narrow"/>
          <w:sz w:val="28"/>
          <w:szCs w:val="28"/>
        </w:rPr>
        <w:t xml:space="preserve">20 de noviembre de 2003, y </w:t>
      </w:r>
      <w:r w:rsidR="002A2E54" w:rsidRPr="002A2E54">
        <w:rPr>
          <w:rFonts w:ascii="Arial Narrow" w:hAnsi="Arial Narrow"/>
          <w:sz w:val="28"/>
          <w:szCs w:val="28"/>
        </w:rPr>
        <w:t>60 en la misma calenda del año 200</w:t>
      </w:r>
      <w:r w:rsidR="002A2E54">
        <w:rPr>
          <w:rFonts w:ascii="Arial Narrow" w:hAnsi="Arial Narrow"/>
          <w:sz w:val="28"/>
          <w:szCs w:val="28"/>
        </w:rPr>
        <w:t>8</w:t>
      </w:r>
      <w:r w:rsidR="002A2E54" w:rsidRPr="002A2E54">
        <w:rPr>
          <w:rFonts w:ascii="Arial Narrow" w:hAnsi="Arial Narrow"/>
          <w:sz w:val="28"/>
          <w:szCs w:val="28"/>
        </w:rPr>
        <w:t xml:space="preserve"> respectivamente, no cumple </w:t>
      </w:r>
      <w:r w:rsidR="00AD345C">
        <w:rPr>
          <w:rFonts w:ascii="Arial Narrow" w:hAnsi="Arial Narrow"/>
          <w:sz w:val="28"/>
          <w:szCs w:val="28"/>
        </w:rPr>
        <w:t xml:space="preserve">ni </w:t>
      </w:r>
      <w:r w:rsidR="002A2E54" w:rsidRPr="002A2E54">
        <w:rPr>
          <w:rFonts w:ascii="Arial Narrow" w:hAnsi="Arial Narrow"/>
          <w:sz w:val="28"/>
          <w:szCs w:val="28"/>
        </w:rPr>
        <w:t xml:space="preserve">con el tiempo de servicios exigidos en la Ley 33 de 1985, pues en toda su vida laboral tiene servicios prestados en el sector público que equivalen a 8 años </w:t>
      </w:r>
      <w:r w:rsidR="000E4364">
        <w:rPr>
          <w:rFonts w:ascii="Arial Narrow" w:hAnsi="Arial Narrow"/>
          <w:sz w:val="28"/>
          <w:szCs w:val="28"/>
        </w:rPr>
        <w:t>7 meses y 3</w:t>
      </w:r>
      <w:r w:rsidR="00D9609A">
        <w:rPr>
          <w:rFonts w:ascii="Arial Narrow" w:hAnsi="Arial Narrow"/>
          <w:sz w:val="28"/>
          <w:szCs w:val="28"/>
        </w:rPr>
        <w:t xml:space="preserve"> días</w:t>
      </w:r>
      <w:r w:rsidR="002A2E54" w:rsidRPr="002A2E54">
        <w:rPr>
          <w:rFonts w:ascii="Arial Narrow" w:hAnsi="Arial Narrow"/>
          <w:sz w:val="28"/>
          <w:szCs w:val="28"/>
        </w:rPr>
        <w:t>, como se evidencia en el certificado de info</w:t>
      </w:r>
      <w:r w:rsidR="000E4364">
        <w:rPr>
          <w:rFonts w:ascii="Arial Narrow" w:hAnsi="Arial Narrow"/>
          <w:sz w:val="28"/>
          <w:szCs w:val="28"/>
        </w:rPr>
        <w:t>rmación laboral expedido por la Gobernación del Valle del Cauca</w:t>
      </w:r>
      <w:r w:rsidR="00D9609A">
        <w:rPr>
          <w:rFonts w:ascii="Arial Narrow" w:hAnsi="Arial Narrow"/>
          <w:sz w:val="28"/>
          <w:szCs w:val="28"/>
        </w:rPr>
        <w:t xml:space="preserve">; ni </w:t>
      </w:r>
      <w:r w:rsidR="002A2E54" w:rsidRPr="002A2E54">
        <w:rPr>
          <w:rFonts w:ascii="Arial Narrow" w:hAnsi="Arial Narrow"/>
          <w:sz w:val="28"/>
          <w:szCs w:val="28"/>
        </w:rPr>
        <w:t xml:space="preserve">tampoco acumula 20 años de aportes sumando a esos servicios </w:t>
      </w:r>
      <w:r w:rsidR="00F77086">
        <w:rPr>
          <w:rFonts w:ascii="Arial Narrow" w:hAnsi="Arial Narrow"/>
          <w:sz w:val="28"/>
          <w:szCs w:val="28"/>
        </w:rPr>
        <w:t xml:space="preserve">del </w:t>
      </w:r>
      <w:r w:rsidR="002A2E54" w:rsidRPr="002A2E54">
        <w:rPr>
          <w:rFonts w:ascii="Arial Narrow" w:hAnsi="Arial Narrow"/>
          <w:sz w:val="28"/>
          <w:szCs w:val="28"/>
        </w:rPr>
        <w:t xml:space="preserve">sector público, los cotizados </w:t>
      </w:r>
      <w:r w:rsidR="00F77086">
        <w:rPr>
          <w:rFonts w:ascii="Arial Narrow" w:hAnsi="Arial Narrow"/>
          <w:sz w:val="28"/>
          <w:szCs w:val="28"/>
        </w:rPr>
        <w:t xml:space="preserve">al </w:t>
      </w:r>
      <w:r w:rsidR="002A2E54" w:rsidRPr="002A2E54">
        <w:rPr>
          <w:rFonts w:ascii="Arial Narrow" w:hAnsi="Arial Narrow"/>
          <w:sz w:val="28"/>
          <w:szCs w:val="28"/>
        </w:rPr>
        <w:t xml:space="preserve">sector privado, </w:t>
      </w:r>
      <w:r w:rsidR="00791907">
        <w:rPr>
          <w:rFonts w:ascii="Arial Narrow" w:hAnsi="Arial Narrow"/>
          <w:sz w:val="28"/>
          <w:szCs w:val="28"/>
        </w:rPr>
        <w:t xml:space="preserve">pues </w:t>
      </w:r>
      <w:r w:rsidR="002A2E54" w:rsidRPr="002A2E54">
        <w:rPr>
          <w:rFonts w:ascii="Arial Narrow" w:hAnsi="Arial Narrow"/>
          <w:sz w:val="28"/>
          <w:szCs w:val="28"/>
        </w:rPr>
        <w:t>de acuerdo con la información suministrada en la historia laboral –fls.</w:t>
      </w:r>
      <w:r w:rsidR="00F77086">
        <w:rPr>
          <w:rFonts w:ascii="Arial Narrow" w:hAnsi="Arial Narrow"/>
          <w:sz w:val="28"/>
          <w:szCs w:val="28"/>
        </w:rPr>
        <w:t xml:space="preserve">60 a 63-, reporta </w:t>
      </w:r>
      <w:r w:rsidR="008426AF">
        <w:rPr>
          <w:rFonts w:ascii="Arial Narrow" w:hAnsi="Arial Narrow"/>
          <w:sz w:val="28"/>
          <w:szCs w:val="28"/>
        </w:rPr>
        <w:t xml:space="preserve">un total de </w:t>
      </w:r>
      <w:r w:rsidR="004924FD">
        <w:rPr>
          <w:rFonts w:ascii="Arial Narrow" w:hAnsi="Arial Narrow"/>
          <w:sz w:val="28"/>
          <w:szCs w:val="28"/>
        </w:rPr>
        <w:t xml:space="preserve">543.45 semanas de aportes, </w:t>
      </w:r>
      <w:r w:rsidR="006D5058">
        <w:rPr>
          <w:rFonts w:ascii="Arial Narrow" w:hAnsi="Arial Narrow"/>
          <w:sz w:val="28"/>
          <w:szCs w:val="28"/>
        </w:rPr>
        <w:t xml:space="preserve">esto es, 10.56 años de servicios, que </w:t>
      </w:r>
      <w:r w:rsidR="000D6958">
        <w:rPr>
          <w:rFonts w:ascii="Arial Narrow" w:hAnsi="Arial Narrow"/>
          <w:sz w:val="28"/>
          <w:szCs w:val="28"/>
        </w:rPr>
        <w:t>en total arroja 1</w:t>
      </w:r>
      <w:r w:rsidR="00CE2919">
        <w:rPr>
          <w:rFonts w:ascii="Arial Narrow" w:hAnsi="Arial Narrow"/>
          <w:sz w:val="28"/>
          <w:szCs w:val="28"/>
        </w:rPr>
        <w:t xml:space="preserve">9.27 años de servicios </w:t>
      </w:r>
      <w:r w:rsidR="008A66F3">
        <w:rPr>
          <w:rFonts w:ascii="Arial Narrow" w:hAnsi="Arial Narrow"/>
          <w:sz w:val="28"/>
          <w:szCs w:val="28"/>
        </w:rPr>
        <w:t xml:space="preserve">acumulados entre el sector público y privado. </w:t>
      </w:r>
    </w:p>
    <w:p w:rsidR="002C2D45" w:rsidRPr="008243B0" w:rsidRDefault="002C2D45" w:rsidP="008243B0">
      <w:pPr>
        <w:pStyle w:val="Sinespaciado"/>
      </w:pPr>
    </w:p>
    <w:p w:rsidR="00BB2EA8" w:rsidRPr="00EA697C" w:rsidRDefault="006A0F7A" w:rsidP="00F25264">
      <w:pPr>
        <w:spacing w:line="360" w:lineRule="auto"/>
        <w:ind w:firstLine="708"/>
        <w:jc w:val="both"/>
        <w:rPr>
          <w:rFonts w:ascii="Arial Narrow" w:hAnsi="Arial Narrow" w:cs="Tahoma"/>
          <w:color w:val="000000"/>
          <w:sz w:val="28"/>
          <w:szCs w:val="28"/>
          <w:lang w:eastAsia="es-CO"/>
        </w:rPr>
      </w:pPr>
      <w:r>
        <w:rPr>
          <w:rFonts w:ascii="Arial Narrow" w:hAnsi="Arial Narrow"/>
          <w:sz w:val="28"/>
          <w:szCs w:val="28"/>
        </w:rPr>
        <w:t xml:space="preserve">Acorde con lo expuesto, el demandante no tiene derecho a la pensión de vejez que reclama, razón </w:t>
      </w:r>
      <w:r w:rsidR="004A5BD8">
        <w:rPr>
          <w:rFonts w:ascii="Arial Narrow" w:hAnsi="Arial Narrow"/>
          <w:sz w:val="28"/>
          <w:szCs w:val="28"/>
        </w:rPr>
        <w:t>por la que en virtud del grado jurisdiccional de consulta que opera en favor de la entidad demandada, se</w:t>
      </w:r>
      <w:r w:rsidR="00791907">
        <w:rPr>
          <w:rFonts w:ascii="Arial Narrow" w:hAnsi="Arial Narrow"/>
          <w:sz w:val="28"/>
          <w:szCs w:val="28"/>
        </w:rPr>
        <w:t xml:space="preserve"> revocará </w:t>
      </w:r>
      <w:r w:rsidR="004A5BD8">
        <w:rPr>
          <w:rFonts w:ascii="Arial Narrow" w:hAnsi="Arial Narrow"/>
          <w:sz w:val="28"/>
          <w:szCs w:val="28"/>
        </w:rPr>
        <w:t xml:space="preserve">íntegramente </w:t>
      </w:r>
      <w:r w:rsidR="00791907">
        <w:rPr>
          <w:rFonts w:ascii="Arial Narrow" w:hAnsi="Arial Narrow"/>
          <w:sz w:val="28"/>
          <w:szCs w:val="28"/>
        </w:rPr>
        <w:t xml:space="preserve">la </w:t>
      </w:r>
      <w:r w:rsidR="004A5BD8">
        <w:rPr>
          <w:rFonts w:ascii="Arial Narrow" w:hAnsi="Arial Narrow"/>
          <w:sz w:val="28"/>
          <w:szCs w:val="28"/>
        </w:rPr>
        <w:t xml:space="preserve">sentencia de primer </w:t>
      </w:r>
      <w:r w:rsidR="00791907">
        <w:rPr>
          <w:rFonts w:ascii="Arial Narrow" w:hAnsi="Arial Narrow"/>
          <w:sz w:val="28"/>
          <w:szCs w:val="28"/>
        </w:rPr>
        <w:lastRenderedPageBreak/>
        <w:t>gr</w:t>
      </w:r>
      <w:r w:rsidR="00F25264">
        <w:rPr>
          <w:rFonts w:ascii="Arial Narrow" w:hAnsi="Arial Narrow"/>
          <w:sz w:val="28"/>
          <w:szCs w:val="28"/>
        </w:rPr>
        <w:t xml:space="preserve">ado, para en su lugar, absolverla </w:t>
      </w:r>
      <w:r w:rsidR="00791907">
        <w:rPr>
          <w:rFonts w:ascii="Arial Narrow" w:hAnsi="Arial Narrow"/>
          <w:sz w:val="28"/>
          <w:szCs w:val="28"/>
        </w:rPr>
        <w:t>de todas</w:t>
      </w:r>
      <w:r w:rsidR="00F25264">
        <w:rPr>
          <w:rFonts w:ascii="Arial Narrow" w:hAnsi="Arial Narrow"/>
          <w:sz w:val="28"/>
          <w:szCs w:val="28"/>
        </w:rPr>
        <w:t xml:space="preserve"> y cada una de las pretensiones incoadas en su contra. </w:t>
      </w:r>
      <w:r w:rsidR="00791907">
        <w:rPr>
          <w:rFonts w:ascii="Arial Narrow" w:hAnsi="Arial Narrow"/>
          <w:sz w:val="28"/>
          <w:szCs w:val="28"/>
        </w:rPr>
        <w:t xml:space="preserve"> </w:t>
      </w:r>
    </w:p>
    <w:p w:rsidR="00F25264" w:rsidRDefault="00F25264" w:rsidP="00F25264">
      <w:pPr>
        <w:pStyle w:val="Sinespaciado"/>
        <w:rPr>
          <w:lang w:val="es-ES"/>
        </w:rPr>
      </w:pPr>
    </w:p>
    <w:p w:rsidR="00040FE8" w:rsidRDefault="00F25264" w:rsidP="00F25264">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Sin costas en esta instancia. Las de primer grado correrán a cargo del demandante. </w:t>
      </w:r>
    </w:p>
    <w:p w:rsidR="00040FE8" w:rsidRPr="00CB1BE1" w:rsidRDefault="00040FE8" w:rsidP="00F25264">
      <w:pPr>
        <w:pStyle w:val="Sinespaciado"/>
      </w:pPr>
    </w:p>
    <w:p w:rsidR="001A4962" w:rsidRPr="00EA0DFA" w:rsidRDefault="001A4962" w:rsidP="001A4962">
      <w:pPr>
        <w:pStyle w:val="Prrafodelista1"/>
        <w:spacing w:after="0" w:line="360" w:lineRule="auto"/>
        <w:ind w:left="0" w:firstLine="709"/>
        <w:jc w:val="both"/>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1A4962" w:rsidRPr="008243B0" w:rsidRDefault="001A4962" w:rsidP="008243B0">
      <w:pPr>
        <w:pStyle w:val="Sinespaciado"/>
      </w:pPr>
    </w:p>
    <w:p w:rsidR="001A4962" w:rsidRPr="00117AB3" w:rsidRDefault="001A4962" w:rsidP="001A4962">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1A4962" w:rsidRPr="00EA0DFA" w:rsidRDefault="001A4962" w:rsidP="001A4962">
      <w:pPr>
        <w:pStyle w:val="Sinespaciado"/>
      </w:pPr>
    </w:p>
    <w:p w:rsidR="001A4962" w:rsidRPr="000D562C" w:rsidRDefault="00F25264" w:rsidP="001A4962">
      <w:pPr>
        <w:pStyle w:val="Prrafodelista"/>
        <w:numPr>
          <w:ilvl w:val="0"/>
          <w:numId w:val="2"/>
        </w:numPr>
        <w:autoSpaceDE w:val="0"/>
        <w:autoSpaceDN w:val="0"/>
        <w:adjustRightInd w:val="0"/>
        <w:spacing w:line="360" w:lineRule="auto"/>
        <w:ind w:left="0" w:firstLine="360"/>
        <w:jc w:val="both"/>
      </w:pPr>
      <w:r>
        <w:rPr>
          <w:rFonts w:ascii="Arial Narrow" w:hAnsi="Arial Narrow"/>
          <w:i/>
          <w:sz w:val="28"/>
          <w:szCs w:val="28"/>
        </w:rPr>
        <w:t>Revocar l</w:t>
      </w:r>
      <w:r w:rsidR="001A4962" w:rsidRPr="00EA0DFA">
        <w:rPr>
          <w:rFonts w:ascii="Arial Narrow" w:hAnsi="Arial Narrow"/>
          <w:sz w:val="28"/>
          <w:szCs w:val="28"/>
        </w:rPr>
        <w:t xml:space="preserve">a sentencia proferida el </w:t>
      </w:r>
      <w:r>
        <w:rPr>
          <w:rFonts w:ascii="Arial Narrow" w:hAnsi="Arial Narrow"/>
          <w:sz w:val="28"/>
          <w:szCs w:val="28"/>
        </w:rPr>
        <w:t xml:space="preserve">22 de junio de 2016 por </w:t>
      </w:r>
      <w:r w:rsidR="001A4962" w:rsidRPr="00EA0DFA">
        <w:rPr>
          <w:rFonts w:ascii="Arial Narrow" w:hAnsi="Arial Narrow"/>
          <w:sz w:val="28"/>
          <w:szCs w:val="28"/>
        </w:rPr>
        <w:t xml:space="preserve">el Juzgado </w:t>
      </w:r>
      <w:r>
        <w:rPr>
          <w:rFonts w:ascii="Arial Narrow" w:hAnsi="Arial Narrow"/>
          <w:sz w:val="28"/>
          <w:szCs w:val="28"/>
        </w:rPr>
        <w:t xml:space="preserve">Quinto </w:t>
      </w:r>
      <w:r w:rsidR="001A4962" w:rsidRPr="00EA0DFA">
        <w:rPr>
          <w:rFonts w:ascii="Arial Narrow" w:hAnsi="Arial Narrow"/>
          <w:sz w:val="28"/>
          <w:szCs w:val="28"/>
        </w:rPr>
        <w:t xml:space="preserve"> Laboral del Circuito de Pereira, dentr</w:t>
      </w:r>
      <w:r>
        <w:rPr>
          <w:rFonts w:ascii="Arial Narrow" w:hAnsi="Arial Narrow"/>
          <w:sz w:val="28"/>
          <w:szCs w:val="28"/>
        </w:rPr>
        <w:t xml:space="preserve">o del proceso de la referencia, para en su lugar. </w:t>
      </w:r>
      <w:r w:rsidRPr="007835CE">
        <w:rPr>
          <w:rFonts w:ascii="Arial Narrow" w:hAnsi="Arial Narrow"/>
          <w:i/>
          <w:sz w:val="28"/>
          <w:szCs w:val="28"/>
        </w:rPr>
        <w:t>Absolver</w:t>
      </w:r>
      <w:r>
        <w:rPr>
          <w:rFonts w:ascii="Arial Narrow" w:hAnsi="Arial Narrow"/>
          <w:sz w:val="28"/>
          <w:szCs w:val="28"/>
        </w:rPr>
        <w:t xml:space="preserve"> a la Administradora Colombiana de Pensiones C</w:t>
      </w:r>
      <w:r w:rsidR="007835CE">
        <w:rPr>
          <w:rFonts w:ascii="Arial Narrow" w:hAnsi="Arial Narrow"/>
          <w:sz w:val="28"/>
          <w:szCs w:val="28"/>
        </w:rPr>
        <w:t>o</w:t>
      </w:r>
      <w:r>
        <w:rPr>
          <w:rFonts w:ascii="Arial Narrow" w:hAnsi="Arial Narrow"/>
          <w:sz w:val="28"/>
          <w:szCs w:val="28"/>
        </w:rPr>
        <w:t xml:space="preserve">lpensiones de todas y cada una de las pretensiones </w:t>
      </w:r>
      <w:r w:rsidR="007835CE">
        <w:rPr>
          <w:rFonts w:ascii="Arial Narrow" w:hAnsi="Arial Narrow"/>
          <w:sz w:val="28"/>
          <w:szCs w:val="28"/>
        </w:rPr>
        <w:t xml:space="preserve">de la demanda. </w:t>
      </w:r>
      <w:r>
        <w:rPr>
          <w:rFonts w:ascii="Arial Narrow" w:hAnsi="Arial Narrow"/>
          <w:sz w:val="28"/>
          <w:szCs w:val="28"/>
        </w:rPr>
        <w:t xml:space="preserve"> </w:t>
      </w:r>
    </w:p>
    <w:p w:rsidR="001A4962" w:rsidRPr="00117AB3" w:rsidRDefault="001A4962" w:rsidP="001A4962">
      <w:pPr>
        <w:pStyle w:val="Sinespaciado"/>
      </w:pPr>
    </w:p>
    <w:p w:rsidR="007835CE" w:rsidRPr="007835CE" w:rsidRDefault="001A4962" w:rsidP="007835CE">
      <w:pPr>
        <w:pStyle w:val="Prrafodelista"/>
        <w:numPr>
          <w:ilvl w:val="0"/>
          <w:numId w:val="2"/>
        </w:numPr>
        <w:spacing w:line="360" w:lineRule="auto"/>
        <w:ind w:left="0" w:firstLine="360"/>
        <w:jc w:val="both"/>
        <w:rPr>
          <w:rFonts w:ascii="Arial Narrow" w:hAnsi="Arial Narrow" w:cs="Arial"/>
          <w:sz w:val="28"/>
          <w:szCs w:val="28"/>
          <w:lang w:val="es-ES"/>
        </w:rPr>
      </w:pPr>
      <w:r w:rsidRPr="007835CE">
        <w:rPr>
          <w:rFonts w:ascii="Arial Narrow" w:hAnsi="Arial Narrow"/>
          <w:sz w:val="28"/>
          <w:szCs w:val="28"/>
        </w:rPr>
        <w:t>Sin costas en esta instancia.</w:t>
      </w:r>
      <w:r w:rsidR="007835CE" w:rsidRPr="007835CE">
        <w:rPr>
          <w:rFonts w:ascii="Arial Narrow" w:hAnsi="Arial Narrow"/>
          <w:sz w:val="28"/>
          <w:szCs w:val="28"/>
        </w:rPr>
        <w:t xml:space="preserve"> </w:t>
      </w:r>
      <w:r w:rsidR="007835CE" w:rsidRPr="007835CE">
        <w:rPr>
          <w:rFonts w:ascii="Arial Narrow" w:hAnsi="Arial Narrow" w:cs="Arial"/>
          <w:sz w:val="28"/>
          <w:szCs w:val="28"/>
          <w:lang w:val="es-ES"/>
        </w:rPr>
        <w:t xml:space="preserve">Las de primer grado correrán a cargo del demandante. </w:t>
      </w:r>
    </w:p>
    <w:p w:rsidR="001A4962" w:rsidRPr="00117AB3" w:rsidRDefault="001A4962" w:rsidP="001A4962">
      <w:pPr>
        <w:pStyle w:val="Sinespaciado"/>
      </w:pPr>
    </w:p>
    <w:p w:rsidR="001A4962" w:rsidRPr="00117AB3" w:rsidRDefault="001A4962" w:rsidP="001A4962">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1A4962" w:rsidRPr="00EA0DFA" w:rsidRDefault="001A4962" w:rsidP="001A4962">
      <w:pPr>
        <w:pStyle w:val="Sinespaciado"/>
      </w:pPr>
    </w:p>
    <w:p w:rsidR="001A4962" w:rsidRPr="00117AB3" w:rsidRDefault="001A4962" w:rsidP="001A4962">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1A4962" w:rsidRDefault="001A4962" w:rsidP="001A4962">
      <w:pPr>
        <w:spacing w:line="600" w:lineRule="auto"/>
        <w:ind w:firstLine="900"/>
        <w:jc w:val="both"/>
        <w:rPr>
          <w:rFonts w:ascii="Arial Narrow" w:hAnsi="Arial Narrow" w:cs="Microsoft Sans Serif"/>
          <w:bCs/>
          <w:iCs/>
          <w:sz w:val="28"/>
          <w:szCs w:val="28"/>
          <w:lang w:val="es-ES"/>
        </w:rPr>
      </w:pPr>
    </w:p>
    <w:p w:rsidR="008243B0" w:rsidRPr="00117AB3" w:rsidRDefault="008243B0" w:rsidP="008243B0">
      <w:pPr>
        <w:pStyle w:val="Sinespaciado"/>
        <w:rPr>
          <w:lang w:val="es-ES"/>
        </w:rPr>
      </w:pPr>
    </w:p>
    <w:p w:rsidR="001A4962" w:rsidRPr="00117AB3" w:rsidRDefault="001A4962" w:rsidP="001A4962">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1A4962" w:rsidRPr="00117AB3" w:rsidRDefault="001A4962" w:rsidP="001A4962">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1A4962" w:rsidRPr="00117AB3" w:rsidRDefault="001A4962" w:rsidP="001A4962">
      <w:pPr>
        <w:jc w:val="both"/>
        <w:rPr>
          <w:rFonts w:ascii="Arial Narrow" w:hAnsi="Arial Narrow" w:cs="Microsoft Sans Serif"/>
          <w:bCs/>
          <w:iCs/>
          <w:sz w:val="28"/>
          <w:szCs w:val="28"/>
          <w:lang w:val="es-ES"/>
        </w:rPr>
      </w:pPr>
    </w:p>
    <w:p w:rsidR="001A4962" w:rsidRPr="00117AB3" w:rsidRDefault="001A4962" w:rsidP="001A4962">
      <w:pPr>
        <w:spacing w:line="276" w:lineRule="auto"/>
        <w:jc w:val="both"/>
        <w:rPr>
          <w:rFonts w:ascii="Arial Narrow" w:hAnsi="Arial Narrow" w:cs="Microsoft Sans Serif"/>
          <w:bCs/>
          <w:iCs/>
          <w:sz w:val="28"/>
          <w:szCs w:val="28"/>
          <w:lang w:val="es-ES"/>
        </w:rPr>
      </w:pPr>
    </w:p>
    <w:p w:rsidR="001A4962" w:rsidRDefault="001A4962" w:rsidP="001A4962">
      <w:pPr>
        <w:jc w:val="both"/>
        <w:rPr>
          <w:rFonts w:ascii="Arial Narrow" w:hAnsi="Arial Narrow" w:cs="Microsoft Sans Serif"/>
          <w:bCs/>
          <w:iCs/>
          <w:sz w:val="28"/>
          <w:szCs w:val="28"/>
          <w:lang w:val="es-ES"/>
        </w:rPr>
      </w:pPr>
    </w:p>
    <w:p w:rsidR="001A4962" w:rsidRPr="00117AB3" w:rsidRDefault="001A4962" w:rsidP="001A4962">
      <w:pPr>
        <w:jc w:val="both"/>
        <w:rPr>
          <w:rFonts w:ascii="Arial Narrow" w:hAnsi="Arial Narrow" w:cs="Microsoft Sans Serif"/>
          <w:bCs/>
          <w:iCs/>
          <w:sz w:val="28"/>
          <w:szCs w:val="28"/>
          <w:lang w:val="es-ES"/>
        </w:rPr>
      </w:pPr>
    </w:p>
    <w:p w:rsidR="001A4962" w:rsidRPr="00117AB3" w:rsidRDefault="001A4962" w:rsidP="001A4962">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1A4962" w:rsidRPr="00117AB3" w:rsidRDefault="001A4962" w:rsidP="001A4962">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Magistrada</w:t>
      </w:r>
    </w:p>
    <w:p w:rsidR="001A4962" w:rsidRDefault="001A4962" w:rsidP="001A4962">
      <w:pPr>
        <w:jc w:val="center"/>
        <w:rPr>
          <w:rFonts w:ascii="Arial Narrow" w:hAnsi="Arial Narrow"/>
          <w:sz w:val="28"/>
          <w:szCs w:val="28"/>
        </w:rPr>
      </w:pPr>
    </w:p>
    <w:p w:rsidR="001A4962" w:rsidRDefault="001A4962" w:rsidP="001A4962">
      <w:pPr>
        <w:jc w:val="center"/>
        <w:rPr>
          <w:rFonts w:ascii="Arial Narrow" w:hAnsi="Arial Narrow"/>
          <w:sz w:val="28"/>
          <w:szCs w:val="28"/>
        </w:rPr>
      </w:pPr>
    </w:p>
    <w:p w:rsidR="001A4962" w:rsidRDefault="001A4962" w:rsidP="001A4962">
      <w:pPr>
        <w:jc w:val="center"/>
        <w:rPr>
          <w:rFonts w:ascii="Arial Narrow" w:hAnsi="Arial Narrow"/>
          <w:sz w:val="28"/>
          <w:szCs w:val="28"/>
        </w:rPr>
      </w:pPr>
    </w:p>
    <w:p w:rsidR="001A4962" w:rsidRDefault="001A4962" w:rsidP="001A4962">
      <w:pPr>
        <w:jc w:val="center"/>
        <w:rPr>
          <w:rFonts w:ascii="Arial Narrow" w:hAnsi="Arial Narrow"/>
          <w:sz w:val="28"/>
          <w:szCs w:val="28"/>
        </w:rPr>
      </w:pPr>
    </w:p>
    <w:p w:rsidR="001A4962" w:rsidRDefault="001A4962" w:rsidP="001A4962">
      <w:pPr>
        <w:jc w:val="center"/>
        <w:rPr>
          <w:rFonts w:ascii="Arial Narrow" w:hAnsi="Arial Narrow"/>
          <w:sz w:val="28"/>
          <w:szCs w:val="28"/>
        </w:rPr>
      </w:pPr>
      <w:r>
        <w:rPr>
          <w:rFonts w:ascii="Arial Narrow" w:hAnsi="Arial Narrow"/>
          <w:sz w:val="28"/>
          <w:szCs w:val="28"/>
        </w:rPr>
        <w:t>ALONSO GAVIRIA OCAMPO</w:t>
      </w:r>
    </w:p>
    <w:p w:rsidR="001A4962" w:rsidRDefault="001A4962" w:rsidP="001A4962">
      <w:pPr>
        <w:jc w:val="center"/>
        <w:rPr>
          <w:rFonts w:ascii="Arial Narrow" w:hAnsi="Arial Narrow"/>
          <w:sz w:val="28"/>
          <w:szCs w:val="28"/>
        </w:rPr>
      </w:pPr>
      <w:r>
        <w:rPr>
          <w:rFonts w:ascii="Arial Narrow" w:hAnsi="Arial Narrow"/>
          <w:sz w:val="28"/>
          <w:szCs w:val="28"/>
        </w:rPr>
        <w:t>Secretario</w:t>
      </w:r>
    </w:p>
    <w:p w:rsidR="001A4962" w:rsidRDefault="001A4962" w:rsidP="001A4962">
      <w:pPr>
        <w:jc w:val="center"/>
        <w:rPr>
          <w:rFonts w:ascii="Arial Narrow" w:hAnsi="Arial Narrow"/>
          <w:sz w:val="28"/>
          <w:szCs w:val="28"/>
        </w:rPr>
      </w:pPr>
    </w:p>
    <w:p w:rsidR="001A4962" w:rsidRDefault="001A4962" w:rsidP="001A4962">
      <w:pPr>
        <w:jc w:val="center"/>
        <w:rPr>
          <w:rFonts w:ascii="Arial Narrow" w:hAnsi="Arial Narrow"/>
          <w:sz w:val="28"/>
          <w:szCs w:val="28"/>
        </w:rPr>
      </w:pPr>
    </w:p>
    <w:p w:rsidR="001A4962" w:rsidRDefault="001A4962" w:rsidP="004251A7">
      <w:pPr>
        <w:rPr>
          <w:rFonts w:ascii="Arial Narrow" w:hAnsi="Arial Narrow"/>
          <w:sz w:val="28"/>
          <w:szCs w:val="28"/>
        </w:rPr>
      </w:pPr>
    </w:p>
    <w:sectPr w:rsidR="001A4962" w:rsidSect="00C31C22">
      <w:headerReference w:type="default" r:id="rId8"/>
      <w:footerReference w:type="even" r:id="rId9"/>
      <w:footerReference w:type="default" r:id="rId10"/>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D8" w:rsidRDefault="00A71FD8" w:rsidP="001A4962">
      <w:r>
        <w:separator/>
      </w:r>
    </w:p>
  </w:endnote>
  <w:endnote w:type="continuationSeparator" w:id="0">
    <w:p w:rsidR="00A71FD8" w:rsidRDefault="00A71FD8" w:rsidP="001A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407929"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A71FD8"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407929"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C84">
      <w:rPr>
        <w:rStyle w:val="Nmerodepgina"/>
        <w:noProof/>
      </w:rPr>
      <w:t>5</w:t>
    </w:r>
    <w:r>
      <w:rPr>
        <w:rStyle w:val="Nmerodepgina"/>
      </w:rPr>
      <w:fldChar w:fldCharType="end"/>
    </w:r>
  </w:p>
  <w:p w:rsidR="00C82DCC" w:rsidRDefault="00A71FD8"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D8" w:rsidRDefault="00A71FD8" w:rsidP="001A4962">
      <w:r>
        <w:separator/>
      </w:r>
    </w:p>
  </w:footnote>
  <w:footnote w:type="continuationSeparator" w:id="0">
    <w:p w:rsidR="00A71FD8" w:rsidRDefault="00A71FD8" w:rsidP="001A4962">
      <w:r>
        <w:continuationSeparator/>
      </w:r>
    </w:p>
  </w:footnote>
  <w:footnote w:id="1">
    <w:p w:rsidR="00A12D8A" w:rsidRPr="00A12D8A" w:rsidRDefault="00A12D8A">
      <w:pPr>
        <w:pStyle w:val="Textonotapie"/>
        <w:rPr>
          <w:lang w:val="es-CO"/>
        </w:rPr>
      </w:pPr>
      <w:r>
        <w:rPr>
          <w:rStyle w:val="Refdenotaalpie"/>
        </w:rPr>
        <w:footnoteRef/>
      </w:r>
      <w:r>
        <w:t xml:space="preserve"> </w:t>
      </w:r>
      <w:r w:rsidRPr="00A12D8A">
        <w:rPr>
          <w:rFonts w:ascii="Arial Narrow" w:hAnsi="Arial Narrow"/>
          <w:lang w:val="es-CO"/>
        </w:rPr>
        <w:t>Sentencia SU 769 de 2014, Corte Constitucional</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407929"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1A4962">
      <w:rPr>
        <w:rFonts w:ascii="Arial Narrow" w:hAnsi="Arial Narrow" w:cs="Arial"/>
        <w:bCs/>
        <w:sz w:val="18"/>
        <w:szCs w:val="18"/>
      </w:rPr>
      <w:t>5-2015-00388-01</w:t>
    </w:r>
  </w:p>
  <w:p w:rsidR="00C82DCC" w:rsidRPr="0015409B" w:rsidRDefault="001A4962" w:rsidP="004609D0">
    <w:pPr>
      <w:jc w:val="both"/>
      <w:rPr>
        <w:rFonts w:ascii="Arial Narrow" w:hAnsi="Arial Narrow"/>
        <w:sz w:val="18"/>
        <w:szCs w:val="18"/>
        <w:lang w:val="es-ES"/>
      </w:rPr>
    </w:pPr>
    <w:r>
      <w:rPr>
        <w:rFonts w:ascii="Arial Narrow" w:hAnsi="Arial Narrow" w:cs="Arial"/>
        <w:bCs/>
        <w:sz w:val="18"/>
        <w:szCs w:val="18"/>
      </w:rPr>
      <w:t>Hector Hoyos López v</w:t>
    </w:r>
    <w:r w:rsidR="00407929" w:rsidRPr="0015409B">
      <w:rPr>
        <w:rFonts w:ascii="Arial Narrow" w:hAnsi="Arial Narrow" w:cs="Arial"/>
        <w:bCs/>
        <w:sz w:val="18"/>
        <w:szCs w:val="18"/>
        <w:lang w:val="es-ES"/>
      </w:rPr>
      <w:t xml:space="preserve">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62"/>
    <w:rsid w:val="00015E1E"/>
    <w:rsid w:val="00033592"/>
    <w:rsid w:val="00040FE8"/>
    <w:rsid w:val="00071C8B"/>
    <w:rsid w:val="00073556"/>
    <w:rsid w:val="000D6958"/>
    <w:rsid w:val="000E4364"/>
    <w:rsid w:val="00124528"/>
    <w:rsid w:val="00140E93"/>
    <w:rsid w:val="001A4962"/>
    <w:rsid w:val="001B3FA3"/>
    <w:rsid w:val="0024645B"/>
    <w:rsid w:val="00292BFD"/>
    <w:rsid w:val="002A0B3B"/>
    <w:rsid w:val="002A2E54"/>
    <w:rsid w:val="002C2D45"/>
    <w:rsid w:val="002E7D1F"/>
    <w:rsid w:val="002F183C"/>
    <w:rsid w:val="0033612A"/>
    <w:rsid w:val="00340AF0"/>
    <w:rsid w:val="00381DC3"/>
    <w:rsid w:val="003F68CE"/>
    <w:rsid w:val="0040645D"/>
    <w:rsid w:val="00407929"/>
    <w:rsid w:val="0041637E"/>
    <w:rsid w:val="004251A7"/>
    <w:rsid w:val="004338D1"/>
    <w:rsid w:val="00453FC4"/>
    <w:rsid w:val="00482F23"/>
    <w:rsid w:val="004924FD"/>
    <w:rsid w:val="004A5BD8"/>
    <w:rsid w:val="004B1F38"/>
    <w:rsid w:val="004E4B7B"/>
    <w:rsid w:val="004E5220"/>
    <w:rsid w:val="004F187C"/>
    <w:rsid w:val="00545146"/>
    <w:rsid w:val="00571590"/>
    <w:rsid w:val="0057240E"/>
    <w:rsid w:val="005C2D1D"/>
    <w:rsid w:val="005E4287"/>
    <w:rsid w:val="0066382F"/>
    <w:rsid w:val="00670B57"/>
    <w:rsid w:val="00676519"/>
    <w:rsid w:val="00676989"/>
    <w:rsid w:val="006863CF"/>
    <w:rsid w:val="006A0F7A"/>
    <w:rsid w:val="006A300C"/>
    <w:rsid w:val="006D0638"/>
    <w:rsid w:val="006D5058"/>
    <w:rsid w:val="006F369A"/>
    <w:rsid w:val="007077F9"/>
    <w:rsid w:val="00720D89"/>
    <w:rsid w:val="00725EEA"/>
    <w:rsid w:val="00743C89"/>
    <w:rsid w:val="00764DE2"/>
    <w:rsid w:val="00781E80"/>
    <w:rsid w:val="007835CE"/>
    <w:rsid w:val="00786062"/>
    <w:rsid w:val="00791907"/>
    <w:rsid w:val="008004D4"/>
    <w:rsid w:val="00802735"/>
    <w:rsid w:val="00807256"/>
    <w:rsid w:val="008243B0"/>
    <w:rsid w:val="008426AF"/>
    <w:rsid w:val="00856AAC"/>
    <w:rsid w:val="00874358"/>
    <w:rsid w:val="00880023"/>
    <w:rsid w:val="00887608"/>
    <w:rsid w:val="008A648F"/>
    <w:rsid w:val="008A66F3"/>
    <w:rsid w:val="008D144F"/>
    <w:rsid w:val="00925DB4"/>
    <w:rsid w:val="00962816"/>
    <w:rsid w:val="009A0145"/>
    <w:rsid w:val="009C162D"/>
    <w:rsid w:val="009D376F"/>
    <w:rsid w:val="009E3BE0"/>
    <w:rsid w:val="00A12D8A"/>
    <w:rsid w:val="00A71FD8"/>
    <w:rsid w:val="00A815D1"/>
    <w:rsid w:val="00AD1F2A"/>
    <w:rsid w:val="00AD345C"/>
    <w:rsid w:val="00B568FE"/>
    <w:rsid w:val="00BA6C3C"/>
    <w:rsid w:val="00BB2EA8"/>
    <w:rsid w:val="00BE7032"/>
    <w:rsid w:val="00C35CA1"/>
    <w:rsid w:val="00C53F98"/>
    <w:rsid w:val="00C876DD"/>
    <w:rsid w:val="00CA3F83"/>
    <w:rsid w:val="00CB1BE1"/>
    <w:rsid w:val="00CE2919"/>
    <w:rsid w:val="00CE7869"/>
    <w:rsid w:val="00D9609A"/>
    <w:rsid w:val="00D96522"/>
    <w:rsid w:val="00DC2DBB"/>
    <w:rsid w:val="00DC300B"/>
    <w:rsid w:val="00DE7C84"/>
    <w:rsid w:val="00E2224F"/>
    <w:rsid w:val="00E45009"/>
    <w:rsid w:val="00E9068F"/>
    <w:rsid w:val="00EB601B"/>
    <w:rsid w:val="00EC15E2"/>
    <w:rsid w:val="00EF65E3"/>
    <w:rsid w:val="00F25264"/>
    <w:rsid w:val="00F3222D"/>
    <w:rsid w:val="00F46C41"/>
    <w:rsid w:val="00F77086"/>
    <w:rsid w:val="00FA4007"/>
    <w:rsid w:val="00FA66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25D5-D801-423F-9BDC-C2B4B2AC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6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A4962"/>
    <w:pPr>
      <w:tabs>
        <w:tab w:val="center" w:pos="4252"/>
        <w:tab w:val="right" w:pos="8504"/>
      </w:tabs>
    </w:pPr>
  </w:style>
  <w:style w:type="character" w:customStyle="1" w:styleId="PiedepginaCar">
    <w:name w:val="Pie de página Car"/>
    <w:basedOn w:val="Fuentedeprrafopredeter"/>
    <w:link w:val="Piedepgina"/>
    <w:rsid w:val="001A496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A4962"/>
  </w:style>
  <w:style w:type="paragraph" w:customStyle="1" w:styleId="Textoindependiente33">
    <w:name w:val="Texto independiente 33"/>
    <w:basedOn w:val="Normal"/>
    <w:rsid w:val="001A4962"/>
    <w:pPr>
      <w:spacing w:line="360" w:lineRule="auto"/>
      <w:jc w:val="both"/>
    </w:pPr>
    <w:rPr>
      <w:rFonts w:ascii="Arial" w:hAnsi="Arial"/>
    </w:rPr>
  </w:style>
  <w:style w:type="paragraph" w:customStyle="1" w:styleId="Prrafodelista1">
    <w:name w:val="Párrafo de lista1"/>
    <w:basedOn w:val="Normal"/>
    <w:rsid w:val="001A496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A4962"/>
    <w:pPr>
      <w:ind w:left="708"/>
    </w:pPr>
  </w:style>
  <w:style w:type="paragraph" w:styleId="Sinespaciado">
    <w:name w:val="No Spacing"/>
    <w:link w:val="SinespaciadoCar"/>
    <w:uiPriority w:val="1"/>
    <w:qFormat/>
    <w:rsid w:val="001A4962"/>
    <w:pPr>
      <w:spacing w:after="0" w:line="240" w:lineRule="auto"/>
    </w:pPr>
    <w:rPr>
      <w:lang w:val="es-ES_tradnl"/>
    </w:rPr>
  </w:style>
  <w:style w:type="paragraph" w:styleId="Textoindependiente">
    <w:name w:val="Body Text"/>
    <w:basedOn w:val="Normal"/>
    <w:link w:val="TextoindependienteCar"/>
    <w:uiPriority w:val="99"/>
    <w:unhideWhenUsed/>
    <w:rsid w:val="001A4962"/>
    <w:pPr>
      <w:spacing w:after="120"/>
    </w:pPr>
  </w:style>
  <w:style w:type="character" w:customStyle="1" w:styleId="TextoindependienteCar">
    <w:name w:val="Texto independiente Car"/>
    <w:basedOn w:val="Fuentedeprrafopredeter"/>
    <w:link w:val="Textoindependiente"/>
    <w:uiPriority w:val="99"/>
    <w:rsid w:val="001A4962"/>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A4962"/>
    <w:pPr>
      <w:tabs>
        <w:tab w:val="center" w:pos="4252"/>
        <w:tab w:val="right" w:pos="8504"/>
      </w:tabs>
    </w:pPr>
  </w:style>
  <w:style w:type="character" w:customStyle="1" w:styleId="EncabezadoCar">
    <w:name w:val="Encabezado Car"/>
    <w:basedOn w:val="Fuentedeprrafopredeter"/>
    <w:link w:val="Encabezado"/>
    <w:uiPriority w:val="99"/>
    <w:rsid w:val="001A4962"/>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2F183C"/>
    <w:pPr>
      <w:spacing w:line="360" w:lineRule="auto"/>
      <w:jc w:val="both"/>
    </w:pPr>
    <w:rPr>
      <w:rFonts w:ascii="Arial" w:hAnsi="Arial"/>
      <w:b/>
      <w:sz w:val="28"/>
    </w:rPr>
  </w:style>
  <w:style w:type="paragraph" w:styleId="Textonotapie">
    <w:name w:val="footnote text"/>
    <w:basedOn w:val="Normal"/>
    <w:link w:val="TextonotapieCar"/>
    <w:uiPriority w:val="99"/>
    <w:semiHidden/>
    <w:unhideWhenUsed/>
    <w:rsid w:val="00A12D8A"/>
    <w:rPr>
      <w:sz w:val="20"/>
    </w:rPr>
  </w:style>
  <w:style w:type="character" w:customStyle="1" w:styleId="TextonotapieCar">
    <w:name w:val="Texto nota pie Car"/>
    <w:basedOn w:val="Fuentedeprrafopredeter"/>
    <w:link w:val="Textonotapie"/>
    <w:uiPriority w:val="99"/>
    <w:semiHidden/>
    <w:rsid w:val="00A12D8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12D8A"/>
    <w:rPr>
      <w:vertAlign w:val="superscript"/>
    </w:rPr>
  </w:style>
  <w:style w:type="character" w:customStyle="1" w:styleId="SinespaciadoCar">
    <w:name w:val="Sin espaciado Car"/>
    <w:link w:val="Sinespaciado"/>
    <w:uiPriority w:val="1"/>
    <w:locked/>
    <w:rsid w:val="00DE7C8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5A5E-DB39-4AA3-AF0F-A0364D5A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41</cp:revision>
  <dcterms:created xsi:type="dcterms:W3CDTF">2017-07-19T12:02:00Z</dcterms:created>
  <dcterms:modified xsi:type="dcterms:W3CDTF">2017-10-09T15:06:00Z</dcterms:modified>
</cp:coreProperties>
</file>