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05" w:rsidRPr="0055106B" w:rsidRDefault="00493D05" w:rsidP="00493D05">
      <w:pPr>
        <w:spacing w:line="360" w:lineRule="auto"/>
        <w:jc w:val="both"/>
        <w:rPr>
          <w:rFonts w:ascii="Arial Narrow" w:hAnsi="Arial Narrow" w:cs="Arial"/>
          <w:bCs/>
          <w:i/>
          <w:iCs/>
          <w:sz w:val="28"/>
          <w:szCs w:val="28"/>
          <w:u w:val="single"/>
        </w:rPr>
      </w:pPr>
      <w:r w:rsidRPr="0055106B">
        <w:rPr>
          <w:rFonts w:ascii="Arial Narrow" w:hAnsi="Arial Narrow" w:cs="Arial"/>
          <w:bCs/>
          <w:i/>
          <w:iCs/>
          <w:sz w:val="28"/>
          <w:szCs w:val="28"/>
          <w:u w:val="single"/>
        </w:rPr>
        <w:t>ORALIDAD</w:t>
      </w:r>
    </w:p>
    <w:p w:rsidR="00493D05" w:rsidRPr="004A6AB6" w:rsidRDefault="00493D05" w:rsidP="00493D05">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9 de noviembre de 2017</w:t>
      </w:r>
      <w:r w:rsidRPr="004A6AB6">
        <w:rPr>
          <w:rFonts w:ascii="Arial Narrow" w:hAnsi="Arial Narrow" w:cs="Arial"/>
          <w:sz w:val="18"/>
          <w:szCs w:val="18"/>
        </w:rPr>
        <w:t>.</w:t>
      </w:r>
    </w:p>
    <w:p w:rsidR="00493D05" w:rsidRDefault="00493D05" w:rsidP="00493D05">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Pr>
          <w:rFonts w:ascii="Arial Narrow" w:hAnsi="Arial Narrow" w:cs="Arial"/>
          <w:bCs/>
          <w:sz w:val="18"/>
          <w:szCs w:val="18"/>
        </w:rPr>
        <w:t>4-2016-00211-01</w:t>
      </w:r>
    </w:p>
    <w:p w:rsidR="00493D05" w:rsidRPr="004A6AB6" w:rsidRDefault="00493D05" w:rsidP="00493D05">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iCs/>
          <w:sz w:val="18"/>
          <w:szCs w:val="18"/>
        </w:rPr>
        <w:t>Ordinario Laboral.</w:t>
      </w:r>
    </w:p>
    <w:p w:rsidR="00493D05" w:rsidRPr="004A6AB6" w:rsidRDefault="00493D05" w:rsidP="00493D05">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Pr>
          <w:rFonts w:ascii="Arial Narrow" w:hAnsi="Arial Narrow" w:cs="Arial"/>
          <w:iCs/>
          <w:sz w:val="18"/>
          <w:szCs w:val="18"/>
        </w:rPr>
        <w:t xml:space="preserve">Silvio Vanegas Céspedes   </w:t>
      </w:r>
    </w:p>
    <w:p w:rsidR="00493D05" w:rsidRPr="004A6AB6" w:rsidRDefault="00493D05" w:rsidP="00493D05">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r>
      <w:proofErr w:type="spellStart"/>
      <w:r w:rsidRPr="004A6AB6">
        <w:rPr>
          <w:rFonts w:ascii="Arial Narrow" w:hAnsi="Arial Narrow" w:cs="Arial"/>
          <w:bCs/>
          <w:sz w:val="18"/>
          <w:szCs w:val="18"/>
        </w:rPr>
        <w:t>Colpensiones</w:t>
      </w:r>
      <w:proofErr w:type="spellEnd"/>
    </w:p>
    <w:p w:rsidR="00493D05" w:rsidRPr="004A6AB6" w:rsidRDefault="00493D05" w:rsidP="00493D05">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Pr>
          <w:rFonts w:ascii="Arial Narrow" w:hAnsi="Arial Narrow" w:cs="Arial"/>
          <w:sz w:val="18"/>
          <w:szCs w:val="18"/>
        </w:rPr>
        <w:t xml:space="preserve">Cuarto </w:t>
      </w:r>
      <w:r w:rsidRPr="004A6AB6">
        <w:rPr>
          <w:rFonts w:ascii="Arial Narrow" w:hAnsi="Arial Narrow" w:cs="Arial"/>
          <w:sz w:val="18"/>
          <w:szCs w:val="18"/>
        </w:rPr>
        <w:t>Laboral del Circuito de Pereira.</w:t>
      </w:r>
    </w:p>
    <w:p w:rsidR="00493D05" w:rsidRPr="004A6AB6" w:rsidRDefault="00493D05" w:rsidP="00493D05">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493D05" w:rsidRPr="0033242C" w:rsidRDefault="00493D05" w:rsidP="00493D05">
      <w:pPr>
        <w:ind w:left="2127" w:hanging="2127"/>
        <w:jc w:val="both"/>
        <w:rPr>
          <w:rFonts w:ascii="Arial Narrow" w:hAnsi="Arial Narrow" w:cs="Arial"/>
          <w:bCs/>
          <w:iCs/>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Pr="0033242C">
        <w:rPr>
          <w:rFonts w:ascii="Arial Narrow" w:hAnsi="Arial Narrow" w:cs="Arial"/>
          <w:b/>
          <w:bCs/>
          <w:sz w:val="18"/>
          <w:szCs w:val="18"/>
        </w:rPr>
        <w:t>Pensión de invalidez después de la edad mínima para la pensión de vejez</w:t>
      </w:r>
      <w:r w:rsidRPr="0033242C">
        <w:rPr>
          <w:rFonts w:ascii="Arial Narrow" w:hAnsi="Arial Narrow" w:cs="Arial"/>
          <w:b/>
          <w:bCs/>
          <w:iCs/>
          <w:sz w:val="18"/>
          <w:szCs w:val="18"/>
          <w:lang w:val="es-ES"/>
        </w:rPr>
        <w:t xml:space="preserve">: </w:t>
      </w:r>
      <w:r w:rsidRPr="0033242C">
        <w:rPr>
          <w:rFonts w:ascii="Arial Narrow" w:hAnsi="Arial Narrow" w:cs="Arial"/>
          <w:bCs/>
          <w:iCs/>
          <w:sz w:val="18"/>
          <w:szCs w:val="18"/>
          <w:lang w:val="es-ES"/>
        </w:rPr>
        <w:t>[Llegada la edad mínima de pensión de vejez]</w:t>
      </w:r>
      <w:r w:rsidRPr="0033242C">
        <w:rPr>
          <w:rFonts w:ascii="Arial Narrow" w:hAnsi="Arial Narrow" w:cs="Arial"/>
          <w:b/>
          <w:bCs/>
          <w:iCs/>
          <w:sz w:val="18"/>
          <w:szCs w:val="18"/>
          <w:lang w:val="es-ES"/>
        </w:rPr>
        <w:t xml:space="preserve"> </w:t>
      </w:r>
      <w:r w:rsidRPr="0033242C">
        <w:rPr>
          <w:rFonts w:ascii="Arial Narrow" w:hAnsi="Arial Narrow" w:cs="Arial"/>
          <w:bCs/>
          <w:iCs/>
          <w:sz w:val="18"/>
          <w:szCs w:val="18"/>
        </w:rPr>
        <w:t xml:space="preserve">se ubica por fuera del alcance de la </w:t>
      </w:r>
      <w:proofErr w:type="spellStart"/>
      <w:r w:rsidRPr="0033242C">
        <w:rPr>
          <w:rFonts w:ascii="Arial Narrow" w:hAnsi="Arial Narrow" w:cs="Arial"/>
          <w:bCs/>
          <w:iCs/>
          <w:sz w:val="18"/>
          <w:szCs w:val="18"/>
        </w:rPr>
        <w:t>asegurabilidad</w:t>
      </w:r>
      <w:proofErr w:type="spellEnd"/>
      <w:r w:rsidRPr="0033242C">
        <w:rPr>
          <w:rFonts w:ascii="Arial Narrow" w:hAnsi="Arial Narrow" w:cs="Arial"/>
          <w:bCs/>
          <w:iCs/>
          <w:sz w:val="18"/>
          <w:szCs w:val="18"/>
        </w:rPr>
        <w:t xml:space="preserve"> de la prestación, puesto que tal cobertura periclita al momento de haber arribado al cumplimiento de la edad mínima y reunida la densidad de aportes, ocasión a partir de la cual la contingencia se cubre de manera exclusiva, con la pensión de vejez, al punto que desde allí cesa la obligación definitiva de cotizar al sistema de pensiones, a través de la figura conocida como retiro, y por ende, el ente de la seguridad social no asume responsabilidad alguna, por cualquier contingencia que se presente en ese lapso que por ley han cesado las cotizaciones, sin perjuicio de que dicha responsabilidad, se mantenga en el caso de la pensión de invalidez, cuando su fecha de estructuración se remonte  en un período atrás, cuando aún subsistía el deber de sufragar al sistema, hipótesis que no se dio en el sub-lite. </w:t>
      </w:r>
    </w:p>
    <w:p w:rsidR="00493D05" w:rsidRPr="0033242C" w:rsidRDefault="00493D05" w:rsidP="00493D05">
      <w:pPr>
        <w:pStyle w:val="Textoindependiente31"/>
        <w:spacing w:line="240" w:lineRule="auto"/>
        <w:ind w:left="2124" w:hanging="2124"/>
      </w:pPr>
    </w:p>
    <w:p w:rsidR="00493D05" w:rsidRPr="0033242C" w:rsidRDefault="00493D05" w:rsidP="00493D05">
      <w:pPr>
        <w:spacing w:line="360" w:lineRule="auto"/>
        <w:ind w:left="2127" w:hanging="1276"/>
        <w:jc w:val="both"/>
        <w:rPr>
          <w:rFonts w:ascii="Arial Narrow" w:hAnsi="Arial Narrow" w:cs="Arial"/>
          <w:sz w:val="28"/>
          <w:szCs w:val="28"/>
        </w:rPr>
      </w:pPr>
      <w:r w:rsidRPr="0033242C">
        <w:rPr>
          <w:rFonts w:ascii="Arial Narrow" w:hAnsi="Arial Narrow" w:cs="Arial"/>
          <w:bCs/>
          <w:i/>
          <w:sz w:val="28"/>
          <w:szCs w:val="28"/>
        </w:rPr>
        <w:t xml:space="preserve"> </w:t>
      </w:r>
      <w:r w:rsidRPr="0033242C">
        <w:rPr>
          <w:rFonts w:ascii="Arial Narrow" w:hAnsi="Arial Narrow" w:cs="Arial"/>
          <w:sz w:val="28"/>
          <w:szCs w:val="28"/>
          <w:u w:val="single"/>
        </w:rPr>
        <w:t>AUDIENCIA PÚBLICA</w:t>
      </w:r>
      <w:r w:rsidRPr="0033242C">
        <w:rPr>
          <w:rFonts w:ascii="Arial Narrow" w:hAnsi="Arial Narrow" w:cs="Arial"/>
          <w:sz w:val="28"/>
          <w:szCs w:val="28"/>
        </w:rPr>
        <w:t>:</w:t>
      </w:r>
    </w:p>
    <w:p w:rsidR="00493D05" w:rsidRPr="00167603" w:rsidRDefault="00493D05" w:rsidP="00167603">
      <w:pPr>
        <w:pStyle w:val="Sinespaciado"/>
      </w:pPr>
    </w:p>
    <w:p w:rsidR="00493D05" w:rsidRPr="0055106B" w:rsidRDefault="00493D05" w:rsidP="00493D05">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nueve (09)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noviembre de dos mil diecisiete (2017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siete y treinta de la mañana (07:30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as magistradas y el</w:t>
      </w:r>
      <w:r w:rsidRPr="00E845FE">
        <w:rPr>
          <w:rFonts w:ascii="Arial Narrow" w:hAnsi="Arial Narrow" w:cs="Tahoma"/>
          <w:bCs/>
          <w:color w:val="000000"/>
          <w:sz w:val="28"/>
          <w:szCs w:val="28"/>
          <w:lang w:eastAsia="es-CO"/>
        </w:rPr>
        <w:t xml:space="preserve"> suscrito magistrado de la Sala </w:t>
      </w:r>
      <w:r>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Pr>
          <w:rFonts w:ascii="Arial Narrow" w:hAnsi="Arial Narrow" w:cs="Tahoma"/>
          <w:bCs/>
          <w:color w:val="000000"/>
          <w:sz w:val="28"/>
          <w:szCs w:val="28"/>
          <w:lang w:eastAsia="es-CO"/>
        </w:rPr>
        <w:t>recurso de apelación presentado por el demandante contra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Pr>
          <w:rFonts w:ascii="Arial Narrow" w:hAnsi="Arial Narrow" w:cs="Arial"/>
          <w:sz w:val="28"/>
          <w:szCs w:val="28"/>
        </w:rPr>
        <w:t xml:space="preserve">29 de noviembre de 2016 </w:t>
      </w:r>
      <w:r w:rsidRPr="00E845FE">
        <w:rPr>
          <w:rFonts w:ascii="Arial Narrow" w:hAnsi="Arial Narrow" w:cs="Arial"/>
          <w:sz w:val="28"/>
          <w:szCs w:val="28"/>
        </w:rPr>
        <w:t>por el Juzgado</w:t>
      </w:r>
      <w:r>
        <w:rPr>
          <w:rFonts w:ascii="Arial Narrow" w:hAnsi="Arial Narrow" w:cs="Arial"/>
          <w:sz w:val="28"/>
          <w:szCs w:val="28"/>
        </w:rPr>
        <w:t xml:space="preserve"> Cuarto La</w:t>
      </w:r>
      <w:r w:rsidRPr="00E845FE">
        <w:rPr>
          <w:rFonts w:ascii="Arial Narrow" w:hAnsi="Arial Narrow" w:cs="Arial"/>
          <w:sz w:val="28"/>
          <w:szCs w:val="28"/>
        </w:rPr>
        <w:t xml:space="preserve">boral del Circuito de Pereira, dentro del proceso promovido por </w:t>
      </w:r>
      <w:r>
        <w:rPr>
          <w:rFonts w:ascii="Arial Narrow" w:hAnsi="Arial Narrow" w:cs="Arial"/>
          <w:i/>
          <w:sz w:val="28"/>
          <w:szCs w:val="28"/>
        </w:rPr>
        <w:t xml:space="preserve">Alberto Mejía Arango </w:t>
      </w:r>
      <w:r w:rsidRPr="0055106B">
        <w:rPr>
          <w:rFonts w:ascii="Arial Narrow" w:hAnsi="Arial Narrow" w:cs="Arial"/>
          <w:sz w:val="28"/>
          <w:szCs w:val="28"/>
        </w:rPr>
        <w:t xml:space="preserve">contra la </w:t>
      </w:r>
      <w:r w:rsidRPr="0055106B">
        <w:rPr>
          <w:rFonts w:ascii="Arial Narrow" w:hAnsi="Arial Narrow" w:cs="Arial"/>
          <w:i/>
          <w:sz w:val="28"/>
          <w:szCs w:val="28"/>
        </w:rPr>
        <w:t xml:space="preserve">Administradora Colombiana de Pensiones </w:t>
      </w:r>
      <w:proofErr w:type="spellStart"/>
      <w:r w:rsidRPr="0055106B">
        <w:rPr>
          <w:rFonts w:ascii="Arial Narrow" w:hAnsi="Arial Narrow" w:cs="Arial"/>
          <w:bCs/>
          <w:i/>
          <w:sz w:val="28"/>
          <w:szCs w:val="28"/>
        </w:rPr>
        <w:t>Colpensiones</w:t>
      </w:r>
      <w:proofErr w:type="spellEnd"/>
      <w:r w:rsidRPr="0055106B">
        <w:rPr>
          <w:rFonts w:ascii="Arial Narrow" w:hAnsi="Arial Narrow" w:cs="Arial"/>
          <w:bCs/>
          <w:i/>
          <w:iCs/>
          <w:sz w:val="28"/>
          <w:szCs w:val="28"/>
        </w:rPr>
        <w:t>.</w:t>
      </w:r>
    </w:p>
    <w:p w:rsidR="00493D05" w:rsidRPr="007420E2" w:rsidRDefault="00493D05" w:rsidP="00493D05">
      <w:pPr>
        <w:pStyle w:val="Sinespaciado"/>
      </w:pPr>
    </w:p>
    <w:p w:rsidR="00493D05" w:rsidRDefault="00493D05" w:rsidP="00493D05">
      <w:pPr>
        <w:shd w:val="clear" w:color="auto" w:fill="FFFFFF"/>
        <w:spacing w:line="360" w:lineRule="atLeast"/>
        <w:ind w:firstLine="708"/>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IDENTIFICACIÓN DE LOS PRESENTES</w:t>
      </w:r>
    </w:p>
    <w:p w:rsidR="00493D05" w:rsidRDefault="00493D05" w:rsidP="00493D05">
      <w:pPr>
        <w:pStyle w:val="Sinespaciado"/>
      </w:pPr>
    </w:p>
    <w:p w:rsidR="00493D05" w:rsidRDefault="00493D05" w:rsidP="00493D05">
      <w:pPr>
        <w:pStyle w:val="Prrafodelista"/>
        <w:numPr>
          <w:ilvl w:val="0"/>
          <w:numId w:val="2"/>
        </w:numPr>
        <w:shd w:val="clear" w:color="auto" w:fill="FFFFFF"/>
        <w:spacing w:line="360" w:lineRule="atLeast"/>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 xml:space="preserve">INTRODUCCIÓN </w:t>
      </w:r>
    </w:p>
    <w:p w:rsidR="00493D05" w:rsidRPr="007A61BF" w:rsidRDefault="00493D05" w:rsidP="007A61BF">
      <w:pPr>
        <w:pStyle w:val="Sinespaciado"/>
      </w:pPr>
      <w:r>
        <w:tab/>
      </w:r>
    </w:p>
    <w:p w:rsidR="00493D05" w:rsidRDefault="00493D05" w:rsidP="00493D05">
      <w:pPr>
        <w:spacing w:line="360" w:lineRule="auto"/>
        <w:ind w:firstLine="900"/>
        <w:jc w:val="both"/>
        <w:rPr>
          <w:rFonts w:ascii="Arial Narrow" w:hAnsi="Arial Narrow" w:cs="Tahoma"/>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w:t>
      </w:r>
      <w:r>
        <w:rPr>
          <w:rFonts w:ascii="Arial Narrow" w:hAnsi="Arial Narrow" w:cs="Tahoma"/>
          <w:sz w:val="28"/>
          <w:szCs w:val="28"/>
        </w:rPr>
        <w:t xml:space="preserve">de 2007, a modo de introducción, </w:t>
      </w:r>
      <w:r w:rsidRPr="00FA579B">
        <w:rPr>
          <w:rFonts w:ascii="Arial Narrow" w:hAnsi="Arial Narrow" w:cs="Tahoma"/>
          <w:sz w:val="28"/>
          <w:szCs w:val="28"/>
        </w:rPr>
        <w:t xml:space="preserve">se tiene que </w:t>
      </w:r>
      <w:r>
        <w:rPr>
          <w:rFonts w:ascii="Arial Narrow" w:hAnsi="Arial Narrow" w:cs="Tahoma"/>
          <w:sz w:val="28"/>
          <w:szCs w:val="28"/>
        </w:rPr>
        <w:t>el demandante pide que se le reconozca y pague la pensión de invalidez, en aplicación del principio de la condición más beneficiosa, y en consecuencia, que se imponga el pago de la correspondiente prestación a la entidad demandada desde el 17 de marzo de 2015, junto con los intereses de mora de que trata el artículo 141 de la Ley 100/93 y, las costas del proceso.</w:t>
      </w:r>
    </w:p>
    <w:p w:rsidR="00493D05" w:rsidRPr="007A61BF" w:rsidRDefault="00493D05" w:rsidP="007A61BF">
      <w:pPr>
        <w:pStyle w:val="Sinespaciado"/>
      </w:pPr>
    </w:p>
    <w:p w:rsidR="002356FE" w:rsidRDefault="00493D05" w:rsidP="00493D05">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fáctico de sus pedimentos, expone que </w:t>
      </w:r>
      <w:r w:rsidR="002356FE">
        <w:rPr>
          <w:rFonts w:ascii="Arial Narrow" w:hAnsi="Arial Narrow" w:cs="Tahoma"/>
          <w:sz w:val="28"/>
          <w:szCs w:val="28"/>
        </w:rPr>
        <w:t xml:space="preserve">desde hace algún tiempo viene presentando problemas de salud, consistente en insuficiencia venosa crónica, periférica, hipertensión arterial esencial primaria, hipoacusia, disminución de la </w:t>
      </w:r>
      <w:r w:rsidR="002356FE">
        <w:rPr>
          <w:rFonts w:ascii="Arial Narrow" w:hAnsi="Arial Narrow" w:cs="Tahoma"/>
          <w:sz w:val="28"/>
          <w:szCs w:val="28"/>
        </w:rPr>
        <w:lastRenderedPageBreak/>
        <w:t xml:space="preserve">agudeza visual, entre otros, motivo por el que fue calificado el pasado 28 de septiembre de 2015, por la Junta Regional de Calificación de Invalidez, determinándose una pérdida de capacidad laboral del 60.25 %, de origen común, estructurada el 17 de marzo de 2015. Indica que durante toda su vida laboral prestó sus servicios en el sector privado </w:t>
      </w:r>
      <w:r w:rsidR="001066BF">
        <w:rPr>
          <w:rFonts w:ascii="Arial Narrow" w:hAnsi="Arial Narrow" w:cs="Tahoma"/>
          <w:sz w:val="28"/>
          <w:szCs w:val="28"/>
        </w:rPr>
        <w:t xml:space="preserve">cotizando </w:t>
      </w:r>
      <w:r w:rsidR="002356FE">
        <w:rPr>
          <w:rFonts w:ascii="Arial Narrow" w:hAnsi="Arial Narrow" w:cs="Tahoma"/>
          <w:sz w:val="28"/>
          <w:szCs w:val="28"/>
        </w:rPr>
        <w:t xml:space="preserve">un total de </w:t>
      </w:r>
      <w:r w:rsidR="001066BF">
        <w:rPr>
          <w:rFonts w:ascii="Arial Narrow" w:hAnsi="Arial Narrow" w:cs="Tahoma"/>
          <w:sz w:val="28"/>
          <w:szCs w:val="28"/>
        </w:rPr>
        <w:t xml:space="preserve">778 semanas al 31 de diciembre de 2014; que el 25 de noviembre de 2015 presentó la reclamación administrativa tendiente a obtener la pensión de invalidez, no obstante, le fue negada mediante Resolución GNR 16459 de 2016, por no contar con la semanas exigidas en la Ley 860 de 2003. </w:t>
      </w:r>
    </w:p>
    <w:p w:rsidR="00493D05" w:rsidRPr="007A61BF" w:rsidRDefault="00493D05" w:rsidP="007A61BF">
      <w:pPr>
        <w:pStyle w:val="Sinespaciado"/>
      </w:pPr>
    </w:p>
    <w:p w:rsidR="00493D05" w:rsidRPr="00C947AF" w:rsidRDefault="007D5B27" w:rsidP="00493D05">
      <w:pPr>
        <w:spacing w:line="360" w:lineRule="auto"/>
        <w:ind w:firstLine="900"/>
        <w:jc w:val="both"/>
        <w:rPr>
          <w:rFonts w:ascii="Arial Narrow" w:hAnsi="Arial Narrow" w:cs="Tahoma"/>
          <w:sz w:val="28"/>
          <w:szCs w:val="28"/>
        </w:rPr>
      </w:pPr>
      <w:proofErr w:type="spellStart"/>
      <w:r>
        <w:rPr>
          <w:rFonts w:ascii="Arial Narrow" w:hAnsi="Arial Narrow" w:cs="Tahoma"/>
          <w:sz w:val="28"/>
          <w:szCs w:val="28"/>
        </w:rPr>
        <w:t>Colpensiones</w:t>
      </w:r>
      <w:proofErr w:type="spellEnd"/>
      <w:r>
        <w:rPr>
          <w:rFonts w:ascii="Arial Narrow" w:hAnsi="Arial Narrow" w:cs="Tahoma"/>
          <w:sz w:val="28"/>
          <w:szCs w:val="28"/>
        </w:rPr>
        <w:t xml:space="preserve"> </w:t>
      </w:r>
      <w:r w:rsidR="00493D05" w:rsidRPr="00C947AF">
        <w:rPr>
          <w:rFonts w:ascii="Arial Narrow" w:hAnsi="Arial Narrow" w:cs="Tahoma"/>
          <w:sz w:val="28"/>
          <w:szCs w:val="28"/>
        </w:rPr>
        <w:t>por intermedio de procuradora judicial allegó respuesta en la que se opuso a la prosperidad de las pretensiones y formuló en su defensa como excepciones de fondo las de “Inexist</w:t>
      </w:r>
      <w:r w:rsidR="00566D4E">
        <w:rPr>
          <w:rFonts w:ascii="Arial Narrow" w:hAnsi="Arial Narrow" w:cs="Tahoma"/>
          <w:sz w:val="28"/>
          <w:szCs w:val="28"/>
        </w:rPr>
        <w:t xml:space="preserve">encia de la obligación”, </w:t>
      </w:r>
      <w:r w:rsidR="00493D05" w:rsidRPr="00C947AF">
        <w:rPr>
          <w:rFonts w:ascii="Arial Narrow" w:hAnsi="Arial Narrow" w:cs="Tahoma"/>
          <w:sz w:val="28"/>
          <w:szCs w:val="28"/>
        </w:rPr>
        <w:t>“improcedencia del reconocimiento de intereses moratorios</w:t>
      </w:r>
      <w:r w:rsidR="00566D4E">
        <w:rPr>
          <w:rFonts w:ascii="Arial Narrow" w:hAnsi="Arial Narrow" w:cs="Tahoma"/>
          <w:sz w:val="28"/>
          <w:szCs w:val="28"/>
        </w:rPr>
        <w:t xml:space="preserve">”, </w:t>
      </w:r>
      <w:r w:rsidR="00493D05" w:rsidRPr="00C947AF">
        <w:rPr>
          <w:rFonts w:ascii="Arial Narrow" w:hAnsi="Arial Narrow" w:cs="Tahoma"/>
          <w:sz w:val="28"/>
          <w:szCs w:val="28"/>
        </w:rPr>
        <w:t xml:space="preserve">y “prescripción”. </w:t>
      </w:r>
    </w:p>
    <w:p w:rsidR="00493D05" w:rsidRPr="00C947AF" w:rsidRDefault="00493D05" w:rsidP="00493D05">
      <w:pPr>
        <w:pStyle w:val="Sinespaciado"/>
        <w:spacing w:line="360" w:lineRule="auto"/>
      </w:pPr>
      <w:r w:rsidRPr="00C947AF">
        <w:t xml:space="preserve"> </w:t>
      </w:r>
    </w:p>
    <w:p w:rsidR="00493D05" w:rsidRPr="00C947AF" w:rsidRDefault="00493D05" w:rsidP="00493D05">
      <w:pPr>
        <w:spacing w:line="360" w:lineRule="auto"/>
        <w:ind w:firstLine="900"/>
        <w:jc w:val="both"/>
        <w:rPr>
          <w:rFonts w:ascii="Arial Narrow" w:hAnsi="Arial Narrow" w:cs="Tahoma"/>
          <w:i/>
          <w:sz w:val="28"/>
          <w:szCs w:val="28"/>
        </w:rPr>
      </w:pPr>
      <w:r w:rsidRPr="00C947AF">
        <w:rPr>
          <w:rFonts w:ascii="Arial Narrow" w:hAnsi="Arial Narrow" w:cs="Tahoma"/>
          <w:i/>
          <w:sz w:val="28"/>
          <w:szCs w:val="28"/>
        </w:rPr>
        <w:t xml:space="preserve">II. SENTENCIA DEL JUZGADO </w:t>
      </w:r>
    </w:p>
    <w:p w:rsidR="00493D05" w:rsidRPr="007A61BF" w:rsidRDefault="00493D05" w:rsidP="007A61BF">
      <w:pPr>
        <w:pStyle w:val="Sinespaciado"/>
      </w:pPr>
    </w:p>
    <w:p w:rsidR="00493D05" w:rsidRDefault="00493D05" w:rsidP="00493D05">
      <w:pPr>
        <w:spacing w:line="360" w:lineRule="auto"/>
        <w:ind w:firstLine="900"/>
        <w:jc w:val="both"/>
        <w:rPr>
          <w:rFonts w:ascii="Arial Narrow" w:hAnsi="Arial Narrow"/>
          <w:sz w:val="28"/>
          <w:szCs w:val="28"/>
          <w:lang w:val="es-CO"/>
        </w:rPr>
      </w:pPr>
      <w:r w:rsidRPr="00C947AF">
        <w:rPr>
          <w:rFonts w:ascii="Arial Narrow" w:hAnsi="Arial Narrow" w:cs="Tahoma"/>
          <w:sz w:val="28"/>
          <w:szCs w:val="28"/>
        </w:rPr>
        <w:t>El Juzgado de conocimiento mediante fallo del 2</w:t>
      </w:r>
      <w:r w:rsidR="00566D4E">
        <w:rPr>
          <w:rFonts w:ascii="Arial Narrow" w:hAnsi="Arial Narrow" w:cs="Tahoma"/>
          <w:sz w:val="28"/>
          <w:szCs w:val="28"/>
        </w:rPr>
        <w:t>9 de noviembre de 2</w:t>
      </w:r>
      <w:r w:rsidRPr="00C947AF">
        <w:rPr>
          <w:rFonts w:ascii="Arial Narrow" w:hAnsi="Arial Narrow" w:cs="Tahoma"/>
          <w:sz w:val="28"/>
          <w:szCs w:val="28"/>
        </w:rPr>
        <w:t>016, negó las pretensiones de la demanda</w:t>
      </w:r>
      <w:r w:rsidR="00566D4E">
        <w:rPr>
          <w:rFonts w:ascii="Arial Narrow" w:hAnsi="Arial Narrow" w:cs="Tahoma"/>
          <w:sz w:val="28"/>
          <w:szCs w:val="28"/>
        </w:rPr>
        <w:t xml:space="preserve"> y condenó en costas procesales a la parte vencida en juicio. </w:t>
      </w:r>
      <w:r w:rsidRPr="00C947AF">
        <w:rPr>
          <w:rFonts w:ascii="Arial Narrow" w:hAnsi="Arial Narrow" w:cs="Tahoma"/>
          <w:sz w:val="28"/>
          <w:szCs w:val="28"/>
        </w:rPr>
        <w:t>Para arribar a tal determinación, estimó que si bien el estado de invalidez del demandante quedó debidamente acreditado en un 60.</w:t>
      </w:r>
      <w:r w:rsidR="00566D4E">
        <w:rPr>
          <w:rFonts w:ascii="Arial Narrow" w:hAnsi="Arial Narrow" w:cs="Tahoma"/>
          <w:sz w:val="28"/>
          <w:szCs w:val="28"/>
        </w:rPr>
        <w:t>25</w:t>
      </w:r>
      <w:r w:rsidRPr="00C947AF">
        <w:rPr>
          <w:rFonts w:ascii="Arial Narrow" w:hAnsi="Arial Narrow" w:cs="Tahoma"/>
          <w:sz w:val="28"/>
          <w:szCs w:val="28"/>
        </w:rPr>
        <w:t xml:space="preserve"> %, no se p</w:t>
      </w:r>
      <w:r>
        <w:rPr>
          <w:rFonts w:ascii="Arial Narrow" w:hAnsi="Arial Narrow" w:cs="Tahoma"/>
          <w:sz w:val="28"/>
          <w:szCs w:val="28"/>
        </w:rPr>
        <w:t xml:space="preserve">odía </w:t>
      </w:r>
      <w:r w:rsidRPr="00C947AF">
        <w:rPr>
          <w:rFonts w:ascii="Arial Narrow" w:hAnsi="Arial Narrow" w:cs="Tahoma"/>
          <w:sz w:val="28"/>
          <w:szCs w:val="28"/>
        </w:rPr>
        <w:t xml:space="preserve">inadvertir que </w:t>
      </w:r>
      <w:r>
        <w:rPr>
          <w:rFonts w:ascii="Arial Narrow" w:hAnsi="Arial Narrow" w:cs="Tahoma"/>
          <w:sz w:val="28"/>
          <w:szCs w:val="28"/>
        </w:rPr>
        <w:t xml:space="preserve">éste </w:t>
      </w:r>
      <w:r w:rsidRPr="00C947AF">
        <w:rPr>
          <w:rFonts w:ascii="Arial Narrow" w:hAnsi="Arial Narrow" w:cs="Tahoma"/>
          <w:sz w:val="28"/>
          <w:szCs w:val="28"/>
        </w:rPr>
        <w:t>quedó es</w:t>
      </w:r>
      <w:r>
        <w:rPr>
          <w:rFonts w:ascii="Arial Narrow" w:hAnsi="Arial Narrow" w:cs="Tahoma"/>
          <w:sz w:val="28"/>
          <w:szCs w:val="28"/>
        </w:rPr>
        <w:t>tructurado</w:t>
      </w:r>
      <w:r w:rsidRPr="00C947AF">
        <w:rPr>
          <w:rFonts w:ascii="Arial Narrow" w:hAnsi="Arial Narrow" w:cs="Tahoma"/>
          <w:sz w:val="28"/>
          <w:szCs w:val="28"/>
        </w:rPr>
        <w:t xml:space="preserve"> en una edad que supera la mínima de cobertura para la pensión de vejez,</w:t>
      </w:r>
      <w:r>
        <w:rPr>
          <w:rFonts w:ascii="Arial Narrow" w:hAnsi="Arial Narrow" w:cs="Tahoma"/>
          <w:sz w:val="28"/>
          <w:szCs w:val="28"/>
        </w:rPr>
        <w:t xml:space="preserve"> lo que da entender que </w:t>
      </w:r>
      <w:r w:rsidR="00822F06">
        <w:rPr>
          <w:rFonts w:ascii="Arial Narrow" w:hAnsi="Arial Narrow" w:cs="Tahoma"/>
          <w:sz w:val="28"/>
          <w:szCs w:val="28"/>
        </w:rPr>
        <w:t xml:space="preserve">su estado se da más por la pérdida de capacidad para laboral, por su estado de vejez por </w:t>
      </w:r>
      <w:r w:rsidRPr="00C947AF">
        <w:rPr>
          <w:rFonts w:ascii="Arial Narrow" w:hAnsi="Arial Narrow" w:cs="Tahoma"/>
          <w:sz w:val="28"/>
          <w:szCs w:val="28"/>
        </w:rPr>
        <w:t>el paso del tiempo y el deterioro natural del cuerpo</w:t>
      </w:r>
      <w:r w:rsidRPr="00C947AF">
        <w:rPr>
          <w:rFonts w:ascii="Arial Narrow" w:hAnsi="Arial Narrow"/>
          <w:sz w:val="28"/>
          <w:szCs w:val="28"/>
          <w:lang w:val="es-CO"/>
        </w:rPr>
        <w:t>. Para el efecto, trajo a colación un pronunciamiento de esta Sala de Decisión y citó algunos sus apartes.</w:t>
      </w:r>
    </w:p>
    <w:p w:rsidR="00566D4E" w:rsidRDefault="00566D4E" w:rsidP="007A61BF">
      <w:pPr>
        <w:pStyle w:val="Sinespaciado"/>
        <w:spacing w:line="360" w:lineRule="auto"/>
        <w:rPr>
          <w:lang w:val="es-CO"/>
        </w:rPr>
      </w:pPr>
    </w:p>
    <w:p w:rsidR="00566D4E" w:rsidRPr="00566D4E" w:rsidRDefault="00566D4E" w:rsidP="00566D4E">
      <w:pPr>
        <w:pStyle w:val="Prrafodelista"/>
        <w:numPr>
          <w:ilvl w:val="0"/>
          <w:numId w:val="3"/>
        </w:numPr>
        <w:spacing w:line="360" w:lineRule="auto"/>
        <w:jc w:val="both"/>
        <w:rPr>
          <w:rFonts w:ascii="Arial Narrow" w:hAnsi="Arial Narrow"/>
          <w:i/>
          <w:sz w:val="28"/>
          <w:szCs w:val="28"/>
          <w:lang w:val="es-CO"/>
        </w:rPr>
      </w:pPr>
      <w:r w:rsidRPr="00566D4E">
        <w:rPr>
          <w:rFonts w:ascii="Arial Narrow" w:hAnsi="Arial Narrow"/>
          <w:i/>
          <w:sz w:val="28"/>
          <w:szCs w:val="28"/>
          <w:lang w:val="es-CO"/>
        </w:rPr>
        <w:t>RECURSO DE APELACIÓN</w:t>
      </w:r>
    </w:p>
    <w:p w:rsidR="00493D05" w:rsidRPr="00566D4E" w:rsidRDefault="00493D05" w:rsidP="00566D4E">
      <w:pPr>
        <w:pStyle w:val="Sinespaciado"/>
      </w:pPr>
    </w:p>
    <w:p w:rsidR="00493D05" w:rsidRPr="007D5B27" w:rsidRDefault="00493D05" w:rsidP="00493D05">
      <w:pPr>
        <w:spacing w:line="360" w:lineRule="auto"/>
        <w:ind w:firstLine="900"/>
        <w:jc w:val="both"/>
        <w:rPr>
          <w:rFonts w:ascii="Arial Narrow" w:hAnsi="Arial Narrow"/>
          <w:sz w:val="28"/>
          <w:szCs w:val="28"/>
          <w:lang w:val="es-CO"/>
        </w:rPr>
      </w:pPr>
      <w:r w:rsidRPr="007D5B27">
        <w:rPr>
          <w:rFonts w:ascii="Arial Narrow" w:hAnsi="Arial Narrow"/>
          <w:sz w:val="28"/>
          <w:szCs w:val="28"/>
          <w:lang w:val="es-CO"/>
        </w:rPr>
        <w:t>Inconforme</w:t>
      </w:r>
      <w:r w:rsidR="00167603" w:rsidRPr="007D5B27">
        <w:rPr>
          <w:rFonts w:ascii="Arial Narrow" w:hAnsi="Arial Narrow"/>
          <w:sz w:val="28"/>
          <w:szCs w:val="28"/>
          <w:lang w:val="es-CO"/>
        </w:rPr>
        <w:t xml:space="preserve"> con lo decidido</w:t>
      </w:r>
      <w:r w:rsidR="00E819AC" w:rsidRPr="007D5B27">
        <w:rPr>
          <w:rFonts w:ascii="Arial Narrow" w:hAnsi="Arial Narrow"/>
          <w:sz w:val="28"/>
          <w:szCs w:val="28"/>
          <w:lang w:val="es-CO"/>
        </w:rPr>
        <w:t xml:space="preserve">, </w:t>
      </w:r>
      <w:r w:rsidR="00167603" w:rsidRPr="007D5B27">
        <w:rPr>
          <w:rFonts w:ascii="Arial Narrow" w:hAnsi="Arial Narrow"/>
          <w:sz w:val="28"/>
          <w:szCs w:val="28"/>
          <w:lang w:val="es-CO"/>
        </w:rPr>
        <w:t>la vocera judicial d</w:t>
      </w:r>
      <w:r w:rsidR="00E819AC" w:rsidRPr="007D5B27">
        <w:rPr>
          <w:rFonts w:ascii="Arial Narrow" w:hAnsi="Arial Narrow"/>
          <w:sz w:val="28"/>
          <w:szCs w:val="28"/>
          <w:lang w:val="es-CO"/>
        </w:rPr>
        <w:t>el demandante interpuso</w:t>
      </w:r>
      <w:r w:rsidRPr="007D5B27">
        <w:rPr>
          <w:rFonts w:ascii="Arial Narrow" w:hAnsi="Arial Narrow"/>
          <w:sz w:val="28"/>
          <w:szCs w:val="28"/>
          <w:lang w:val="es-CO"/>
        </w:rPr>
        <w:t xml:space="preserve"> recurso de apelación en orden a que se revoque</w:t>
      </w:r>
      <w:r w:rsidR="00E819AC" w:rsidRPr="007D5B27">
        <w:rPr>
          <w:rFonts w:ascii="Arial Narrow" w:hAnsi="Arial Narrow"/>
          <w:sz w:val="28"/>
          <w:szCs w:val="28"/>
          <w:lang w:val="es-CO"/>
        </w:rPr>
        <w:t xml:space="preserve"> </w:t>
      </w:r>
      <w:r w:rsidRPr="007D5B27">
        <w:rPr>
          <w:rFonts w:ascii="Arial Narrow" w:hAnsi="Arial Narrow"/>
          <w:sz w:val="28"/>
          <w:szCs w:val="28"/>
          <w:lang w:val="es-CO"/>
        </w:rPr>
        <w:t>y se acceda a lo pretendido. En la sustentación, indic</w:t>
      </w:r>
      <w:r w:rsidR="00167603" w:rsidRPr="007D5B27">
        <w:rPr>
          <w:rFonts w:ascii="Arial Narrow" w:hAnsi="Arial Narrow"/>
          <w:sz w:val="28"/>
          <w:szCs w:val="28"/>
          <w:lang w:val="es-CO"/>
        </w:rPr>
        <w:t xml:space="preserve">ó </w:t>
      </w:r>
      <w:r w:rsidRPr="007D5B27">
        <w:rPr>
          <w:rFonts w:ascii="Arial Narrow" w:hAnsi="Arial Narrow"/>
          <w:sz w:val="28"/>
          <w:szCs w:val="28"/>
          <w:lang w:val="es-CO"/>
        </w:rPr>
        <w:t>que</w:t>
      </w:r>
      <w:r w:rsidR="00167603" w:rsidRPr="007D5B27">
        <w:rPr>
          <w:rFonts w:ascii="Arial Narrow" w:hAnsi="Arial Narrow"/>
          <w:sz w:val="28"/>
          <w:szCs w:val="28"/>
          <w:lang w:val="es-CO"/>
        </w:rPr>
        <w:t xml:space="preserve"> por razones de humanidad </w:t>
      </w:r>
      <w:r w:rsidR="00E819AC" w:rsidRPr="007D5B27">
        <w:rPr>
          <w:rFonts w:ascii="Arial Narrow" w:hAnsi="Arial Narrow"/>
          <w:sz w:val="28"/>
          <w:szCs w:val="28"/>
          <w:lang w:val="es-CO"/>
        </w:rPr>
        <w:t>no deb</w:t>
      </w:r>
      <w:r w:rsidR="00167603" w:rsidRPr="007D5B27">
        <w:rPr>
          <w:rFonts w:ascii="Arial Narrow" w:hAnsi="Arial Narrow"/>
          <w:sz w:val="28"/>
          <w:szCs w:val="28"/>
          <w:lang w:val="es-CO"/>
        </w:rPr>
        <w:t xml:space="preserve">ía </w:t>
      </w:r>
      <w:r w:rsidR="00E819AC" w:rsidRPr="007D5B27">
        <w:rPr>
          <w:rFonts w:ascii="Arial Narrow" w:hAnsi="Arial Narrow"/>
          <w:sz w:val="28"/>
          <w:szCs w:val="28"/>
          <w:lang w:val="es-CO"/>
        </w:rPr>
        <w:t xml:space="preserve">tomarse en cuenta la posición menos garantista, más </w:t>
      </w:r>
      <w:r w:rsidR="007D5B27" w:rsidRPr="007D5B27">
        <w:rPr>
          <w:rFonts w:ascii="Arial Narrow" w:hAnsi="Arial Narrow"/>
          <w:sz w:val="28"/>
          <w:szCs w:val="28"/>
          <w:lang w:val="es-CO"/>
        </w:rPr>
        <w:t xml:space="preserve">aun siendo </w:t>
      </w:r>
      <w:r w:rsidR="00E819AC" w:rsidRPr="007D5B27">
        <w:rPr>
          <w:rFonts w:ascii="Arial Narrow" w:hAnsi="Arial Narrow"/>
          <w:sz w:val="28"/>
          <w:szCs w:val="28"/>
          <w:lang w:val="es-CO"/>
        </w:rPr>
        <w:t xml:space="preserve">deber del estado velar por los derechos de sus ancianos. </w:t>
      </w:r>
      <w:r w:rsidR="00167603" w:rsidRPr="007D5B27">
        <w:rPr>
          <w:rFonts w:ascii="Arial Narrow" w:hAnsi="Arial Narrow"/>
          <w:sz w:val="28"/>
          <w:szCs w:val="28"/>
          <w:lang w:val="es-CO"/>
        </w:rPr>
        <w:t>Hizo un recuento de las decisiones proferidas por este Tribunal y citó apartes de la sentencia SU 442 de 2016.</w:t>
      </w:r>
    </w:p>
    <w:p w:rsidR="00493D05" w:rsidRDefault="00493D05" w:rsidP="00493D05">
      <w:pPr>
        <w:pStyle w:val="Sinespaciado"/>
        <w:ind w:firstLine="708"/>
        <w:rPr>
          <w:rFonts w:ascii="Arial Narrow" w:hAnsi="Arial Narrow" w:cs="Tahoma"/>
          <w:b/>
          <w:i/>
          <w:sz w:val="28"/>
          <w:szCs w:val="28"/>
        </w:rPr>
      </w:pPr>
      <w:r w:rsidRPr="00E845FE">
        <w:rPr>
          <w:rFonts w:ascii="Arial Narrow" w:hAnsi="Arial Narrow" w:cs="Tahoma"/>
          <w:b/>
          <w:i/>
          <w:sz w:val="28"/>
          <w:szCs w:val="28"/>
        </w:rPr>
        <w:lastRenderedPageBreak/>
        <w:t>Del problema jurídico.</w:t>
      </w:r>
    </w:p>
    <w:p w:rsidR="00822F06" w:rsidRPr="00EB2C7E" w:rsidRDefault="00822F06" w:rsidP="00EB2C7E">
      <w:pPr>
        <w:pStyle w:val="Sinespaciado"/>
      </w:pPr>
    </w:p>
    <w:p w:rsidR="00C81E65" w:rsidRDefault="00C81E65" w:rsidP="00C81E65">
      <w:pPr>
        <w:pStyle w:val="Sinespaciado"/>
      </w:pPr>
      <w:r>
        <w:tab/>
      </w:r>
    </w:p>
    <w:p w:rsidR="00493D05" w:rsidRPr="00E845FE" w:rsidRDefault="00C81E65" w:rsidP="00822F06">
      <w:pPr>
        <w:shd w:val="clear" w:color="auto" w:fill="FFFFFF"/>
        <w:tabs>
          <w:tab w:val="left" w:pos="851"/>
        </w:tab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00493D05" w:rsidRPr="00E845FE">
        <w:rPr>
          <w:rFonts w:ascii="Arial Narrow" w:hAnsi="Arial Narrow" w:cs="Tahoma"/>
          <w:color w:val="000000"/>
          <w:sz w:val="28"/>
          <w:szCs w:val="28"/>
          <w:lang w:eastAsia="es-CO"/>
        </w:rPr>
        <w:t>Visto el recuento anterior, la Sala formula el problema jurídico en los siguientes términos:</w:t>
      </w:r>
    </w:p>
    <w:p w:rsidR="00493D05" w:rsidRPr="00C81E65" w:rsidRDefault="00493D05" w:rsidP="00C81E65">
      <w:pPr>
        <w:tabs>
          <w:tab w:val="left" w:pos="0"/>
          <w:tab w:val="left" w:pos="8647"/>
        </w:tabs>
        <w:suppressAutoHyphens/>
        <w:ind w:firstLine="851"/>
        <w:jc w:val="both"/>
        <w:rPr>
          <w:rFonts w:ascii="Arial Narrow" w:hAnsi="Arial Narrow" w:cs="Tahoma"/>
          <w:i/>
          <w:sz w:val="26"/>
          <w:szCs w:val="26"/>
        </w:rPr>
      </w:pPr>
      <w:r w:rsidRPr="00C81E65">
        <w:rPr>
          <w:rFonts w:ascii="Arial Narrow" w:hAnsi="Arial Narrow" w:cs="Tahoma"/>
          <w:i/>
          <w:sz w:val="26"/>
          <w:szCs w:val="26"/>
        </w:rPr>
        <w:t>¿En el sub-lite, es de recibo la aplicación del principio de la condición más beneficiosa?</w:t>
      </w:r>
    </w:p>
    <w:p w:rsidR="00493D05" w:rsidRPr="00C81E65" w:rsidRDefault="00493D05" w:rsidP="00C81E65">
      <w:pPr>
        <w:pStyle w:val="Sinespaciado"/>
        <w:rPr>
          <w:sz w:val="26"/>
          <w:szCs w:val="26"/>
        </w:rPr>
      </w:pPr>
    </w:p>
    <w:p w:rsidR="00493D05" w:rsidRPr="00C81E65" w:rsidRDefault="00493D05" w:rsidP="00C81E65">
      <w:pPr>
        <w:tabs>
          <w:tab w:val="left" w:pos="0"/>
          <w:tab w:val="left" w:pos="8647"/>
        </w:tabs>
        <w:suppressAutoHyphens/>
        <w:ind w:firstLine="900"/>
        <w:jc w:val="both"/>
        <w:rPr>
          <w:rFonts w:ascii="Arial Narrow" w:hAnsi="Arial Narrow" w:cs="Tahoma"/>
          <w:i/>
          <w:iCs/>
          <w:sz w:val="26"/>
          <w:szCs w:val="26"/>
        </w:rPr>
      </w:pPr>
      <w:r w:rsidRPr="00C81E65">
        <w:rPr>
          <w:rFonts w:ascii="Arial Narrow" w:hAnsi="Arial Narrow" w:cs="Tahoma"/>
          <w:i/>
          <w:iCs/>
          <w:sz w:val="26"/>
          <w:szCs w:val="26"/>
        </w:rPr>
        <w:t xml:space="preserve">¿Tiene derecho el actor al reconocimiento y pago de la pensión de invalidez que reclama? </w:t>
      </w:r>
    </w:p>
    <w:p w:rsidR="00493D05" w:rsidRPr="00173AAD" w:rsidRDefault="00493D05" w:rsidP="00C81E65">
      <w:pPr>
        <w:pStyle w:val="Sinespaciado"/>
        <w:spacing w:line="276" w:lineRule="auto"/>
      </w:pPr>
    </w:p>
    <w:p w:rsidR="00493D05" w:rsidRDefault="00493D05" w:rsidP="00493D05">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493D05" w:rsidRPr="0079205E" w:rsidRDefault="00493D05" w:rsidP="00493D05">
      <w:pPr>
        <w:pStyle w:val="Sinespaciado"/>
      </w:pPr>
    </w:p>
    <w:p w:rsidR="00493D05" w:rsidRPr="00E845FE" w:rsidRDefault="00493D05" w:rsidP="00C81E65">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Pr>
          <w:rFonts w:ascii="Arial Narrow" w:hAnsi="Arial Narrow" w:cs="Tahoma"/>
          <w:sz w:val="28"/>
          <w:szCs w:val="28"/>
        </w:rPr>
        <w:t xml:space="preserve"> con el propósito de desatar el recurso</w:t>
      </w:r>
      <w:r w:rsidRPr="00E845FE">
        <w:rPr>
          <w:rFonts w:ascii="Arial Narrow" w:hAnsi="Arial Narrow" w:cs="Tahoma"/>
          <w:sz w:val="28"/>
          <w:szCs w:val="28"/>
        </w:rPr>
        <w:t xml:space="preserve">, se corre traslado por el término de 8 minutos, a cada uno de los voceros judiciales de las partes asistentes </w:t>
      </w:r>
      <w:r w:rsidR="00C81E65">
        <w:rPr>
          <w:rFonts w:ascii="Arial Narrow" w:hAnsi="Arial Narrow" w:cs="Tahoma"/>
          <w:sz w:val="28"/>
          <w:szCs w:val="28"/>
        </w:rPr>
        <w:t xml:space="preserve"> </w:t>
      </w:r>
      <w:r w:rsidRPr="00E845FE">
        <w:rPr>
          <w:rFonts w:ascii="Arial Narrow" w:hAnsi="Arial Narrow" w:cs="Tahoma"/>
          <w:sz w:val="28"/>
          <w:szCs w:val="28"/>
        </w:rPr>
        <w:t xml:space="preserve">a la audiencia, </w:t>
      </w:r>
      <w:r>
        <w:rPr>
          <w:rFonts w:ascii="Arial Narrow" w:hAnsi="Arial Narrow" w:cs="Tahoma"/>
          <w:sz w:val="28"/>
          <w:szCs w:val="28"/>
        </w:rPr>
        <w:t xml:space="preserve">para que presenten sus alegatos de conclusión, empezando por el recurrente. </w:t>
      </w: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93D05" w:rsidRPr="00E845FE" w:rsidRDefault="00493D05" w:rsidP="00493D05">
      <w:pPr>
        <w:pStyle w:val="Sinespaciado"/>
        <w:spacing w:line="360" w:lineRule="auto"/>
      </w:pPr>
    </w:p>
    <w:p w:rsidR="00493D05" w:rsidRPr="000E0538" w:rsidRDefault="00C81E65" w:rsidP="00493D05">
      <w:pPr>
        <w:spacing w:line="360" w:lineRule="auto"/>
        <w:ind w:left="1418" w:hanging="578"/>
        <w:jc w:val="both"/>
        <w:rPr>
          <w:rFonts w:ascii="Arial Narrow" w:hAnsi="Arial Narrow" w:cs="Tahoma"/>
          <w:b/>
          <w:i/>
          <w:sz w:val="28"/>
          <w:szCs w:val="28"/>
        </w:rPr>
      </w:pPr>
      <w:r>
        <w:rPr>
          <w:rFonts w:ascii="Arial Narrow" w:hAnsi="Arial Narrow" w:cs="Tahoma"/>
          <w:b/>
          <w:i/>
          <w:sz w:val="28"/>
          <w:szCs w:val="28"/>
        </w:rPr>
        <w:t>IV</w:t>
      </w:r>
      <w:r w:rsidR="00493D05" w:rsidRPr="0036284D">
        <w:rPr>
          <w:rFonts w:ascii="Arial Narrow" w:hAnsi="Arial Narrow" w:cs="Tahoma"/>
          <w:b/>
          <w:i/>
          <w:sz w:val="28"/>
          <w:szCs w:val="28"/>
        </w:rPr>
        <w:t>.</w:t>
      </w:r>
      <w:r w:rsidR="00493D05" w:rsidRPr="000E0538">
        <w:rPr>
          <w:rFonts w:ascii="Arial Narrow" w:hAnsi="Arial Narrow" w:cs="Tahoma"/>
          <w:b/>
          <w:i/>
          <w:sz w:val="28"/>
          <w:szCs w:val="28"/>
        </w:rPr>
        <w:t xml:space="preserve"> CONSIDERACIONES:</w:t>
      </w:r>
    </w:p>
    <w:p w:rsidR="00493D05" w:rsidRPr="00DA55E3" w:rsidRDefault="00493D05" w:rsidP="00DA55E3">
      <w:pPr>
        <w:pStyle w:val="Sinespaciado"/>
      </w:pPr>
      <w:r w:rsidRPr="000E0538">
        <w:rPr>
          <w:i/>
        </w:rPr>
        <w:tab/>
      </w:r>
      <w:r w:rsidRPr="00E845FE">
        <w:tab/>
      </w:r>
    </w:p>
    <w:p w:rsidR="00493D05" w:rsidRDefault="00493D05" w:rsidP="00493D05">
      <w:pPr>
        <w:pStyle w:val="Textoindependien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493D05" w:rsidRPr="00201A8D" w:rsidRDefault="00493D05" w:rsidP="00493D05">
      <w:pPr>
        <w:pStyle w:val="Sinespaciado"/>
      </w:pPr>
    </w:p>
    <w:p w:rsidR="00493D05" w:rsidRDefault="00493D05" w:rsidP="00DA55E3">
      <w:pPr>
        <w:pStyle w:val="Textodebloque1"/>
        <w:widowControl w:val="0"/>
        <w:tabs>
          <w:tab w:val="clear" w:pos="-720"/>
        </w:tabs>
        <w:suppressAutoHyphens w:val="0"/>
        <w:spacing w:line="360" w:lineRule="auto"/>
        <w:ind w:left="0" w:firstLine="708"/>
        <w:rPr>
          <w:rFonts w:ascii="Arial Narrow" w:hAnsi="Arial Narrow"/>
          <w:b w:val="0"/>
          <w:sz w:val="28"/>
          <w:szCs w:val="28"/>
        </w:rPr>
      </w:pPr>
      <w:r w:rsidRPr="00272BC7">
        <w:rPr>
          <w:rFonts w:ascii="Arial Narrow" w:hAnsi="Arial Narrow"/>
          <w:b w:val="0"/>
          <w:sz w:val="28"/>
          <w:szCs w:val="28"/>
        </w:rPr>
        <w:t>Para los fines del recurso, interesa resaltar los supuestos fácticos indiscutidos en el proceso y que sirven de base a la decisión que se adopta. Ellos son: que</w:t>
      </w:r>
      <w:r>
        <w:rPr>
          <w:rFonts w:ascii="Arial Narrow" w:hAnsi="Arial Narrow"/>
          <w:b w:val="0"/>
          <w:sz w:val="28"/>
          <w:szCs w:val="28"/>
        </w:rPr>
        <w:t xml:space="preserve"> el </w:t>
      </w:r>
      <w:r w:rsidRPr="00272BC7">
        <w:rPr>
          <w:rFonts w:ascii="Arial Narrow" w:hAnsi="Arial Narrow"/>
          <w:b w:val="0"/>
          <w:sz w:val="28"/>
          <w:szCs w:val="28"/>
        </w:rPr>
        <w:t xml:space="preserve">demandante </w:t>
      </w:r>
      <w:r>
        <w:rPr>
          <w:rFonts w:ascii="Arial Narrow" w:hAnsi="Arial Narrow"/>
          <w:b w:val="0"/>
          <w:sz w:val="28"/>
          <w:szCs w:val="28"/>
        </w:rPr>
        <w:t xml:space="preserve">nació el </w:t>
      </w:r>
      <w:r w:rsidR="00A34188">
        <w:rPr>
          <w:rFonts w:ascii="Arial Narrow" w:hAnsi="Arial Narrow"/>
          <w:b w:val="0"/>
          <w:sz w:val="28"/>
          <w:szCs w:val="28"/>
        </w:rPr>
        <w:t>12 julio de 1935</w:t>
      </w:r>
      <w:r>
        <w:rPr>
          <w:rFonts w:ascii="Arial Narrow" w:hAnsi="Arial Narrow"/>
          <w:b w:val="0"/>
          <w:sz w:val="28"/>
          <w:szCs w:val="28"/>
        </w:rPr>
        <w:t xml:space="preserve">; que </w:t>
      </w:r>
      <w:r w:rsidRPr="00272BC7">
        <w:rPr>
          <w:rFonts w:ascii="Arial Narrow" w:hAnsi="Arial Narrow"/>
          <w:b w:val="0"/>
          <w:sz w:val="28"/>
          <w:szCs w:val="28"/>
        </w:rPr>
        <w:t>sufrió una disminución de su capacidad para labora</w:t>
      </w:r>
      <w:r>
        <w:rPr>
          <w:rFonts w:ascii="Arial Narrow" w:hAnsi="Arial Narrow"/>
          <w:b w:val="0"/>
          <w:sz w:val="28"/>
          <w:szCs w:val="28"/>
        </w:rPr>
        <w:t xml:space="preserve">r del </w:t>
      </w:r>
      <w:r w:rsidR="00A34188">
        <w:rPr>
          <w:rFonts w:ascii="Arial Narrow" w:hAnsi="Arial Narrow"/>
          <w:b w:val="0"/>
          <w:sz w:val="28"/>
          <w:szCs w:val="28"/>
        </w:rPr>
        <w:t>60.25%</w:t>
      </w:r>
      <w:r w:rsidRPr="00272BC7">
        <w:rPr>
          <w:rFonts w:ascii="Arial Narrow" w:hAnsi="Arial Narrow"/>
          <w:b w:val="0"/>
          <w:sz w:val="28"/>
          <w:szCs w:val="28"/>
        </w:rPr>
        <w:t xml:space="preserve"> desde el </w:t>
      </w:r>
      <w:r w:rsidR="00A34188">
        <w:rPr>
          <w:rFonts w:ascii="Arial Narrow" w:hAnsi="Arial Narrow"/>
          <w:b w:val="0"/>
          <w:sz w:val="28"/>
          <w:szCs w:val="28"/>
        </w:rPr>
        <w:t>17 de marzo de 2015</w:t>
      </w:r>
      <w:r w:rsidRPr="00272BC7">
        <w:rPr>
          <w:rFonts w:ascii="Arial Narrow" w:hAnsi="Arial Narrow"/>
          <w:b w:val="0"/>
          <w:sz w:val="28"/>
          <w:szCs w:val="28"/>
        </w:rPr>
        <w:t xml:space="preserve">; y que cotizó en total </w:t>
      </w:r>
      <w:r w:rsidR="00A34188">
        <w:rPr>
          <w:rFonts w:ascii="Arial Narrow" w:hAnsi="Arial Narrow"/>
          <w:b w:val="0"/>
          <w:sz w:val="28"/>
          <w:szCs w:val="28"/>
        </w:rPr>
        <w:t xml:space="preserve">778.14 semanas, </w:t>
      </w:r>
      <w:r w:rsidRPr="00272BC7">
        <w:rPr>
          <w:rFonts w:ascii="Arial Narrow" w:hAnsi="Arial Narrow"/>
          <w:b w:val="0"/>
          <w:sz w:val="28"/>
          <w:szCs w:val="28"/>
        </w:rPr>
        <w:t xml:space="preserve">ninguna </w:t>
      </w:r>
      <w:r w:rsidR="00A34188">
        <w:rPr>
          <w:rFonts w:ascii="Arial Narrow" w:hAnsi="Arial Narrow"/>
          <w:b w:val="0"/>
          <w:sz w:val="28"/>
          <w:szCs w:val="28"/>
        </w:rPr>
        <w:t xml:space="preserve">dentro de los </w:t>
      </w:r>
      <w:r>
        <w:rPr>
          <w:rFonts w:ascii="Arial Narrow" w:hAnsi="Arial Narrow"/>
          <w:b w:val="0"/>
          <w:sz w:val="28"/>
          <w:szCs w:val="28"/>
        </w:rPr>
        <w:t>tres años inmediatamente anteriores</w:t>
      </w:r>
      <w:r w:rsidR="00A34188">
        <w:rPr>
          <w:rFonts w:ascii="Arial Narrow" w:hAnsi="Arial Narrow"/>
          <w:b w:val="0"/>
          <w:sz w:val="28"/>
          <w:szCs w:val="28"/>
        </w:rPr>
        <w:t xml:space="preserve"> a la fecha de estructuración</w:t>
      </w:r>
      <w:r>
        <w:rPr>
          <w:rFonts w:ascii="Arial Narrow" w:hAnsi="Arial Narrow"/>
          <w:b w:val="0"/>
          <w:sz w:val="28"/>
          <w:szCs w:val="28"/>
        </w:rPr>
        <w:t xml:space="preserve">, empero, sí </w:t>
      </w:r>
      <w:r w:rsidR="00A34188">
        <w:rPr>
          <w:rFonts w:ascii="Arial Narrow" w:hAnsi="Arial Narrow"/>
          <w:b w:val="0"/>
          <w:sz w:val="28"/>
          <w:szCs w:val="28"/>
        </w:rPr>
        <w:t xml:space="preserve">todas antes de </w:t>
      </w:r>
      <w:r>
        <w:rPr>
          <w:rFonts w:ascii="Arial Narrow" w:hAnsi="Arial Narrow"/>
          <w:b w:val="0"/>
          <w:sz w:val="28"/>
          <w:szCs w:val="28"/>
        </w:rPr>
        <w:t xml:space="preserve">la entrada en vigencia del nuevo sistema de seguridad social. </w:t>
      </w:r>
    </w:p>
    <w:p w:rsidR="008F228D" w:rsidRPr="008F228D" w:rsidRDefault="008F228D" w:rsidP="008F228D">
      <w:pPr>
        <w:pStyle w:val="Sinespaciado"/>
      </w:pPr>
    </w:p>
    <w:p w:rsidR="008F228D" w:rsidRDefault="008F228D" w:rsidP="008F228D">
      <w:pPr>
        <w:pStyle w:val="Textoindependiente32"/>
        <w:ind w:firstLine="708"/>
        <w:rPr>
          <w:rFonts w:ascii="Arial Narrow" w:hAnsi="Arial Narrow"/>
          <w:sz w:val="28"/>
          <w:szCs w:val="28"/>
        </w:rPr>
      </w:pPr>
      <w:r w:rsidRPr="008F228D">
        <w:rPr>
          <w:rFonts w:ascii="Arial Narrow" w:hAnsi="Arial Narrow" w:cs="Tahoma"/>
          <w:sz w:val="28"/>
          <w:szCs w:val="28"/>
        </w:rPr>
        <w:t xml:space="preserve">En consecuencia, la norma rectora a tener en cuenta para determinar si al actor le asiste el derecho a la pensión que reclama, es el </w:t>
      </w:r>
      <w:r w:rsidRPr="008F228D">
        <w:rPr>
          <w:rFonts w:ascii="Arial Narrow" w:hAnsi="Arial Narrow" w:cs="Arial"/>
          <w:sz w:val="28"/>
          <w:szCs w:val="28"/>
        </w:rPr>
        <w:t xml:space="preserve">artículo 39 de la Ley 100 de 1993, modificado por el artículo 1º de la Ley 860 de 2003, que clama además de una pérdida de capacidad laboral igual o superior al 50%, una densidad de aportes al sistema </w:t>
      </w:r>
      <w:r w:rsidRPr="008F228D">
        <w:rPr>
          <w:rFonts w:ascii="Arial Narrow" w:hAnsi="Arial Narrow" w:cs="Arial"/>
          <w:sz w:val="28"/>
          <w:szCs w:val="28"/>
        </w:rPr>
        <w:lastRenderedPageBreak/>
        <w:t>pensional de 50 semanas o más en los tres años anteriores a la fecha de estructuración de la invalidez, requisito este último que de entrada, advierte la Sala  no satisfizo el actor, habida cuenta que e</w:t>
      </w:r>
      <w:r>
        <w:rPr>
          <w:rFonts w:ascii="Arial Narrow" w:hAnsi="Arial Narrow" w:cs="Arial"/>
          <w:sz w:val="28"/>
          <w:szCs w:val="28"/>
        </w:rPr>
        <w:t xml:space="preserve">ntre el </w:t>
      </w:r>
      <w:r>
        <w:rPr>
          <w:rFonts w:ascii="Arial Narrow" w:hAnsi="Arial Narrow"/>
          <w:sz w:val="28"/>
          <w:szCs w:val="28"/>
        </w:rPr>
        <w:t>17 de marzo de 2015</w:t>
      </w:r>
      <w:r>
        <w:rPr>
          <w:rFonts w:ascii="Arial Narrow" w:hAnsi="Arial Narrow"/>
          <w:sz w:val="28"/>
          <w:szCs w:val="28"/>
        </w:rPr>
        <w:t xml:space="preserve"> y ese mismo día y mes del año 2012 no cotizó semana alguna. </w:t>
      </w:r>
    </w:p>
    <w:p w:rsidR="007C44D5" w:rsidRDefault="007C44D5" w:rsidP="007C44D5">
      <w:pPr>
        <w:pStyle w:val="Sinespaciado"/>
      </w:pPr>
    </w:p>
    <w:p w:rsidR="007C44D5" w:rsidRDefault="007C44D5" w:rsidP="007C44D5">
      <w:pPr>
        <w:spacing w:line="360" w:lineRule="auto"/>
        <w:jc w:val="both"/>
        <w:rPr>
          <w:rFonts w:ascii="Arial Narrow" w:hAnsi="Arial Narrow"/>
          <w:sz w:val="28"/>
          <w:szCs w:val="28"/>
        </w:rPr>
      </w:pPr>
      <w:r>
        <w:rPr>
          <w:rFonts w:ascii="Arial Narrow" w:hAnsi="Arial Narrow" w:cs="Arial"/>
          <w:sz w:val="28"/>
          <w:szCs w:val="28"/>
        </w:rPr>
        <w:tab/>
        <w:t xml:space="preserve">Bajo esas circunstancias, dado que al 1º de abril de 1994 </w:t>
      </w:r>
      <w:r>
        <w:rPr>
          <w:rFonts w:ascii="Arial Narrow" w:hAnsi="Arial Narrow" w:cs="Arial"/>
          <w:sz w:val="28"/>
          <w:szCs w:val="28"/>
        </w:rPr>
        <w:t xml:space="preserve">el asegurado </w:t>
      </w:r>
      <w:r>
        <w:rPr>
          <w:rFonts w:ascii="Arial Narrow" w:hAnsi="Arial Narrow" w:cs="Arial"/>
          <w:sz w:val="28"/>
          <w:szCs w:val="28"/>
        </w:rPr>
        <w:t xml:space="preserve">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 xml:space="preserve">alcanzar el derecho a la pensión de invalidez, como quiera que no alcanzó </w:t>
      </w:r>
      <w:r w:rsidR="00BC4A89">
        <w:rPr>
          <w:rFonts w:ascii="Arial Narrow" w:hAnsi="Arial Narrow"/>
          <w:sz w:val="28"/>
          <w:szCs w:val="28"/>
        </w:rPr>
        <w:t xml:space="preserve">las exigidas bajo la égida de la Ley 860 de 2003 ni la Ley 100/93 en su versión original, </w:t>
      </w:r>
      <w:r>
        <w:rPr>
          <w:rFonts w:ascii="Arial Narrow" w:hAnsi="Arial Narrow"/>
          <w:sz w:val="28"/>
          <w:szCs w:val="28"/>
        </w:rPr>
        <w:t xml:space="preserve">es preciso el análisis en torno a si en favor de las pretensiones del demandante </w:t>
      </w:r>
      <w:r w:rsidR="00BC4A89">
        <w:rPr>
          <w:rFonts w:ascii="Arial Narrow" w:hAnsi="Arial Narrow"/>
          <w:sz w:val="28"/>
          <w:szCs w:val="28"/>
        </w:rPr>
        <w:t>j</w:t>
      </w:r>
      <w:r>
        <w:rPr>
          <w:rFonts w:ascii="Arial Narrow" w:hAnsi="Arial Narrow"/>
          <w:sz w:val="28"/>
          <w:szCs w:val="28"/>
        </w:rPr>
        <w:t xml:space="preserve">uega el principio de la condición más beneficiosa. </w:t>
      </w:r>
    </w:p>
    <w:p w:rsidR="007C44D5" w:rsidRDefault="007C44D5" w:rsidP="008F228D">
      <w:pPr>
        <w:pStyle w:val="Textoindependiente32"/>
        <w:ind w:firstLine="708"/>
        <w:rPr>
          <w:rFonts w:ascii="Arial Narrow" w:hAnsi="Arial Narrow"/>
          <w:sz w:val="28"/>
          <w:szCs w:val="28"/>
        </w:rPr>
      </w:pPr>
      <w:bookmarkStart w:id="0" w:name="_GoBack"/>
      <w:bookmarkEnd w:id="0"/>
    </w:p>
    <w:p w:rsidR="008F228D" w:rsidRDefault="008F228D" w:rsidP="00FC4F3F">
      <w:pPr>
        <w:pStyle w:val="Sinespaciado"/>
      </w:pPr>
    </w:p>
    <w:p w:rsidR="008F228D" w:rsidRPr="00B818B8" w:rsidRDefault="008F228D" w:rsidP="008F228D">
      <w:pPr>
        <w:autoSpaceDE w:val="0"/>
        <w:autoSpaceDN w:val="0"/>
        <w:adjustRightInd w:val="0"/>
        <w:spacing w:line="360" w:lineRule="auto"/>
        <w:ind w:firstLine="1134"/>
        <w:jc w:val="both"/>
        <w:rPr>
          <w:rFonts w:ascii="Arial Narrow" w:hAnsi="Arial Narrow" w:cs="Arial"/>
          <w:color w:val="FF0000"/>
          <w:sz w:val="28"/>
          <w:szCs w:val="28"/>
        </w:rPr>
      </w:pPr>
      <w:r w:rsidRPr="00FC4F3F">
        <w:rPr>
          <w:rFonts w:ascii="Arial Narrow" w:hAnsi="Arial Narrow" w:cs="Arial"/>
          <w:sz w:val="28"/>
          <w:szCs w:val="28"/>
        </w:rPr>
        <w:t xml:space="preserve">No obstante lo anterior, el demandante finca sus súplicas en la aplicación del principio de la condición más beneficiosa, con arreglo al cual, debe tenerse en cuenta el Acuerdo 049 de 1990, asunto que habrá de examinarse, dado que indistintamente de que la estructuración de la invalidez de origen común, hubiese acaecido en vigencia de la Ley 100 de 1993 o de la Ley 860 de 2003, </w:t>
      </w:r>
      <w:r w:rsidRPr="00B818B8">
        <w:rPr>
          <w:rFonts w:ascii="Arial Narrow" w:hAnsi="Arial Narrow" w:cs="Arial"/>
          <w:color w:val="FF0000"/>
          <w:sz w:val="28"/>
          <w:szCs w:val="28"/>
        </w:rPr>
        <w:t xml:space="preserve">lo relevante es que colme la densidad de aportes que reclama el Acuerdo 049 de 1990, o Decreto 758 del mismo año, superior tanto a las 26 o 50 semanas, exigidas por una y otra ley. </w:t>
      </w:r>
    </w:p>
    <w:p w:rsidR="008F228D" w:rsidRPr="00FC4F3F" w:rsidRDefault="008F228D" w:rsidP="008F228D">
      <w:pPr>
        <w:pStyle w:val="Textoindependiente32"/>
        <w:ind w:firstLine="708"/>
        <w:rPr>
          <w:rFonts w:ascii="Arial Narrow" w:hAnsi="Arial Narrow" w:cs="Arial"/>
          <w:sz w:val="28"/>
          <w:szCs w:val="28"/>
        </w:rPr>
      </w:pPr>
    </w:p>
    <w:p w:rsidR="008F228D" w:rsidRDefault="008F228D" w:rsidP="00DA55E3">
      <w:pPr>
        <w:pStyle w:val="Textodebloque1"/>
        <w:widowControl w:val="0"/>
        <w:tabs>
          <w:tab w:val="clear" w:pos="-720"/>
        </w:tabs>
        <w:suppressAutoHyphens w:val="0"/>
        <w:spacing w:line="360" w:lineRule="auto"/>
        <w:ind w:left="0" w:firstLine="708"/>
        <w:rPr>
          <w:b w:val="0"/>
        </w:rPr>
      </w:pPr>
    </w:p>
    <w:p w:rsidR="00493D05" w:rsidRPr="00F413FA" w:rsidRDefault="00493D05" w:rsidP="00493D05">
      <w:pPr>
        <w:pStyle w:val="Sinespaciado"/>
      </w:pPr>
    </w:p>
    <w:p w:rsidR="00493D05" w:rsidRPr="00F9688E" w:rsidRDefault="00493D05" w:rsidP="00493D05">
      <w:pPr>
        <w:pStyle w:val="Textoindependiente32"/>
        <w:ind w:firstLine="708"/>
        <w:rPr>
          <w:rFonts w:ascii="Arial Narrow" w:hAnsi="Arial Narrow"/>
          <w:sz w:val="28"/>
          <w:szCs w:val="28"/>
        </w:rPr>
      </w:pPr>
      <w:r w:rsidRPr="006A4EB4">
        <w:rPr>
          <w:rFonts w:ascii="Arial Narrow" w:hAnsi="Arial Narrow"/>
          <w:sz w:val="28"/>
          <w:szCs w:val="28"/>
        </w:rPr>
        <w:t xml:space="preserve">Así las cosas, </w:t>
      </w:r>
      <w:r>
        <w:rPr>
          <w:rFonts w:ascii="Arial Narrow" w:hAnsi="Arial Narrow"/>
          <w:sz w:val="28"/>
          <w:szCs w:val="28"/>
        </w:rPr>
        <w:t xml:space="preserve">teniendo en cuenta que </w:t>
      </w:r>
      <w:r w:rsidRPr="006A4EB4">
        <w:rPr>
          <w:rFonts w:ascii="Arial Narrow" w:hAnsi="Arial Narrow"/>
          <w:sz w:val="28"/>
          <w:szCs w:val="28"/>
        </w:rPr>
        <w:t xml:space="preserve">el asegurado había aglutinado al 1 de abril de 1994, más de 300 semanas sufragadas al sistema pensional, las que en vigencia del acuerdo 049 de 1990, hubieran sido suficientes para alcanzar el derecho a la pensión de invalidez, </w:t>
      </w:r>
      <w:r>
        <w:rPr>
          <w:rFonts w:ascii="Arial Narrow" w:hAnsi="Arial Narrow"/>
          <w:sz w:val="28"/>
          <w:szCs w:val="28"/>
        </w:rPr>
        <w:t xml:space="preserve">como quiera que no alcanzó las exigidas bajo la égida de la Ley 860 de 2003 ni la Ley 100 en su versión original, </w:t>
      </w:r>
      <w:r w:rsidRPr="00F9688E">
        <w:rPr>
          <w:rFonts w:ascii="Arial Narrow" w:hAnsi="Arial Narrow"/>
          <w:sz w:val="28"/>
          <w:szCs w:val="28"/>
        </w:rPr>
        <w:t xml:space="preserve"> podría abrirse paso al estudio de la aplicación del principio de la condición más beneficiosa, o cualesquiera otro (expectativa legítima, proporcionalidad, favorabilidad, igualdad etc.), que justificara la súplica del actor de saltar de la ley 860 de 2003 al acuerdo 049 de 1990, en orden a acceder al pedimento pensional, sino fuera porque</w:t>
      </w:r>
      <w:r>
        <w:rPr>
          <w:rFonts w:ascii="Arial Narrow" w:hAnsi="Arial Narrow"/>
          <w:sz w:val="28"/>
          <w:szCs w:val="28"/>
        </w:rPr>
        <w:t xml:space="preserve"> tal como lo concluyó la a-quo, </w:t>
      </w:r>
      <w:r w:rsidRPr="00F9688E">
        <w:rPr>
          <w:rFonts w:ascii="Arial Narrow" w:hAnsi="Arial Narrow"/>
          <w:sz w:val="28"/>
          <w:szCs w:val="28"/>
        </w:rPr>
        <w:t>dada</w:t>
      </w:r>
      <w:r>
        <w:rPr>
          <w:rFonts w:ascii="Arial Narrow" w:hAnsi="Arial Narrow"/>
          <w:sz w:val="28"/>
          <w:szCs w:val="28"/>
        </w:rPr>
        <w:t>s</w:t>
      </w:r>
      <w:r w:rsidRPr="00F9688E">
        <w:rPr>
          <w:rFonts w:ascii="Arial Narrow" w:hAnsi="Arial Narrow"/>
          <w:sz w:val="28"/>
          <w:szCs w:val="28"/>
        </w:rPr>
        <w:t xml:space="preserve"> las condiciones como </w:t>
      </w:r>
      <w:r w:rsidRPr="00F9688E">
        <w:rPr>
          <w:rFonts w:ascii="Arial Narrow" w:hAnsi="Arial Narrow"/>
          <w:sz w:val="28"/>
          <w:szCs w:val="28"/>
        </w:rPr>
        <w:lastRenderedPageBreak/>
        <w:t>se acredi</w:t>
      </w:r>
      <w:r>
        <w:rPr>
          <w:rFonts w:ascii="Arial Narrow" w:hAnsi="Arial Narrow"/>
          <w:sz w:val="28"/>
          <w:szCs w:val="28"/>
        </w:rPr>
        <w:t>tó el estado invalidante en un 60.</w:t>
      </w:r>
      <w:r w:rsidR="00A34188">
        <w:rPr>
          <w:rFonts w:ascii="Arial Narrow" w:hAnsi="Arial Narrow"/>
          <w:sz w:val="28"/>
          <w:szCs w:val="28"/>
        </w:rPr>
        <w:t>25</w:t>
      </w:r>
      <w:r w:rsidRPr="00F9688E">
        <w:rPr>
          <w:rFonts w:ascii="Arial Narrow" w:hAnsi="Arial Narrow"/>
          <w:sz w:val="28"/>
          <w:szCs w:val="28"/>
        </w:rPr>
        <w:t>%, este no satisface, el otro requisito para consolidar el derecho deprecado, pese a que la merma laboral supera el 50%.</w:t>
      </w:r>
    </w:p>
    <w:p w:rsidR="00493D05" w:rsidRDefault="00493D05" w:rsidP="00D61703">
      <w:pPr>
        <w:pStyle w:val="Sinespaciado"/>
      </w:pPr>
    </w:p>
    <w:p w:rsidR="00493D05" w:rsidRDefault="00493D05" w:rsidP="00493D05">
      <w:pPr>
        <w:pStyle w:val="Textoindependiente32"/>
        <w:ind w:firstLine="708"/>
        <w:rPr>
          <w:rFonts w:ascii="Arial Narrow" w:hAnsi="Arial Narrow"/>
          <w:sz w:val="28"/>
          <w:szCs w:val="28"/>
        </w:rPr>
      </w:pPr>
      <w:r w:rsidRPr="00F9688E">
        <w:rPr>
          <w:rFonts w:ascii="Arial Narrow" w:hAnsi="Arial Narrow"/>
          <w:sz w:val="28"/>
          <w:szCs w:val="28"/>
        </w:rPr>
        <w:t>En otra ocasión, esta Sala había negado el reconocimiento de una pensión de invalidez fundada en argumentos similares al que hoy se exponen, cuando entre otras razones se adujo:</w:t>
      </w:r>
    </w:p>
    <w:p w:rsidR="00493D05" w:rsidRPr="000D618D" w:rsidRDefault="00493D05" w:rsidP="00493D05">
      <w:pPr>
        <w:pStyle w:val="Sinespaciado"/>
      </w:pPr>
    </w:p>
    <w:p w:rsidR="00493D05" w:rsidRPr="00BF69F3" w:rsidRDefault="00493D05" w:rsidP="00493D05">
      <w:pPr>
        <w:ind w:left="284" w:right="335"/>
        <w:jc w:val="both"/>
        <w:rPr>
          <w:rFonts w:ascii="Arial Narrow" w:hAnsi="Arial Narrow"/>
          <w:i/>
          <w:sz w:val="26"/>
          <w:szCs w:val="26"/>
        </w:rPr>
      </w:pPr>
      <w:r>
        <w:rPr>
          <w:rFonts w:ascii="Arial" w:hAnsi="Arial"/>
          <w:sz w:val="26"/>
          <w:szCs w:val="26"/>
        </w:rPr>
        <w:t>“</w:t>
      </w:r>
      <w:r w:rsidRPr="00BF69F3">
        <w:rPr>
          <w:rFonts w:ascii="Arial Narrow" w:hAnsi="Arial Narrow"/>
          <w:i/>
          <w:sz w:val="26"/>
          <w:szCs w:val="26"/>
        </w:rPr>
        <w:t xml:space="preserve">es cierto que no se probó que la pérdida de la capacidad laboral de la actora tuviera incidencia directa en el trabajo habitual desplegado por ésta, véase que la razón en que se cimienta el fundamento legal de la pensión de invalidez [Acu. 049/90, Art.5°] no es otra que la de proteger al </w:t>
      </w:r>
      <w:r w:rsidRPr="00BF69F3">
        <w:rPr>
          <w:rFonts w:ascii="Arial Narrow" w:hAnsi="Arial Narrow"/>
          <w:b/>
          <w:i/>
          <w:sz w:val="26"/>
          <w:szCs w:val="26"/>
        </w:rPr>
        <w:t>“</w:t>
      </w:r>
      <w:r w:rsidRPr="00BF69F3">
        <w:rPr>
          <w:rFonts w:ascii="Arial Narrow" w:hAnsi="Arial Narrow"/>
          <w:b/>
          <w:i/>
          <w:sz w:val="26"/>
          <w:szCs w:val="26"/>
          <w:u w:val="single"/>
        </w:rPr>
        <w:t xml:space="preserve">afiliado </w:t>
      </w:r>
      <w:r w:rsidRPr="00BF69F3">
        <w:rPr>
          <w:rFonts w:ascii="Arial Narrow" w:hAnsi="Arial Narrow"/>
          <w:b/>
          <w:i/>
          <w:sz w:val="26"/>
          <w:szCs w:val="26"/>
        </w:rPr>
        <w:t xml:space="preserve">o </w:t>
      </w:r>
      <w:r w:rsidRPr="00BF69F3">
        <w:rPr>
          <w:rFonts w:ascii="Arial Narrow" w:hAnsi="Arial Narrow"/>
          <w:b/>
          <w:i/>
          <w:sz w:val="26"/>
          <w:szCs w:val="26"/>
          <w:u w:val="single"/>
        </w:rPr>
        <w:t>asegurado</w:t>
      </w:r>
      <w:r w:rsidRPr="00BF69F3">
        <w:rPr>
          <w:rFonts w:ascii="Arial Narrow" w:hAnsi="Arial Narrow"/>
          <w:b/>
          <w:i/>
          <w:sz w:val="26"/>
          <w:szCs w:val="26"/>
        </w:rPr>
        <w:t xml:space="preserve"> que por enfermedad no profesional o por lesión distinta de accidente de trabajo, haya perdido el 50% o más de su capacidad laboral para desempeñar el oficio o profesión para el cual está capacitado </w:t>
      </w:r>
      <w:r w:rsidRPr="00BF69F3">
        <w:rPr>
          <w:rFonts w:ascii="Arial Narrow" w:hAnsi="Arial Narrow"/>
          <w:b/>
          <w:i/>
          <w:sz w:val="26"/>
          <w:szCs w:val="26"/>
          <w:u w:val="single"/>
        </w:rPr>
        <w:t>y que constituye su actividad habitual y permanente</w:t>
      </w:r>
      <w:r w:rsidRPr="00BF69F3">
        <w:rPr>
          <w:rFonts w:ascii="Arial Narrow" w:hAnsi="Arial Narrow"/>
          <w:b/>
          <w:i/>
          <w:sz w:val="26"/>
          <w:szCs w:val="26"/>
        </w:rPr>
        <w:t xml:space="preserve">”; </w:t>
      </w:r>
      <w:r w:rsidRPr="00BF69F3">
        <w:rPr>
          <w:rFonts w:ascii="Arial Narrow" w:hAnsi="Arial Narrow"/>
          <w:i/>
          <w:sz w:val="26"/>
          <w:szCs w:val="26"/>
        </w:rPr>
        <w:t>actividad habitual y permanente que, para el caso pensional, es la que efectivamente constituye la necesidad de la existencia del cubrimiento de la Seguridad Social por parte del Estado, a fin de que el asegurado pueda seguir cubriendo sus necesidades básicas de sustento; cubrimiento que para este caso particular no entraría a suplir las actividades laborales habituales o permanentes de la actora, puesto que éstas simplemente no existen o no fueron probadas para la fecha en que se estructuró el estado de invalidez… su sustento económico no depende, en todo caso, de actividades laborales y por ende el reconocimiento pensional que hoy se solicita, de reconocerse, no sería coherente con los principios que soportan la Seguridad Social, que son la cobertura de aquel tipo de contingencias que sobrevengan a un trabajador que depende en su sostenimiento y el de los suyos, de su actividad laboral.</w:t>
      </w:r>
    </w:p>
    <w:p w:rsidR="00493D05" w:rsidRPr="00BF69F3" w:rsidRDefault="00493D05" w:rsidP="00493D05">
      <w:pPr>
        <w:ind w:left="284" w:right="335"/>
        <w:jc w:val="both"/>
        <w:rPr>
          <w:rFonts w:ascii="Arial Narrow" w:hAnsi="Arial Narrow"/>
          <w:i/>
          <w:sz w:val="26"/>
          <w:szCs w:val="26"/>
        </w:rPr>
      </w:pPr>
    </w:p>
    <w:p w:rsidR="00493D05" w:rsidRPr="00BF69F3" w:rsidRDefault="00493D05" w:rsidP="00493D05">
      <w:pPr>
        <w:ind w:left="284" w:right="335"/>
        <w:jc w:val="both"/>
        <w:rPr>
          <w:rFonts w:ascii="Arial Narrow" w:hAnsi="Arial Narrow"/>
          <w:i/>
          <w:sz w:val="26"/>
          <w:szCs w:val="26"/>
        </w:rPr>
      </w:pPr>
      <w:r w:rsidRPr="00BF69F3">
        <w:rPr>
          <w:rFonts w:ascii="Arial Narrow" w:hAnsi="Arial Narrow"/>
          <w:i/>
          <w:sz w:val="26"/>
          <w:szCs w:val="26"/>
        </w:rPr>
        <w:t>En otras palabras, hoy por hoy, para las personas que han perdido su capacidad para laborar por el deterioro o decrepitud natural del cuerpo humano no está dispuesta la pensión de invalidez como sí la de vejez. Tan cierto ello que el parágrafo del artículo 4º del Decreto 917 de 28 de mayo de 1999, que modificó el 692 de 1995, que es el Manual Básico para la Calificación de Invalidez, establece:</w:t>
      </w:r>
    </w:p>
    <w:p w:rsidR="00493D05" w:rsidRPr="00BF69F3" w:rsidRDefault="00493D05" w:rsidP="00493D05">
      <w:pPr>
        <w:pStyle w:val="Sinespaciado"/>
      </w:pPr>
    </w:p>
    <w:p w:rsidR="00493D05" w:rsidRPr="00BF69F3" w:rsidRDefault="00493D05" w:rsidP="00493D05">
      <w:pPr>
        <w:pStyle w:val="Textodebloque1"/>
        <w:ind w:left="709" w:right="760"/>
        <w:rPr>
          <w:rFonts w:ascii="Arial Narrow" w:hAnsi="Arial Narrow"/>
          <w:i/>
          <w:sz w:val="26"/>
          <w:szCs w:val="26"/>
        </w:rPr>
      </w:pPr>
      <w:r w:rsidRPr="00BF69F3">
        <w:rPr>
          <w:rFonts w:ascii="Arial Narrow" w:hAnsi="Arial Narrow"/>
          <w:i/>
          <w:sz w:val="26"/>
          <w:szCs w:val="26"/>
        </w:rPr>
        <w:t xml:space="preserve">“Las consecuencias normales de la vejez, por sí solas, sin patología sobre agregada no generan deficiencia para los efectos de la calificación de la invalidez en el Sistema Integral de Seguridad Social. En el caso de </w:t>
      </w:r>
      <w:proofErr w:type="spellStart"/>
      <w:r w:rsidRPr="00BF69F3">
        <w:rPr>
          <w:rFonts w:ascii="Arial Narrow" w:hAnsi="Arial Narrow"/>
          <w:i/>
          <w:sz w:val="26"/>
          <w:szCs w:val="26"/>
        </w:rPr>
        <w:t>co</w:t>
      </w:r>
      <w:proofErr w:type="spellEnd"/>
      <w:r w:rsidRPr="00BF69F3">
        <w:rPr>
          <w:rFonts w:ascii="Arial Narrow" w:hAnsi="Arial Narrow"/>
          <w:i/>
          <w:sz w:val="26"/>
          <w:szCs w:val="26"/>
        </w:rPr>
        <w:t>-existir alguna patología con dichas consecuencias se podrá incluir dentro de la calificación de acuerdo con la deficiencia, discapacidad y minusvalía correspondientes”.</w:t>
      </w:r>
    </w:p>
    <w:p w:rsidR="00493D05" w:rsidRDefault="00493D05" w:rsidP="00493D05">
      <w:pPr>
        <w:pStyle w:val="Textoindependiente32"/>
        <w:spacing w:line="240" w:lineRule="auto"/>
        <w:ind w:left="709" w:right="760" w:firstLine="709"/>
        <w:rPr>
          <w:rFonts w:ascii="Arial Narrow" w:hAnsi="Arial Narrow"/>
          <w:b/>
          <w:i/>
          <w:sz w:val="26"/>
          <w:szCs w:val="26"/>
        </w:rPr>
      </w:pPr>
    </w:p>
    <w:p w:rsidR="00493D05" w:rsidRPr="0093775B" w:rsidRDefault="00493D05" w:rsidP="00493D05">
      <w:pPr>
        <w:pStyle w:val="Textoindependiente32"/>
        <w:spacing w:line="240" w:lineRule="auto"/>
        <w:ind w:left="709" w:right="760"/>
        <w:rPr>
          <w:rFonts w:ascii="Arial Narrow" w:hAnsi="Arial Narrow"/>
          <w:sz w:val="28"/>
          <w:szCs w:val="28"/>
        </w:rPr>
      </w:pPr>
      <w:r w:rsidRPr="00BF69F3">
        <w:rPr>
          <w:rFonts w:ascii="Arial Narrow" w:hAnsi="Arial Narrow"/>
          <w:b/>
          <w:i/>
          <w:sz w:val="26"/>
          <w:szCs w:val="26"/>
        </w:rPr>
        <w:t>Las circunstancias especiales de la demandante lo que suponen es que ni siquiera exista grado de responsabilidad alguno entre el demandante y el Instituto de Seguros Sociales, ya que Quiroz Rodas no puede considerarse como una afiliada al Sistema de Seguridad Social Integral, puesto que la obligación del Instituto terminó cuando dispuso negar la pensión de vejez</w:t>
      </w:r>
      <w:proofErr w:type="gramStart"/>
      <w:r w:rsidRPr="00BF69F3">
        <w:rPr>
          <w:rFonts w:ascii="Arial Narrow" w:hAnsi="Arial Narrow"/>
          <w:b/>
          <w:i/>
          <w:sz w:val="26"/>
          <w:szCs w:val="26"/>
        </w:rPr>
        <w:t>”</w:t>
      </w:r>
      <w:r w:rsidRPr="00BF69F3">
        <w:rPr>
          <w:rFonts w:ascii="Arial Narrow" w:hAnsi="Arial Narrow"/>
          <w:i/>
          <w:sz w:val="26"/>
          <w:szCs w:val="26"/>
        </w:rPr>
        <w:t>[</w:t>
      </w:r>
      <w:proofErr w:type="gramEnd"/>
      <w:r w:rsidRPr="00BF69F3">
        <w:rPr>
          <w:rFonts w:ascii="Arial Narrow" w:hAnsi="Arial Narrow"/>
          <w:i/>
          <w:sz w:val="26"/>
          <w:szCs w:val="26"/>
        </w:rPr>
        <w:t xml:space="preserve">sentencia 13 de abril de 2007, radicación 2005-0052-01](las </w:t>
      </w:r>
      <w:proofErr w:type="spellStart"/>
      <w:r w:rsidRPr="00BF69F3">
        <w:rPr>
          <w:rFonts w:ascii="Arial Narrow" w:hAnsi="Arial Narrow"/>
          <w:i/>
          <w:sz w:val="26"/>
          <w:szCs w:val="26"/>
        </w:rPr>
        <w:t>sublíneas</w:t>
      </w:r>
      <w:proofErr w:type="spellEnd"/>
      <w:r w:rsidRPr="00BF69F3">
        <w:rPr>
          <w:rFonts w:ascii="Arial Narrow" w:hAnsi="Arial Narrow"/>
          <w:i/>
          <w:sz w:val="26"/>
          <w:szCs w:val="26"/>
        </w:rPr>
        <w:t xml:space="preserve"> y negrillas son del texto original).</w:t>
      </w:r>
      <w:r>
        <w:rPr>
          <w:rFonts w:ascii="Arial Narrow" w:hAnsi="Arial Narrow"/>
          <w:i/>
          <w:sz w:val="26"/>
          <w:szCs w:val="26"/>
        </w:rPr>
        <w:t>”</w:t>
      </w:r>
    </w:p>
    <w:p w:rsidR="00493D05" w:rsidRDefault="00493D05" w:rsidP="00493D05">
      <w:pPr>
        <w:pStyle w:val="Textoindependiente32"/>
        <w:ind w:firstLine="708"/>
        <w:rPr>
          <w:rFonts w:ascii="Arial Narrow" w:hAnsi="Arial Narrow"/>
          <w:sz w:val="28"/>
          <w:szCs w:val="28"/>
        </w:rPr>
      </w:pPr>
    </w:p>
    <w:p w:rsidR="00EB2C7E" w:rsidRDefault="00EB2C7E" w:rsidP="00EB2C7E">
      <w:pPr>
        <w:spacing w:line="360" w:lineRule="auto"/>
        <w:ind w:firstLine="708"/>
        <w:jc w:val="both"/>
        <w:rPr>
          <w:rFonts w:ascii="Arial Narrow" w:hAnsi="Arial Narrow"/>
          <w:sz w:val="28"/>
          <w:szCs w:val="28"/>
          <w:lang w:val="es-CO"/>
        </w:rPr>
      </w:pPr>
      <w:r>
        <w:rPr>
          <w:rFonts w:ascii="Arial Narrow" w:hAnsi="Arial Narrow"/>
          <w:sz w:val="28"/>
          <w:szCs w:val="28"/>
          <w:lang w:val="es-CO"/>
        </w:rPr>
        <w:lastRenderedPageBreak/>
        <w:t>Lo expuesto a propósito de las voces del artículo 9 del Acuerdo 049 aprobado por el Decreto 0758 de 1990, compendio normativo que aplica al caso, como puente que le tiende, directamente, la condición más beneficiosa de que se viene tratando. Reza el comentado artículo 9 del Acuerdo 049 de 1990:</w:t>
      </w:r>
    </w:p>
    <w:p w:rsidR="00EB2C7E" w:rsidRPr="00EB2C7E" w:rsidRDefault="00EB2C7E" w:rsidP="00EB2C7E">
      <w:pPr>
        <w:pStyle w:val="Sinespaciado"/>
      </w:pPr>
    </w:p>
    <w:p w:rsidR="00EB2C7E" w:rsidRDefault="00EB2C7E" w:rsidP="00EB2C7E">
      <w:pPr>
        <w:ind w:firstLine="708"/>
        <w:jc w:val="both"/>
        <w:rPr>
          <w:rFonts w:ascii="Arial Narrow" w:hAnsi="Arial Narrow"/>
          <w:i/>
          <w:sz w:val="28"/>
          <w:szCs w:val="28"/>
        </w:rPr>
      </w:pPr>
      <w:r>
        <w:rPr>
          <w:rFonts w:ascii="Arial Narrow" w:hAnsi="Arial Narrow"/>
          <w:i/>
          <w:sz w:val="28"/>
          <w:szCs w:val="28"/>
        </w:rPr>
        <w:t>“</w:t>
      </w:r>
      <w:r w:rsidRPr="00EB2C7E">
        <w:rPr>
          <w:rFonts w:ascii="Arial Narrow" w:hAnsi="Arial Narrow"/>
          <w:i/>
          <w:sz w:val="28"/>
          <w:szCs w:val="28"/>
        </w:rPr>
        <w:t>El asegurado que al momento de invalidarse no tuviere el número de semanas exigidas en el literal b) del artículo 6o. del presente Acuerdo, tendrá derecho en sustitución de la pensión de invalidez, a una indemnización equivalente a una mensualidad de la pensión que le habría correspondido, por cada veinticinco (25) semanas de cotización acreditadas. Igual indemnización se otorgará al asegurado que sin tener derecho a la pensión de vejez, se invalide después de alcanzar las edades que se señalan en este Reglamento para adquirir el derecho a esta pensión. En uno y otro caso será requisito, que el interesado tenga acreditadas no menos de cien (100) semanas de cotización, veinticinco (25) de las cuales deben corresponder al año anterior a la</w:t>
      </w:r>
      <w:r>
        <w:rPr>
          <w:rFonts w:ascii="Arial Narrow" w:hAnsi="Arial Narrow"/>
          <w:i/>
          <w:sz w:val="28"/>
          <w:szCs w:val="28"/>
        </w:rPr>
        <w:t xml:space="preserve"> estructuración de la invalidez”</w:t>
      </w:r>
    </w:p>
    <w:p w:rsidR="00EB2C7E" w:rsidRDefault="00EB2C7E" w:rsidP="00083280">
      <w:pPr>
        <w:spacing w:line="360" w:lineRule="auto"/>
        <w:ind w:firstLine="708"/>
        <w:jc w:val="both"/>
        <w:rPr>
          <w:rFonts w:ascii="Arial Narrow" w:hAnsi="Arial Narrow"/>
          <w:i/>
          <w:sz w:val="28"/>
          <w:szCs w:val="28"/>
        </w:rPr>
      </w:pPr>
    </w:p>
    <w:p w:rsidR="00EB2C7E" w:rsidRDefault="00EB2C7E" w:rsidP="00083280">
      <w:pPr>
        <w:spacing w:line="360" w:lineRule="auto"/>
        <w:ind w:firstLine="708"/>
        <w:jc w:val="both"/>
        <w:rPr>
          <w:rFonts w:ascii="Arial Narrow" w:hAnsi="Arial Narrow"/>
          <w:sz w:val="28"/>
          <w:szCs w:val="28"/>
          <w:lang w:val="es-CO"/>
        </w:rPr>
      </w:pPr>
      <w:r>
        <w:rPr>
          <w:rFonts w:ascii="Arial Narrow" w:hAnsi="Arial Narrow"/>
          <w:sz w:val="28"/>
          <w:szCs w:val="28"/>
          <w:lang w:val="es-CO"/>
        </w:rPr>
        <w:t>No se trata en este evento de pregonar que en todos los casos que cualquier afiliado a los riesgos de vejez, invalidez y muerte, pierda el derecho a devengar la pensión de invalidez, por el sólo hecho de estructurarse la fecha de la invalidez, con posterioridad al cumplimento de la edad: 57 años la mujer, 62 el hombre, como tampoco, por haber recibido la indemnización sustitutiva de vejez, como qui</w:t>
      </w:r>
      <w:r w:rsidR="00083280">
        <w:rPr>
          <w:rFonts w:ascii="Arial Narrow" w:hAnsi="Arial Narrow"/>
          <w:sz w:val="28"/>
          <w:szCs w:val="28"/>
          <w:lang w:val="es-CO"/>
        </w:rPr>
        <w:t xml:space="preserve">era que esto </w:t>
      </w:r>
      <w:r>
        <w:rPr>
          <w:rFonts w:ascii="Arial Narrow" w:hAnsi="Arial Narrow"/>
          <w:sz w:val="28"/>
          <w:szCs w:val="28"/>
          <w:lang w:val="es-CO"/>
        </w:rPr>
        <w:t>s</w:t>
      </w:r>
      <w:r w:rsidR="00083280">
        <w:rPr>
          <w:rFonts w:ascii="Arial Narrow" w:hAnsi="Arial Narrow"/>
          <w:sz w:val="28"/>
          <w:szCs w:val="28"/>
          <w:lang w:val="es-CO"/>
        </w:rPr>
        <w:t>ó</w:t>
      </w:r>
      <w:r>
        <w:rPr>
          <w:rFonts w:ascii="Arial Narrow" w:hAnsi="Arial Narrow"/>
          <w:sz w:val="28"/>
          <w:szCs w:val="28"/>
          <w:lang w:val="es-CO"/>
        </w:rPr>
        <w:t>lo ocurre cuando de</w:t>
      </w:r>
      <w:r w:rsidR="00083280">
        <w:rPr>
          <w:rFonts w:ascii="Arial Narrow" w:hAnsi="Arial Narrow"/>
          <w:sz w:val="28"/>
          <w:szCs w:val="28"/>
          <w:lang w:val="es-CO"/>
        </w:rPr>
        <w:t>be</w:t>
      </w:r>
      <w:r>
        <w:rPr>
          <w:rFonts w:ascii="Arial Narrow" w:hAnsi="Arial Narrow"/>
          <w:sz w:val="28"/>
          <w:szCs w:val="28"/>
          <w:lang w:val="es-CO"/>
        </w:rPr>
        <w:t xml:space="preserve"> aplicarse, directamente, el Acuerdo 049 de 1990 aprobado por el Decreto 0758 de hogaño se trata, cual sucede en esta </w:t>
      </w:r>
      <w:proofErr w:type="spellStart"/>
      <w:r>
        <w:rPr>
          <w:rFonts w:ascii="Arial Narrow" w:hAnsi="Arial Narrow"/>
          <w:sz w:val="28"/>
          <w:szCs w:val="28"/>
          <w:lang w:val="es-CO"/>
        </w:rPr>
        <w:t>litis</w:t>
      </w:r>
      <w:proofErr w:type="spellEnd"/>
      <w:r>
        <w:rPr>
          <w:rFonts w:ascii="Arial Narrow" w:hAnsi="Arial Narrow"/>
          <w:sz w:val="28"/>
          <w:szCs w:val="28"/>
          <w:lang w:val="es-CO"/>
        </w:rPr>
        <w:t>, como quiera que en la órbita de aplicación de la Ley 100 de 1993, como en las Leyes que la modificaron (Leyes 797 y 860 de 2003), tal limitación no opera tal cual co</w:t>
      </w:r>
      <w:r w:rsidR="00083280">
        <w:rPr>
          <w:rFonts w:ascii="Arial Narrow" w:hAnsi="Arial Narrow"/>
          <w:sz w:val="28"/>
          <w:szCs w:val="28"/>
          <w:lang w:val="es-CO"/>
        </w:rPr>
        <w:t>mo con</w:t>
      </w:r>
      <w:r>
        <w:rPr>
          <w:rFonts w:ascii="Arial Narrow" w:hAnsi="Arial Narrow"/>
          <w:sz w:val="28"/>
          <w:szCs w:val="28"/>
          <w:lang w:val="es-CO"/>
        </w:rPr>
        <w:t xml:space="preserve"> insistencia lo ha pregonado el máximo órgano de la especialidad laboral, tanto en procesos ordinarios, entre otros en sentencias de 20 de noviembre de 2007, 27 de agosto de 2008, 25 de marzo de 2009, y 22 de mayo de 2013, radicaciones: 30123, 33885, 34014 y 46315, como en sentencias de tutela STL4333 y 12714 de 22 de marzo y 15 de agosto de 2017, radicaciones: 46506 y 47756 respectivamente.</w:t>
      </w:r>
    </w:p>
    <w:p w:rsidR="00EB2C7E" w:rsidRDefault="00EB2C7E" w:rsidP="00083280">
      <w:pPr>
        <w:spacing w:line="360" w:lineRule="auto"/>
        <w:ind w:firstLine="708"/>
        <w:jc w:val="both"/>
        <w:rPr>
          <w:rFonts w:ascii="Arial Narrow" w:hAnsi="Arial Narrow"/>
          <w:sz w:val="28"/>
          <w:szCs w:val="28"/>
          <w:lang w:val="es-CO"/>
        </w:rPr>
      </w:pPr>
      <w:r>
        <w:rPr>
          <w:rFonts w:ascii="Arial Narrow" w:hAnsi="Arial Narrow"/>
          <w:sz w:val="28"/>
          <w:szCs w:val="28"/>
          <w:lang w:val="es-CO"/>
        </w:rPr>
        <w:t>La distinción está entonces, que el punto tiene la solución concreta siempre que el operador se ubique en el ámbito del Acuerdo 049 de 1990, situación que no es extensiva para la legislación posterior, ni siquiera por la puerta que abre el inciso 2 del artículo 31 de la Ley 100 de 1993, en la medida en que para el alto Tribunal, este estatuto y el que lo reformó, Ley 797 de 2003, art. 17 establecen que el asegurado está facultado para seguir cotizando.</w:t>
      </w:r>
    </w:p>
    <w:p w:rsidR="00EB2C7E" w:rsidRDefault="00EB2C7E" w:rsidP="00083280">
      <w:pPr>
        <w:pStyle w:val="Sinespaciado"/>
        <w:rPr>
          <w:lang w:val="es-CO"/>
        </w:rPr>
      </w:pPr>
    </w:p>
    <w:p w:rsidR="00083280" w:rsidRDefault="00083280" w:rsidP="00083280">
      <w:pPr>
        <w:spacing w:line="360" w:lineRule="auto"/>
        <w:ind w:firstLine="708"/>
        <w:jc w:val="both"/>
        <w:rPr>
          <w:rFonts w:ascii="Arial Narrow" w:hAnsi="Arial Narrow"/>
          <w:sz w:val="28"/>
          <w:szCs w:val="28"/>
          <w:lang w:val="es-CO"/>
        </w:rPr>
      </w:pPr>
      <w:r>
        <w:rPr>
          <w:rFonts w:ascii="Arial Narrow" w:hAnsi="Arial Narrow"/>
          <w:sz w:val="28"/>
          <w:szCs w:val="28"/>
          <w:lang w:val="es-CO"/>
        </w:rPr>
        <w:t>De tal suerte que la restricción que trae el artículo 9 del Acuerdo 049 aprobado por el Decreto 758 de 1990, sólo opera para los eventos gobernados por esa disposición, sin que su legalidad se haya puesto en duda, por los órganos competentes: Consejo de Estado o Corte Constitucional, puesto que ciertamente, su aplicación por fuera de esos estrechos límites, como lo pregona el órgano de cierre de la especialidad laboral:</w:t>
      </w:r>
    </w:p>
    <w:p w:rsidR="00083280" w:rsidRDefault="00083280" w:rsidP="00083280">
      <w:pPr>
        <w:pStyle w:val="Sinespaciado"/>
        <w:rPr>
          <w:lang w:val="es-CO"/>
        </w:rPr>
      </w:pPr>
    </w:p>
    <w:p w:rsidR="00083280" w:rsidRPr="006E287C" w:rsidRDefault="00083280" w:rsidP="00083280">
      <w:pPr>
        <w:ind w:firstLine="708"/>
        <w:jc w:val="both"/>
        <w:rPr>
          <w:rFonts w:ascii="Arial Narrow" w:hAnsi="Arial Narrow"/>
          <w:i/>
          <w:sz w:val="28"/>
          <w:szCs w:val="28"/>
          <w:lang w:val="es-CO"/>
        </w:rPr>
      </w:pPr>
      <w:r>
        <w:rPr>
          <w:rFonts w:ascii="Arial Narrow" w:hAnsi="Arial Narrow"/>
          <w:sz w:val="28"/>
          <w:szCs w:val="28"/>
          <w:lang w:val="es-CO"/>
        </w:rPr>
        <w:t>“</w:t>
      </w:r>
      <w:r w:rsidRPr="006E287C">
        <w:rPr>
          <w:rFonts w:ascii="Arial Narrow" w:hAnsi="Arial Narrow"/>
          <w:i/>
          <w:sz w:val="28"/>
          <w:szCs w:val="28"/>
          <w:lang w:val="es-CO"/>
        </w:rPr>
        <w:t>Resulta contrario a los más altos postulados de justicia, que una persona que reúne los requisitos para tener derecho a la pensión de invalidez, con fundamento en las normativas que gobiernan la situación para el momento en que se estructuró su condición de inválida, pierda tal beneficio económico por la sola circunstancia de que otrora se le negó la pensión de vejez, por no haber cumplido los requisitos de semanas cotizadas, pues se trata de dos prestaciones completamente diferentes, que amparan diversos ries</w:t>
      </w:r>
      <w:r>
        <w:rPr>
          <w:rFonts w:ascii="Arial Narrow" w:hAnsi="Arial Narrow"/>
          <w:i/>
          <w:sz w:val="28"/>
          <w:szCs w:val="28"/>
          <w:lang w:val="es-CO"/>
        </w:rPr>
        <w:t>gos, y con exigencias disímiles…</w:t>
      </w:r>
    </w:p>
    <w:p w:rsidR="00083280" w:rsidRDefault="00083280" w:rsidP="00083280">
      <w:pPr>
        <w:ind w:firstLine="708"/>
        <w:jc w:val="both"/>
        <w:rPr>
          <w:rFonts w:ascii="Arial Narrow" w:hAnsi="Arial Narrow"/>
          <w:i/>
          <w:sz w:val="28"/>
          <w:szCs w:val="28"/>
          <w:lang w:val="es-CO"/>
        </w:rPr>
      </w:pPr>
    </w:p>
    <w:p w:rsidR="00083280" w:rsidRDefault="00083280" w:rsidP="00083280">
      <w:pPr>
        <w:ind w:firstLine="708"/>
        <w:jc w:val="both"/>
        <w:rPr>
          <w:rFonts w:ascii="Arial Narrow" w:hAnsi="Arial Narrow"/>
          <w:sz w:val="28"/>
          <w:szCs w:val="28"/>
          <w:lang w:val="es-CO"/>
        </w:rPr>
      </w:pPr>
      <w:r w:rsidRPr="006E287C">
        <w:rPr>
          <w:rFonts w:ascii="Arial Narrow" w:hAnsi="Arial Narrow"/>
          <w:i/>
          <w:sz w:val="28"/>
          <w:szCs w:val="28"/>
          <w:lang w:val="es-CO"/>
        </w:rPr>
        <w:t>En verdad, una exégesis restrictiva en ese sentido, significaría desconocer la no querida probabilidad de que quien recibe una indemnización sustitutiva de la pensión de vejez, no pueda invalidarse más adelante, sumándole la desprotección del Sistema frente a ese infortunio que, no puede ignorarse, le impide al inválido procurar su propio sustento, ante la pérdida de su capacidad laboral en el porcentaje previsto en la Ley</w:t>
      </w:r>
      <w:r>
        <w:rPr>
          <w:rFonts w:ascii="Arial Narrow" w:hAnsi="Arial Narrow"/>
          <w:sz w:val="28"/>
          <w:szCs w:val="28"/>
          <w:lang w:val="es-CO"/>
        </w:rPr>
        <w:t>” (sentencia CSJ SL, 22 de mayo de 2013, radicación 46314).</w:t>
      </w:r>
    </w:p>
    <w:p w:rsidR="00EB2C7E" w:rsidRDefault="00EB2C7E" w:rsidP="00083280">
      <w:pPr>
        <w:pStyle w:val="Sinespaciado"/>
        <w:spacing w:line="360" w:lineRule="auto"/>
      </w:pPr>
    </w:p>
    <w:p w:rsidR="00083280" w:rsidRDefault="00083280" w:rsidP="00083280">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Es así entonces, que tal restricción en materia de pensión de invalidez solo es de recibo en los términos arriba señalados, que encaja en el sub-lite, en la medida en que el asunto fue regulado de manera distinta, a como lo prevé actualmente la Ley 100 de 1993 con sus modificaciones ulteriores, </w:t>
      </w:r>
      <w:r w:rsidR="00915BA2">
        <w:rPr>
          <w:rFonts w:ascii="Arial Narrow" w:hAnsi="Arial Narrow"/>
          <w:sz w:val="28"/>
          <w:szCs w:val="28"/>
          <w:lang w:val="es-CO"/>
        </w:rPr>
        <w:t xml:space="preserve">las cuales no se aplican </w:t>
      </w:r>
      <w:r>
        <w:rPr>
          <w:rFonts w:ascii="Arial Narrow" w:hAnsi="Arial Narrow"/>
          <w:sz w:val="28"/>
          <w:szCs w:val="28"/>
          <w:lang w:val="es-CO"/>
        </w:rPr>
        <w:t>al actor</w:t>
      </w:r>
      <w:r w:rsidR="00A20DA2">
        <w:rPr>
          <w:rFonts w:ascii="Arial Narrow" w:hAnsi="Arial Narrow"/>
          <w:sz w:val="28"/>
          <w:szCs w:val="28"/>
          <w:lang w:val="es-CO"/>
        </w:rPr>
        <w:t xml:space="preserve">, más aun </w:t>
      </w:r>
      <w:r w:rsidR="00915BA2">
        <w:rPr>
          <w:rFonts w:ascii="Arial Narrow" w:hAnsi="Arial Narrow"/>
          <w:sz w:val="28"/>
          <w:szCs w:val="28"/>
          <w:lang w:val="es-CO"/>
        </w:rPr>
        <w:t xml:space="preserve"> cuando recibió el pago de la indemnización sustitutiva de la pensión de vejez, </w:t>
      </w:r>
      <w:r w:rsidR="00A20DA2">
        <w:rPr>
          <w:rFonts w:ascii="Arial Narrow" w:hAnsi="Arial Narrow"/>
          <w:sz w:val="28"/>
          <w:szCs w:val="28"/>
          <w:lang w:val="es-CO"/>
        </w:rPr>
        <w:t xml:space="preserve">en los términos establecidos en el artículo 9 del Acuerdo 049 de 1990, </w:t>
      </w:r>
      <w:r w:rsidR="00915BA2">
        <w:rPr>
          <w:rFonts w:ascii="Arial Narrow" w:hAnsi="Arial Narrow"/>
          <w:sz w:val="28"/>
          <w:szCs w:val="28"/>
          <w:lang w:val="es-CO"/>
        </w:rPr>
        <w:t>tal</w:t>
      </w:r>
      <w:r w:rsidR="00A20DA2">
        <w:rPr>
          <w:rFonts w:ascii="Arial Narrow" w:hAnsi="Arial Narrow"/>
          <w:sz w:val="28"/>
          <w:szCs w:val="28"/>
          <w:lang w:val="es-CO"/>
        </w:rPr>
        <w:t xml:space="preserve"> y como </w:t>
      </w:r>
      <w:r w:rsidR="00915BA2">
        <w:rPr>
          <w:rFonts w:ascii="Arial Narrow" w:hAnsi="Arial Narrow"/>
          <w:sz w:val="28"/>
          <w:szCs w:val="28"/>
          <w:lang w:val="es-CO"/>
        </w:rPr>
        <w:t xml:space="preserve">se deduce de los documentos obrantes en el expediente administrativo </w:t>
      </w:r>
      <w:r w:rsidR="00A20DA2">
        <w:rPr>
          <w:rFonts w:ascii="Arial Narrow" w:hAnsi="Arial Narrow"/>
          <w:sz w:val="28"/>
          <w:szCs w:val="28"/>
          <w:lang w:val="es-CO"/>
        </w:rPr>
        <w:t xml:space="preserve">que fue </w:t>
      </w:r>
      <w:r w:rsidR="00915BA2">
        <w:rPr>
          <w:rFonts w:ascii="Arial Narrow" w:hAnsi="Arial Narrow"/>
          <w:sz w:val="28"/>
          <w:szCs w:val="28"/>
          <w:lang w:val="es-CO"/>
        </w:rPr>
        <w:t>allegado en medio magnético CD</w:t>
      </w:r>
      <w:r>
        <w:rPr>
          <w:rFonts w:ascii="Arial Narrow" w:hAnsi="Arial Narrow"/>
          <w:sz w:val="28"/>
          <w:szCs w:val="28"/>
          <w:lang w:val="es-CO"/>
        </w:rPr>
        <w:t>.</w:t>
      </w:r>
    </w:p>
    <w:p w:rsidR="00EB2C7E" w:rsidRPr="00EB2C7E" w:rsidRDefault="00EB2C7E" w:rsidP="00EB2C7E">
      <w:pPr>
        <w:ind w:firstLine="708"/>
        <w:jc w:val="both"/>
        <w:rPr>
          <w:rFonts w:ascii="Arial Narrow" w:hAnsi="Arial Narrow"/>
          <w:i/>
          <w:sz w:val="28"/>
          <w:szCs w:val="28"/>
          <w:lang w:val="es-CO"/>
        </w:rPr>
      </w:pPr>
    </w:p>
    <w:p w:rsidR="00493D05" w:rsidRDefault="00A20DA2" w:rsidP="00493D05">
      <w:pPr>
        <w:pStyle w:val="Textoindependiente32"/>
        <w:ind w:firstLine="708"/>
        <w:rPr>
          <w:rFonts w:ascii="Arial Narrow" w:hAnsi="Arial Narrow"/>
          <w:sz w:val="28"/>
          <w:szCs w:val="28"/>
        </w:rPr>
      </w:pPr>
      <w:r>
        <w:rPr>
          <w:rFonts w:ascii="Arial Narrow" w:hAnsi="Arial Narrow"/>
          <w:sz w:val="28"/>
          <w:szCs w:val="28"/>
        </w:rPr>
        <w:t xml:space="preserve">Por último, es menester advertir </w:t>
      </w:r>
      <w:r w:rsidR="00493D05">
        <w:rPr>
          <w:rFonts w:ascii="Arial Narrow" w:hAnsi="Arial Narrow"/>
          <w:sz w:val="28"/>
          <w:szCs w:val="28"/>
        </w:rPr>
        <w:t xml:space="preserve">en cuanto a la aplicación del parágrafo 2º del artículo 39 de la Ley 100 de 1993 el cual clama para quienes hubiese cotizado el 75 % de las semanas mínimas requeridas para la pensión de vejez, 25 semanas en los últimos tres años, que decir que tal supuesto tampoco lo satisface el recurrente por cuanto ningún aporte registra dentro de dicho lapso. </w:t>
      </w:r>
    </w:p>
    <w:p w:rsidR="00493D05" w:rsidRDefault="00493D05" w:rsidP="00493D05">
      <w:pPr>
        <w:pStyle w:val="Sinespaciado"/>
      </w:pPr>
    </w:p>
    <w:p w:rsidR="00493D05" w:rsidRDefault="00493D05" w:rsidP="00493D05">
      <w:pPr>
        <w:pStyle w:val="Textoindependiente32"/>
        <w:ind w:firstLine="708"/>
        <w:rPr>
          <w:rFonts w:ascii="Arial Narrow" w:hAnsi="Arial Narrow"/>
          <w:sz w:val="28"/>
          <w:szCs w:val="28"/>
        </w:rPr>
      </w:pPr>
      <w:r>
        <w:rPr>
          <w:rFonts w:ascii="Arial Narrow" w:hAnsi="Arial Narrow"/>
          <w:sz w:val="28"/>
          <w:szCs w:val="28"/>
        </w:rPr>
        <w:lastRenderedPageBreak/>
        <w:t xml:space="preserve">Por todo lo expuesto, </w:t>
      </w:r>
      <w:r w:rsidR="00A20DA2">
        <w:rPr>
          <w:rFonts w:ascii="Arial Narrow" w:hAnsi="Arial Narrow"/>
          <w:sz w:val="28"/>
          <w:szCs w:val="28"/>
        </w:rPr>
        <w:t xml:space="preserve">habrá que confirmarse </w:t>
      </w:r>
      <w:r>
        <w:rPr>
          <w:rFonts w:ascii="Arial Narrow" w:hAnsi="Arial Narrow"/>
          <w:sz w:val="28"/>
          <w:szCs w:val="28"/>
        </w:rPr>
        <w:t xml:space="preserve">la sentencia objeto de apelación.  </w:t>
      </w:r>
    </w:p>
    <w:p w:rsidR="00493D05" w:rsidRDefault="00493D05" w:rsidP="00493D05">
      <w:pPr>
        <w:pStyle w:val="Sinespaciado"/>
      </w:pPr>
    </w:p>
    <w:p w:rsidR="00493D05" w:rsidRPr="00B60255" w:rsidRDefault="00493D05" w:rsidP="00493D05">
      <w:pPr>
        <w:pStyle w:val="Textoindependiente32"/>
        <w:ind w:firstLine="708"/>
        <w:rPr>
          <w:rFonts w:ascii="Arial Narrow" w:hAnsi="Arial Narrow"/>
          <w:color w:val="FF0000"/>
          <w:sz w:val="28"/>
          <w:szCs w:val="28"/>
        </w:rPr>
      </w:pPr>
      <w:r>
        <w:rPr>
          <w:rFonts w:ascii="Arial Narrow" w:hAnsi="Arial Narrow"/>
          <w:sz w:val="28"/>
          <w:szCs w:val="28"/>
        </w:rPr>
        <w:t>Costas en esta instancia a cargo del recurrente, al no prosperar la alzada.</w:t>
      </w:r>
    </w:p>
    <w:p w:rsidR="00493D05" w:rsidRPr="00635995" w:rsidRDefault="00493D05" w:rsidP="00493D05">
      <w:pPr>
        <w:pStyle w:val="Sinespaciado"/>
      </w:pPr>
    </w:p>
    <w:p w:rsidR="00493D05" w:rsidRPr="00B23E57" w:rsidRDefault="00493D05" w:rsidP="00493D05">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w:t>
      </w:r>
      <w:r w:rsidRPr="00B23E57">
        <w:rPr>
          <w:rFonts w:ascii="Arial Narrow" w:hAnsi="Arial Narrow"/>
          <w:sz w:val="28"/>
          <w:szCs w:val="28"/>
        </w:rPr>
        <w:t xml:space="preserve">expuesto, el </w:t>
      </w:r>
      <w:r w:rsidRPr="00B23E57">
        <w:rPr>
          <w:rFonts w:ascii="Arial Narrow" w:hAnsi="Arial Narrow"/>
          <w:i/>
          <w:sz w:val="28"/>
          <w:szCs w:val="28"/>
        </w:rPr>
        <w:t>Tribunal Superior del Distrito Judicial de Pereira - Risaralda, Sala Laboral,</w:t>
      </w:r>
      <w:r w:rsidRPr="00B23E57">
        <w:rPr>
          <w:rFonts w:ascii="Arial Narrow" w:hAnsi="Arial Narrow"/>
          <w:sz w:val="28"/>
          <w:szCs w:val="28"/>
        </w:rPr>
        <w:t xml:space="preserve"> administrando justicia en nombre de la República y por autoridad de la ley,</w:t>
      </w:r>
    </w:p>
    <w:p w:rsidR="00493D05" w:rsidRPr="00A01CA8" w:rsidRDefault="00493D05" w:rsidP="00493D05">
      <w:pPr>
        <w:pStyle w:val="Sinespaciado"/>
      </w:pPr>
    </w:p>
    <w:p w:rsidR="00493D05" w:rsidRPr="00B23E57" w:rsidRDefault="00493D05" w:rsidP="00493D05">
      <w:pPr>
        <w:spacing w:line="360" w:lineRule="auto"/>
        <w:jc w:val="center"/>
        <w:rPr>
          <w:rFonts w:ascii="Arial Narrow" w:hAnsi="Arial Narrow" w:cs="Arial"/>
          <w:i/>
          <w:sz w:val="28"/>
          <w:szCs w:val="28"/>
        </w:rPr>
      </w:pPr>
      <w:r w:rsidRPr="00B23E57">
        <w:rPr>
          <w:rFonts w:ascii="Arial Narrow" w:hAnsi="Arial Narrow" w:cs="Arial"/>
          <w:i/>
          <w:sz w:val="28"/>
          <w:szCs w:val="28"/>
        </w:rPr>
        <w:t>FALLA</w:t>
      </w:r>
    </w:p>
    <w:p w:rsidR="00493D05" w:rsidRPr="00B23E57" w:rsidRDefault="00493D05" w:rsidP="00493D05">
      <w:pPr>
        <w:pStyle w:val="Sinespaciado"/>
        <w:rPr>
          <w:i/>
        </w:rPr>
      </w:pPr>
      <w:r w:rsidRPr="00B23E57">
        <w:rPr>
          <w:i/>
        </w:rPr>
        <w:tab/>
      </w:r>
    </w:p>
    <w:p w:rsidR="00493D05" w:rsidRPr="0051796D" w:rsidRDefault="00493D05" w:rsidP="00493D05">
      <w:pPr>
        <w:pStyle w:val="Prrafodelista"/>
        <w:numPr>
          <w:ilvl w:val="0"/>
          <w:numId w:val="1"/>
        </w:numPr>
        <w:tabs>
          <w:tab w:val="left" w:pos="1134"/>
        </w:tabs>
        <w:spacing w:line="360" w:lineRule="auto"/>
        <w:ind w:left="142" w:firstLine="567"/>
        <w:jc w:val="both"/>
        <w:rPr>
          <w:shd w:val="clear" w:color="auto" w:fill="FFFFFF"/>
        </w:rPr>
      </w:pPr>
      <w:r>
        <w:rPr>
          <w:rFonts w:ascii="Arial Narrow" w:hAnsi="Arial Narrow" w:cs="Arial"/>
          <w:i/>
          <w:spacing w:val="-2"/>
          <w:sz w:val="28"/>
          <w:szCs w:val="28"/>
        </w:rPr>
        <w:t xml:space="preserve">Confirmar </w:t>
      </w:r>
      <w:r w:rsidRPr="00F02CCA">
        <w:rPr>
          <w:rFonts w:ascii="Arial Narrow" w:hAnsi="Arial Narrow" w:cs="Arial"/>
          <w:spacing w:val="-2"/>
          <w:sz w:val="28"/>
          <w:szCs w:val="28"/>
        </w:rPr>
        <w:t>la sentencia proferida el 2</w:t>
      </w:r>
      <w:r w:rsidR="0051796D">
        <w:rPr>
          <w:rFonts w:ascii="Arial Narrow" w:hAnsi="Arial Narrow" w:cs="Arial"/>
          <w:spacing w:val="-2"/>
          <w:sz w:val="28"/>
          <w:szCs w:val="28"/>
        </w:rPr>
        <w:t>9 de noviembre de 2016</w:t>
      </w:r>
      <w:r>
        <w:rPr>
          <w:rFonts w:ascii="Arial Narrow" w:hAnsi="Arial Narrow" w:cs="Arial"/>
          <w:i/>
          <w:spacing w:val="-2"/>
          <w:sz w:val="28"/>
          <w:szCs w:val="28"/>
        </w:rPr>
        <w:t xml:space="preserve"> </w:t>
      </w:r>
      <w:r w:rsidRPr="00F02CCA">
        <w:rPr>
          <w:rFonts w:ascii="Arial Narrow" w:hAnsi="Arial Narrow" w:cs="Arial"/>
          <w:spacing w:val="-2"/>
          <w:sz w:val="28"/>
          <w:szCs w:val="28"/>
        </w:rPr>
        <w:t>p</w:t>
      </w:r>
      <w:r w:rsidRPr="00F02CCA">
        <w:rPr>
          <w:rFonts w:ascii="Arial Narrow" w:hAnsi="Arial Narrow" w:cs="Arial"/>
          <w:sz w:val="28"/>
          <w:szCs w:val="28"/>
        </w:rPr>
        <w:t xml:space="preserve">or </w:t>
      </w:r>
      <w:r w:rsidRPr="007A5690">
        <w:rPr>
          <w:rFonts w:ascii="Arial Narrow" w:hAnsi="Arial Narrow" w:cs="Arial"/>
          <w:sz w:val="28"/>
          <w:szCs w:val="28"/>
        </w:rPr>
        <w:t xml:space="preserve">el Juzgado </w:t>
      </w:r>
      <w:r w:rsidR="0051796D">
        <w:rPr>
          <w:rFonts w:ascii="Arial Narrow" w:hAnsi="Arial Narrow" w:cs="Arial"/>
          <w:sz w:val="28"/>
          <w:szCs w:val="28"/>
        </w:rPr>
        <w:t xml:space="preserve">Cuarto </w:t>
      </w:r>
      <w:r w:rsidRPr="007A5690">
        <w:rPr>
          <w:rFonts w:ascii="Arial Narrow" w:hAnsi="Arial Narrow" w:cs="Arial"/>
          <w:sz w:val="28"/>
          <w:szCs w:val="28"/>
        </w:rPr>
        <w:t xml:space="preserve">Laboral del Circuito de Pereira, dentro del proceso ordinario laboral </w:t>
      </w:r>
      <w:r>
        <w:rPr>
          <w:rFonts w:ascii="Arial Narrow" w:hAnsi="Arial Narrow" w:cs="Arial"/>
          <w:sz w:val="28"/>
          <w:szCs w:val="28"/>
        </w:rPr>
        <w:t xml:space="preserve">de la referencia.  </w:t>
      </w:r>
    </w:p>
    <w:p w:rsidR="0051796D" w:rsidRPr="00F02CCA" w:rsidRDefault="0051796D" w:rsidP="0051796D">
      <w:pPr>
        <w:pStyle w:val="Sinespaciado"/>
        <w:rPr>
          <w:shd w:val="clear" w:color="auto" w:fill="FFFFFF"/>
        </w:rPr>
      </w:pPr>
    </w:p>
    <w:p w:rsidR="00493D05" w:rsidRPr="00F02CCA" w:rsidRDefault="00493D05" w:rsidP="00493D05">
      <w:pPr>
        <w:pStyle w:val="Prrafodelista"/>
        <w:numPr>
          <w:ilvl w:val="0"/>
          <w:numId w:val="1"/>
        </w:numPr>
        <w:tabs>
          <w:tab w:val="left" w:pos="1134"/>
        </w:tabs>
        <w:spacing w:line="360" w:lineRule="auto"/>
        <w:ind w:left="0" w:firstLine="900"/>
        <w:jc w:val="both"/>
        <w:rPr>
          <w:rFonts w:ascii="Arial Narrow" w:hAnsi="Arial Narrow" w:cs="Arial"/>
          <w:spacing w:val="-2"/>
          <w:sz w:val="28"/>
          <w:szCs w:val="28"/>
        </w:rPr>
      </w:pPr>
      <w:r w:rsidRPr="00F02CCA">
        <w:rPr>
          <w:rFonts w:ascii="Arial Narrow" w:hAnsi="Arial Narrow" w:cs="Arial"/>
          <w:i/>
          <w:spacing w:val="-2"/>
          <w:sz w:val="28"/>
          <w:szCs w:val="28"/>
        </w:rPr>
        <w:t>C</w:t>
      </w:r>
      <w:r w:rsidRPr="00F02CCA">
        <w:rPr>
          <w:rFonts w:ascii="Arial Narrow" w:hAnsi="Arial Narrow"/>
          <w:sz w:val="28"/>
          <w:szCs w:val="28"/>
        </w:rPr>
        <w:t>ostas en esta instancia a cargo del recurrente</w:t>
      </w:r>
      <w:r>
        <w:rPr>
          <w:rFonts w:ascii="Arial Narrow" w:hAnsi="Arial Narrow"/>
          <w:sz w:val="28"/>
          <w:szCs w:val="28"/>
        </w:rPr>
        <w:t>.</w:t>
      </w:r>
    </w:p>
    <w:p w:rsidR="00493D05" w:rsidRDefault="00493D05" w:rsidP="00493D05">
      <w:pPr>
        <w:pStyle w:val="Sinespaciado"/>
      </w:pPr>
    </w:p>
    <w:p w:rsidR="00493D05" w:rsidRPr="00F02CCA" w:rsidRDefault="00493D05" w:rsidP="00493D05">
      <w:pPr>
        <w:tabs>
          <w:tab w:val="left" w:pos="1134"/>
        </w:tabs>
        <w:spacing w:line="360" w:lineRule="auto"/>
        <w:jc w:val="both"/>
        <w:rPr>
          <w:rFonts w:ascii="Arial Narrow" w:hAnsi="Arial Narrow" w:cs="Arial"/>
          <w:spacing w:val="-2"/>
          <w:sz w:val="28"/>
          <w:szCs w:val="28"/>
        </w:rPr>
      </w:pPr>
      <w:r w:rsidRPr="00F02CCA">
        <w:rPr>
          <w:rFonts w:ascii="Arial Narrow" w:hAnsi="Arial Narrow"/>
          <w:sz w:val="28"/>
          <w:szCs w:val="28"/>
        </w:rPr>
        <w:t xml:space="preserve"> </w:t>
      </w:r>
      <w:r w:rsidRPr="00F02CCA">
        <w:rPr>
          <w:rFonts w:ascii="Arial Narrow" w:hAnsi="Arial Narrow" w:cs="Microsoft Sans Serif"/>
          <w:bCs/>
          <w:iCs/>
          <w:sz w:val="28"/>
          <w:szCs w:val="28"/>
          <w:lang w:val="es-ES"/>
        </w:rPr>
        <w:t xml:space="preserve">La anterior decisión queda notificada </w:t>
      </w:r>
      <w:r w:rsidRPr="00F02CCA">
        <w:rPr>
          <w:rFonts w:ascii="Arial Narrow" w:hAnsi="Arial Narrow" w:cs="Microsoft Sans Serif"/>
          <w:bCs/>
          <w:i/>
          <w:iCs/>
          <w:sz w:val="28"/>
          <w:szCs w:val="28"/>
          <w:lang w:val="es-ES"/>
        </w:rPr>
        <w:t>en estrados.</w:t>
      </w:r>
    </w:p>
    <w:p w:rsidR="00493D05" w:rsidRPr="00B23E57" w:rsidRDefault="00493D05" w:rsidP="00493D05">
      <w:pPr>
        <w:ind w:firstLine="900"/>
        <w:jc w:val="center"/>
        <w:rPr>
          <w:rFonts w:ascii="Arial Narrow" w:hAnsi="Arial Narrow" w:cs="Microsoft Sans Serif"/>
          <w:bCs/>
          <w:iCs/>
          <w:sz w:val="28"/>
          <w:szCs w:val="28"/>
          <w:lang w:val="es-ES"/>
        </w:rPr>
      </w:pPr>
    </w:p>
    <w:p w:rsidR="00493D05" w:rsidRPr="00B23E57" w:rsidRDefault="00493D05" w:rsidP="00493D05">
      <w:pPr>
        <w:ind w:firstLine="900"/>
        <w:jc w:val="center"/>
        <w:rPr>
          <w:rFonts w:ascii="Arial Narrow" w:hAnsi="Arial Narrow" w:cs="Microsoft Sans Serif"/>
          <w:bCs/>
          <w:iCs/>
          <w:sz w:val="28"/>
          <w:szCs w:val="28"/>
          <w:lang w:val="es-ES"/>
        </w:rPr>
      </w:pPr>
    </w:p>
    <w:p w:rsidR="00493D05" w:rsidRPr="00B23E57" w:rsidRDefault="00493D05" w:rsidP="00493D05">
      <w:pPr>
        <w:ind w:firstLine="900"/>
        <w:jc w:val="center"/>
        <w:rPr>
          <w:rFonts w:ascii="Arial Narrow" w:hAnsi="Arial Narrow" w:cs="Microsoft Sans Serif"/>
          <w:bCs/>
          <w:iCs/>
          <w:sz w:val="28"/>
          <w:szCs w:val="28"/>
          <w:lang w:val="es-ES"/>
        </w:rPr>
      </w:pPr>
    </w:p>
    <w:p w:rsidR="00493D05" w:rsidRPr="00B23E57" w:rsidRDefault="00493D05" w:rsidP="00493D05">
      <w:pPr>
        <w:ind w:firstLine="900"/>
        <w:jc w:val="center"/>
        <w:rPr>
          <w:rFonts w:ascii="Arial Narrow" w:hAnsi="Arial Narrow" w:cs="Microsoft Sans Serif"/>
          <w:bCs/>
          <w:iCs/>
          <w:sz w:val="28"/>
          <w:szCs w:val="28"/>
          <w:lang w:val="es-ES"/>
        </w:rPr>
      </w:pPr>
    </w:p>
    <w:p w:rsidR="00493D05" w:rsidRPr="00B23E57" w:rsidRDefault="00493D05" w:rsidP="00493D05">
      <w:pPr>
        <w:ind w:firstLine="900"/>
        <w:jc w:val="center"/>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FRANCISCO JAVIER TAMAYO TABARES</w:t>
      </w:r>
    </w:p>
    <w:p w:rsidR="00493D05" w:rsidRPr="00B23E57" w:rsidRDefault="00493D05" w:rsidP="00493D05">
      <w:pPr>
        <w:ind w:firstLine="900"/>
        <w:jc w:val="center"/>
        <w:rPr>
          <w:rFonts w:ascii="Arial Narrow" w:hAnsi="Arial Narrow" w:cs="Microsoft Sans Serif"/>
          <w:sz w:val="28"/>
          <w:szCs w:val="28"/>
          <w:lang w:val="es-ES"/>
        </w:rPr>
      </w:pPr>
      <w:r w:rsidRPr="00B23E57">
        <w:rPr>
          <w:rFonts w:ascii="Arial Narrow" w:hAnsi="Arial Narrow" w:cs="Microsoft Sans Serif"/>
          <w:sz w:val="28"/>
          <w:szCs w:val="28"/>
          <w:lang w:val="es-ES"/>
        </w:rPr>
        <w:t xml:space="preserve">Magistrado Ponente </w:t>
      </w:r>
    </w:p>
    <w:p w:rsidR="00493D05" w:rsidRPr="00B23E57" w:rsidRDefault="00493D05" w:rsidP="00493D05">
      <w:pPr>
        <w:jc w:val="both"/>
        <w:rPr>
          <w:rFonts w:ascii="Arial Narrow" w:hAnsi="Arial Narrow" w:cs="Microsoft Sans Serif"/>
          <w:bCs/>
          <w:iCs/>
          <w:sz w:val="28"/>
          <w:szCs w:val="28"/>
          <w:lang w:val="es-ES"/>
        </w:rPr>
      </w:pPr>
    </w:p>
    <w:p w:rsidR="00493D05" w:rsidRPr="00B23E57" w:rsidRDefault="00493D05" w:rsidP="00493D05">
      <w:pPr>
        <w:jc w:val="both"/>
        <w:rPr>
          <w:rFonts w:ascii="Arial Narrow" w:hAnsi="Arial Narrow" w:cs="Microsoft Sans Serif"/>
          <w:bCs/>
          <w:iCs/>
          <w:sz w:val="28"/>
          <w:szCs w:val="28"/>
          <w:lang w:val="es-ES"/>
        </w:rPr>
      </w:pPr>
    </w:p>
    <w:p w:rsidR="00493D05" w:rsidRPr="00B23E57" w:rsidRDefault="00493D05" w:rsidP="00493D05">
      <w:pPr>
        <w:jc w:val="both"/>
        <w:rPr>
          <w:rFonts w:ascii="Arial Narrow" w:hAnsi="Arial Narrow" w:cs="Microsoft Sans Serif"/>
          <w:bCs/>
          <w:iCs/>
          <w:sz w:val="28"/>
          <w:szCs w:val="28"/>
          <w:lang w:val="es-ES"/>
        </w:rPr>
      </w:pPr>
    </w:p>
    <w:p w:rsidR="00493D05" w:rsidRPr="00B23E57" w:rsidRDefault="00493D05" w:rsidP="00493D05">
      <w:pPr>
        <w:jc w:val="both"/>
        <w:rPr>
          <w:rFonts w:ascii="Arial Narrow" w:hAnsi="Arial Narrow" w:cs="Microsoft Sans Serif"/>
          <w:bCs/>
          <w:iCs/>
          <w:sz w:val="28"/>
          <w:szCs w:val="28"/>
          <w:lang w:val="es-ES"/>
        </w:rPr>
      </w:pPr>
    </w:p>
    <w:p w:rsidR="00493D05" w:rsidRPr="00B23E57" w:rsidRDefault="00493D05" w:rsidP="00493D05">
      <w:pPr>
        <w:jc w:val="both"/>
        <w:rPr>
          <w:rFonts w:ascii="Arial Narrow" w:hAnsi="Arial Narrow" w:cs="Microsoft Sans Serif"/>
          <w:sz w:val="28"/>
          <w:szCs w:val="28"/>
          <w:lang w:val="es-ES"/>
        </w:rPr>
      </w:pPr>
      <w:r w:rsidRPr="00B23E57">
        <w:rPr>
          <w:rFonts w:ascii="Arial Narrow" w:hAnsi="Arial Narrow" w:cs="Microsoft Sans Serif"/>
          <w:bCs/>
          <w:iCs/>
          <w:sz w:val="28"/>
          <w:szCs w:val="28"/>
          <w:lang w:val="es-ES"/>
        </w:rPr>
        <w:t>ANA LUCÍA CAICEDO CALDERÓN                           OLGA LUCIA HOYOS SEPÙLVEDA</w:t>
      </w:r>
      <w:r w:rsidRPr="00B23E57">
        <w:rPr>
          <w:rFonts w:ascii="Arial Narrow" w:hAnsi="Arial Narrow" w:cs="Microsoft Sans Serif"/>
          <w:sz w:val="28"/>
          <w:szCs w:val="28"/>
          <w:lang w:val="es-ES"/>
        </w:rPr>
        <w:t xml:space="preserve"> </w:t>
      </w:r>
    </w:p>
    <w:p w:rsidR="00493D05" w:rsidRPr="00B23E57" w:rsidRDefault="00493D05" w:rsidP="00493D05">
      <w:pPr>
        <w:ind w:firstLine="900"/>
        <w:jc w:val="both"/>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 xml:space="preserve">   Magistrada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w:t>
      </w:r>
      <w:proofErr w:type="spellStart"/>
      <w:r w:rsidRPr="00B23E57">
        <w:rPr>
          <w:rFonts w:ascii="Arial Narrow" w:hAnsi="Arial Narrow" w:cs="Microsoft Sans Serif"/>
          <w:bCs/>
          <w:iCs/>
          <w:sz w:val="28"/>
          <w:szCs w:val="28"/>
          <w:lang w:val="es-ES"/>
        </w:rPr>
        <w:t>Magistrada</w:t>
      </w:r>
      <w:proofErr w:type="spellEnd"/>
    </w:p>
    <w:p w:rsidR="00493D05" w:rsidRPr="00B23E57" w:rsidRDefault="00493D05" w:rsidP="00493D05">
      <w:pPr>
        <w:ind w:firstLine="900"/>
        <w:jc w:val="both"/>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 xml:space="preserve">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p>
    <w:p w:rsidR="00493D05" w:rsidRDefault="00493D05" w:rsidP="00493D05">
      <w:pPr>
        <w:spacing w:line="360" w:lineRule="auto"/>
        <w:ind w:firstLine="900"/>
        <w:jc w:val="both"/>
        <w:rPr>
          <w:rFonts w:ascii="Arial Narrow" w:hAnsi="Arial Narrow" w:cs="Microsoft Sans Serif"/>
          <w:bCs/>
          <w:iCs/>
          <w:sz w:val="28"/>
          <w:szCs w:val="28"/>
          <w:lang w:val="es-ES"/>
        </w:rPr>
      </w:pPr>
    </w:p>
    <w:p w:rsidR="00493D05" w:rsidRPr="00B23E57" w:rsidRDefault="00493D05" w:rsidP="00493D05">
      <w:pPr>
        <w:spacing w:line="360" w:lineRule="auto"/>
        <w:ind w:firstLine="900"/>
        <w:jc w:val="center"/>
        <w:rPr>
          <w:rFonts w:ascii="Arial Narrow" w:hAnsi="Arial Narrow" w:cs="Microsoft Sans Serif"/>
          <w:bCs/>
          <w:iCs/>
          <w:sz w:val="28"/>
          <w:szCs w:val="28"/>
          <w:lang w:val="es-ES"/>
        </w:rPr>
      </w:pPr>
    </w:p>
    <w:p w:rsidR="00493D05" w:rsidRPr="00B23E57" w:rsidRDefault="00493D05" w:rsidP="00493D05">
      <w:pPr>
        <w:ind w:firstLine="900"/>
        <w:jc w:val="center"/>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Alonso Gaviria Ocampo</w:t>
      </w:r>
    </w:p>
    <w:p w:rsidR="00C35CA1" w:rsidRDefault="00493D05" w:rsidP="00A20DA2">
      <w:pPr>
        <w:ind w:firstLine="900"/>
        <w:jc w:val="center"/>
      </w:pPr>
      <w:r w:rsidRPr="00B23E57">
        <w:rPr>
          <w:rFonts w:ascii="Arial Narrow" w:hAnsi="Arial Narrow" w:cs="Microsoft Sans Serif"/>
          <w:iCs/>
          <w:sz w:val="28"/>
          <w:szCs w:val="28"/>
          <w:lang w:val="es-ES"/>
        </w:rPr>
        <w:t>Secretario</w:t>
      </w:r>
    </w:p>
    <w:sectPr w:rsidR="00C35CA1" w:rsidSect="00B77952">
      <w:headerReference w:type="default" r:id="rId7"/>
      <w:footerReference w:type="even" r:id="rId8"/>
      <w:footerReference w:type="default" r:id="rId9"/>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B7" w:rsidRDefault="00AD36B7" w:rsidP="00493D05">
      <w:r>
        <w:separator/>
      </w:r>
    </w:p>
  </w:endnote>
  <w:endnote w:type="continuationSeparator" w:id="0">
    <w:p w:rsidR="00AD36B7" w:rsidRDefault="00AD36B7" w:rsidP="0049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76687E" w:rsidP="00B77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2490" w:rsidRDefault="00AD36B7" w:rsidP="00B779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76687E" w:rsidP="00B77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4A89">
      <w:rPr>
        <w:rStyle w:val="Nmerodepgina"/>
        <w:noProof/>
      </w:rPr>
      <w:t>8</w:t>
    </w:r>
    <w:r>
      <w:rPr>
        <w:rStyle w:val="Nmerodepgina"/>
      </w:rPr>
      <w:fldChar w:fldCharType="end"/>
    </w:r>
  </w:p>
  <w:p w:rsidR="002A2490" w:rsidRDefault="00AD36B7" w:rsidP="00B779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B7" w:rsidRDefault="00AD36B7" w:rsidP="00493D05">
      <w:r>
        <w:separator/>
      </w:r>
    </w:p>
  </w:footnote>
  <w:footnote w:type="continuationSeparator" w:id="0">
    <w:p w:rsidR="00AD36B7" w:rsidRDefault="00AD36B7" w:rsidP="00493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90" w:rsidRDefault="0076687E" w:rsidP="00B77952">
    <w:pPr>
      <w:jc w:val="both"/>
      <w:rPr>
        <w:rFonts w:ascii="Arial Narrow" w:hAnsi="Arial Narrow" w:cs="Arial"/>
        <w:bCs/>
        <w:sz w:val="16"/>
        <w:szCs w:val="16"/>
      </w:rPr>
    </w:pPr>
    <w:r w:rsidRPr="00FD38A6">
      <w:rPr>
        <w:rFonts w:ascii="Arial Narrow" w:hAnsi="Arial Narrow" w:cs="Arial"/>
        <w:bCs/>
        <w:sz w:val="16"/>
        <w:szCs w:val="16"/>
      </w:rPr>
      <w:t>Radicación No: 66001-31-05-00</w:t>
    </w:r>
    <w:r w:rsidR="00493D05">
      <w:rPr>
        <w:rFonts w:ascii="Arial Narrow" w:hAnsi="Arial Narrow" w:cs="Arial"/>
        <w:bCs/>
        <w:sz w:val="16"/>
        <w:szCs w:val="16"/>
      </w:rPr>
      <w:t>4-2016-00211-01</w:t>
    </w:r>
  </w:p>
  <w:p w:rsidR="002A2490" w:rsidRPr="00FD38A6" w:rsidRDefault="00493D05" w:rsidP="00B77952">
    <w:pPr>
      <w:jc w:val="both"/>
    </w:pPr>
    <w:r>
      <w:rPr>
        <w:rFonts w:ascii="Arial Narrow" w:hAnsi="Arial Narrow" w:cs="Arial"/>
        <w:bCs/>
        <w:sz w:val="16"/>
        <w:szCs w:val="16"/>
      </w:rPr>
      <w:t xml:space="preserve">Silvio Vanegas Céspedes </w:t>
    </w:r>
    <w:r w:rsidR="0076687E">
      <w:rPr>
        <w:rFonts w:ascii="Arial Narrow" w:hAnsi="Arial Narrow" w:cs="Arial"/>
        <w:bCs/>
        <w:sz w:val="16"/>
        <w:szCs w:val="16"/>
      </w:rPr>
      <w:t xml:space="preserve">vs </w:t>
    </w:r>
    <w:proofErr w:type="spellStart"/>
    <w:r w:rsidR="0076687E">
      <w:rPr>
        <w:rFonts w:ascii="Arial Narrow" w:hAnsi="Arial Narrow" w:cs="Arial"/>
        <w:bCs/>
        <w:sz w:val="16"/>
        <w:szCs w:val="16"/>
      </w:rPr>
      <w:t>C</w:t>
    </w:r>
    <w:r w:rsidR="0076687E" w:rsidRPr="00FD38A6">
      <w:rPr>
        <w:rFonts w:ascii="Arial Narrow" w:hAnsi="Arial Narrow" w:cs="Arial"/>
        <w:bCs/>
        <w:sz w:val="16"/>
        <w:szCs w:val="16"/>
      </w:rPr>
      <w:t>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82C2583"/>
    <w:multiLevelType w:val="hybridMultilevel"/>
    <w:tmpl w:val="D9841A9E"/>
    <w:lvl w:ilvl="0" w:tplc="7C043236">
      <w:start w:val="1"/>
      <w:numFmt w:val="decimal"/>
      <w:lvlText w:val="%1."/>
      <w:lvlJc w:val="left"/>
      <w:pPr>
        <w:ind w:left="3196" w:hanging="360"/>
      </w:pPr>
      <w:rPr>
        <w:rFonts w:hint="default"/>
        <w:b w:val="0"/>
        <w:i/>
        <w:color w:val="auto"/>
      </w:rPr>
    </w:lvl>
    <w:lvl w:ilvl="1" w:tplc="240A0019" w:tentative="1">
      <w:start w:val="1"/>
      <w:numFmt w:val="lowerLetter"/>
      <w:lvlText w:val="%2."/>
      <w:lvlJc w:val="left"/>
      <w:pPr>
        <w:ind w:left="3916" w:hanging="360"/>
      </w:pPr>
    </w:lvl>
    <w:lvl w:ilvl="2" w:tplc="240A001B" w:tentative="1">
      <w:start w:val="1"/>
      <w:numFmt w:val="lowerRoman"/>
      <w:lvlText w:val="%3."/>
      <w:lvlJc w:val="right"/>
      <w:pPr>
        <w:ind w:left="4636" w:hanging="180"/>
      </w:pPr>
    </w:lvl>
    <w:lvl w:ilvl="3" w:tplc="240A000F" w:tentative="1">
      <w:start w:val="1"/>
      <w:numFmt w:val="decimal"/>
      <w:lvlText w:val="%4."/>
      <w:lvlJc w:val="left"/>
      <w:pPr>
        <w:ind w:left="5356" w:hanging="360"/>
      </w:pPr>
    </w:lvl>
    <w:lvl w:ilvl="4" w:tplc="240A0019" w:tentative="1">
      <w:start w:val="1"/>
      <w:numFmt w:val="lowerLetter"/>
      <w:lvlText w:val="%5."/>
      <w:lvlJc w:val="left"/>
      <w:pPr>
        <w:ind w:left="6076" w:hanging="360"/>
      </w:pPr>
    </w:lvl>
    <w:lvl w:ilvl="5" w:tplc="240A001B" w:tentative="1">
      <w:start w:val="1"/>
      <w:numFmt w:val="lowerRoman"/>
      <w:lvlText w:val="%6."/>
      <w:lvlJc w:val="right"/>
      <w:pPr>
        <w:ind w:left="6796" w:hanging="180"/>
      </w:pPr>
    </w:lvl>
    <w:lvl w:ilvl="6" w:tplc="240A000F" w:tentative="1">
      <w:start w:val="1"/>
      <w:numFmt w:val="decimal"/>
      <w:lvlText w:val="%7."/>
      <w:lvlJc w:val="left"/>
      <w:pPr>
        <w:ind w:left="7516" w:hanging="360"/>
      </w:pPr>
    </w:lvl>
    <w:lvl w:ilvl="7" w:tplc="240A0019" w:tentative="1">
      <w:start w:val="1"/>
      <w:numFmt w:val="lowerLetter"/>
      <w:lvlText w:val="%8."/>
      <w:lvlJc w:val="left"/>
      <w:pPr>
        <w:ind w:left="8236" w:hanging="360"/>
      </w:pPr>
    </w:lvl>
    <w:lvl w:ilvl="8" w:tplc="240A001B" w:tentative="1">
      <w:start w:val="1"/>
      <w:numFmt w:val="lowerRoman"/>
      <w:lvlText w:val="%9."/>
      <w:lvlJc w:val="right"/>
      <w:pPr>
        <w:ind w:left="8956" w:hanging="180"/>
      </w:pPr>
    </w:lvl>
  </w:abstractNum>
  <w:abstractNum w:abstractNumId="2">
    <w:nsid w:val="79033AEC"/>
    <w:multiLevelType w:val="hybridMultilevel"/>
    <w:tmpl w:val="B1DA7F88"/>
    <w:lvl w:ilvl="0" w:tplc="FCCA965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05"/>
    <w:rsid w:val="00007E99"/>
    <w:rsid w:val="00083280"/>
    <w:rsid w:val="000D2E0F"/>
    <w:rsid w:val="001066BF"/>
    <w:rsid w:val="001417FE"/>
    <w:rsid w:val="00167603"/>
    <w:rsid w:val="001F7488"/>
    <w:rsid w:val="002356FE"/>
    <w:rsid w:val="002B5724"/>
    <w:rsid w:val="002B5CB6"/>
    <w:rsid w:val="00322CB6"/>
    <w:rsid w:val="0033242C"/>
    <w:rsid w:val="00484E78"/>
    <w:rsid w:val="00493D05"/>
    <w:rsid w:val="0051796D"/>
    <w:rsid w:val="00566D4E"/>
    <w:rsid w:val="0076687E"/>
    <w:rsid w:val="00797C59"/>
    <w:rsid w:val="007A61BF"/>
    <w:rsid w:val="007C44D5"/>
    <w:rsid w:val="007D5B27"/>
    <w:rsid w:val="00822F06"/>
    <w:rsid w:val="008F228D"/>
    <w:rsid w:val="00915BA2"/>
    <w:rsid w:val="00A20DA2"/>
    <w:rsid w:val="00A34188"/>
    <w:rsid w:val="00A9162C"/>
    <w:rsid w:val="00AD36B7"/>
    <w:rsid w:val="00B818B8"/>
    <w:rsid w:val="00BC4A89"/>
    <w:rsid w:val="00BE7032"/>
    <w:rsid w:val="00C35CA1"/>
    <w:rsid w:val="00C81E65"/>
    <w:rsid w:val="00CC2748"/>
    <w:rsid w:val="00D61703"/>
    <w:rsid w:val="00DA55E3"/>
    <w:rsid w:val="00E819AC"/>
    <w:rsid w:val="00EB2C7E"/>
    <w:rsid w:val="00EE63A0"/>
    <w:rsid w:val="00FC4F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757D9-8189-43DE-9C58-76EAA554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D0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93D05"/>
    <w:rPr>
      <w:rFonts w:ascii="Arial" w:hAnsi="Arial" w:cs="Arial"/>
      <w:sz w:val="24"/>
      <w:lang w:val="es-ES_tradnl" w:eastAsia="es-ES"/>
    </w:rPr>
  </w:style>
  <w:style w:type="paragraph" w:styleId="Textoindependiente">
    <w:name w:val="Body Text"/>
    <w:basedOn w:val="Normal"/>
    <w:link w:val="TextoindependienteCar"/>
    <w:rsid w:val="00493D0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93D05"/>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93D05"/>
    <w:pPr>
      <w:tabs>
        <w:tab w:val="center" w:pos="4252"/>
        <w:tab w:val="right" w:pos="8504"/>
      </w:tabs>
    </w:pPr>
  </w:style>
  <w:style w:type="character" w:customStyle="1" w:styleId="PiedepginaCar">
    <w:name w:val="Pie de página Car"/>
    <w:basedOn w:val="Fuentedeprrafopredeter"/>
    <w:link w:val="Piedepgina"/>
    <w:rsid w:val="00493D0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93D05"/>
  </w:style>
  <w:style w:type="paragraph" w:customStyle="1" w:styleId="Textoindependiente31">
    <w:name w:val="Texto independiente 31"/>
    <w:basedOn w:val="Normal"/>
    <w:rsid w:val="00493D05"/>
    <w:pPr>
      <w:spacing w:line="360" w:lineRule="auto"/>
      <w:jc w:val="both"/>
    </w:pPr>
    <w:rPr>
      <w:rFonts w:ascii="Arial" w:hAnsi="Arial"/>
    </w:rPr>
  </w:style>
  <w:style w:type="paragraph" w:customStyle="1" w:styleId="Prrafodelista2">
    <w:name w:val="Párrafo de lista2"/>
    <w:basedOn w:val="Normal"/>
    <w:rsid w:val="00493D05"/>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93D05"/>
    <w:pPr>
      <w:ind w:left="708"/>
    </w:pPr>
  </w:style>
  <w:style w:type="paragraph" w:styleId="Sinespaciado">
    <w:name w:val="No Spacing"/>
    <w:uiPriority w:val="1"/>
    <w:qFormat/>
    <w:rsid w:val="00493D05"/>
    <w:pPr>
      <w:spacing w:after="0" w:line="240" w:lineRule="auto"/>
    </w:pPr>
    <w:rPr>
      <w:lang w:val="es-ES_tradnl"/>
    </w:rPr>
  </w:style>
  <w:style w:type="paragraph" w:customStyle="1" w:styleId="Textoindependiente32">
    <w:name w:val="Texto independiente 32"/>
    <w:basedOn w:val="Normal"/>
    <w:rsid w:val="00493D05"/>
    <w:pPr>
      <w:spacing w:line="360" w:lineRule="auto"/>
      <w:jc w:val="both"/>
    </w:pPr>
    <w:rPr>
      <w:rFonts w:ascii="Arial" w:hAnsi="Arial"/>
    </w:rPr>
  </w:style>
  <w:style w:type="paragraph" w:customStyle="1" w:styleId="Textodebloque1">
    <w:name w:val="Texto de bloque1"/>
    <w:basedOn w:val="Normal"/>
    <w:rsid w:val="00493D05"/>
    <w:pPr>
      <w:tabs>
        <w:tab w:val="left" w:pos="-720"/>
      </w:tabs>
      <w:suppressAutoHyphens/>
      <w:overflowPunct w:val="0"/>
      <w:autoSpaceDE w:val="0"/>
      <w:autoSpaceDN w:val="0"/>
      <w:adjustRightInd w:val="0"/>
      <w:ind w:left="284" w:right="284"/>
      <w:jc w:val="both"/>
      <w:textAlignment w:val="baseline"/>
    </w:pPr>
    <w:rPr>
      <w:rFonts w:ascii="Arial" w:hAnsi="Arial"/>
      <w:b/>
    </w:rPr>
  </w:style>
  <w:style w:type="paragraph" w:styleId="Encabezado">
    <w:name w:val="header"/>
    <w:basedOn w:val="Normal"/>
    <w:link w:val="EncabezadoCar"/>
    <w:uiPriority w:val="99"/>
    <w:unhideWhenUsed/>
    <w:rsid w:val="00493D05"/>
    <w:pPr>
      <w:tabs>
        <w:tab w:val="center" w:pos="4252"/>
        <w:tab w:val="right" w:pos="8504"/>
      </w:tabs>
    </w:pPr>
  </w:style>
  <w:style w:type="character" w:customStyle="1" w:styleId="EncabezadoCar">
    <w:name w:val="Encabezado Car"/>
    <w:basedOn w:val="Fuentedeprrafopredeter"/>
    <w:link w:val="Encabezado"/>
    <w:uiPriority w:val="99"/>
    <w:rsid w:val="00493D0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2775</Words>
  <Characters>15263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12</cp:revision>
  <dcterms:created xsi:type="dcterms:W3CDTF">2017-10-31T14:45:00Z</dcterms:created>
  <dcterms:modified xsi:type="dcterms:W3CDTF">2017-11-08T19:09:00Z</dcterms:modified>
</cp:coreProperties>
</file>