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87" w:rsidRPr="00A817A6" w:rsidRDefault="00DC3587" w:rsidP="00DC358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DC3587" w:rsidRPr="009275F8" w:rsidRDefault="00DC3587" w:rsidP="00DC3587">
      <w:pPr>
        <w:pStyle w:val="Sinespaciado"/>
        <w:rPr>
          <w:rFonts w:asciiTheme="minorHAnsi" w:hAnsiTheme="minorHAnsi"/>
          <w:sz w:val="18"/>
          <w:szCs w:val="18"/>
        </w:rPr>
      </w:pPr>
    </w:p>
    <w:p w:rsidR="00172A9D" w:rsidRPr="0087655B" w:rsidRDefault="00172A9D" w:rsidP="00172A9D">
      <w:pPr>
        <w:pStyle w:val="Sinespaciado"/>
      </w:pPr>
      <w:bookmarkStart w:id="0" w:name="_GoBack"/>
      <w:bookmarkEnd w:id="0"/>
    </w:p>
    <w:p w:rsidR="00172A9D" w:rsidRPr="003E090A" w:rsidRDefault="00172A9D" w:rsidP="00172A9D">
      <w:pPr>
        <w:tabs>
          <w:tab w:val="left" w:pos="0"/>
        </w:tabs>
        <w:rPr>
          <w:rFonts w:ascii="Arial Narrow" w:hAnsi="Arial Narrow" w:cs="Arial"/>
          <w:i/>
          <w:sz w:val="28"/>
          <w:szCs w:val="28"/>
          <w:u w:val="single"/>
        </w:rPr>
      </w:pPr>
      <w:r w:rsidRPr="003E090A">
        <w:rPr>
          <w:rFonts w:ascii="Arial Narrow" w:hAnsi="Arial Narrow" w:cs="Arial"/>
          <w:i/>
          <w:sz w:val="28"/>
          <w:szCs w:val="28"/>
          <w:u w:val="single"/>
        </w:rPr>
        <w:t>ORALIDAD:</w:t>
      </w:r>
    </w:p>
    <w:p w:rsidR="00172A9D" w:rsidRPr="00D058DE" w:rsidRDefault="00172A9D" w:rsidP="00172A9D">
      <w:pPr>
        <w:pStyle w:val="Sinespaciado"/>
      </w:pPr>
    </w:p>
    <w:p w:rsidR="00172A9D" w:rsidRDefault="00172A9D" w:rsidP="00172A9D">
      <w:pPr>
        <w:tabs>
          <w:tab w:val="left" w:pos="2127"/>
        </w:tabs>
        <w:jc w:val="both"/>
        <w:rPr>
          <w:rFonts w:ascii="Arial Narrow" w:hAnsi="Arial Narrow" w:cs="Arial"/>
          <w:sz w:val="18"/>
          <w:szCs w:val="18"/>
        </w:rPr>
      </w:pPr>
      <w:r w:rsidRPr="001D720E">
        <w:rPr>
          <w:rFonts w:ascii="Arial Narrow" w:hAnsi="Arial Narrow" w:cs="Arial"/>
          <w:b/>
          <w:sz w:val="18"/>
          <w:szCs w:val="18"/>
        </w:rPr>
        <w:t>Providencia</w:t>
      </w:r>
      <w:r w:rsidRPr="001D720E">
        <w:rPr>
          <w:rFonts w:ascii="Arial Narrow" w:hAnsi="Arial Narrow" w:cs="Arial"/>
          <w:sz w:val="18"/>
          <w:szCs w:val="18"/>
        </w:rPr>
        <w:t>:</w:t>
      </w:r>
      <w:r w:rsidRPr="001D720E">
        <w:rPr>
          <w:rFonts w:ascii="Arial Narrow" w:hAnsi="Arial Narrow" w:cs="Arial"/>
          <w:b/>
          <w:sz w:val="18"/>
          <w:szCs w:val="18"/>
        </w:rPr>
        <w:t xml:space="preserve"> </w:t>
      </w:r>
      <w:r w:rsidRPr="001D720E">
        <w:rPr>
          <w:rFonts w:ascii="Arial Narrow" w:hAnsi="Arial Narrow" w:cs="Arial"/>
          <w:sz w:val="18"/>
          <w:szCs w:val="18"/>
        </w:rPr>
        <w:tab/>
        <w:t>Sentencia de Segunda Instancia, jueves</w:t>
      </w:r>
      <w:r>
        <w:rPr>
          <w:rFonts w:ascii="Arial Narrow" w:hAnsi="Arial Narrow" w:cs="Arial"/>
          <w:sz w:val="18"/>
          <w:szCs w:val="18"/>
        </w:rPr>
        <w:t xml:space="preserve"> 7 de diciembre de 2017. </w:t>
      </w:r>
    </w:p>
    <w:p w:rsidR="00172A9D" w:rsidRPr="001D720E" w:rsidRDefault="00172A9D" w:rsidP="00172A9D">
      <w:pPr>
        <w:tabs>
          <w:tab w:val="left" w:pos="2127"/>
        </w:tabs>
        <w:jc w:val="both"/>
        <w:rPr>
          <w:rFonts w:ascii="Arial Narrow" w:hAnsi="Arial Narrow" w:cs="Arial"/>
          <w:bCs/>
          <w:iCs/>
          <w:sz w:val="18"/>
          <w:szCs w:val="18"/>
        </w:rPr>
      </w:pPr>
      <w:r w:rsidRPr="001D720E">
        <w:rPr>
          <w:rFonts w:ascii="Arial Narrow" w:hAnsi="Arial Narrow" w:cs="Arial"/>
          <w:b/>
          <w:bCs/>
          <w:sz w:val="18"/>
          <w:szCs w:val="18"/>
        </w:rPr>
        <w:t>Radicación No</w:t>
      </w:r>
      <w:r w:rsidRPr="001D720E">
        <w:rPr>
          <w:rFonts w:ascii="Arial Narrow" w:hAnsi="Arial Narrow" w:cs="Arial"/>
          <w:bCs/>
          <w:sz w:val="18"/>
          <w:szCs w:val="18"/>
        </w:rPr>
        <w:t>:</w:t>
      </w:r>
      <w:r w:rsidRPr="001D720E">
        <w:rPr>
          <w:rFonts w:ascii="Arial Narrow" w:hAnsi="Arial Narrow" w:cs="Arial"/>
          <w:b/>
          <w:bCs/>
          <w:sz w:val="18"/>
          <w:szCs w:val="18"/>
        </w:rPr>
        <w:t xml:space="preserve"> </w:t>
      </w:r>
      <w:r w:rsidRPr="001D720E">
        <w:rPr>
          <w:rFonts w:ascii="Arial Narrow" w:hAnsi="Arial Narrow" w:cs="Arial"/>
          <w:b/>
          <w:bCs/>
          <w:sz w:val="18"/>
          <w:szCs w:val="18"/>
        </w:rPr>
        <w:tab/>
      </w:r>
      <w:r w:rsidRPr="001D720E">
        <w:rPr>
          <w:rFonts w:ascii="Arial Narrow" w:hAnsi="Arial Narrow" w:cs="Arial"/>
          <w:bCs/>
          <w:sz w:val="18"/>
          <w:szCs w:val="18"/>
        </w:rPr>
        <w:t>66001–31-05–00</w:t>
      </w:r>
      <w:r>
        <w:rPr>
          <w:rFonts w:ascii="Arial Narrow" w:hAnsi="Arial Narrow" w:cs="Arial"/>
          <w:bCs/>
          <w:sz w:val="18"/>
          <w:szCs w:val="18"/>
        </w:rPr>
        <w:t>2-2015-002</w:t>
      </w:r>
      <w:r w:rsidR="0099163E">
        <w:rPr>
          <w:rFonts w:ascii="Arial Narrow" w:hAnsi="Arial Narrow" w:cs="Arial"/>
          <w:bCs/>
          <w:sz w:val="18"/>
          <w:szCs w:val="18"/>
        </w:rPr>
        <w:t>92</w:t>
      </w:r>
      <w:r>
        <w:rPr>
          <w:rFonts w:ascii="Arial Narrow" w:hAnsi="Arial Narrow" w:cs="Arial"/>
          <w:bCs/>
          <w:sz w:val="18"/>
          <w:szCs w:val="18"/>
        </w:rPr>
        <w:t>-01</w:t>
      </w:r>
    </w:p>
    <w:p w:rsidR="00172A9D" w:rsidRPr="001D720E" w:rsidRDefault="00172A9D" w:rsidP="00172A9D">
      <w:pPr>
        <w:tabs>
          <w:tab w:val="left" w:pos="2127"/>
        </w:tabs>
        <w:jc w:val="both"/>
        <w:rPr>
          <w:rFonts w:ascii="Arial Narrow" w:hAnsi="Arial Narrow" w:cs="Arial"/>
          <w:iCs/>
          <w:sz w:val="18"/>
          <w:szCs w:val="18"/>
        </w:rPr>
      </w:pPr>
      <w:r w:rsidRPr="001D720E">
        <w:rPr>
          <w:rFonts w:ascii="Arial Narrow" w:hAnsi="Arial Narrow" w:cs="Arial"/>
          <w:b/>
          <w:bCs/>
          <w:iCs/>
          <w:sz w:val="18"/>
          <w:szCs w:val="18"/>
        </w:rPr>
        <w:t>Proceso</w:t>
      </w:r>
      <w:r w:rsidRPr="001D720E">
        <w:rPr>
          <w:rFonts w:ascii="Arial Narrow" w:hAnsi="Arial Narrow" w:cs="Arial"/>
          <w:bCs/>
          <w:iCs/>
          <w:sz w:val="18"/>
          <w:szCs w:val="18"/>
        </w:rPr>
        <w:t>:</w:t>
      </w:r>
      <w:r w:rsidRPr="001D720E">
        <w:rPr>
          <w:rFonts w:ascii="Arial Narrow" w:hAnsi="Arial Narrow" w:cs="Arial"/>
          <w:iCs/>
          <w:sz w:val="18"/>
          <w:szCs w:val="18"/>
        </w:rPr>
        <w:t xml:space="preserve"> </w:t>
      </w:r>
      <w:r w:rsidRPr="001D720E">
        <w:rPr>
          <w:rFonts w:ascii="Arial Narrow" w:hAnsi="Arial Narrow" w:cs="Arial"/>
          <w:b/>
          <w:iCs/>
          <w:sz w:val="18"/>
          <w:szCs w:val="18"/>
        </w:rPr>
        <w:tab/>
      </w:r>
      <w:r w:rsidRPr="001D720E">
        <w:rPr>
          <w:rFonts w:ascii="Arial Narrow" w:hAnsi="Arial Narrow" w:cs="Arial"/>
          <w:iCs/>
          <w:sz w:val="18"/>
          <w:szCs w:val="18"/>
        </w:rPr>
        <w:t>Ordinario Laboral</w:t>
      </w:r>
    </w:p>
    <w:p w:rsidR="00172A9D" w:rsidRPr="001D720E" w:rsidRDefault="00172A9D" w:rsidP="00172A9D">
      <w:pPr>
        <w:tabs>
          <w:tab w:val="left" w:pos="2127"/>
        </w:tabs>
        <w:jc w:val="both"/>
        <w:rPr>
          <w:rFonts w:ascii="Arial Narrow" w:hAnsi="Arial Narrow" w:cs="Arial"/>
          <w:bCs/>
          <w:sz w:val="18"/>
          <w:szCs w:val="18"/>
        </w:rPr>
      </w:pPr>
      <w:r w:rsidRPr="001D720E">
        <w:rPr>
          <w:rFonts w:ascii="Arial Narrow" w:hAnsi="Arial Narrow" w:cs="Arial"/>
          <w:b/>
          <w:iCs/>
          <w:sz w:val="18"/>
          <w:szCs w:val="18"/>
        </w:rPr>
        <w:t>Demandante</w:t>
      </w:r>
      <w:r w:rsidRPr="001D720E">
        <w:rPr>
          <w:rFonts w:ascii="Arial Narrow" w:hAnsi="Arial Narrow" w:cs="Arial"/>
          <w:iCs/>
          <w:sz w:val="18"/>
          <w:szCs w:val="18"/>
        </w:rPr>
        <w:t>:</w:t>
      </w:r>
      <w:r w:rsidRPr="001D720E">
        <w:rPr>
          <w:rFonts w:ascii="Arial Narrow" w:hAnsi="Arial Narrow" w:cs="Arial"/>
          <w:iCs/>
          <w:sz w:val="18"/>
          <w:szCs w:val="18"/>
        </w:rPr>
        <w:tab/>
      </w:r>
      <w:r w:rsidR="0099163E">
        <w:rPr>
          <w:rFonts w:ascii="Arial Narrow" w:hAnsi="Arial Narrow" w:cs="Arial"/>
          <w:iCs/>
          <w:sz w:val="18"/>
          <w:szCs w:val="18"/>
        </w:rPr>
        <w:t xml:space="preserve">John </w:t>
      </w:r>
      <w:proofErr w:type="spellStart"/>
      <w:r w:rsidR="0099163E">
        <w:rPr>
          <w:rFonts w:ascii="Arial Narrow" w:hAnsi="Arial Narrow" w:cs="Arial"/>
          <w:iCs/>
          <w:sz w:val="18"/>
          <w:szCs w:val="18"/>
        </w:rPr>
        <w:t>Gener</w:t>
      </w:r>
      <w:proofErr w:type="spellEnd"/>
      <w:r w:rsidR="0099163E">
        <w:rPr>
          <w:rFonts w:ascii="Arial Narrow" w:hAnsi="Arial Narrow" w:cs="Arial"/>
          <w:iCs/>
          <w:sz w:val="18"/>
          <w:szCs w:val="18"/>
        </w:rPr>
        <w:t xml:space="preserve"> Muñoz Bedoya </w:t>
      </w:r>
      <w:r>
        <w:rPr>
          <w:rFonts w:ascii="Arial Narrow" w:hAnsi="Arial Narrow" w:cs="Arial"/>
          <w:iCs/>
          <w:sz w:val="18"/>
          <w:szCs w:val="18"/>
        </w:rPr>
        <w:t xml:space="preserve"> </w:t>
      </w:r>
      <w:r w:rsidRPr="001D720E">
        <w:rPr>
          <w:rFonts w:ascii="Arial Narrow" w:hAnsi="Arial Narrow" w:cs="Arial"/>
          <w:iCs/>
          <w:sz w:val="18"/>
          <w:szCs w:val="18"/>
        </w:rPr>
        <w:t xml:space="preserve"> </w:t>
      </w:r>
    </w:p>
    <w:p w:rsidR="00172A9D" w:rsidRPr="001D720E" w:rsidRDefault="00172A9D" w:rsidP="00172A9D">
      <w:pPr>
        <w:tabs>
          <w:tab w:val="left" w:pos="2127"/>
        </w:tabs>
        <w:jc w:val="both"/>
        <w:rPr>
          <w:rFonts w:ascii="Arial Narrow" w:hAnsi="Arial Narrow" w:cs="Arial"/>
          <w:bCs/>
          <w:sz w:val="18"/>
          <w:szCs w:val="18"/>
        </w:rPr>
      </w:pPr>
      <w:r w:rsidRPr="001D720E">
        <w:rPr>
          <w:rFonts w:ascii="Arial Narrow" w:hAnsi="Arial Narrow" w:cs="Arial"/>
          <w:b/>
          <w:bCs/>
          <w:sz w:val="18"/>
          <w:szCs w:val="18"/>
        </w:rPr>
        <w:t>Demandado</w:t>
      </w:r>
      <w:r w:rsidRPr="001D720E">
        <w:rPr>
          <w:rFonts w:ascii="Arial Narrow" w:hAnsi="Arial Narrow" w:cs="Arial"/>
          <w:bCs/>
          <w:sz w:val="18"/>
          <w:szCs w:val="18"/>
        </w:rPr>
        <w:t>:</w:t>
      </w:r>
      <w:r w:rsidRPr="001D720E">
        <w:rPr>
          <w:rFonts w:ascii="Arial Narrow" w:hAnsi="Arial Narrow" w:cs="Arial"/>
          <w:b/>
          <w:bCs/>
          <w:sz w:val="18"/>
          <w:szCs w:val="18"/>
        </w:rPr>
        <w:tab/>
      </w:r>
      <w:r w:rsidR="00393213">
        <w:rPr>
          <w:rFonts w:ascii="Arial Narrow" w:hAnsi="Arial Narrow" w:cs="Arial"/>
          <w:bCs/>
          <w:sz w:val="18"/>
          <w:szCs w:val="18"/>
        </w:rPr>
        <w:t>AFP Protección S.A.</w:t>
      </w:r>
    </w:p>
    <w:p w:rsidR="00172A9D" w:rsidRPr="001D720E" w:rsidRDefault="00172A9D" w:rsidP="00172A9D">
      <w:pPr>
        <w:tabs>
          <w:tab w:val="left" w:pos="2127"/>
        </w:tabs>
        <w:jc w:val="both"/>
        <w:rPr>
          <w:rFonts w:ascii="Arial Narrow" w:hAnsi="Arial Narrow" w:cs="Arial"/>
          <w:sz w:val="18"/>
          <w:szCs w:val="18"/>
        </w:rPr>
      </w:pPr>
      <w:r w:rsidRPr="001D720E">
        <w:rPr>
          <w:rFonts w:ascii="Arial Narrow" w:hAnsi="Arial Narrow" w:cs="Arial"/>
          <w:b/>
          <w:sz w:val="18"/>
          <w:szCs w:val="18"/>
        </w:rPr>
        <w:t>Juzgado de origen</w:t>
      </w:r>
      <w:r w:rsidRPr="001D720E">
        <w:rPr>
          <w:rFonts w:ascii="Arial Narrow" w:hAnsi="Arial Narrow" w:cs="Arial"/>
          <w:sz w:val="18"/>
          <w:szCs w:val="18"/>
        </w:rPr>
        <w:t>:</w:t>
      </w:r>
      <w:r w:rsidRPr="001D720E">
        <w:rPr>
          <w:rFonts w:ascii="Arial Narrow" w:hAnsi="Arial Narrow" w:cs="Arial"/>
          <w:sz w:val="18"/>
          <w:szCs w:val="18"/>
        </w:rPr>
        <w:tab/>
      </w:r>
      <w:r>
        <w:rPr>
          <w:rFonts w:ascii="Arial Narrow" w:hAnsi="Arial Narrow" w:cs="Arial"/>
          <w:sz w:val="18"/>
          <w:szCs w:val="18"/>
        </w:rPr>
        <w:t xml:space="preserve">Segundo </w:t>
      </w:r>
      <w:r w:rsidRPr="001D720E">
        <w:rPr>
          <w:rFonts w:ascii="Arial Narrow" w:hAnsi="Arial Narrow" w:cs="Arial"/>
          <w:sz w:val="18"/>
          <w:szCs w:val="18"/>
        </w:rPr>
        <w:t>Laboral del Circuito de Pereira – Risaralda</w:t>
      </w:r>
    </w:p>
    <w:p w:rsidR="00172A9D" w:rsidRPr="001D720E" w:rsidRDefault="00172A9D" w:rsidP="00172A9D">
      <w:pPr>
        <w:tabs>
          <w:tab w:val="left" w:pos="2127"/>
        </w:tabs>
        <w:jc w:val="both"/>
        <w:rPr>
          <w:rFonts w:ascii="Arial Narrow" w:hAnsi="Arial Narrow" w:cs="Arial"/>
          <w:sz w:val="18"/>
          <w:szCs w:val="18"/>
        </w:rPr>
      </w:pPr>
      <w:r w:rsidRPr="001D720E">
        <w:rPr>
          <w:rFonts w:ascii="Arial Narrow" w:hAnsi="Arial Narrow" w:cs="Arial"/>
          <w:b/>
          <w:iCs/>
          <w:sz w:val="18"/>
          <w:szCs w:val="18"/>
        </w:rPr>
        <w:t>Magistrado Ponente:</w:t>
      </w:r>
      <w:r w:rsidRPr="001D720E">
        <w:rPr>
          <w:rFonts w:ascii="Arial Narrow" w:hAnsi="Arial Narrow" w:cs="Arial"/>
          <w:b/>
          <w:iCs/>
          <w:sz w:val="18"/>
          <w:szCs w:val="18"/>
        </w:rPr>
        <w:tab/>
      </w:r>
      <w:r w:rsidRPr="001D720E">
        <w:rPr>
          <w:rFonts w:ascii="Arial Narrow" w:hAnsi="Arial Narrow" w:cs="Arial"/>
          <w:bCs/>
          <w:sz w:val="18"/>
          <w:szCs w:val="18"/>
        </w:rPr>
        <w:t>Francisco Javier Tamayo Tabares</w:t>
      </w:r>
    </w:p>
    <w:p w:rsidR="006C6C70" w:rsidRPr="006C6C70" w:rsidRDefault="00172A9D" w:rsidP="006C6C70">
      <w:pPr>
        <w:autoSpaceDE w:val="0"/>
        <w:autoSpaceDN w:val="0"/>
        <w:adjustRightInd w:val="0"/>
        <w:ind w:left="2124" w:hanging="2124"/>
        <w:jc w:val="both"/>
        <w:rPr>
          <w:rFonts w:ascii="Arial Narrow" w:hAnsi="Arial Narrow" w:cs="Arial"/>
          <w:color w:val="FF0000"/>
          <w:sz w:val="18"/>
          <w:szCs w:val="18"/>
        </w:rPr>
      </w:pPr>
      <w:r w:rsidRPr="001D720E">
        <w:rPr>
          <w:rFonts w:ascii="Arial Narrow" w:hAnsi="Arial Narrow" w:cs="Arial"/>
          <w:b/>
          <w:bCs/>
          <w:sz w:val="18"/>
          <w:szCs w:val="18"/>
        </w:rPr>
        <w:t>Tema a tratar</w:t>
      </w:r>
      <w:r w:rsidRPr="001D720E">
        <w:rPr>
          <w:rFonts w:ascii="Arial Narrow" w:hAnsi="Arial Narrow" w:cs="Arial"/>
          <w:bCs/>
          <w:sz w:val="18"/>
          <w:szCs w:val="18"/>
        </w:rPr>
        <w:t>:</w:t>
      </w:r>
      <w:r w:rsidRPr="00BC0CC3">
        <w:rPr>
          <w:rFonts w:ascii="Arial Narrow" w:hAnsi="Arial Narrow" w:cs="Arial"/>
          <w:color w:val="FF0000"/>
          <w:sz w:val="18"/>
          <w:szCs w:val="18"/>
        </w:rPr>
        <w:t xml:space="preserve"> </w:t>
      </w:r>
      <w:r>
        <w:rPr>
          <w:rFonts w:ascii="Arial Narrow" w:hAnsi="Arial Narrow" w:cs="Arial"/>
          <w:color w:val="FF0000"/>
          <w:sz w:val="18"/>
          <w:szCs w:val="18"/>
        </w:rPr>
        <w:tab/>
      </w:r>
      <w:r w:rsidR="006C6C70" w:rsidRPr="006C6C70">
        <w:rPr>
          <w:rFonts w:ascii="Arial Narrow" w:hAnsi="Arial Narrow" w:cs="Arial"/>
          <w:b/>
          <w:sz w:val="18"/>
          <w:szCs w:val="18"/>
        </w:rPr>
        <w:t xml:space="preserve">No es posible contabilizar semanas cotizadas con posterioridad a la fecha de estructuración del estado de invalidez: </w:t>
      </w:r>
      <w:r w:rsidR="006C6C70" w:rsidRPr="006C6C70">
        <w:rPr>
          <w:rFonts w:ascii="Arial Narrow" w:eastAsia="Calibri" w:hAnsi="Arial Narrow" w:cs="Arial"/>
          <w:sz w:val="18"/>
          <w:szCs w:val="18"/>
          <w:lang w:val="es-CO" w:eastAsia="en-US"/>
        </w:rPr>
        <w:t xml:space="preserve">se ha de precisar que si bien los argumentos relativos a la validez </w:t>
      </w:r>
      <w:r w:rsidR="006C6C70" w:rsidRPr="006C6C70">
        <w:rPr>
          <w:rFonts w:ascii="Arial Narrow" w:hAnsi="Arial Narrow" w:cs="Arial"/>
          <w:sz w:val="18"/>
          <w:szCs w:val="18"/>
        </w:rPr>
        <w:t xml:space="preserve">de las cotizaciones efectuadas con posterioridad a la estructuración de la enfermedad, han sido avaladas entre otras ocasiones por la Corte Constitucional y por esta Sala, no pueden ser de recibo en el sub-lite, en la medida en que no es suficiente que tales aportes se realicen, sino que los mismos deben ser el resultado de la actividad laboral de la afiliado, pues en últimas, ese es el parámetro a tener en cuenta para afirmar que la realidad en torno a la incapacidad de más del 50 %, se produjo más allá de la época indicada en la experticia, pues, ella se marcaría en el instante en que dejó de cotizar, coincidente el hecho con la cesación definitiva de su actividad laboral, situación que acá se desdice, pues las cotizaciones fueron realizadas por el empleador como consecuencias de las incapacidades laborales que se generaron con posterioridad a la ocurrencia del siniestro, de lo que se colige que no son producto de la actividad laboral del demandante. </w:t>
      </w:r>
    </w:p>
    <w:p w:rsidR="00172A9D" w:rsidRPr="006C6C70" w:rsidRDefault="00172A9D" w:rsidP="006C6C70">
      <w:pPr>
        <w:pStyle w:val="Sinespaciado"/>
        <w:spacing w:line="360" w:lineRule="auto"/>
      </w:pPr>
    </w:p>
    <w:p w:rsidR="00172A9D" w:rsidRPr="003E090A" w:rsidRDefault="00172A9D" w:rsidP="00172A9D">
      <w:pPr>
        <w:spacing w:line="360" w:lineRule="auto"/>
        <w:ind w:firstLine="709"/>
        <w:jc w:val="both"/>
        <w:rPr>
          <w:rFonts w:ascii="Arial Narrow" w:hAnsi="Arial Narrow" w:cs="Arial"/>
          <w:sz w:val="28"/>
          <w:szCs w:val="28"/>
        </w:rPr>
      </w:pPr>
      <w:r w:rsidRPr="003E090A">
        <w:rPr>
          <w:rFonts w:ascii="Arial Narrow" w:hAnsi="Arial Narrow" w:cs="Arial"/>
          <w:sz w:val="28"/>
          <w:szCs w:val="28"/>
          <w:u w:val="single"/>
        </w:rPr>
        <w:t>AUDIENCIA PÚBLICA</w:t>
      </w:r>
      <w:r w:rsidRPr="003E090A">
        <w:rPr>
          <w:rFonts w:ascii="Arial Narrow" w:hAnsi="Arial Narrow" w:cs="Arial"/>
          <w:sz w:val="28"/>
          <w:szCs w:val="28"/>
        </w:rPr>
        <w:t>:</w:t>
      </w:r>
    </w:p>
    <w:p w:rsidR="00172A9D" w:rsidRPr="006C6C70" w:rsidRDefault="00172A9D" w:rsidP="006C6C70">
      <w:pPr>
        <w:pStyle w:val="Sinespaciado"/>
      </w:pPr>
    </w:p>
    <w:p w:rsidR="00172A9D" w:rsidRPr="00393213" w:rsidRDefault="00172A9D" w:rsidP="00172A9D">
      <w:pPr>
        <w:spacing w:line="360" w:lineRule="auto"/>
        <w:ind w:firstLine="709"/>
        <w:jc w:val="both"/>
        <w:rPr>
          <w:rFonts w:ascii="Arial Narrow" w:hAnsi="Arial Narrow" w:cs="Arial"/>
          <w:b/>
          <w:i/>
          <w:iCs/>
          <w:sz w:val="28"/>
          <w:szCs w:val="28"/>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w:t>
      </w:r>
      <w:r w:rsidR="0099163E">
        <w:rPr>
          <w:rFonts w:ascii="Arial Narrow" w:eastAsia="Calibri" w:hAnsi="Arial Narrow" w:cs="Arial"/>
          <w:sz w:val="28"/>
          <w:szCs w:val="28"/>
          <w:lang w:val="es-CO" w:eastAsia="en-US"/>
        </w:rPr>
        <w:t xml:space="preserve">siete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w:t>
      </w:r>
      <w:r w:rsidR="0099163E">
        <w:rPr>
          <w:rFonts w:ascii="Arial Narrow" w:eastAsia="Calibri" w:hAnsi="Arial Narrow" w:cs="Arial"/>
          <w:sz w:val="28"/>
          <w:szCs w:val="28"/>
          <w:lang w:val="es-CO" w:eastAsia="en-US"/>
        </w:rPr>
        <w:t>7</w:t>
      </w:r>
      <w:r w:rsidRPr="00D058DE">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w:t>
      </w:r>
      <w:r w:rsidR="0099163E">
        <w:rPr>
          <w:rFonts w:ascii="Arial Narrow" w:eastAsia="Calibri" w:hAnsi="Arial Narrow" w:cs="Arial"/>
          <w:sz w:val="28"/>
          <w:szCs w:val="28"/>
          <w:lang w:val="es-CO" w:eastAsia="en-US"/>
        </w:rPr>
        <w:t xml:space="preserve">diciembre </w:t>
      </w:r>
      <w:r>
        <w:rPr>
          <w:rFonts w:ascii="Arial Narrow" w:eastAsia="Calibri" w:hAnsi="Arial Narrow" w:cs="Arial"/>
          <w:sz w:val="28"/>
          <w:szCs w:val="28"/>
          <w:lang w:val="es-CO" w:eastAsia="en-US"/>
        </w:rPr>
        <w:t xml:space="preserve">de dos mil diecisiete </w:t>
      </w:r>
      <w:r w:rsidRPr="00D058D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D058D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99163E">
        <w:rPr>
          <w:rFonts w:ascii="Arial Narrow" w:eastAsia="Calibri" w:hAnsi="Arial Narrow" w:cs="Arial"/>
          <w:sz w:val="28"/>
          <w:szCs w:val="28"/>
          <w:lang w:val="es-CO" w:eastAsia="en-US"/>
        </w:rPr>
        <w:t xml:space="preserve">diez </w:t>
      </w:r>
      <w:r>
        <w:rPr>
          <w:rFonts w:ascii="Arial Narrow" w:eastAsia="Calibri" w:hAnsi="Arial Narrow" w:cs="Arial"/>
          <w:sz w:val="28"/>
          <w:szCs w:val="28"/>
          <w:lang w:val="es-CO" w:eastAsia="en-US"/>
        </w:rPr>
        <w:t xml:space="preserve">y </w:t>
      </w:r>
      <w:r w:rsidR="0099163E">
        <w:rPr>
          <w:rFonts w:ascii="Arial Narrow" w:eastAsia="Calibri" w:hAnsi="Arial Narrow" w:cs="Arial"/>
          <w:sz w:val="28"/>
          <w:szCs w:val="28"/>
          <w:lang w:val="es-CO" w:eastAsia="en-US"/>
        </w:rPr>
        <w:t>treinta d</w:t>
      </w:r>
      <w:r>
        <w:rPr>
          <w:rFonts w:ascii="Arial Narrow" w:eastAsia="Calibri" w:hAnsi="Arial Narrow" w:cs="Arial"/>
          <w:sz w:val="28"/>
          <w:szCs w:val="28"/>
          <w:lang w:val="es-CO" w:eastAsia="en-US"/>
        </w:rPr>
        <w:t>e la mañana (</w:t>
      </w:r>
      <w:r w:rsidR="0099163E">
        <w:rPr>
          <w:rFonts w:ascii="Arial Narrow" w:eastAsia="Calibri" w:hAnsi="Arial Narrow" w:cs="Arial"/>
          <w:sz w:val="28"/>
          <w:szCs w:val="28"/>
          <w:lang w:val="es-CO" w:eastAsia="en-US"/>
        </w:rPr>
        <w:t xml:space="preserve">10:30 </w:t>
      </w:r>
      <w:r>
        <w:rPr>
          <w:rFonts w:ascii="Arial Narrow" w:eastAsia="Calibri" w:hAnsi="Arial Narrow" w:cs="Arial"/>
          <w:sz w:val="28"/>
          <w:szCs w:val="28"/>
          <w:lang w:val="es-CO" w:eastAsia="en-US"/>
        </w:rPr>
        <w:t xml:space="preserve">a.m.), </w:t>
      </w:r>
      <w:r>
        <w:rPr>
          <w:rFonts w:ascii="Arial Narrow" w:hAnsi="Arial Narrow" w:cs="Tahoma"/>
          <w:bCs/>
          <w:color w:val="000000"/>
          <w:sz w:val="28"/>
          <w:szCs w:val="28"/>
          <w:lang w:val="es-ES"/>
        </w:rPr>
        <w:t>reunidos en la sala de a</w:t>
      </w:r>
      <w:r w:rsidRPr="00D058DE">
        <w:rPr>
          <w:rFonts w:ascii="Arial Narrow" w:hAnsi="Arial Narrow" w:cs="Tahoma"/>
          <w:bCs/>
          <w:color w:val="000000"/>
          <w:sz w:val="28"/>
          <w:szCs w:val="28"/>
          <w:lang w:val="es-ES"/>
        </w:rPr>
        <w:t>udiencia</w:t>
      </w:r>
      <w:r>
        <w:rPr>
          <w:rFonts w:ascii="Arial Narrow" w:hAnsi="Arial Narrow" w:cs="Tahoma"/>
          <w:bCs/>
          <w:color w:val="000000"/>
          <w:sz w:val="28"/>
          <w:szCs w:val="28"/>
          <w:lang w:val="es-ES"/>
        </w:rPr>
        <w:t>,</w:t>
      </w:r>
      <w:r w:rsidRPr="00D058DE">
        <w:rPr>
          <w:rFonts w:ascii="Arial Narrow" w:hAnsi="Arial Narrow" w:cs="Tahoma"/>
          <w:bCs/>
          <w:color w:val="000000"/>
          <w:sz w:val="28"/>
          <w:szCs w:val="28"/>
          <w:lang w:val="es-ES"/>
        </w:rPr>
        <w:t xml:space="preserve"> </w:t>
      </w:r>
      <w:r>
        <w:rPr>
          <w:rFonts w:ascii="Arial Narrow" w:hAnsi="Arial Narrow" w:cs="Tahoma"/>
          <w:bCs/>
          <w:color w:val="000000"/>
          <w:sz w:val="28"/>
          <w:szCs w:val="28"/>
          <w:lang w:val="es-ES"/>
        </w:rPr>
        <w:t>las magistradas y el suscrito magistrado</w:t>
      </w:r>
      <w:r w:rsidRPr="00D058DE">
        <w:rPr>
          <w:rFonts w:ascii="Arial Narrow" w:hAnsi="Arial Narrow" w:cs="Tahoma"/>
          <w:bCs/>
          <w:color w:val="000000"/>
          <w:sz w:val="28"/>
          <w:szCs w:val="28"/>
          <w:lang w:val="es-ES"/>
        </w:rPr>
        <w:t xml:space="preserve"> de la Sala Laboral del Tribunal de Pereira, </w:t>
      </w:r>
      <w:r>
        <w:rPr>
          <w:rFonts w:ascii="Arial Narrow" w:hAnsi="Arial Narrow" w:cs="Tahoma"/>
          <w:bCs/>
          <w:color w:val="000000"/>
          <w:sz w:val="28"/>
          <w:szCs w:val="28"/>
          <w:lang w:val="es-ES"/>
        </w:rPr>
        <w:t xml:space="preserve">se declara </w:t>
      </w:r>
      <w:r w:rsidRPr="00D058DE">
        <w:rPr>
          <w:rFonts w:ascii="Arial Narrow" w:hAnsi="Arial Narrow" w:cs="Tahoma"/>
          <w:bCs/>
          <w:color w:val="000000"/>
          <w:sz w:val="28"/>
          <w:szCs w:val="28"/>
          <w:lang w:val="es-ES"/>
        </w:rPr>
        <w:t>formalmente abierto</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eastAsia="es-CO"/>
        </w:rPr>
        <w:t xml:space="preserve">que tiene por objeto </w:t>
      </w:r>
      <w:r w:rsidR="0099163E">
        <w:rPr>
          <w:rFonts w:ascii="Arial Narrow" w:hAnsi="Arial Narrow" w:cs="Tahoma"/>
          <w:bCs/>
          <w:color w:val="000000"/>
          <w:sz w:val="28"/>
          <w:szCs w:val="28"/>
          <w:lang w:eastAsia="es-CO"/>
        </w:rPr>
        <w:t>resolver</w:t>
      </w:r>
      <w:r w:rsidRPr="00D058DE">
        <w:rPr>
          <w:rFonts w:ascii="Arial Narrow" w:hAnsi="Arial Narrow" w:cs="Tahoma"/>
          <w:bCs/>
          <w:color w:val="000000"/>
          <w:sz w:val="28"/>
          <w:szCs w:val="28"/>
          <w:lang w:eastAsia="es-CO"/>
        </w:rPr>
        <w:t xml:space="preserve"> el</w:t>
      </w:r>
      <w:r>
        <w:rPr>
          <w:rFonts w:ascii="Arial Narrow" w:hAnsi="Arial Narrow" w:cs="Tahoma"/>
          <w:bCs/>
          <w:color w:val="000000"/>
          <w:sz w:val="28"/>
          <w:szCs w:val="28"/>
          <w:lang w:eastAsia="es-CO"/>
        </w:rPr>
        <w:t xml:space="preserve"> recurso de apelación </w:t>
      </w:r>
      <w:r w:rsidR="0099163E">
        <w:rPr>
          <w:rFonts w:ascii="Arial Narrow" w:hAnsi="Arial Narrow" w:cs="Tahoma"/>
          <w:bCs/>
          <w:color w:val="000000"/>
          <w:sz w:val="28"/>
          <w:szCs w:val="28"/>
          <w:lang w:eastAsia="es-CO"/>
        </w:rPr>
        <w:t>interpuesto por el vocero judicial del d</w:t>
      </w:r>
      <w:r>
        <w:rPr>
          <w:rFonts w:ascii="Arial Narrow" w:hAnsi="Arial Narrow" w:cs="Tahoma"/>
          <w:bCs/>
          <w:color w:val="000000"/>
          <w:sz w:val="28"/>
          <w:szCs w:val="28"/>
          <w:lang w:eastAsia="es-CO"/>
        </w:rPr>
        <w:t xml:space="preserve">emandante contra </w:t>
      </w:r>
      <w:r w:rsidRPr="00D058DE">
        <w:rPr>
          <w:rFonts w:ascii="Arial Narrow" w:hAnsi="Arial Narrow" w:cs="Arial"/>
          <w:sz w:val="28"/>
          <w:szCs w:val="28"/>
        </w:rPr>
        <w:t xml:space="preserve">la sentencia proferida el </w:t>
      </w:r>
      <w:r w:rsidR="0099163E">
        <w:rPr>
          <w:rFonts w:ascii="Arial Narrow" w:hAnsi="Arial Narrow" w:cs="Arial"/>
          <w:sz w:val="28"/>
          <w:szCs w:val="28"/>
        </w:rPr>
        <w:t>6 de febrero de los corrientes</w:t>
      </w:r>
      <w:r>
        <w:rPr>
          <w:rFonts w:ascii="Arial Narrow" w:hAnsi="Arial Narrow" w:cs="Arial"/>
          <w:sz w:val="28"/>
          <w:szCs w:val="28"/>
        </w:rPr>
        <w:t xml:space="preserve"> </w:t>
      </w:r>
      <w:r w:rsidRPr="00D058DE">
        <w:rPr>
          <w:rFonts w:ascii="Arial Narrow" w:hAnsi="Arial Narrow" w:cs="Arial"/>
          <w:sz w:val="28"/>
          <w:szCs w:val="28"/>
        </w:rPr>
        <w:t>por el Juzgado</w:t>
      </w:r>
      <w:r>
        <w:rPr>
          <w:rFonts w:ascii="Arial Narrow" w:hAnsi="Arial Narrow" w:cs="Arial"/>
          <w:sz w:val="28"/>
          <w:szCs w:val="28"/>
        </w:rPr>
        <w:t xml:space="preserve"> Segundo </w:t>
      </w:r>
      <w:r w:rsidRPr="00D058DE">
        <w:rPr>
          <w:rFonts w:ascii="Arial Narrow" w:hAnsi="Arial Narrow" w:cs="Arial"/>
          <w:sz w:val="28"/>
          <w:szCs w:val="28"/>
        </w:rPr>
        <w:t>Laboral del Circuito de Pereira, dentro del proceso ordinario promovido por</w:t>
      </w:r>
      <w:r>
        <w:rPr>
          <w:rFonts w:ascii="Arial Narrow" w:hAnsi="Arial Narrow" w:cs="Arial"/>
          <w:sz w:val="28"/>
          <w:szCs w:val="28"/>
        </w:rPr>
        <w:t xml:space="preserve"> </w:t>
      </w:r>
      <w:r w:rsidR="0099163E">
        <w:rPr>
          <w:rFonts w:ascii="Arial Narrow" w:hAnsi="Arial Narrow" w:cs="Arial"/>
          <w:i/>
          <w:sz w:val="28"/>
          <w:szCs w:val="28"/>
        </w:rPr>
        <w:t xml:space="preserve">John </w:t>
      </w:r>
      <w:proofErr w:type="spellStart"/>
      <w:r w:rsidR="0099163E">
        <w:rPr>
          <w:rFonts w:ascii="Arial Narrow" w:hAnsi="Arial Narrow" w:cs="Arial"/>
          <w:i/>
          <w:sz w:val="28"/>
          <w:szCs w:val="28"/>
        </w:rPr>
        <w:t>Gener</w:t>
      </w:r>
      <w:proofErr w:type="spellEnd"/>
      <w:r w:rsidR="0099163E">
        <w:rPr>
          <w:rFonts w:ascii="Arial Narrow" w:hAnsi="Arial Narrow" w:cs="Arial"/>
          <w:i/>
          <w:sz w:val="28"/>
          <w:szCs w:val="28"/>
        </w:rPr>
        <w:t xml:space="preserve"> Muñoz Bedoya </w:t>
      </w:r>
      <w:r w:rsidRPr="00E333D3">
        <w:rPr>
          <w:rFonts w:ascii="Arial Narrow" w:hAnsi="Arial Narrow" w:cs="Arial"/>
          <w:sz w:val="28"/>
          <w:szCs w:val="28"/>
        </w:rPr>
        <w:t xml:space="preserve">contra </w:t>
      </w:r>
      <w:r w:rsidR="00393213" w:rsidRPr="00393213">
        <w:rPr>
          <w:rFonts w:ascii="Arial Narrow" w:hAnsi="Arial Narrow" w:cs="Arial"/>
          <w:i/>
          <w:sz w:val="28"/>
          <w:szCs w:val="28"/>
        </w:rPr>
        <w:t>la AFP Protección S.A.</w:t>
      </w:r>
    </w:p>
    <w:p w:rsidR="00172A9D" w:rsidRPr="006C6C70" w:rsidRDefault="00172A9D" w:rsidP="006C6C70">
      <w:pPr>
        <w:pStyle w:val="Sinespaciado"/>
      </w:pPr>
    </w:p>
    <w:p w:rsidR="00172A9D" w:rsidRDefault="00172A9D" w:rsidP="00172A9D">
      <w:pPr>
        <w:shd w:val="clear" w:color="auto" w:fill="FFFFFF"/>
        <w:spacing w:line="360" w:lineRule="auto"/>
        <w:ind w:firstLine="709"/>
        <w:jc w:val="both"/>
        <w:rPr>
          <w:rFonts w:ascii="Arial Narrow" w:hAnsi="Arial Narrow" w:cs="Tahoma"/>
          <w:bCs/>
          <w:i/>
          <w:color w:val="000000"/>
          <w:sz w:val="28"/>
          <w:szCs w:val="28"/>
          <w:lang w:val="es-ES"/>
        </w:rPr>
      </w:pPr>
      <w:r>
        <w:rPr>
          <w:rFonts w:ascii="Arial Narrow" w:hAnsi="Arial Narrow" w:cs="Tahoma"/>
          <w:bCs/>
          <w:i/>
          <w:color w:val="000000"/>
          <w:sz w:val="28"/>
          <w:szCs w:val="28"/>
          <w:lang w:val="es-ES"/>
        </w:rPr>
        <w:t>IDENTIFICACIÓN DE LOS PRESENTES</w:t>
      </w:r>
    </w:p>
    <w:p w:rsidR="00172A9D" w:rsidRPr="006C6C70" w:rsidRDefault="00172A9D" w:rsidP="006C6C70">
      <w:pPr>
        <w:pStyle w:val="Sinespaciado"/>
      </w:pPr>
    </w:p>
    <w:p w:rsidR="00172A9D" w:rsidRPr="00E333D3" w:rsidRDefault="00172A9D" w:rsidP="00172A9D">
      <w:pPr>
        <w:pStyle w:val="Prrafodelista"/>
        <w:numPr>
          <w:ilvl w:val="0"/>
          <w:numId w:val="2"/>
        </w:numPr>
        <w:shd w:val="clear" w:color="auto" w:fill="FFFFFF"/>
        <w:spacing w:line="360" w:lineRule="auto"/>
        <w:jc w:val="both"/>
        <w:rPr>
          <w:rFonts w:ascii="Arial Narrow" w:hAnsi="Arial Narrow" w:cs="Tahoma"/>
          <w:bCs/>
          <w:i/>
          <w:color w:val="000000"/>
          <w:sz w:val="28"/>
          <w:szCs w:val="28"/>
          <w:lang w:val="es-ES"/>
        </w:rPr>
      </w:pPr>
      <w:r w:rsidRPr="00E333D3">
        <w:rPr>
          <w:rFonts w:ascii="Arial Narrow" w:hAnsi="Arial Narrow" w:cs="Tahoma"/>
          <w:bCs/>
          <w:i/>
          <w:color w:val="000000"/>
          <w:sz w:val="28"/>
          <w:szCs w:val="28"/>
          <w:lang w:val="es-ES"/>
        </w:rPr>
        <w:t>INTRODUCCIÓN</w:t>
      </w:r>
    </w:p>
    <w:p w:rsidR="00172A9D" w:rsidRPr="006C6C70" w:rsidRDefault="00172A9D" w:rsidP="006C6C70">
      <w:pPr>
        <w:pStyle w:val="Sinespaciado"/>
      </w:pPr>
    </w:p>
    <w:p w:rsidR="00172A9D" w:rsidRDefault="0099163E" w:rsidP="00172A9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El </w:t>
      </w:r>
      <w:r w:rsidR="00172A9D" w:rsidRPr="00D058DE">
        <w:rPr>
          <w:rFonts w:ascii="Arial Narrow" w:hAnsi="Arial Narrow" w:cs="Tahoma"/>
          <w:bCs/>
          <w:iCs/>
          <w:sz w:val="28"/>
          <w:szCs w:val="28"/>
        </w:rPr>
        <w:t>demandante</w:t>
      </w:r>
      <w:r w:rsidR="00172A9D">
        <w:rPr>
          <w:rFonts w:ascii="Arial Narrow" w:hAnsi="Arial Narrow" w:cs="Tahoma"/>
          <w:bCs/>
          <w:iCs/>
          <w:sz w:val="28"/>
          <w:szCs w:val="28"/>
        </w:rPr>
        <w:t xml:space="preserve"> </w:t>
      </w:r>
      <w:r w:rsidR="00172A9D" w:rsidRPr="00D058DE">
        <w:rPr>
          <w:rFonts w:ascii="Arial Narrow" w:hAnsi="Arial Narrow" w:cs="Tahoma"/>
          <w:bCs/>
          <w:iCs/>
          <w:sz w:val="28"/>
          <w:szCs w:val="28"/>
        </w:rPr>
        <w:t xml:space="preserve">pretende </w:t>
      </w:r>
      <w:r w:rsidR="00172A9D">
        <w:rPr>
          <w:rFonts w:ascii="Arial Narrow" w:hAnsi="Arial Narrow" w:cs="Tahoma"/>
          <w:bCs/>
          <w:iCs/>
          <w:sz w:val="28"/>
          <w:szCs w:val="28"/>
        </w:rPr>
        <w:t xml:space="preserve">que se declare que </w:t>
      </w:r>
      <w:r w:rsidR="00393213">
        <w:rPr>
          <w:rFonts w:ascii="Arial Narrow" w:hAnsi="Arial Narrow" w:cs="Tahoma"/>
          <w:bCs/>
          <w:iCs/>
          <w:sz w:val="28"/>
          <w:szCs w:val="28"/>
        </w:rPr>
        <w:t>Protección S.A.</w:t>
      </w:r>
      <w:r w:rsidR="00172A9D">
        <w:rPr>
          <w:rFonts w:ascii="Arial Narrow" w:hAnsi="Arial Narrow" w:cs="Tahoma"/>
          <w:bCs/>
          <w:iCs/>
          <w:sz w:val="28"/>
          <w:szCs w:val="28"/>
        </w:rPr>
        <w:t xml:space="preserve"> es responsable del pago de su pensión de invalidez a partir </w:t>
      </w:r>
      <w:r w:rsidR="00A1384F">
        <w:rPr>
          <w:rFonts w:ascii="Arial Narrow" w:hAnsi="Arial Narrow" w:cs="Tahoma"/>
          <w:bCs/>
          <w:iCs/>
          <w:sz w:val="28"/>
          <w:szCs w:val="28"/>
        </w:rPr>
        <w:t>del 24 de febrero de 2014</w:t>
      </w:r>
      <w:r w:rsidR="00172A9D">
        <w:rPr>
          <w:rFonts w:ascii="Arial Narrow" w:hAnsi="Arial Narrow" w:cs="Tahoma"/>
          <w:bCs/>
          <w:iCs/>
          <w:sz w:val="28"/>
          <w:szCs w:val="28"/>
        </w:rPr>
        <w:t xml:space="preserve">, en consideración a las semanas cotizadas con posterioridad a esa calenda. En consecuencia, pide que se condene a la demandada a cancelar la pensión de invalidez a partir de la fecha en que se estructuró la misma, junto con los intereses de mora y las costas del proceso. </w:t>
      </w:r>
    </w:p>
    <w:p w:rsidR="00172A9D" w:rsidRPr="006C6C70" w:rsidRDefault="00172A9D" w:rsidP="006C6C70">
      <w:pPr>
        <w:pStyle w:val="Sinespaciado"/>
      </w:pPr>
    </w:p>
    <w:p w:rsidR="00A1384F" w:rsidRDefault="00172A9D" w:rsidP="00172A9D">
      <w:pPr>
        <w:spacing w:line="360" w:lineRule="auto"/>
        <w:ind w:firstLine="708"/>
        <w:jc w:val="both"/>
        <w:rPr>
          <w:rFonts w:ascii="Arial Narrow" w:hAnsi="Arial Narrow" w:cs="Tahoma"/>
          <w:bCs/>
          <w:iCs/>
          <w:sz w:val="28"/>
          <w:szCs w:val="28"/>
        </w:rPr>
      </w:pPr>
      <w:r w:rsidRPr="00D058DE">
        <w:rPr>
          <w:rFonts w:ascii="Arial Narrow" w:hAnsi="Arial Narrow" w:cs="Tahoma"/>
          <w:bCs/>
          <w:iCs/>
          <w:sz w:val="28"/>
          <w:szCs w:val="28"/>
        </w:rPr>
        <w:lastRenderedPageBreak/>
        <w:t>Las aludidas pretensiones</w:t>
      </w:r>
      <w:r w:rsidR="00A1384F">
        <w:rPr>
          <w:rFonts w:ascii="Arial Narrow" w:hAnsi="Arial Narrow" w:cs="Tahoma"/>
          <w:bCs/>
          <w:iCs/>
          <w:sz w:val="28"/>
          <w:szCs w:val="28"/>
        </w:rPr>
        <w:t xml:space="preserve"> tienen como sustento lo siguiente: que </w:t>
      </w:r>
      <w:r>
        <w:rPr>
          <w:rFonts w:ascii="Arial Narrow" w:hAnsi="Arial Narrow" w:cs="Tahoma"/>
          <w:bCs/>
          <w:iCs/>
          <w:sz w:val="28"/>
          <w:szCs w:val="28"/>
        </w:rPr>
        <w:t xml:space="preserve">desde hace algún tiempo viene </w:t>
      </w:r>
      <w:r w:rsidRPr="0087655B">
        <w:rPr>
          <w:rFonts w:ascii="Arial Narrow" w:hAnsi="Arial Narrow" w:cs="Tahoma"/>
          <w:bCs/>
          <w:iCs/>
          <w:sz w:val="28"/>
          <w:szCs w:val="28"/>
        </w:rPr>
        <w:t>padeci</w:t>
      </w:r>
      <w:r w:rsidR="00A1384F">
        <w:rPr>
          <w:rFonts w:ascii="Arial Narrow" w:hAnsi="Arial Narrow" w:cs="Tahoma"/>
          <w:bCs/>
          <w:iCs/>
          <w:sz w:val="28"/>
          <w:szCs w:val="28"/>
        </w:rPr>
        <w:t>endo severos problemas de salud como consecuencia de un accidente cráneo encefálico</w:t>
      </w:r>
      <w:r w:rsidR="00393213">
        <w:rPr>
          <w:rFonts w:ascii="Arial Narrow" w:hAnsi="Arial Narrow" w:cs="Tahoma"/>
          <w:bCs/>
          <w:iCs/>
          <w:sz w:val="28"/>
          <w:szCs w:val="28"/>
        </w:rPr>
        <w:t>; que en razón de ello, fue calificado por la Comisión Médico Laboral de la Administradora de Fondo de Pensiones y Cesantías Protección S.A., quien mediante dictamen del 4 de noviembre de 2014 le determinó una pérdida de capacidad laboral del 79.45 %, estructurada el 24 de febrero de 2014, de origen común</w:t>
      </w:r>
      <w:r w:rsidR="00043722">
        <w:rPr>
          <w:rFonts w:ascii="Arial Narrow" w:hAnsi="Arial Narrow" w:cs="Tahoma"/>
          <w:bCs/>
          <w:iCs/>
          <w:sz w:val="28"/>
          <w:szCs w:val="28"/>
        </w:rPr>
        <w:t xml:space="preserve">; que presentó la solicitud de pensión </w:t>
      </w:r>
      <w:r w:rsidR="00393213">
        <w:rPr>
          <w:rFonts w:ascii="Arial Narrow" w:hAnsi="Arial Narrow" w:cs="Tahoma"/>
          <w:bCs/>
          <w:iCs/>
          <w:sz w:val="28"/>
          <w:szCs w:val="28"/>
        </w:rPr>
        <w:t xml:space="preserve"> </w:t>
      </w:r>
      <w:r w:rsidR="00043722">
        <w:rPr>
          <w:rFonts w:ascii="Arial Narrow" w:hAnsi="Arial Narrow" w:cs="Tahoma"/>
          <w:bCs/>
          <w:iCs/>
          <w:sz w:val="28"/>
          <w:szCs w:val="28"/>
        </w:rPr>
        <w:t xml:space="preserve">ante la demandada, empero, le fue negada, con el argumento de que no satisfacía la densidad de semanas exigidas en el artículo 1º de la Ley 860 de 2003. Indica que con posterioridad a la fecha de estructuración de la invalidez, acredita 45.8 semanas de aportes, empero, las cotizadas con posterioridad al 1 de julio de 2014 no se ven reflejadas en la historia laboral; </w:t>
      </w:r>
      <w:r w:rsidR="00686CD2">
        <w:rPr>
          <w:rFonts w:ascii="Arial Narrow" w:hAnsi="Arial Narrow" w:cs="Tahoma"/>
          <w:bCs/>
          <w:iCs/>
          <w:sz w:val="28"/>
          <w:szCs w:val="28"/>
        </w:rPr>
        <w:t>que el Juzgado 6º Penal Municipal con Función de Control de Garantías de Pereira, dictó sentencia de tutela amparando sus derechos fundamentales y ordenando el reconocimiento de la pensión de invalidez, no obstante, la decisión fue revocada por el Juzgado Cuarto Penal del Circuito de Pereira</w:t>
      </w:r>
      <w:r w:rsidR="00613E19">
        <w:rPr>
          <w:rFonts w:ascii="Arial Narrow" w:hAnsi="Arial Narrow" w:cs="Tahoma"/>
          <w:bCs/>
          <w:iCs/>
          <w:sz w:val="28"/>
          <w:szCs w:val="28"/>
        </w:rPr>
        <w:t>.</w:t>
      </w:r>
      <w:r w:rsidR="00686CD2">
        <w:rPr>
          <w:rFonts w:ascii="Arial Narrow" w:hAnsi="Arial Narrow" w:cs="Tahoma"/>
          <w:bCs/>
          <w:iCs/>
          <w:sz w:val="28"/>
          <w:szCs w:val="28"/>
        </w:rPr>
        <w:t xml:space="preserve"> </w:t>
      </w:r>
    </w:p>
    <w:p w:rsidR="00172A9D" w:rsidRPr="006C6C70" w:rsidRDefault="00172A9D" w:rsidP="006C6C70">
      <w:pPr>
        <w:pStyle w:val="Sinespaciado"/>
      </w:pPr>
    </w:p>
    <w:p w:rsidR="00613E19" w:rsidRDefault="00613E19" w:rsidP="00172A9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Admitida la demanda, la AFP Protección S.A. allegó respuesta a través de apoderada judicial, oponiéndose </w:t>
      </w:r>
      <w:r w:rsidR="009F787E">
        <w:rPr>
          <w:rFonts w:ascii="Arial Narrow" w:hAnsi="Arial Narrow" w:cs="Tahoma"/>
          <w:bCs/>
          <w:iCs/>
          <w:sz w:val="28"/>
          <w:szCs w:val="28"/>
        </w:rPr>
        <w:t xml:space="preserve">a las pretensiones del gestor </w:t>
      </w:r>
      <w:r w:rsidR="00EA1D10">
        <w:rPr>
          <w:rFonts w:ascii="Arial Narrow" w:hAnsi="Arial Narrow" w:cs="Tahoma"/>
          <w:bCs/>
          <w:iCs/>
          <w:sz w:val="28"/>
          <w:szCs w:val="28"/>
        </w:rPr>
        <w:t>por considerar que las semanas efectuadas con posterioridad a la fecha de estructuración del actor no son producto de su actividad laboral. En su defensa, formuló como excepciones de fondo las de Ausencia del requisito de semanas de cotización para acceder a la pensión de invalidez, Inexistencia de la obligación de reconocer la pensión de invalidez, Falta de causa para demandar, Buena fe y confianza legítima, Improcedencia de la condena de intereses de mora, Compensación y Prescripción.</w:t>
      </w:r>
    </w:p>
    <w:p w:rsidR="00172A9D" w:rsidRDefault="00172A9D" w:rsidP="00172A9D">
      <w:pPr>
        <w:pStyle w:val="Sinespaciado"/>
        <w:spacing w:line="360" w:lineRule="auto"/>
      </w:pPr>
    </w:p>
    <w:p w:rsidR="00172A9D" w:rsidRPr="000967B1" w:rsidRDefault="00172A9D" w:rsidP="00172A9D">
      <w:pPr>
        <w:pStyle w:val="Prrafodelista"/>
        <w:numPr>
          <w:ilvl w:val="0"/>
          <w:numId w:val="2"/>
        </w:numPr>
        <w:spacing w:line="360" w:lineRule="auto"/>
        <w:jc w:val="both"/>
        <w:rPr>
          <w:rFonts w:ascii="Arial Narrow" w:hAnsi="Arial Narrow" w:cs="Tahoma"/>
          <w:bCs/>
          <w:i/>
          <w:iCs/>
          <w:sz w:val="28"/>
          <w:szCs w:val="28"/>
        </w:rPr>
      </w:pPr>
      <w:r w:rsidRPr="000967B1">
        <w:rPr>
          <w:rFonts w:ascii="Arial Narrow" w:hAnsi="Arial Narrow" w:cs="Tahoma"/>
          <w:bCs/>
          <w:i/>
          <w:iCs/>
          <w:sz w:val="28"/>
          <w:szCs w:val="28"/>
        </w:rPr>
        <w:t xml:space="preserve">SENTENCIA DEL JUZGADO </w:t>
      </w:r>
    </w:p>
    <w:p w:rsidR="00172A9D" w:rsidRPr="006C6C70" w:rsidRDefault="00172A9D" w:rsidP="006C6C70">
      <w:pPr>
        <w:pStyle w:val="Sinespaciado"/>
      </w:pPr>
    </w:p>
    <w:p w:rsidR="00172A9D" w:rsidRPr="000967B1" w:rsidRDefault="00172A9D" w:rsidP="00240394">
      <w:pPr>
        <w:spacing w:line="360" w:lineRule="auto"/>
        <w:ind w:firstLine="709"/>
        <w:jc w:val="both"/>
        <w:rPr>
          <w:rFonts w:ascii="Arial Narrow" w:hAnsi="Arial Narrow" w:cs="Tahoma"/>
          <w:bCs/>
          <w:iCs/>
          <w:sz w:val="28"/>
          <w:szCs w:val="28"/>
        </w:rPr>
      </w:pPr>
      <w:r w:rsidRPr="000967B1">
        <w:rPr>
          <w:rFonts w:ascii="Arial Narrow" w:hAnsi="Arial Narrow" w:cs="Tahoma"/>
          <w:bCs/>
          <w:iCs/>
          <w:sz w:val="28"/>
          <w:szCs w:val="28"/>
        </w:rPr>
        <w:t xml:space="preserve">El juzgado de conocimiento mediante fallo del </w:t>
      </w:r>
      <w:r w:rsidR="00C05218" w:rsidRPr="000967B1">
        <w:rPr>
          <w:rFonts w:ascii="Arial Narrow" w:hAnsi="Arial Narrow" w:cs="Tahoma"/>
          <w:bCs/>
          <w:iCs/>
          <w:sz w:val="28"/>
          <w:szCs w:val="28"/>
        </w:rPr>
        <w:t xml:space="preserve">6 de febrero de 2017, absolvió a la AFP Protección S.A. de todas las pretensiones contenidas en la demanda, </w:t>
      </w:r>
      <w:r w:rsidRPr="000967B1">
        <w:rPr>
          <w:rFonts w:ascii="Arial Narrow" w:hAnsi="Arial Narrow" w:cs="Tahoma"/>
          <w:bCs/>
          <w:iCs/>
          <w:sz w:val="28"/>
          <w:szCs w:val="28"/>
        </w:rPr>
        <w:t>al considerar que conforme a las pruebas documentales allegadas al plenario,</w:t>
      </w:r>
      <w:r w:rsidR="00240394" w:rsidRPr="000967B1">
        <w:rPr>
          <w:rFonts w:ascii="Arial Narrow" w:hAnsi="Arial Narrow" w:cs="Tahoma"/>
          <w:bCs/>
          <w:iCs/>
          <w:sz w:val="28"/>
          <w:szCs w:val="28"/>
        </w:rPr>
        <w:t xml:space="preserve"> el</w:t>
      </w:r>
      <w:r w:rsidRPr="000967B1">
        <w:rPr>
          <w:rFonts w:ascii="Arial Narrow" w:hAnsi="Arial Narrow" w:cs="Tahoma"/>
          <w:bCs/>
          <w:iCs/>
          <w:sz w:val="28"/>
          <w:szCs w:val="28"/>
        </w:rPr>
        <w:t xml:space="preserve"> demandante no reúne las exigencias de la Ley 860 de 2003, pues no sufragó 50 semanas en los tres años anteriores a la estructuración de su invalidez. De otra parte, estimó que las cotizaciones que </w:t>
      </w:r>
      <w:r w:rsidR="00240394" w:rsidRPr="000967B1">
        <w:rPr>
          <w:rFonts w:ascii="Arial Narrow" w:hAnsi="Arial Narrow" w:cs="Tahoma"/>
          <w:bCs/>
          <w:iCs/>
          <w:sz w:val="28"/>
          <w:szCs w:val="28"/>
        </w:rPr>
        <w:t xml:space="preserve">el actor </w:t>
      </w:r>
      <w:r w:rsidRPr="000967B1">
        <w:rPr>
          <w:rFonts w:ascii="Arial Narrow" w:hAnsi="Arial Narrow" w:cs="Tahoma"/>
          <w:bCs/>
          <w:iCs/>
          <w:sz w:val="28"/>
          <w:szCs w:val="28"/>
        </w:rPr>
        <w:t xml:space="preserve">realizó con posteridad a la fecha de </w:t>
      </w:r>
      <w:r w:rsidRPr="000967B1">
        <w:rPr>
          <w:rFonts w:ascii="Arial Narrow" w:hAnsi="Arial Narrow" w:cs="Tahoma"/>
          <w:bCs/>
          <w:iCs/>
          <w:sz w:val="28"/>
          <w:szCs w:val="28"/>
        </w:rPr>
        <w:lastRenderedPageBreak/>
        <w:t xml:space="preserve">estructuración, no se derivaban de su actividad laboral, sino de </w:t>
      </w:r>
      <w:r w:rsidR="008E6274">
        <w:rPr>
          <w:rFonts w:ascii="Arial Narrow" w:hAnsi="Arial Narrow" w:cs="Tahoma"/>
          <w:bCs/>
          <w:iCs/>
          <w:sz w:val="28"/>
          <w:szCs w:val="28"/>
        </w:rPr>
        <w:t>los aportes que su empleador había efectuado por él como consecuencia de las incapacidades laborales que debió afrontar el trabajador.</w:t>
      </w:r>
    </w:p>
    <w:p w:rsidR="00172A9D" w:rsidRPr="000967B1" w:rsidRDefault="00172A9D" w:rsidP="00172A9D">
      <w:pPr>
        <w:pStyle w:val="Prrafodelista"/>
        <w:numPr>
          <w:ilvl w:val="0"/>
          <w:numId w:val="2"/>
        </w:numPr>
        <w:spacing w:line="360" w:lineRule="auto"/>
        <w:jc w:val="both"/>
        <w:rPr>
          <w:rFonts w:ascii="Arial Narrow" w:hAnsi="Arial Narrow" w:cs="Tahoma"/>
          <w:bCs/>
          <w:i/>
          <w:iCs/>
          <w:sz w:val="28"/>
          <w:szCs w:val="28"/>
        </w:rPr>
      </w:pPr>
      <w:r w:rsidRPr="000967B1">
        <w:rPr>
          <w:rFonts w:ascii="Arial Narrow" w:hAnsi="Arial Narrow" w:cs="Tahoma"/>
          <w:bCs/>
          <w:i/>
          <w:iCs/>
          <w:sz w:val="28"/>
          <w:szCs w:val="28"/>
        </w:rPr>
        <w:t>APELACIÓN</w:t>
      </w:r>
    </w:p>
    <w:p w:rsidR="00172A9D" w:rsidRPr="000967B1" w:rsidRDefault="00172A9D" w:rsidP="00172A9D">
      <w:pPr>
        <w:pStyle w:val="Sinespaciado"/>
      </w:pPr>
    </w:p>
    <w:p w:rsidR="000967B1" w:rsidRDefault="00172A9D" w:rsidP="006C6C70">
      <w:pPr>
        <w:spacing w:line="360" w:lineRule="auto"/>
        <w:ind w:firstLine="708"/>
        <w:jc w:val="both"/>
        <w:rPr>
          <w:rFonts w:ascii="Arial Narrow" w:hAnsi="Arial Narrow" w:cs="Tahoma"/>
          <w:bCs/>
          <w:iCs/>
          <w:sz w:val="28"/>
          <w:szCs w:val="28"/>
        </w:rPr>
      </w:pPr>
      <w:r w:rsidRPr="000967B1">
        <w:rPr>
          <w:rFonts w:ascii="Arial Narrow" w:hAnsi="Arial Narrow" w:cs="Tahoma"/>
          <w:bCs/>
          <w:iCs/>
          <w:sz w:val="28"/>
          <w:szCs w:val="28"/>
        </w:rPr>
        <w:t>El vocero judicial de</w:t>
      </w:r>
      <w:r w:rsidR="00AE2F4C" w:rsidRPr="000967B1">
        <w:rPr>
          <w:rFonts w:ascii="Arial Narrow" w:hAnsi="Arial Narrow" w:cs="Tahoma"/>
          <w:bCs/>
          <w:iCs/>
          <w:sz w:val="28"/>
          <w:szCs w:val="28"/>
        </w:rPr>
        <w:t xml:space="preserve">l </w:t>
      </w:r>
      <w:r w:rsidRPr="000967B1">
        <w:rPr>
          <w:rFonts w:ascii="Arial Narrow" w:hAnsi="Arial Narrow" w:cs="Tahoma"/>
          <w:bCs/>
          <w:iCs/>
          <w:sz w:val="28"/>
          <w:szCs w:val="28"/>
        </w:rPr>
        <w:t xml:space="preserve">demandante se alzó contra la decisión. </w:t>
      </w:r>
      <w:r w:rsidR="00593D37">
        <w:rPr>
          <w:rFonts w:ascii="Arial Narrow" w:hAnsi="Arial Narrow" w:cs="Tahoma"/>
          <w:bCs/>
          <w:iCs/>
          <w:sz w:val="28"/>
          <w:szCs w:val="28"/>
        </w:rPr>
        <w:t>En la sustentación indicó que la AFP demandada recibió los aportes que realizó el empleador durante el proceso de incapacidad del trabajador, debido a que aún no se había emitido dictamen de calificación, por lo que considera que no pueden desconocerse esos aportes</w:t>
      </w:r>
      <w:r w:rsidR="006C6C70">
        <w:rPr>
          <w:rFonts w:ascii="Arial Narrow" w:hAnsi="Arial Narrow" w:cs="Tahoma"/>
          <w:bCs/>
          <w:iCs/>
          <w:sz w:val="28"/>
          <w:szCs w:val="28"/>
        </w:rPr>
        <w:t xml:space="preserve">, más cuando el real estado de salud del paciente no se conoce sino hasta el momento en que la aseguradora realiza la calificación y se determina la fecha de estructuración de invalidez. </w:t>
      </w:r>
    </w:p>
    <w:p w:rsidR="006C6C70" w:rsidRPr="006C6C70" w:rsidRDefault="006C6C70" w:rsidP="006C6C70">
      <w:pPr>
        <w:pStyle w:val="Sinespaciado"/>
      </w:pPr>
    </w:p>
    <w:p w:rsidR="00172A9D" w:rsidRPr="000967B1" w:rsidRDefault="00172A9D" w:rsidP="000967B1">
      <w:pPr>
        <w:spacing w:line="360" w:lineRule="auto"/>
        <w:ind w:firstLine="708"/>
        <w:jc w:val="both"/>
        <w:rPr>
          <w:rFonts w:ascii="Arial Narrow" w:hAnsi="Arial Narrow" w:cs="Tahoma"/>
          <w:bCs/>
          <w:iCs/>
          <w:sz w:val="28"/>
          <w:szCs w:val="28"/>
        </w:rPr>
      </w:pPr>
      <w:r w:rsidRPr="000967B1">
        <w:rPr>
          <w:rFonts w:ascii="Arial Narrow" w:hAnsi="Arial Narrow" w:cs="Arial"/>
          <w:bCs/>
          <w:i/>
          <w:sz w:val="28"/>
          <w:szCs w:val="28"/>
        </w:rPr>
        <w:t>Del problema jurídico:</w:t>
      </w:r>
    </w:p>
    <w:p w:rsidR="00172A9D" w:rsidRPr="006C6C70" w:rsidRDefault="00172A9D" w:rsidP="006C6C70">
      <w:pPr>
        <w:pStyle w:val="Sinespaciado"/>
      </w:pPr>
    </w:p>
    <w:p w:rsidR="00172A9D" w:rsidRPr="00985915" w:rsidRDefault="00172A9D" w:rsidP="00172A9D">
      <w:pPr>
        <w:tabs>
          <w:tab w:val="left" w:pos="0"/>
          <w:tab w:val="left" w:pos="8647"/>
        </w:tabs>
        <w:suppressAutoHyphens/>
        <w:spacing w:line="360" w:lineRule="auto"/>
        <w:ind w:firstLine="709"/>
        <w:jc w:val="both"/>
        <w:rPr>
          <w:rFonts w:ascii="Arial Narrow" w:hAnsi="Arial Narrow" w:cs="Tahoma"/>
          <w:sz w:val="28"/>
          <w:szCs w:val="28"/>
        </w:rPr>
      </w:pPr>
      <w:r w:rsidRPr="00985915">
        <w:rPr>
          <w:rFonts w:ascii="Arial Narrow" w:hAnsi="Arial Narrow" w:cs="Tahoma"/>
          <w:i/>
          <w:sz w:val="28"/>
          <w:szCs w:val="28"/>
        </w:rPr>
        <w:t>Alegatos en esta instancia</w:t>
      </w:r>
      <w:r w:rsidRPr="00985915">
        <w:rPr>
          <w:rFonts w:ascii="Arial Narrow" w:hAnsi="Arial Narrow" w:cs="Tahoma"/>
          <w:sz w:val="28"/>
          <w:szCs w:val="28"/>
        </w:rPr>
        <w:t>:</w:t>
      </w:r>
    </w:p>
    <w:p w:rsidR="00172A9D" w:rsidRPr="000967B1" w:rsidRDefault="00172A9D" w:rsidP="000967B1">
      <w:pPr>
        <w:pStyle w:val="Sinespaciado"/>
      </w:pPr>
    </w:p>
    <w:p w:rsidR="00172A9D" w:rsidRDefault="00172A9D" w:rsidP="00172A9D">
      <w:pPr>
        <w:spacing w:line="360" w:lineRule="auto"/>
        <w:ind w:firstLine="709"/>
        <w:jc w:val="both"/>
        <w:rPr>
          <w:rFonts w:ascii="Arial Narrow" w:hAnsi="Arial Narrow" w:cs="Tahoma"/>
          <w:sz w:val="28"/>
          <w:szCs w:val="28"/>
        </w:rPr>
      </w:pPr>
      <w:r w:rsidRPr="00D058DE">
        <w:rPr>
          <w:rFonts w:ascii="Arial Narrow" w:hAnsi="Arial Narrow" w:cs="Tahoma"/>
          <w:sz w:val="28"/>
          <w:szCs w:val="28"/>
        </w:rPr>
        <w:t xml:space="preserve">En este estado de la diligencia y antes de que la Colegiatura, de respuesta al problema jurídico planteado, con el propósito de desatar </w:t>
      </w:r>
      <w:r>
        <w:rPr>
          <w:rFonts w:ascii="Arial Narrow" w:hAnsi="Arial Narrow" w:cs="Tahoma"/>
          <w:sz w:val="28"/>
          <w:szCs w:val="28"/>
        </w:rPr>
        <w:t>el recurso</w:t>
      </w:r>
      <w:r w:rsidRPr="00D058DE">
        <w:rPr>
          <w:rFonts w:ascii="Arial Narrow" w:hAnsi="Arial Narrow" w:cs="Tahoma"/>
          <w:sz w:val="28"/>
          <w:szCs w:val="28"/>
        </w:rPr>
        <w:t xml:space="preserve">, se corre traslado por el término de 8 minutos para alegar, a cada uno de los voceros judiciales de las partes asistentes a la audiencia, empezando por la parte </w:t>
      </w:r>
      <w:r>
        <w:rPr>
          <w:rFonts w:ascii="Arial Narrow" w:hAnsi="Arial Narrow" w:cs="Tahoma"/>
          <w:sz w:val="28"/>
          <w:szCs w:val="28"/>
        </w:rPr>
        <w:t>recurrente,</w:t>
      </w:r>
      <w:r w:rsidRPr="00D058DE">
        <w:rPr>
          <w:rFonts w:ascii="Arial Narrow" w:hAnsi="Arial Narrow" w:cs="Tahoma"/>
          <w:sz w:val="28"/>
          <w:szCs w:val="28"/>
        </w:rPr>
        <w:t xml:space="preserve"> con la advertencia de que sus exposiciones versarán </w:t>
      </w:r>
      <w:r>
        <w:rPr>
          <w:rFonts w:ascii="Arial Narrow" w:hAnsi="Arial Narrow" w:cs="Tahoma"/>
          <w:sz w:val="28"/>
          <w:szCs w:val="28"/>
        </w:rPr>
        <w:t xml:space="preserve">únicamente </w:t>
      </w:r>
      <w:r w:rsidRPr="00D058DE">
        <w:rPr>
          <w:rFonts w:ascii="Arial Narrow" w:hAnsi="Arial Narrow" w:cs="Tahoma"/>
          <w:sz w:val="28"/>
          <w:szCs w:val="28"/>
        </w:rPr>
        <w:t>en torno a lo que fue motivo de apelación.</w:t>
      </w:r>
      <w:r>
        <w:rPr>
          <w:rFonts w:ascii="Arial Narrow" w:hAnsi="Arial Narrow" w:cs="Tahoma"/>
          <w:sz w:val="28"/>
          <w:szCs w:val="28"/>
        </w:rPr>
        <w:t xml:space="preserve"> </w:t>
      </w:r>
      <w:r w:rsidRPr="00D058DE">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172A9D" w:rsidRPr="00692B72" w:rsidRDefault="00172A9D" w:rsidP="00172A9D">
      <w:pPr>
        <w:pStyle w:val="Sinespaciado"/>
        <w:spacing w:line="276" w:lineRule="auto"/>
      </w:pPr>
    </w:p>
    <w:p w:rsidR="00172A9D" w:rsidRPr="00721BBF" w:rsidRDefault="00172A9D" w:rsidP="00172A9D">
      <w:pPr>
        <w:pStyle w:val="Prrafodelista"/>
        <w:numPr>
          <w:ilvl w:val="0"/>
          <w:numId w:val="2"/>
        </w:numPr>
        <w:spacing w:line="360" w:lineRule="auto"/>
        <w:jc w:val="both"/>
        <w:rPr>
          <w:rFonts w:ascii="Arial Narrow" w:hAnsi="Arial Narrow" w:cs="Tahoma"/>
          <w:i/>
          <w:sz w:val="28"/>
          <w:szCs w:val="28"/>
        </w:rPr>
      </w:pPr>
      <w:r>
        <w:rPr>
          <w:rFonts w:ascii="Arial Narrow" w:hAnsi="Arial Narrow" w:cs="Tahoma"/>
          <w:i/>
          <w:sz w:val="28"/>
          <w:szCs w:val="28"/>
        </w:rPr>
        <w:t>CONSIDERACIONES</w:t>
      </w:r>
    </w:p>
    <w:p w:rsidR="00172A9D" w:rsidRPr="00721BBF" w:rsidRDefault="00172A9D" w:rsidP="00172A9D">
      <w:pPr>
        <w:pStyle w:val="Sinespaciado"/>
      </w:pPr>
    </w:p>
    <w:p w:rsidR="00172A9D" w:rsidRDefault="00172A9D" w:rsidP="00172A9D">
      <w:pPr>
        <w:autoSpaceDE w:val="0"/>
        <w:autoSpaceDN w:val="0"/>
        <w:adjustRightInd w:val="0"/>
        <w:spacing w:line="360" w:lineRule="auto"/>
        <w:ind w:firstLine="709"/>
        <w:jc w:val="both"/>
        <w:rPr>
          <w:rFonts w:ascii="Arial Narrow" w:hAnsi="Arial Narrow" w:cs="Arial"/>
          <w:i/>
          <w:sz w:val="28"/>
          <w:szCs w:val="28"/>
        </w:rPr>
      </w:pPr>
      <w:r w:rsidRPr="00721BBF">
        <w:rPr>
          <w:rFonts w:ascii="Arial Narrow" w:hAnsi="Arial Narrow" w:cs="Arial"/>
          <w:i/>
          <w:sz w:val="28"/>
          <w:szCs w:val="28"/>
        </w:rPr>
        <w:t>Desarrollo de la problemática planteada.</w:t>
      </w:r>
    </w:p>
    <w:p w:rsidR="00DC6ADF" w:rsidRDefault="00DC6ADF" w:rsidP="00DC6ADF">
      <w:pPr>
        <w:pStyle w:val="Sinespaciado"/>
      </w:pPr>
    </w:p>
    <w:p w:rsidR="00DC6ADF" w:rsidRPr="00DC6ADF" w:rsidRDefault="00DC6ADF" w:rsidP="00DC6ADF">
      <w:pPr>
        <w:pStyle w:val="Textoindependiente"/>
        <w:ind w:firstLine="708"/>
        <w:rPr>
          <w:rFonts w:ascii="Arial Narrow" w:hAnsi="Arial Narrow" w:cs="Arial"/>
          <w:sz w:val="28"/>
          <w:szCs w:val="28"/>
        </w:rPr>
      </w:pPr>
      <w:r w:rsidRPr="00DC6ADF">
        <w:rPr>
          <w:rFonts w:ascii="Arial Narrow" w:hAnsi="Arial Narrow"/>
          <w:iCs/>
          <w:sz w:val="28"/>
          <w:szCs w:val="28"/>
        </w:rPr>
        <w:t xml:space="preserve">Es posición pacifica </w:t>
      </w:r>
      <w:r w:rsidRPr="00DC6ADF">
        <w:rPr>
          <w:rFonts w:ascii="Arial Narrow" w:hAnsi="Arial Narrow" w:cs="Arial"/>
          <w:sz w:val="28"/>
          <w:szCs w:val="28"/>
        </w:rPr>
        <w:t>de la jurisprudencia considerar que la norma que rige las pensiones de invalidez es la vigente al momento en el que se estructura la pérdida de la capacidad laboral del afiliado.</w:t>
      </w:r>
    </w:p>
    <w:p w:rsidR="00DC6ADF" w:rsidRPr="006C6C70" w:rsidRDefault="00DC6ADF" w:rsidP="006C6C70">
      <w:pPr>
        <w:pStyle w:val="Sinespaciado"/>
      </w:pPr>
    </w:p>
    <w:p w:rsidR="006C6C70" w:rsidRDefault="00DC6ADF" w:rsidP="006C6C70">
      <w:pPr>
        <w:pStyle w:val="Textoindependiente32"/>
        <w:ind w:firstLine="993"/>
        <w:rPr>
          <w:rFonts w:ascii="Arial Narrow" w:hAnsi="Arial Narrow" w:cs="Tahoma"/>
          <w:sz w:val="28"/>
          <w:szCs w:val="28"/>
        </w:rPr>
      </w:pPr>
      <w:r>
        <w:rPr>
          <w:rFonts w:ascii="Arial Narrow" w:hAnsi="Arial Narrow" w:cs="Tahoma"/>
          <w:sz w:val="28"/>
          <w:szCs w:val="28"/>
        </w:rPr>
        <w:t xml:space="preserve">Así las cosas, con arreglo en el </w:t>
      </w:r>
      <w:r w:rsidRPr="00B948F9">
        <w:rPr>
          <w:rFonts w:ascii="Arial Narrow" w:hAnsi="Arial Narrow" w:cs="Tahoma"/>
          <w:sz w:val="28"/>
          <w:szCs w:val="28"/>
        </w:rPr>
        <w:t xml:space="preserve">artículo 39 de la Ley 100 de 1993 modificado por el artículo </w:t>
      </w:r>
      <w:r>
        <w:rPr>
          <w:rFonts w:ascii="Arial Narrow" w:hAnsi="Arial Narrow" w:cs="Tahoma"/>
          <w:sz w:val="28"/>
          <w:szCs w:val="28"/>
        </w:rPr>
        <w:t xml:space="preserve">1º de la Ley </w:t>
      </w:r>
      <w:r w:rsidRPr="00B948F9">
        <w:rPr>
          <w:rFonts w:ascii="Arial Narrow" w:hAnsi="Arial Narrow" w:cs="Tahoma"/>
          <w:sz w:val="28"/>
          <w:szCs w:val="28"/>
        </w:rPr>
        <w:t xml:space="preserve">860 de 2003, son dos los presupuestos que una persona </w:t>
      </w:r>
      <w:r w:rsidRPr="00B948F9">
        <w:rPr>
          <w:rFonts w:ascii="Arial Narrow" w:hAnsi="Arial Narrow" w:cs="Tahoma"/>
          <w:sz w:val="28"/>
          <w:szCs w:val="28"/>
        </w:rPr>
        <w:lastRenderedPageBreak/>
        <w:t xml:space="preserve">debe cumplir para acceder a la pensión de invalidez, a saber: </w:t>
      </w:r>
      <w:r w:rsidRPr="00976B3F">
        <w:rPr>
          <w:rFonts w:ascii="Arial Narrow" w:hAnsi="Arial Narrow" w:cs="Tahoma"/>
          <w:b/>
          <w:i/>
          <w:sz w:val="28"/>
          <w:szCs w:val="28"/>
        </w:rPr>
        <w:t>i)</w:t>
      </w:r>
      <w:r w:rsidRPr="00B948F9">
        <w:rPr>
          <w:rFonts w:ascii="Arial Narrow" w:hAnsi="Arial Narrow" w:cs="Tahoma"/>
          <w:sz w:val="28"/>
          <w:szCs w:val="28"/>
        </w:rPr>
        <w:t xml:space="preserve"> que tenga un porcentaje d</w:t>
      </w:r>
      <w:r>
        <w:rPr>
          <w:rFonts w:ascii="Arial Narrow" w:hAnsi="Arial Narrow" w:cs="Tahoma"/>
          <w:sz w:val="28"/>
          <w:szCs w:val="28"/>
        </w:rPr>
        <w:t xml:space="preserve">e invalidez superior al 50 % y </w:t>
      </w:r>
      <w:r w:rsidRPr="00976B3F">
        <w:rPr>
          <w:rFonts w:ascii="Arial Narrow" w:hAnsi="Arial Narrow" w:cs="Tahoma"/>
          <w:b/>
          <w:i/>
          <w:sz w:val="28"/>
          <w:szCs w:val="28"/>
        </w:rPr>
        <w:t xml:space="preserve">ii) </w:t>
      </w:r>
      <w:r>
        <w:rPr>
          <w:rFonts w:ascii="Arial Narrow" w:hAnsi="Arial Narrow" w:cs="Tahoma"/>
          <w:sz w:val="28"/>
          <w:szCs w:val="28"/>
        </w:rPr>
        <w:t xml:space="preserve">tener </w:t>
      </w:r>
      <w:r w:rsidRPr="00B948F9">
        <w:rPr>
          <w:rFonts w:ascii="Arial Narrow" w:hAnsi="Arial Narrow" w:cs="Tahoma"/>
          <w:sz w:val="28"/>
          <w:szCs w:val="28"/>
        </w:rPr>
        <w:t>50 semanas sufragadas al sistema pensional, dentro de los tres años anteriores a la fecha de estructuración del estado invalidante.</w:t>
      </w:r>
    </w:p>
    <w:p w:rsidR="0064169B" w:rsidRPr="006C6C70" w:rsidRDefault="00F911FB" w:rsidP="006C6C70">
      <w:pPr>
        <w:pStyle w:val="Textoindependiente32"/>
        <w:rPr>
          <w:rFonts w:ascii="Arial Narrow" w:hAnsi="Arial Narrow" w:cs="Tahoma"/>
          <w:sz w:val="28"/>
          <w:szCs w:val="28"/>
        </w:rPr>
      </w:pPr>
      <w:r w:rsidRPr="00F911FB">
        <w:rPr>
          <w:rFonts w:ascii="Arial Narrow" w:hAnsi="Arial Narrow" w:cs="Arial"/>
          <w:sz w:val="28"/>
          <w:szCs w:val="28"/>
        </w:rPr>
        <w:t xml:space="preserve">Dada la orientación del recurso, no es objeto de discusión en esta sede, que el demandante presenta una pérdida de capacidad laboral del 79.75 %, de origen común, estructurada el </w:t>
      </w:r>
      <w:r w:rsidR="0064169B" w:rsidRPr="00F911FB">
        <w:rPr>
          <w:rFonts w:ascii="Arial Narrow" w:hAnsi="Arial Narrow" w:cs="Tahoma"/>
          <w:sz w:val="28"/>
          <w:szCs w:val="28"/>
        </w:rPr>
        <w:t xml:space="preserve">24 de febrero de 2014, calenda en que sufrió un accidente de tránsito. </w:t>
      </w:r>
      <w:r w:rsidRPr="00F911FB">
        <w:rPr>
          <w:rFonts w:ascii="Arial Narrow" w:hAnsi="Arial Narrow" w:cs="Tahoma"/>
          <w:sz w:val="28"/>
          <w:szCs w:val="28"/>
        </w:rPr>
        <w:t>Así mismo, que</w:t>
      </w:r>
      <w:r w:rsidR="00E031DA">
        <w:rPr>
          <w:rFonts w:ascii="Arial Narrow" w:hAnsi="Arial Narrow" w:cs="Tahoma"/>
          <w:sz w:val="28"/>
          <w:szCs w:val="28"/>
        </w:rPr>
        <w:t xml:space="preserve"> el demandante no</w:t>
      </w:r>
      <w:r w:rsidRPr="00F911FB">
        <w:rPr>
          <w:rFonts w:ascii="Arial Narrow" w:hAnsi="Arial Narrow" w:cs="Tahoma"/>
          <w:sz w:val="28"/>
          <w:szCs w:val="28"/>
        </w:rPr>
        <w:t xml:space="preserve"> </w:t>
      </w:r>
      <w:r w:rsidR="00E031DA">
        <w:rPr>
          <w:rFonts w:ascii="Arial Narrow" w:hAnsi="Arial Narrow" w:cs="Tahoma"/>
          <w:sz w:val="28"/>
          <w:szCs w:val="28"/>
        </w:rPr>
        <w:t xml:space="preserve">satisface la densidad de semanas exigidas en la norma aplicable al caso, pues </w:t>
      </w:r>
      <w:r w:rsidRPr="00F911FB">
        <w:rPr>
          <w:rFonts w:ascii="Arial Narrow" w:hAnsi="Arial Narrow" w:cs="Tahoma"/>
          <w:sz w:val="28"/>
          <w:szCs w:val="28"/>
        </w:rPr>
        <w:t>durante</w:t>
      </w:r>
      <w:r w:rsidRPr="00F911FB">
        <w:rPr>
          <w:rFonts w:ascii="Arial Narrow" w:eastAsia="Calibri" w:hAnsi="Arial Narrow" w:cs="Arial"/>
          <w:sz w:val="28"/>
          <w:szCs w:val="28"/>
          <w:lang w:val="es-CO" w:eastAsia="en-US"/>
        </w:rPr>
        <w:t xml:space="preserve"> los tres años anteriores </w:t>
      </w:r>
      <w:r w:rsidR="0064169B" w:rsidRPr="00F911FB">
        <w:rPr>
          <w:rFonts w:ascii="Arial Narrow" w:eastAsia="Calibri" w:hAnsi="Arial Narrow" w:cs="Arial"/>
          <w:sz w:val="28"/>
          <w:szCs w:val="28"/>
          <w:lang w:val="es-CO" w:eastAsia="en-US"/>
        </w:rPr>
        <w:t>a la fecha de estructuración de la invalidez, e</w:t>
      </w:r>
      <w:r w:rsidR="00E031DA">
        <w:rPr>
          <w:rFonts w:ascii="Arial Narrow" w:eastAsia="Calibri" w:hAnsi="Arial Narrow" w:cs="Arial"/>
          <w:sz w:val="28"/>
          <w:szCs w:val="28"/>
          <w:lang w:val="es-CO" w:eastAsia="en-US"/>
        </w:rPr>
        <w:t>sto es</w:t>
      </w:r>
      <w:r w:rsidR="0064169B" w:rsidRPr="00F911FB">
        <w:rPr>
          <w:rFonts w:ascii="Arial Narrow" w:eastAsia="Calibri" w:hAnsi="Arial Narrow" w:cs="Arial"/>
          <w:sz w:val="28"/>
          <w:szCs w:val="28"/>
          <w:lang w:val="es-CO" w:eastAsia="en-US"/>
        </w:rPr>
        <w:t xml:space="preserve">, entre el 24 de febrero de 2011 y ese mismo día y mes del 2014, sólo </w:t>
      </w:r>
      <w:r w:rsidRPr="00F911FB">
        <w:rPr>
          <w:rFonts w:ascii="Arial Narrow" w:eastAsia="Calibri" w:hAnsi="Arial Narrow" w:cs="Arial"/>
          <w:sz w:val="28"/>
          <w:szCs w:val="28"/>
          <w:lang w:val="es-CO" w:eastAsia="en-US"/>
        </w:rPr>
        <w:t xml:space="preserve">cotizó </w:t>
      </w:r>
      <w:r w:rsidR="0064169B" w:rsidRPr="00F911FB">
        <w:rPr>
          <w:rFonts w:ascii="Arial Narrow" w:eastAsia="Calibri" w:hAnsi="Arial Narrow" w:cs="Arial"/>
          <w:sz w:val="28"/>
          <w:szCs w:val="28"/>
          <w:lang w:val="es-CO" w:eastAsia="en-US"/>
        </w:rPr>
        <w:t xml:space="preserve">un total de </w:t>
      </w:r>
      <w:r w:rsidR="00285924" w:rsidRPr="00F911FB">
        <w:rPr>
          <w:rFonts w:ascii="Arial Narrow" w:eastAsia="Calibri" w:hAnsi="Arial Narrow" w:cs="Arial"/>
          <w:sz w:val="28"/>
          <w:szCs w:val="28"/>
          <w:lang w:val="es-CO" w:eastAsia="en-US"/>
        </w:rPr>
        <w:t>12.14 semanas de cotización, las cuales resultan insuficientes para su aspiración de obtener la pensión de invalidez.</w:t>
      </w:r>
    </w:p>
    <w:p w:rsidR="00E031DA" w:rsidRDefault="00E031DA" w:rsidP="00E031DA">
      <w:pPr>
        <w:pStyle w:val="Sinespaciado"/>
        <w:rPr>
          <w:rFonts w:eastAsia="Calibri"/>
          <w:lang w:val="es-CO" w:eastAsia="en-US"/>
        </w:rPr>
      </w:pPr>
    </w:p>
    <w:p w:rsidR="00E031DA" w:rsidRDefault="00E031DA" w:rsidP="00F911FB">
      <w:pPr>
        <w:autoSpaceDE w:val="0"/>
        <w:autoSpaceDN w:val="0"/>
        <w:adjustRightInd w:val="0"/>
        <w:spacing w:line="360" w:lineRule="auto"/>
        <w:ind w:firstLine="709"/>
        <w:jc w:val="both"/>
        <w:rPr>
          <w:rFonts w:ascii="Arial Narrow" w:eastAsia="Calibri" w:hAnsi="Arial Narrow" w:cs="Arial"/>
          <w:color w:val="FF0000"/>
          <w:sz w:val="28"/>
          <w:szCs w:val="28"/>
          <w:lang w:val="es-CO" w:eastAsia="en-US"/>
        </w:rPr>
      </w:pPr>
      <w:r>
        <w:rPr>
          <w:rFonts w:ascii="Arial Narrow" w:eastAsia="Calibri" w:hAnsi="Arial Narrow" w:cs="Arial"/>
          <w:sz w:val="28"/>
          <w:szCs w:val="28"/>
          <w:lang w:val="es-CO" w:eastAsia="en-US"/>
        </w:rPr>
        <w:t xml:space="preserve">La controversia del </w:t>
      </w:r>
      <w:r w:rsidR="00AE0C64">
        <w:rPr>
          <w:rFonts w:ascii="Arial Narrow" w:eastAsia="Calibri" w:hAnsi="Arial Narrow" w:cs="Arial"/>
          <w:sz w:val="28"/>
          <w:szCs w:val="28"/>
          <w:lang w:val="es-CO" w:eastAsia="en-US"/>
        </w:rPr>
        <w:t xml:space="preserve">asunto, entonces </w:t>
      </w:r>
      <w:r>
        <w:rPr>
          <w:rFonts w:ascii="Arial Narrow" w:eastAsia="Calibri" w:hAnsi="Arial Narrow" w:cs="Arial"/>
          <w:sz w:val="28"/>
          <w:szCs w:val="28"/>
          <w:lang w:val="es-CO" w:eastAsia="en-US"/>
        </w:rPr>
        <w:t xml:space="preserve">gira en torno a determinar si es procedente tener en cuenta las cotizaciones </w:t>
      </w:r>
      <w:r w:rsidR="00AE0C64">
        <w:rPr>
          <w:rFonts w:ascii="Arial Narrow" w:eastAsia="Calibri" w:hAnsi="Arial Narrow" w:cs="Arial"/>
          <w:sz w:val="28"/>
          <w:szCs w:val="28"/>
          <w:lang w:val="es-CO" w:eastAsia="en-US"/>
        </w:rPr>
        <w:t xml:space="preserve">que con posterioridad </w:t>
      </w:r>
      <w:r>
        <w:rPr>
          <w:rFonts w:ascii="Arial Narrow" w:eastAsia="Calibri" w:hAnsi="Arial Narrow" w:cs="Arial"/>
          <w:sz w:val="28"/>
          <w:szCs w:val="28"/>
          <w:lang w:val="es-CO" w:eastAsia="en-US"/>
        </w:rPr>
        <w:t xml:space="preserve">a la fecha de estructuración </w:t>
      </w:r>
      <w:r w:rsidR="00AE0C64">
        <w:rPr>
          <w:rFonts w:ascii="Arial Narrow" w:eastAsia="Calibri" w:hAnsi="Arial Narrow" w:cs="Arial"/>
          <w:sz w:val="28"/>
          <w:szCs w:val="28"/>
          <w:lang w:val="es-CO" w:eastAsia="en-US"/>
        </w:rPr>
        <w:t xml:space="preserve">realizó el </w:t>
      </w:r>
      <w:r>
        <w:rPr>
          <w:rFonts w:ascii="Arial Narrow" w:eastAsia="Calibri" w:hAnsi="Arial Narrow" w:cs="Arial"/>
          <w:sz w:val="28"/>
          <w:szCs w:val="28"/>
          <w:lang w:val="es-CO" w:eastAsia="en-US"/>
        </w:rPr>
        <w:t xml:space="preserve">empleador del </w:t>
      </w:r>
      <w:r w:rsidRPr="000967B1">
        <w:rPr>
          <w:rFonts w:ascii="Arial Narrow" w:eastAsia="Calibri" w:hAnsi="Arial Narrow" w:cs="Arial"/>
          <w:sz w:val="28"/>
          <w:szCs w:val="28"/>
          <w:lang w:val="es-CO" w:eastAsia="en-US"/>
        </w:rPr>
        <w:t>demandante</w:t>
      </w:r>
      <w:r w:rsidR="00AE0C64" w:rsidRPr="000967B1">
        <w:rPr>
          <w:rFonts w:ascii="Arial Narrow" w:eastAsia="Calibri" w:hAnsi="Arial Narrow" w:cs="Arial"/>
          <w:sz w:val="28"/>
          <w:szCs w:val="28"/>
          <w:lang w:val="es-CO" w:eastAsia="en-US"/>
        </w:rPr>
        <w:t xml:space="preserve">, </w:t>
      </w:r>
      <w:r w:rsidR="000967B1" w:rsidRPr="000967B1">
        <w:rPr>
          <w:rFonts w:ascii="Arial Narrow" w:eastAsia="Calibri" w:hAnsi="Arial Narrow" w:cs="Arial"/>
          <w:sz w:val="28"/>
          <w:szCs w:val="28"/>
          <w:lang w:val="es-CO" w:eastAsia="en-US"/>
        </w:rPr>
        <w:t xml:space="preserve">con ocasión a las </w:t>
      </w:r>
      <w:r w:rsidR="00AE0C64" w:rsidRPr="000967B1">
        <w:rPr>
          <w:rFonts w:ascii="Arial Narrow" w:eastAsia="Calibri" w:hAnsi="Arial Narrow" w:cs="Arial"/>
          <w:sz w:val="28"/>
          <w:szCs w:val="28"/>
          <w:lang w:val="es-CO" w:eastAsia="en-US"/>
        </w:rPr>
        <w:t>incapacidades</w:t>
      </w:r>
      <w:r w:rsidR="00B95D82" w:rsidRPr="000967B1">
        <w:rPr>
          <w:rFonts w:ascii="Arial Narrow" w:eastAsia="Calibri" w:hAnsi="Arial Narrow" w:cs="Arial"/>
          <w:sz w:val="28"/>
          <w:szCs w:val="28"/>
          <w:lang w:val="es-CO" w:eastAsia="en-US"/>
        </w:rPr>
        <w:t xml:space="preserve"> </w:t>
      </w:r>
      <w:r w:rsidR="000967B1" w:rsidRPr="000967B1">
        <w:rPr>
          <w:rFonts w:ascii="Arial Narrow" w:eastAsia="Calibri" w:hAnsi="Arial Narrow" w:cs="Arial"/>
          <w:sz w:val="28"/>
          <w:szCs w:val="28"/>
          <w:lang w:val="es-CO" w:eastAsia="en-US"/>
        </w:rPr>
        <w:t>laborales que se generaron con posterioridad al accidente de tránsito.</w:t>
      </w:r>
    </w:p>
    <w:p w:rsidR="00AE0C64" w:rsidRDefault="00AE0C64" w:rsidP="00B95D82">
      <w:pPr>
        <w:pStyle w:val="Sinespaciado"/>
        <w:rPr>
          <w:rFonts w:eastAsia="Calibri"/>
          <w:lang w:val="es-CO" w:eastAsia="en-US"/>
        </w:rPr>
      </w:pPr>
    </w:p>
    <w:p w:rsidR="00172A9D" w:rsidRDefault="00AE0C64" w:rsidP="001F03E0">
      <w:pPr>
        <w:autoSpaceDE w:val="0"/>
        <w:autoSpaceDN w:val="0"/>
        <w:adjustRightInd w:val="0"/>
        <w:spacing w:line="360" w:lineRule="auto"/>
        <w:ind w:firstLine="709"/>
        <w:jc w:val="both"/>
        <w:rPr>
          <w:rFonts w:ascii="Arial Narrow" w:hAnsi="Arial Narrow" w:cs="Arial"/>
          <w:color w:val="FF0000"/>
          <w:sz w:val="28"/>
          <w:szCs w:val="28"/>
        </w:rPr>
      </w:pPr>
      <w:r w:rsidRPr="00AE0C64">
        <w:rPr>
          <w:rFonts w:ascii="Arial Narrow" w:eastAsia="Calibri" w:hAnsi="Arial Narrow" w:cs="Arial"/>
          <w:sz w:val="28"/>
          <w:szCs w:val="28"/>
          <w:lang w:val="es-CO" w:eastAsia="en-US"/>
        </w:rPr>
        <w:t xml:space="preserve">Para ello, </w:t>
      </w:r>
      <w:r w:rsidR="001F03E0">
        <w:rPr>
          <w:rFonts w:ascii="Arial Narrow" w:eastAsia="Calibri" w:hAnsi="Arial Narrow" w:cs="Arial"/>
          <w:sz w:val="28"/>
          <w:szCs w:val="28"/>
          <w:lang w:val="es-CO" w:eastAsia="en-US"/>
        </w:rPr>
        <w:t xml:space="preserve">se ha de precisar que si bien los argumentos relativos a la validez </w:t>
      </w:r>
      <w:r w:rsidR="00172A9D">
        <w:rPr>
          <w:rFonts w:ascii="Arial Narrow" w:hAnsi="Arial Narrow" w:cs="Arial"/>
          <w:sz w:val="28"/>
          <w:szCs w:val="28"/>
        </w:rPr>
        <w:t>de las cotizaciones efectuadas con posterioridad a la es</w:t>
      </w:r>
      <w:r w:rsidR="001F03E0">
        <w:rPr>
          <w:rFonts w:ascii="Arial Narrow" w:hAnsi="Arial Narrow" w:cs="Arial"/>
          <w:sz w:val="28"/>
          <w:szCs w:val="28"/>
        </w:rPr>
        <w:t xml:space="preserve">tructuración de la enfermedad, </w:t>
      </w:r>
      <w:r w:rsidR="00172A9D">
        <w:rPr>
          <w:rFonts w:ascii="Arial Narrow" w:hAnsi="Arial Narrow" w:cs="Arial"/>
          <w:sz w:val="28"/>
          <w:szCs w:val="28"/>
        </w:rPr>
        <w:t>han sido avaladas entre otras ocasiones por la Corte Cons</w:t>
      </w:r>
      <w:r w:rsidR="001F03E0">
        <w:rPr>
          <w:rFonts w:ascii="Arial Narrow" w:hAnsi="Arial Narrow" w:cs="Arial"/>
          <w:sz w:val="28"/>
          <w:szCs w:val="28"/>
        </w:rPr>
        <w:t xml:space="preserve">titucional y por esta Sala, no pueden ser de </w:t>
      </w:r>
      <w:r w:rsidR="00172A9D">
        <w:rPr>
          <w:rFonts w:ascii="Arial Narrow" w:hAnsi="Arial Narrow" w:cs="Arial"/>
          <w:sz w:val="28"/>
          <w:szCs w:val="28"/>
        </w:rPr>
        <w:t xml:space="preserve">recibo en el sub-lite, en </w:t>
      </w:r>
      <w:r w:rsidR="00172A9D" w:rsidRPr="0078351D">
        <w:rPr>
          <w:rFonts w:ascii="Arial Narrow" w:hAnsi="Arial Narrow" w:cs="Arial"/>
          <w:sz w:val="28"/>
          <w:szCs w:val="28"/>
        </w:rPr>
        <w:t>la medida en q</w:t>
      </w:r>
      <w:r w:rsidR="00B95D82" w:rsidRPr="0078351D">
        <w:rPr>
          <w:rFonts w:ascii="Arial Narrow" w:hAnsi="Arial Narrow" w:cs="Arial"/>
          <w:sz w:val="28"/>
          <w:szCs w:val="28"/>
        </w:rPr>
        <w:t>ue no es suficiente que tales aportes se realicen</w:t>
      </w:r>
      <w:r w:rsidR="00172A9D" w:rsidRPr="0078351D">
        <w:rPr>
          <w:rFonts w:ascii="Arial Narrow" w:hAnsi="Arial Narrow" w:cs="Arial"/>
          <w:sz w:val="28"/>
          <w:szCs w:val="28"/>
        </w:rPr>
        <w:t xml:space="preserve">, sino </w:t>
      </w:r>
      <w:r w:rsidR="00172A9D">
        <w:rPr>
          <w:rFonts w:ascii="Arial Narrow" w:hAnsi="Arial Narrow" w:cs="Arial"/>
          <w:sz w:val="28"/>
          <w:szCs w:val="28"/>
        </w:rPr>
        <w:t xml:space="preserve">que los mismos </w:t>
      </w:r>
      <w:r w:rsidR="00B95D82">
        <w:rPr>
          <w:rFonts w:ascii="Arial Narrow" w:hAnsi="Arial Narrow" w:cs="Arial"/>
          <w:sz w:val="28"/>
          <w:szCs w:val="28"/>
        </w:rPr>
        <w:t xml:space="preserve">deben ser </w:t>
      </w:r>
      <w:r w:rsidR="00172A9D">
        <w:rPr>
          <w:rFonts w:ascii="Arial Narrow" w:hAnsi="Arial Narrow" w:cs="Arial"/>
          <w:sz w:val="28"/>
          <w:szCs w:val="28"/>
        </w:rPr>
        <w:t>el resultado de la actividad laboral de la afiliad</w:t>
      </w:r>
      <w:r w:rsidR="007170C1">
        <w:rPr>
          <w:rFonts w:ascii="Arial Narrow" w:hAnsi="Arial Narrow" w:cs="Arial"/>
          <w:sz w:val="28"/>
          <w:szCs w:val="28"/>
        </w:rPr>
        <w:t>o</w:t>
      </w:r>
      <w:r w:rsidR="00172A9D">
        <w:rPr>
          <w:rFonts w:ascii="Arial Narrow" w:hAnsi="Arial Narrow" w:cs="Arial"/>
          <w:sz w:val="28"/>
          <w:szCs w:val="28"/>
        </w:rPr>
        <w:t xml:space="preserve">, </w:t>
      </w:r>
      <w:r w:rsidR="00B95D82">
        <w:rPr>
          <w:rFonts w:ascii="Arial Narrow" w:hAnsi="Arial Narrow" w:cs="Arial"/>
          <w:sz w:val="28"/>
          <w:szCs w:val="28"/>
        </w:rPr>
        <w:t xml:space="preserve">pues en últimas, ese es </w:t>
      </w:r>
      <w:r w:rsidR="00172A9D">
        <w:rPr>
          <w:rFonts w:ascii="Arial Narrow" w:hAnsi="Arial Narrow" w:cs="Arial"/>
          <w:sz w:val="28"/>
          <w:szCs w:val="28"/>
        </w:rPr>
        <w:t xml:space="preserve">el parámetro a tener en cuenta para afirmar que la realidad en torno a la incapacidad de más del 50 %, se produjo más allá de la época indicada en la experticia, pues, ella se marcaría en el instante en que dejó de cotizar, coincidente el hecho con la cesación definitiva de su actividad laboral, situación que </w:t>
      </w:r>
      <w:r w:rsidR="00B95D82">
        <w:rPr>
          <w:rFonts w:ascii="Arial Narrow" w:hAnsi="Arial Narrow" w:cs="Arial"/>
          <w:sz w:val="28"/>
          <w:szCs w:val="28"/>
        </w:rPr>
        <w:t>acá se desdice, pues las cotizaciones fueron realizadas por el empleador como consecuencias de las incapacidades laborales que se generaron con posterioridad a la ocurrencia del siniestro</w:t>
      </w:r>
      <w:r w:rsidR="000356B1">
        <w:rPr>
          <w:rFonts w:ascii="Arial Narrow" w:hAnsi="Arial Narrow" w:cs="Arial"/>
          <w:sz w:val="28"/>
          <w:szCs w:val="28"/>
        </w:rPr>
        <w:t xml:space="preserve">, de lo que se colige que no son producto de la actividad laboral del demandante. </w:t>
      </w:r>
    </w:p>
    <w:p w:rsidR="007170C1" w:rsidRDefault="007170C1" w:rsidP="00B95D82">
      <w:pPr>
        <w:pStyle w:val="Sinespaciado"/>
      </w:pPr>
    </w:p>
    <w:p w:rsidR="007170C1" w:rsidRPr="000A124A" w:rsidRDefault="003D225B" w:rsidP="001F03E0">
      <w:pPr>
        <w:autoSpaceDE w:val="0"/>
        <w:autoSpaceDN w:val="0"/>
        <w:adjustRightInd w:val="0"/>
        <w:spacing w:line="360" w:lineRule="auto"/>
        <w:ind w:firstLine="709"/>
        <w:jc w:val="both"/>
        <w:rPr>
          <w:rFonts w:ascii="Arial Narrow" w:hAnsi="Arial Narrow" w:cs="Arial"/>
          <w:sz w:val="28"/>
          <w:szCs w:val="28"/>
        </w:rPr>
      </w:pPr>
      <w:r w:rsidRPr="000A124A">
        <w:rPr>
          <w:rFonts w:ascii="Arial Narrow" w:hAnsi="Arial Narrow" w:cs="Arial"/>
          <w:sz w:val="28"/>
          <w:szCs w:val="28"/>
        </w:rPr>
        <w:lastRenderedPageBreak/>
        <w:t xml:space="preserve">Ahora bien, </w:t>
      </w:r>
      <w:r w:rsidR="000356B1" w:rsidRPr="000A124A">
        <w:rPr>
          <w:rFonts w:ascii="Arial Narrow" w:hAnsi="Arial Narrow" w:cs="Arial"/>
          <w:sz w:val="28"/>
          <w:szCs w:val="28"/>
        </w:rPr>
        <w:t xml:space="preserve">el que la entidad </w:t>
      </w:r>
      <w:r w:rsidRPr="000A124A">
        <w:rPr>
          <w:rFonts w:ascii="Arial Narrow" w:hAnsi="Arial Narrow" w:cs="Arial"/>
          <w:sz w:val="28"/>
          <w:szCs w:val="28"/>
        </w:rPr>
        <w:t xml:space="preserve">de seguridad social haya recibido el pago de tales aportes no es un argumento válido para </w:t>
      </w:r>
      <w:r w:rsidR="000356B1" w:rsidRPr="000A124A">
        <w:rPr>
          <w:rFonts w:ascii="Arial Narrow" w:hAnsi="Arial Narrow" w:cs="Arial"/>
          <w:sz w:val="28"/>
          <w:szCs w:val="28"/>
        </w:rPr>
        <w:t>que aquella sea obligada a tenerlos</w:t>
      </w:r>
      <w:r w:rsidR="00A278CC" w:rsidRPr="000A124A">
        <w:rPr>
          <w:rFonts w:ascii="Arial Narrow" w:hAnsi="Arial Narrow" w:cs="Arial"/>
          <w:sz w:val="28"/>
          <w:szCs w:val="28"/>
        </w:rPr>
        <w:t xml:space="preserve"> en cuenta para el reconocimiento del beneficio pensional </w:t>
      </w:r>
      <w:r w:rsidR="000356B1" w:rsidRPr="000A124A">
        <w:rPr>
          <w:rFonts w:ascii="Arial Narrow" w:hAnsi="Arial Narrow" w:cs="Arial"/>
          <w:sz w:val="28"/>
          <w:szCs w:val="28"/>
        </w:rPr>
        <w:t xml:space="preserve">acá </w:t>
      </w:r>
      <w:r w:rsidR="00A278CC" w:rsidRPr="000A124A">
        <w:rPr>
          <w:rFonts w:ascii="Arial Narrow" w:hAnsi="Arial Narrow" w:cs="Arial"/>
          <w:sz w:val="28"/>
          <w:szCs w:val="28"/>
        </w:rPr>
        <w:t xml:space="preserve">reclamado, </w:t>
      </w:r>
      <w:r w:rsidR="00B95D82" w:rsidRPr="000A124A">
        <w:rPr>
          <w:rFonts w:ascii="Arial Narrow" w:hAnsi="Arial Narrow" w:cs="Arial"/>
          <w:sz w:val="28"/>
          <w:szCs w:val="28"/>
        </w:rPr>
        <w:t xml:space="preserve">pues de todos modos, </w:t>
      </w:r>
      <w:r w:rsidR="000356B1" w:rsidRPr="000A124A">
        <w:rPr>
          <w:rFonts w:ascii="Arial Narrow" w:hAnsi="Arial Narrow" w:cs="Arial"/>
          <w:sz w:val="28"/>
          <w:szCs w:val="28"/>
        </w:rPr>
        <w:t xml:space="preserve">la entidad </w:t>
      </w:r>
      <w:r w:rsidR="00B95D82" w:rsidRPr="000A124A">
        <w:rPr>
          <w:rFonts w:ascii="Arial Narrow" w:hAnsi="Arial Narrow" w:cs="Arial"/>
          <w:sz w:val="28"/>
          <w:szCs w:val="28"/>
        </w:rPr>
        <w:t xml:space="preserve">estaba en la obligación de recibirlas, </w:t>
      </w:r>
      <w:r w:rsidR="0078351D" w:rsidRPr="000A124A">
        <w:rPr>
          <w:rFonts w:ascii="Arial Narrow" w:hAnsi="Arial Narrow" w:cs="Arial"/>
          <w:sz w:val="28"/>
          <w:szCs w:val="28"/>
        </w:rPr>
        <w:t xml:space="preserve">como quiera que el incumplimiento de la densidad de semanas para acceder a la pensión de invalidez </w:t>
      </w:r>
      <w:r w:rsidR="000356B1" w:rsidRPr="000A124A">
        <w:rPr>
          <w:rFonts w:ascii="Arial Narrow" w:hAnsi="Arial Narrow" w:cs="Arial"/>
          <w:sz w:val="28"/>
          <w:szCs w:val="28"/>
        </w:rPr>
        <w:t xml:space="preserve">no es óbice para que la persona </w:t>
      </w:r>
      <w:r w:rsidR="000A124A" w:rsidRPr="000A124A">
        <w:rPr>
          <w:rFonts w:ascii="Arial Narrow" w:hAnsi="Arial Narrow" w:cs="Arial"/>
          <w:sz w:val="28"/>
          <w:szCs w:val="28"/>
        </w:rPr>
        <w:t xml:space="preserve">siga efectuando cotizaciones al sistema para efectos de constituir el capital necesario para acceder a la pensión de vejez. </w:t>
      </w:r>
    </w:p>
    <w:p w:rsidR="000A124A" w:rsidRDefault="000A124A" w:rsidP="0000076C">
      <w:pPr>
        <w:pStyle w:val="Sinespaciado"/>
      </w:pPr>
    </w:p>
    <w:p w:rsidR="0000076C" w:rsidRDefault="000A124A" w:rsidP="0000076C">
      <w:pPr>
        <w:autoSpaceDE w:val="0"/>
        <w:autoSpaceDN w:val="0"/>
        <w:adjustRightInd w:val="0"/>
        <w:spacing w:line="360" w:lineRule="auto"/>
        <w:ind w:firstLine="709"/>
        <w:jc w:val="both"/>
        <w:rPr>
          <w:rFonts w:ascii="Bookman Old Style" w:hAnsi="Bookman Old Style" w:cs="Estrangelo Edessa"/>
          <w:b/>
          <w:sz w:val="28"/>
          <w:szCs w:val="28"/>
        </w:rPr>
      </w:pPr>
      <w:r>
        <w:rPr>
          <w:rFonts w:ascii="Arial Narrow" w:hAnsi="Arial Narrow" w:cs="Arial"/>
          <w:sz w:val="28"/>
          <w:szCs w:val="28"/>
        </w:rPr>
        <w:t xml:space="preserve">Respecto a </w:t>
      </w:r>
      <w:r w:rsidR="0000076C">
        <w:rPr>
          <w:rFonts w:ascii="Arial Narrow" w:hAnsi="Arial Narrow" w:cs="Arial"/>
          <w:sz w:val="28"/>
          <w:szCs w:val="28"/>
        </w:rPr>
        <w:t xml:space="preserve">la imposibilidad de contabilizar las semanas efectuadas con posterioridad a la estructuración, el órgano de cierre de la especialidad laboral en sentencia </w:t>
      </w:r>
      <w:r w:rsidR="0000076C" w:rsidRPr="000967B1">
        <w:rPr>
          <w:rFonts w:ascii="Arial Narrow" w:hAnsi="Arial Narrow" w:cs="Estrangelo Edessa"/>
          <w:sz w:val="28"/>
          <w:szCs w:val="28"/>
        </w:rPr>
        <w:t>SL10990-2017, Radicación n.° 48922, sostuvo:</w:t>
      </w:r>
      <w:r w:rsidR="0000076C">
        <w:rPr>
          <w:rFonts w:ascii="Bookman Old Style" w:hAnsi="Bookman Old Style" w:cs="Estrangelo Edessa"/>
          <w:b/>
          <w:sz w:val="28"/>
          <w:szCs w:val="28"/>
        </w:rPr>
        <w:t xml:space="preserve"> </w:t>
      </w:r>
    </w:p>
    <w:p w:rsidR="000967B1" w:rsidRPr="000967B1" w:rsidRDefault="000967B1" w:rsidP="000967B1">
      <w:pPr>
        <w:pStyle w:val="Sinespaciado"/>
        <w:rPr>
          <w:rFonts w:ascii="Arial Narrow" w:hAnsi="Arial Narrow"/>
        </w:rPr>
      </w:pPr>
    </w:p>
    <w:p w:rsidR="0000076C" w:rsidRPr="000967B1" w:rsidRDefault="0000076C" w:rsidP="000967B1">
      <w:pPr>
        <w:ind w:firstLine="708"/>
        <w:jc w:val="both"/>
        <w:rPr>
          <w:rFonts w:ascii="Arial Narrow" w:hAnsi="Arial Narrow"/>
          <w:i/>
          <w:sz w:val="28"/>
          <w:szCs w:val="28"/>
        </w:rPr>
      </w:pPr>
      <w:r w:rsidRPr="000967B1">
        <w:rPr>
          <w:rFonts w:ascii="Arial Narrow" w:hAnsi="Arial Narrow" w:cs="Estrangelo Edessa"/>
          <w:b/>
          <w:sz w:val="28"/>
          <w:szCs w:val="28"/>
        </w:rPr>
        <w:t>“</w:t>
      </w:r>
      <w:r w:rsidRPr="000967B1">
        <w:rPr>
          <w:rFonts w:ascii="Arial Narrow" w:hAnsi="Arial Narrow" w:cs="Estrangelo Edessa"/>
          <w:i/>
          <w:sz w:val="28"/>
          <w:szCs w:val="28"/>
          <w:lang w:val="es-CO" w:eastAsia="en-US"/>
        </w:rPr>
        <w:t>En este preciso punto, es menester considerar lo adoctrinado por esta Corporación, referente a que «no hay lugar a contabilizar para esos fines, las cotizaciones efectuadas con posterioridad a la estructuración del estado de invalidez, lo cual se explica porque lo que se protege es una contingencia, un riesgo incierto, que en este caso es la pérdida de la capacidad laboral por enfermedad no profesional. Si se estructura la invalidez, se convierte en un hecho cierto que deja de ser asegurable</w:t>
      </w:r>
      <w:r w:rsidRPr="000967B1">
        <w:rPr>
          <w:rFonts w:ascii="Arial Narrow" w:hAnsi="Arial Narrow"/>
          <w:i/>
          <w:sz w:val="28"/>
          <w:szCs w:val="28"/>
        </w:rPr>
        <w:t xml:space="preserve">» (CSJ </w:t>
      </w:r>
      <w:proofErr w:type="spellStart"/>
      <w:r w:rsidRPr="000967B1">
        <w:rPr>
          <w:rFonts w:ascii="Arial Narrow" w:hAnsi="Arial Narrow"/>
          <w:i/>
          <w:sz w:val="28"/>
          <w:szCs w:val="28"/>
        </w:rPr>
        <w:t>SL</w:t>
      </w:r>
      <w:proofErr w:type="spellEnd"/>
      <w:r w:rsidRPr="000967B1">
        <w:rPr>
          <w:rFonts w:ascii="Arial Narrow" w:hAnsi="Arial Narrow"/>
          <w:i/>
          <w:sz w:val="28"/>
          <w:szCs w:val="28"/>
        </w:rPr>
        <w:t xml:space="preserve"> 253</w:t>
      </w:r>
      <w:r w:rsidR="000967B1" w:rsidRPr="000967B1">
        <w:rPr>
          <w:rFonts w:ascii="Arial Narrow" w:hAnsi="Arial Narrow"/>
          <w:i/>
          <w:sz w:val="28"/>
          <w:szCs w:val="28"/>
        </w:rPr>
        <w:t xml:space="preserve">51, 23 </w:t>
      </w:r>
      <w:proofErr w:type="spellStart"/>
      <w:r w:rsidR="000967B1" w:rsidRPr="000967B1">
        <w:rPr>
          <w:rFonts w:ascii="Arial Narrow" w:hAnsi="Arial Narrow"/>
          <w:i/>
          <w:sz w:val="28"/>
          <w:szCs w:val="28"/>
        </w:rPr>
        <w:t>may</w:t>
      </w:r>
      <w:proofErr w:type="spellEnd"/>
      <w:r w:rsidR="000967B1" w:rsidRPr="000967B1">
        <w:rPr>
          <w:rFonts w:ascii="Arial Narrow" w:hAnsi="Arial Narrow"/>
          <w:i/>
          <w:sz w:val="28"/>
          <w:szCs w:val="28"/>
        </w:rPr>
        <w:t xml:space="preserve">. </w:t>
      </w:r>
      <w:r w:rsidRPr="000967B1">
        <w:rPr>
          <w:rFonts w:ascii="Arial Narrow" w:hAnsi="Arial Narrow"/>
          <w:i/>
          <w:sz w:val="28"/>
          <w:szCs w:val="28"/>
        </w:rPr>
        <w:t>2005).</w:t>
      </w:r>
    </w:p>
    <w:p w:rsidR="00172A9D" w:rsidRDefault="00172A9D" w:rsidP="00172A9D">
      <w:pPr>
        <w:pStyle w:val="Sinespaciado"/>
      </w:pPr>
    </w:p>
    <w:p w:rsidR="00172A9D" w:rsidRPr="00510D5E" w:rsidRDefault="00172A9D" w:rsidP="00172A9D">
      <w:pPr>
        <w:autoSpaceDE w:val="0"/>
        <w:autoSpaceDN w:val="0"/>
        <w:adjustRightInd w:val="0"/>
        <w:spacing w:line="360" w:lineRule="auto"/>
        <w:ind w:firstLine="709"/>
        <w:jc w:val="both"/>
        <w:rPr>
          <w:rFonts w:ascii="Arial Narrow" w:hAnsi="Arial Narrow" w:cs="Tahoma"/>
          <w:sz w:val="28"/>
          <w:szCs w:val="28"/>
        </w:rPr>
      </w:pPr>
      <w:r>
        <w:rPr>
          <w:rFonts w:ascii="Arial Narrow" w:hAnsi="Arial Narrow" w:cs="Arial"/>
          <w:sz w:val="28"/>
          <w:szCs w:val="28"/>
        </w:rPr>
        <w:t xml:space="preserve"> Por consiguiente, forzoso resulta la confirmación de la providencia. </w:t>
      </w:r>
    </w:p>
    <w:p w:rsidR="00172A9D" w:rsidRPr="006C6C70" w:rsidRDefault="00172A9D" w:rsidP="006C6C70">
      <w:pPr>
        <w:pStyle w:val="Sinespaciado"/>
      </w:pPr>
      <w:r>
        <w:tab/>
      </w:r>
    </w:p>
    <w:p w:rsidR="00172A9D" w:rsidRDefault="00172A9D" w:rsidP="000967B1">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Costas en esta instancia a cargo de la recurrente.</w:t>
      </w:r>
    </w:p>
    <w:p w:rsidR="00172A9D" w:rsidRPr="006C6C70" w:rsidRDefault="00172A9D" w:rsidP="006C6C70">
      <w:pPr>
        <w:pStyle w:val="Sinespaciado"/>
      </w:pPr>
    </w:p>
    <w:p w:rsidR="00172A9D" w:rsidRDefault="00172A9D" w:rsidP="00172A9D">
      <w:pPr>
        <w:pStyle w:val="Prrafodelista1"/>
        <w:spacing w:after="0" w:line="360" w:lineRule="auto"/>
        <w:ind w:left="0" w:firstLine="709"/>
        <w:jc w:val="both"/>
        <w:rPr>
          <w:rFonts w:ascii="Arial Narrow" w:hAnsi="Arial Narrow"/>
          <w:sz w:val="28"/>
          <w:szCs w:val="28"/>
        </w:rPr>
      </w:pPr>
      <w:r w:rsidRPr="00495E81">
        <w:rPr>
          <w:rFonts w:ascii="Arial Narrow" w:hAnsi="Arial Narrow"/>
          <w:sz w:val="28"/>
          <w:szCs w:val="28"/>
        </w:rPr>
        <w:t>En mérito de lo expuesto, el Tribunal Superior del Distrito Judicial de Pereira - Risaralda, Sala Laboral, administrando justicia en nombre de la República y por autoridad de la ley,</w:t>
      </w:r>
    </w:p>
    <w:p w:rsidR="000967B1" w:rsidRPr="006C6C70" w:rsidRDefault="000967B1" w:rsidP="006C6C70">
      <w:pPr>
        <w:pStyle w:val="Sinespaciado"/>
      </w:pPr>
    </w:p>
    <w:p w:rsidR="00172A9D" w:rsidRPr="00495E81" w:rsidRDefault="00172A9D" w:rsidP="00172A9D">
      <w:pPr>
        <w:spacing w:line="360" w:lineRule="auto"/>
        <w:ind w:firstLine="709"/>
        <w:jc w:val="center"/>
        <w:rPr>
          <w:rFonts w:ascii="Arial Narrow" w:hAnsi="Arial Narrow" w:cs="Arial"/>
          <w:i/>
          <w:sz w:val="28"/>
          <w:szCs w:val="28"/>
        </w:rPr>
      </w:pPr>
      <w:r w:rsidRPr="00495E81">
        <w:rPr>
          <w:rFonts w:ascii="Arial Narrow" w:hAnsi="Arial Narrow" w:cs="Arial"/>
          <w:i/>
          <w:sz w:val="28"/>
          <w:szCs w:val="28"/>
        </w:rPr>
        <w:t>FALLA</w:t>
      </w:r>
    </w:p>
    <w:p w:rsidR="00172A9D" w:rsidRPr="00A07A3F" w:rsidRDefault="00172A9D" w:rsidP="00172A9D">
      <w:pPr>
        <w:pStyle w:val="Sinespaciado"/>
      </w:pPr>
    </w:p>
    <w:p w:rsidR="00172A9D" w:rsidRPr="00495E81" w:rsidRDefault="00172A9D" w:rsidP="00172A9D">
      <w:pPr>
        <w:pStyle w:val="Prrafodelista"/>
        <w:numPr>
          <w:ilvl w:val="0"/>
          <w:numId w:val="1"/>
        </w:numPr>
        <w:spacing w:line="360" w:lineRule="auto"/>
        <w:ind w:left="0" w:firstLine="284"/>
        <w:jc w:val="both"/>
      </w:pPr>
      <w:r w:rsidRPr="00495E81">
        <w:rPr>
          <w:rFonts w:ascii="Arial Narrow" w:hAnsi="Arial Narrow" w:cs="Tahoma"/>
          <w:i/>
          <w:sz w:val="28"/>
          <w:szCs w:val="28"/>
        </w:rPr>
        <w:t xml:space="preserve">Confirma </w:t>
      </w:r>
      <w:r w:rsidRPr="00495E81">
        <w:rPr>
          <w:rFonts w:ascii="Arial Narrow" w:hAnsi="Arial Narrow" w:cs="Tahoma"/>
          <w:sz w:val="28"/>
          <w:szCs w:val="28"/>
        </w:rPr>
        <w:t xml:space="preserve">la sentencia proferida el </w:t>
      </w:r>
      <w:r w:rsidR="00AE2F4C">
        <w:rPr>
          <w:rFonts w:ascii="Arial Narrow" w:hAnsi="Arial Narrow" w:cs="Tahoma"/>
          <w:sz w:val="28"/>
          <w:szCs w:val="28"/>
        </w:rPr>
        <w:t>6 de febrero de 2017</w:t>
      </w:r>
      <w:r w:rsidRPr="00495E81">
        <w:rPr>
          <w:rFonts w:ascii="Arial Narrow" w:hAnsi="Arial Narrow" w:cs="Tahoma"/>
          <w:sz w:val="28"/>
          <w:szCs w:val="28"/>
        </w:rPr>
        <w:t xml:space="preserve"> </w:t>
      </w:r>
      <w:r w:rsidRPr="00495E81">
        <w:rPr>
          <w:rFonts w:ascii="Arial Narrow" w:hAnsi="Arial Narrow" w:cs="Arial"/>
          <w:sz w:val="28"/>
          <w:szCs w:val="28"/>
        </w:rPr>
        <w:t xml:space="preserve">por el Juzgado Segundo Laboral del Circuito de Pereira, dentro del proceso ordinario </w:t>
      </w:r>
      <w:r w:rsidR="008969A6">
        <w:rPr>
          <w:rFonts w:ascii="Arial Narrow" w:hAnsi="Arial Narrow" w:cs="Arial"/>
          <w:sz w:val="28"/>
          <w:szCs w:val="28"/>
        </w:rPr>
        <w:t xml:space="preserve">laboral de la referencia. </w:t>
      </w:r>
    </w:p>
    <w:p w:rsidR="00172A9D" w:rsidRPr="00A07A3F" w:rsidRDefault="00172A9D" w:rsidP="00172A9D">
      <w:pPr>
        <w:pStyle w:val="Sinespaciado"/>
      </w:pPr>
    </w:p>
    <w:p w:rsidR="00172A9D" w:rsidRPr="00495E81" w:rsidRDefault="00172A9D" w:rsidP="00172A9D">
      <w:pPr>
        <w:pStyle w:val="Prrafodelista"/>
        <w:numPr>
          <w:ilvl w:val="0"/>
          <w:numId w:val="1"/>
        </w:numPr>
        <w:spacing w:line="360" w:lineRule="auto"/>
        <w:ind w:left="851" w:hanging="425"/>
        <w:jc w:val="both"/>
        <w:rPr>
          <w:rFonts w:ascii="Arial Narrow" w:hAnsi="Arial Narrow" w:cs="Arial"/>
          <w:sz w:val="28"/>
          <w:szCs w:val="28"/>
        </w:rPr>
      </w:pPr>
      <w:r w:rsidRPr="00495E81">
        <w:rPr>
          <w:rFonts w:ascii="Arial Narrow" w:hAnsi="Arial Narrow" w:cs="Arial"/>
          <w:i/>
          <w:sz w:val="28"/>
          <w:szCs w:val="28"/>
        </w:rPr>
        <w:t xml:space="preserve">Costas </w:t>
      </w:r>
      <w:r w:rsidR="008969A6">
        <w:rPr>
          <w:rFonts w:ascii="Arial Narrow" w:hAnsi="Arial Narrow" w:cs="Arial"/>
          <w:sz w:val="28"/>
          <w:szCs w:val="28"/>
        </w:rPr>
        <w:t>a cargo del</w:t>
      </w:r>
      <w:r w:rsidRPr="00495E81">
        <w:rPr>
          <w:rFonts w:ascii="Arial Narrow" w:hAnsi="Arial Narrow" w:cs="Arial"/>
          <w:sz w:val="28"/>
          <w:szCs w:val="28"/>
        </w:rPr>
        <w:t xml:space="preserve"> recurrente. </w:t>
      </w:r>
    </w:p>
    <w:p w:rsidR="00172A9D" w:rsidRPr="00495E81" w:rsidRDefault="00172A9D" w:rsidP="00172A9D">
      <w:pPr>
        <w:pStyle w:val="Sinespaciado"/>
      </w:pPr>
    </w:p>
    <w:p w:rsidR="00172A9D" w:rsidRPr="00495E81" w:rsidRDefault="00172A9D" w:rsidP="00172A9D">
      <w:pPr>
        <w:spacing w:line="360" w:lineRule="auto"/>
        <w:jc w:val="both"/>
        <w:rPr>
          <w:rFonts w:ascii="Arial Narrow" w:hAnsi="Arial Narrow" w:cs="Microsoft Sans Serif"/>
          <w:bCs/>
          <w:i/>
          <w:iCs/>
          <w:sz w:val="28"/>
          <w:szCs w:val="28"/>
          <w:lang w:val="es-ES"/>
        </w:rPr>
      </w:pPr>
      <w:r w:rsidRPr="00495E81">
        <w:rPr>
          <w:rFonts w:ascii="Arial Narrow" w:hAnsi="Arial Narrow" w:cs="Microsoft Sans Serif"/>
          <w:bCs/>
          <w:iCs/>
          <w:sz w:val="28"/>
          <w:szCs w:val="28"/>
          <w:lang w:val="es-ES"/>
        </w:rPr>
        <w:t>La anterior decisión queda notificada</w:t>
      </w:r>
      <w:r w:rsidRPr="00495E81">
        <w:rPr>
          <w:rFonts w:ascii="Arial Narrow" w:hAnsi="Arial Narrow" w:cs="Microsoft Sans Serif"/>
          <w:bCs/>
          <w:i/>
          <w:iCs/>
          <w:sz w:val="28"/>
          <w:szCs w:val="28"/>
          <w:lang w:val="es-ES"/>
        </w:rPr>
        <w:t xml:space="preserve"> en estrados.</w:t>
      </w:r>
    </w:p>
    <w:p w:rsidR="00172A9D" w:rsidRPr="00495E81" w:rsidRDefault="00172A9D" w:rsidP="00172A9D">
      <w:pPr>
        <w:ind w:firstLine="709"/>
        <w:jc w:val="both"/>
        <w:rPr>
          <w:rFonts w:ascii="Arial Narrow" w:hAnsi="Arial Narrow" w:cs="Microsoft Sans Serif"/>
          <w:bCs/>
          <w:iCs/>
          <w:sz w:val="28"/>
          <w:szCs w:val="28"/>
          <w:lang w:val="es-ES"/>
        </w:rPr>
      </w:pPr>
    </w:p>
    <w:p w:rsidR="00172A9D" w:rsidRDefault="00172A9D" w:rsidP="00172A9D">
      <w:pPr>
        <w:ind w:firstLine="709"/>
        <w:jc w:val="both"/>
        <w:rPr>
          <w:rFonts w:ascii="Arial Narrow" w:hAnsi="Arial Narrow" w:cs="Microsoft Sans Serif"/>
          <w:bCs/>
          <w:iCs/>
          <w:sz w:val="28"/>
          <w:szCs w:val="28"/>
          <w:lang w:val="es-ES"/>
        </w:rPr>
      </w:pPr>
    </w:p>
    <w:p w:rsidR="00172A9D" w:rsidRPr="00495E81" w:rsidRDefault="00172A9D" w:rsidP="00172A9D">
      <w:pPr>
        <w:ind w:firstLine="709"/>
        <w:jc w:val="both"/>
        <w:rPr>
          <w:rFonts w:ascii="Arial Narrow" w:hAnsi="Arial Narrow" w:cs="Microsoft Sans Serif"/>
          <w:bCs/>
          <w:iCs/>
          <w:sz w:val="28"/>
          <w:szCs w:val="28"/>
          <w:lang w:val="es-ES"/>
        </w:rPr>
      </w:pPr>
    </w:p>
    <w:p w:rsidR="00172A9D" w:rsidRPr="00495E81" w:rsidRDefault="00172A9D" w:rsidP="00172A9D">
      <w:pPr>
        <w:ind w:firstLine="709"/>
        <w:jc w:val="center"/>
        <w:rPr>
          <w:rFonts w:ascii="Arial Narrow" w:hAnsi="Arial Narrow" w:cs="Microsoft Sans Serif"/>
          <w:bCs/>
          <w:iCs/>
          <w:sz w:val="28"/>
          <w:szCs w:val="28"/>
          <w:lang w:val="es-ES"/>
        </w:rPr>
      </w:pPr>
      <w:r w:rsidRPr="00495E81">
        <w:rPr>
          <w:rFonts w:ascii="Arial Narrow" w:hAnsi="Arial Narrow" w:cs="Microsoft Sans Serif"/>
          <w:bCs/>
          <w:iCs/>
          <w:sz w:val="28"/>
          <w:szCs w:val="28"/>
          <w:lang w:val="es-ES"/>
        </w:rPr>
        <w:lastRenderedPageBreak/>
        <w:t>FRANCISCO JAVIER TAMAYO TABARES</w:t>
      </w:r>
    </w:p>
    <w:p w:rsidR="00172A9D" w:rsidRPr="00495E81" w:rsidRDefault="00172A9D" w:rsidP="00172A9D">
      <w:pPr>
        <w:ind w:firstLine="709"/>
        <w:jc w:val="center"/>
        <w:rPr>
          <w:rFonts w:ascii="Arial Narrow" w:hAnsi="Arial Narrow" w:cs="Microsoft Sans Serif"/>
          <w:sz w:val="28"/>
          <w:szCs w:val="28"/>
          <w:lang w:val="es-ES"/>
        </w:rPr>
      </w:pPr>
      <w:r w:rsidRPr="00495E81">
        <w:rPr>
          <w:rFonts w:ascii="Arial Narrow" w:hAnsi="Arial Narrow" w:cs="Microsoft Sans Serif"/>
          <w:sz w:val="28"/>
          <w:szCs w:val="28"/>
          <w:lang w:val="es-ES"/>
        </w:rPr>
        <w:t xml:space="preserve">Magistrado Ponente </w:t>
      </w:r>
    </w:p>
    <w:p w:rsidR="00172A9D" w:rsidRPr="00495E81" w:rsidRDefault="00172A9D" w:rsidP="00172A9D">
      <w:pPr>
        <w:ind w:firstLine="709"/>
        <w:jc w:val="both"/>
        <w:rPr>
          <w:rFonts w:ascii="Arial Narrow" w:hAnsi="Arial Narrow" w:cs="Microsoft Sans Serif"/>
          <w:sz w:val="28"/>
          <w:szCs w:val="28"/>
          <w:lang w:val="es-ES"/>
        </w:rPr>
      </w:pPr>
    </w:p>
    <w:p w:rsidR="00172A9D" w:rsidRPr="00495E81" w:rsidRDefault="00172A9D" w:rsidP="00172A9D">
      <w:pPr>
        <w:ind w:firstLine="709"/>
        <w:jc w:val="both"/>
        <w:rPr>
          <w:rFonts w:ascii="Arial Narrow" w:hAnsi="Arial Narrow" w:cs="Microsoft Sans Serif"/>
          <w:sz w:val="28"/>
          <w:szCs w:val="28"/>
          <w:lang w:val="es-ES"/>
        </w:rPr>
      </w:pPr>
    </w:p>
    <w:p w:rsidR="00172A9D" w:rsidRPr="00495E81" w:rsidRDefault="00172A9D" w:rsidP="00172A9D">
      <w:pPr>
        <w:ind w:firstLine="709"/>
        <w:jc w:val="both"/>
        <w:rPr>
          <w:rFonts w:ascii="Arial Narrow" w:hAnsi="Arial Narrow" w:cs="Microsoft Sans Serif"/>
          <w:sz w:val="28"/>
          <w:szCs w:val="28"/>
          <w:lang w:val="es-ES"/>
        </w:rPr>
      </w:pPr>
    </w:p>
    <w:p w:rsidR="00172A9D" w:rsidRPr="00495E81" w:rsidRDefault="00172A9D" w:rsidP="00172A9D">
      <w:pPr>
        <w:ind w:firstLine="709"/>
        <w:jc w:val="both"/>
        <w:rPr>
          <w:rFonts w:ascii="Arial Narrow" w:hAnsi="Arial Narrow" w:cs="Microsoft Sans Serif"/>
          <w:sz w:val="28"/>
          <w:szCs w:val="28"/>
          <w:lang w:val="es-ES"/>
        </w:rPr>
      </w:pPr>
    </w:p>
    <w:p w:rsidR="00172A9D" w:rsidRPr="00495E81" w:rsidRDefault="00172A9D" w:rsidP="00172A9D">
      <w:pPr>
        <w:jc w:val="both"/>
        <w:rPr>
          <w:rFonts w:ascii="Arial Narrow" w:hAnsi="Arial Narrow" w:cs="Microsoft Sans Serif"/>
          <w:sz w:val="28"/>
          <w:szCs w:val="28"/>
          <w:lang w:val="es-ES"/>
        </w:rPr>
      </w:pPr>
      <w:r w:rsidRPr="00495E81">
        <w:rPr>
          <w:rFonts w:ascii="Arial Narrow" w:hAnsi="Arial Narrow" w:cs="Microsoft Sans Serif"/>
          <w:bCs/>
          <w:iCs/>
          <w:sz w:val="28"/>
          <w:szCs w:val="28"/>
          <w:lang w:val="es-ES"/>
        </w:rPr>
        <w:t xml:space="preserve">ANA LUCÍA CAICEDO CALDERÓN                            </w:t>
      </w:r>
      <w:r>
        <w:rPr>
          <w:rFonts w:ascii="Arial Narrow" w:hAnsi="Arial Narrow" w:cs="Microsoft Sans Serif"/>
          <w:bCs/>
          <w:iCs/>
          <w:sz w:val="28"/>
          <w:szCs w:val="28"/>
          <w:lang w:val="es-ES"/>
        </w:rPr>
        <w:t>OLGA LUCÍA HOYOS SEPÚLVEDA</w:t>
      </w:r>
    </w:p>
    <w:p w:rsidR="00172A9D" w:rsidRPr="00495E81" w:rsidRDefault="00172A9D" w:rsidP="00172A9D">
      <w:pPr>
        <w:jc w:val="both"/>
        <w:rPr>
          <w:rFonts w:ascii="Arial Narrow" w:hAnsi="Arial Narrow" w:cs="Microsoft Sans Serif"/>
          <w:sz w:val="28"/>
          <w:szCs w:val="28"/>
          <w:lang w:val="es-ES"/>
        </w:rPr>
      </w:pPr>
      <w:r w:rsidRPr="00495E81">
        <w:rPr>
          <w:rFonts w:ascii="Arial Narrow" w:hAnsi="Arial Narrow" w:cs="Microsoft Sans Serif"/>
          <w:sz w:val="28"/>
          <w:szCs w:val="28"/>
          <w:lang w:val="es-ES"/>
        </w:rPr>
        <w:tab/>
      </w:r>
      <w:r>
        <w:rPr>
          <w:rFonts w:ascii="Arial Narrow" w:hAnsi="Arial Narrow" w:cs="Microsoft Sans Serif"/>
          <w:sz w:val="28"/>
          <w:szCs w:val="28"/>
          <w:lang w:val="es-ES"/>
        </w:rPr>
        <w:t xml:space="preserve">      Magistrada</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proofErr w:type="spellStart"/>
      <w:r>
        <w:rPr>
          <w:rFonts w:ascii="Arial Narrow" w:hAnsi="Arial Narrow" w:cs="Microsoft Sans Serif"/>
          <w:sz w:val="28"/>
          <w:szCs w:val="28"/>
          <w:lang w:val="es-ES"/>
        </w:rPr>
        <w:t>Magistrada</w:t>
      </w:r>
      <w:proofErr w:type="spellEnd"/>
    </w:p>
    <w:sectPr w:rsidR="00172A9D" w:rsidRPr="00495E81" w:rsidSect="00B420A3">
      <w:headerReference w:type="even" r:id="rId7"/>
      <w:headerReference w:type="default" r:id="rId8"/>
      <w:footerReference w:type="even" r:id="rId9"/>
      <w:footerReference w:type="default" r:id="rId10"/>
      <w:headerReference w:type="first" r:id="rId11"/>
      <w:pgSz w:w="12242" w:h="18722" w:code="121"/>
      <w:pgMar w:top="1418"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38" w:rsidRDefault="008E6A38" w:rsidP="00172A9D">
      <w:r>
        <w:separator/>
      </w:r>
    </w:p>
  </w:endnote>
  <w:endnote w:type="continuationSeparator" w:id="0">
    <w:p w:rsidR="008E6A38" w:rsidRDefault="008E6A38" w:rsidP="0017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C920D5" w:rsidP="00C90E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8E6A38" w:rsidP="00C90E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001735"/>
      <w:docPartObj>
        <w:docPartGallery w:val="Page Numbers (Bottom of Page)"/>
        <w:docPartUnique/>
      </w:docPartObj>
    </w:sdtPr>
    <w:sdtEndPr/>
    <w:sdtContent>
      <w:p w:rsidR="004F13CF" w:rsidRDefault="00C920D5">
        <w:pPr>
          <w:pStyle w:val="Piedepgina"/>
          <w:jc w:val="right"/>
        </w:pPr>
        <w:r>
          <w:fldChar w:fldCharType="begin"/>
        </w:r>
        <w:r>
          <w:instrText>PAGE   \* MERGEFORMAT</w:instrText>
        </w:r>
        <w:r>
          <w:fldChar w:fldCharType="separate"/>
        </w:r>
        <w:r w:rsidR="00DC3587" w:rsidRPr="00DC3587">
          <w:rPr>
            <w:noProof/>
            <w:lang w:val="es-ES"/>
          </w:rPr>
          <w:t>6</w:t>
        </w:r>
        <w:r>
          <w:fldChar w:fldCharType="end"/>
        </w:r>
      </w:p>
    </w:sdtContent>
  </w:sdt>
  <w:p w:rsidR="00C85FB9" w:rsidRDefault="008E6A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38" w:rsidRDefault="008E6A38" w:rsidP="00172A9D">
      <w:r>
        <w:separator/>
      </w:r>
    </w:p>
  </w:footnote>
  <w:footnote w:type="continuationSeparator" w:id="0">
    <w:p w:rsidR="008E6A38" w:rsidRDefault="008E6A38" w:rsidP="0017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C920D5" w:rsidP="00C90E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8E6A3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8E6A38" w:rsidP="00C90EC8">
    <w:pPr>
      <w:pStyle w:val="Encabezado"/>
      <w:framePr w:wrap="around" w:vAnchor="text" w:hAnchor="margin" w:xAlign="right" w:y="1"/>
      <w:rPr>
        <w:rStyle w:val="Nmerodepgina"/>
      </w:rPr>
    </w:pPr>
  </w:p>
  <w:p w:rsidR="002519C7" w:rsidRPr="00D058DE" w:rsidRDefault="00C920D5" w:rsidP="00C90EC8">
    <w:pPr>
      <w:pStyle w:val="Ttulo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sidR="00172A9D">
      <w:rPr>
        <w:rFonts w:ascii="Arial Narrow" w:hAnsi="Arial Narrow" w:cs="Arial"/>
        <w:bCs/>
        <w:sz w:val="16"/>
        <w:szCs w:val="16"/>
      </w:rPr>
      <w:t>2-2015-00292-01</w:t>
    </w:r>
  </w:p>
  <w:p w:rsidR="00223179" w:rsidRPr="00D058DE" w:rsidRDefault="008E6A38" w:rsidP="00223179">
    <w:pPr>
      <w:pStyle w:val="Piedepgina"/>
      <w:framePr w:wrap="auto" w:vAnchor="page" w:hAnchor="page" w:x="1699" w:y="1424"/>
      <w:ind w:right="360"/>
    </w:pPr>
  </w:p>
  <w:p w:rsidR="002519C7" w:rsidRPr="00D058DE" w:rsidRDefault="00172A9D" w:rsidP="00C90EC8">
    <w:pPr>
      <w:rPr>
        <w:rFonts w:ascii="Arial Narrow" w:hAnsi="Arial Narrow" w:cs="Arial"/>
        <w:sz w:val="16"/>
        <w:szCs w:val="16"/>
        <w:lang w:val="es-ES"/>
      </w:rPr>
    </w:pPr>
    <w:r>
      <w:rPr>
        <w:rFonts w:ascii="Arial Narrow" w:hAnsi="Arial Narrow" w:cs="Arial"/>
        <w:sz w:val="16"/>
        <w:szCs w:val="16"/>
        <w:lang w:val="es-ES"/>
      </w:rPr>
      <w:t xml:space="preserve">John </w:t>
    </w:r>
    <w:proofErr w:type="spellStart"/>
    <w:r>
      <w:rPr>
        <w:rFonts w:ascii="Arial Narrow" w:hAnsi="Arial Narrow" w:cs="Arial"/>
        <w:sz w:val="16"/>
        <w:szCs w:val="16"/>
        <w:lang w:val="es-ES"/>
      </w:rPr>
      <w:t>Gener</w:t>
    </w:r>
    <w:proofErr w:type="spellEnd"/>
    <w:r>
      <w:rPr>
        <w:rFonts w:ascii="Arial Narrow" w:hAnsi="Arial Narrow" w:cs="Arial"/>
        <w:sz w:val="16"/>
        <w:szCs w:val="16"/>
        <w:lang w:val="es-ES"/>
      </w:rPr>
      <w:t xml:space="preserve"> Muñoz Bedoya </w:t>
    </w:r>
    <w:r w:rsidR="00C920D5">
      <w:rPr>
        <w:rFonts w:ascii="Arial Narrow" w:hAnsi="Arial Narrow" w:cs="Arial"/>
        <w:sz w:val="16"/>
        <w:szCs w:val="16"/>
        <w:lang w:val="es-ES"/>
      </w:rPr>
      <w:t xml:space="preserve">Vs </w:t>
    </w:r>
    <w:proofErr w:type="spellStart"/>
    <w:r w:rsidR="00C920D5">
      <w:rPr>
        <w:rFonts w:ascii="Arial Narrow" w:hAnsi="Arial Narrow" w:cs="Arial"/>
        <w:sz w:val="16"/>
        <w:szCs w:val="16"/>
        <w:lang w:val="es-ES"/>
      </w:rPr>
      <w:t>Colpensiones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Pr="006258A8" w:rsidRDefault="00C920D5" w:rsidP="00C90EC8">
    <w:pPr>
      <w:pStyle w:val="Encabezado"/>
      <w:ind w:right="-59"/>
      <w:rPr>
        <w:rFonts w:ascii="Arial" w:hAnsi="Arial" w:cs="Arial"/>
        <w:i/>
      </w:rPr>
    </w:pPr>
    <w:r w:rsidRPr="006258A8">
      <w:rPr>
        <w:rFonts w:ascii="Arial" w:hAnsi="Arial" w:cs="Arial"/>
        <w:i/>
      </w:rPr>
      <w:t>Radicación No. 66001-31-05-002-2010-00758-01</w:t>
    </w:r>
  </w:p>
  <w:p w:rsidR="002519C7" w:rsidRPr="007D6B28" w:rsidRDefault="008E6A38" w:rsidP="00C90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71F2D"/>
    <w:multiLevelType w:val="hybridMultilevel"/>
    <w:tmpl w:val="8BCA5B30"/>
    <w:lvl w:ilvl="0" w:tplc="A5C60738">
      <w:start w:val="1"/>
      <w:numFmt w:val="decimal"/>
      <w:lvlText w:val="%1."/>
      <w:lvlJc w:val="left"/>
      <w:pPr>
        <w:ind w:left="1069" w:hanging="360"/>
      </w:pPr>
      <w:rPr>
        <w:rFonts w:ascii="Arial Narrow" w:hAnsi="Arial Narrow" w:cs="Tahoma" w:hint="default"/>
        <w:b w:val="0"/>
        <w:i w:val="0"/>
        <w:sz w:val="28"/>
        <w:szCs w:val="28"/>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50E6404F"/>
    <w:multiLevelType w:val="hybridMultilevel"/>
    <w:tmpl w:val="242C0528"/>
    <w:lvl w:ilvl="0" w:tplc="599AFB10">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9D"/>
    <w:rsid w:val="0000076C"/>
    <w:rsid w:val="000356B1"/>
    <w:rsid w:val="00043722"/>
    <w:rsid w:val="000967B1"/>
    <w:rsid w:val="000A124A"/>
    <w:rsid w:val="001417FE"/>
    <w:rsid w:val="00172A9D"/>
    <w:rsid w:val="001F03E0"/>
    <w:rsid w:val="00240394"/>
    <w:rsid w:val="00285924"/>
    <w:rsid w:val="00393213"/>
    <w:rsid w:val="003D225B"/>
    <w:rsid w:val="004A4B17"/>
    <w:rsid w:val="00593D37"/>
    <w:rsid w:val="00613E19"/>
    <w:rsid w:val="0064169B"/>
    <w:rsid w:val="00686CD2"/>
    <w:rsid w:val="006C6C70"/>
    <w:rsid w:val="007170C1"/>
    <w:rsid w:val="0078351D"/>
    <w:rsid w:val="007C3353"/>
    <w:rsid w:val="00845E28"/>
    <w:rsid w:val="008969A6"/>
    <w:rsid w:val="008E6274"/>
    <w:rsid w:val="008E6A38"/>
    <w:rsid w:val="0099163E"/>
    <w:rsid w:val="009F787E"/>
    <w:rsid w:val="00A1384F"/>
    <w:rsid w:val="00A278CC"/>
    <w:rsid w:val="00AE0C64"/>
    <w:rsid w:val="00AE2F4C"/>
    <w:rsid w:val="00B95D82"/>
    <w:rsid w:val="00BE7032"/>
    <w:rsid w:val="00C05218"/>
    <w:rsid w:val="00C35CA1"/>
    <w:rsid w:val="00C755B6"/>
    <w:rsid w:val="00C920D5"/>
    <w:rsid w:val="00DC3587"/>
    <w:rsid w:val="00DC6ADF"/>
    <w:rsid w:val="00E031DA"/>
    <w:rsid w:val="00EA1D10"/>
    <w:rsid w:val="00F91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6990-4DE2-43AE-87E2-B36357B3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9D"/>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172A9D"/>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72A9D"/>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172A9D"/>
    <w:pPr>
      <w:tabs>
        <w:tab w:val="center" w:pos="4252"/>
        <w:tab w:val="right" w:pos="8504"/>
      </w:tabs>
    </w:pPr>
    <w:rPr>
      <w:sz w:val="20"/>
    </w:rPr>
  </w:style>
  <w:style w:type="character" w:customStyle="1" w:styleId="EncabezadoCar">
    <w:name w:val="Encabezado Car"/>
    <w:basedOn w:val="Fuentedeprrafopredeter"/>
    <w:link w:val="Encabezado"/>
    <w:rsid w:val="00172A9D"/>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172A9D"/>
  </w:style>
  <w:style w:type="paragraph" w:styleId="Piedepgina">
    <w:name w:val="footer"/>
    <w:basedOn w:val="Normal"/>
    <w:link w:val="PiedepginaCar"/>
    <w:uiPriority w:val="99"/>
    <w:rsid w:val="00172A9D"/>
    <w:pPr>
      <w:tabs>
        <w:tab w:val="center" w:pos="4419"/>
        <w:tab w:val="right" w:pos="8838"/>
      </w:tabs>
    </w:pPr>
    <w:rPr>
      <w:sz w:val="20"/>
    </w:rPr>
  </w:style>
  <w:style w:type="character" w:customStyle="1" w:styleId="PiedepginaCar">
    <w:name w:val="Pie de página Car"/>
    <w:basedOn w:val="Fuentedeprrafopredeter"/>
    <w:link w:val="Piedepgina"/>
    <w:uiPriority w:val="99"/>
    <w:rsid w:val="00172A9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172A9D"/>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172A9D"/>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72A9D"/>
    <w:pPr>
      <w:ind w:left="720"/>
      <w:contextualSpacing/>
    </w:pPr>
  </w:style>
  <w:style w:type="paragraph" w:customStyle="1" w:styleId="Textoindependiente32">
    <w:name w:val="Texto independiente 32"/>
    <w:basedOn w:val="Normal"/>
    <w:rsid w:val="00DC6ADF"/>
    <w:pPr>
      <w:spacing w:line="360" w:lineRule="auto"/>
      <w:jc w:val="both"/>
    </w:pPr>
    <w:rPr>
      <w:rFonts w:ascii="Arial" w:hAnsi="Arial"/>
    </w:rPr>
  </w:style>
  <w:style w:type="paragraph" w:styleId="Textoindependiente">
    <w:name w:val="Body Text"/>
    <w:basedOn w:val="Normal"/>
    <w:link w:val="TextoindependienteCar"/>
    <w:rsid w:val="00DC6ADF"/>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DC6ADF"/>
    <w:rPr>
      <w:rFonts w:ascii="Arial" w:eastAsia="Times New Roman" w:hAnsi="Arial" w:cs="Times New Roman"/>
      <w:sz w:val="26"/>
      <w:szCs w:val="20"/>
      <w:lang w:val="es-ES_tradnl" w:eastAsia="es-ES"/>
    </w:rPr>
  </w:style>
  <w:style w:type="character" w:customStyle="1" w:styleId="SinespaciadoCar">
    <w:name w:val="Sin espaciado Car"/>
    <w:link w:val="Sinespaciado"/>
    <w:uiPriority w:val="1"/>
    <w:locked/>
    <w:rsid w:val="00DC3587"/>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1738</Words>
  <Characters>9562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13</cp:revision>
  <dcterms:created xsi:type="dcterms:W3CDTF">2017-11-27T16:18:00Z</dcterms:created>
  <dcterms:modified xsi:type="dcterms:W3CDTF">2018-01-24T13:34:00Z</dcterms:modified>
</cp:coreProperties>
</file>