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2F7A" w:rsidRPr="00A817A6" w:rsidRDefault="00832F7A" w:rsidP="00832F7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832F7A" w:rsidRPr="00832F7A" w:rsidRDefault="00832F7A" w:rsidP="0094177F">
      <w:pPr>
        <w:spacing w:line="276" w:lineRule="auto"/>
        <w:jc w:val="both"/>
        <w:rPr>
          <w:rFonts w:ascii="Arial" w:hAnsi="Arial" w:cs="Arial"/>
          <w:b/>
          <w:sz w:val="18"/>
          <w:szCs w:val="18"/>
          <w:lang w:val="es-CO"/>
        </w:rPr>
      </w:pPr>
    </w:p>
    <w:p w:rsidR="0094177F" w:rsidRPr="007C5A02" w:rsidRDefault="0094177F" w:rsidP="0094177F">
      <w:pPr>
        <w:spacing w:line="276" w:lineRule="auto"/>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w:t>
      </w:r>
      <w:r w:rsidR="003F4DC3">
        <w:rPr>
          <w:rFonts w:ascii="Arial" w:hAnsi="Arial" w:cs="Arial"/>
          <w:sz w:val="18"/>
          <w:szCs w:val="18"/>
        </w:rPr>
        <w:t>l 31 de enero de 2017</w:t>
      </w:r>
    </w:p>
    <w:p w:rsidR="0094177F" w:rsidRPr="007C5A02" w:rsidRDefault="0094177F" w:rsidP="0094177F">
      <w:pPr>
        <w:spacing w:line="276" w:lineRule="auto"/>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66001-31-05-002-2014</w:t>
      </w:r>
      <w:r w:rsidRPr="007C5A02">
        <w:rPr>
          <w:rFonts w:ascii="Arial" w:hAnsi="Arial" w:cs="Arial"/>
          <w:bCs/>
          <w:sz w:val="18"/>
          <w:szCs w:val="18"/>
        </w:rPr>
        <w:t>-0</w:t>
      </w:r>
      <w:r>
        <w:rPr>
          <w:rFonts w:ascii="Arial" w:hAnsi="Arial" w:cs="Arial"/>
          <w:bCs/>
          <w:sz w:val="18"/>
          <w:szCs w:val="18"/>
        </w:rPr>
        <w:t>0425</w:t>
      </w:r>
      <w:r w:rsidRPr="007C5A02">
        <w:rPr>
          <w:rFonts w:ascii="Arial" w:hAnsi="Arial" w:cs="Arial"/>
          <w:bCs/>
          <w:sz w:val="18"/>
          <w:szCs w:val="18"/>
        </w:rPr>
        <w:t>-01</w:t>
      </w:r>
    </w:p>
    <w:p w:rsidR="0094177F" w:rsidRPr="007C5A02" w:rsidRDefault="0094177F" w:rsidP="0094177F">
      <w:pPr>
        <w:spacing w:line="276" w:lineRule="auto"/>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r w:rsidR="00EC6ECC">
        <w:rPr>
          <w:rFonts w:ascii="Arial" w:hAnsi="Arial" w:cs="Arial"/>
          <w:iCs/>
          <w:sz w:val="18"/>
          <w:szCs w:val="18"/>
        </w:rPr>
        <w:t xml:space="preserve"> – Aplicación de la perspectiva de género</w:t>
      </w:r>
      <w:bookmarkStart w:id="0" w:name="_GoBack"/>
      <w:bookmarkEnd w:id="0"/>
    </w:p>
    <w:p w:rsidR="0094177F" w:rsidRPr="007C5A02" w:rsidRDefault="0094177F" w:rsidP="0094177F">
      <w:pPr>
        <w:spacing w:line="276" w:lineRule="auto"/>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Pr>
          <w:rFonts w:ascii="Arial" w:hAnsi="Arial" w:cs="Arial"/>
          <w:iCs/>
          <w:sz w:val="18"/>
          <w:szCs w:val="18"/>
        </w:rPr>
        <w:t>Jassany</w:t>
      </w:r>
      <w:proofErr w:type="spellEnd"/>
      <w:r>
        <w:rPr>
          <w:rFonts w:ascii="Arial" w:hAnsi="Arial" w:cs="Arial"/>
          <w:iCs/>
          <w:sz w:val="18"/>
          <w:szCs w:val="18"/>
        </w:rPr>
        <w:t xml:space="preserve"> Alejandra Pino Castaño</w:t>
      </w:r>
    </w:p>
    <w:p w:rsidR="0094177F" w:rsidRPr="007C5A02" w:rsidRDefault="0094177F" w:rsidP="0094177F">
      <w:pPr>
        <w:spacing w:line="276" w:lineRule="auto"/>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 xml:space="preserve">María </w:t>
      </w:r>
      <w:proofErr w:type="spellStart"/>
      <w:r>
        <w:rPr>
          <w:rFonts w:ascii="Arial" w:hAnsi="Arial" w:cs="Arial"/>
          <w:bCs/>
          <w:sz w:val="18"/>
          <w:szCs w:val="18"/>
        </w:rPr>
        <w:t>Braulia</w:t>
      </w:r>
      <w:proofErr w:type="spellEnd"/>
      <w:r>
        <w:rPr>
          <w:rFonts w:ascii="Arial" w:hAnsi="Arial" w:cs="Arial"/>
          <w:bCs/>
          <w:sz w:val="18"/>
          <w:szCs w:val="18"/>
        </w:rPr>
        <w:t xml:space="preserve"> Taba de Nieto – Luz </w:t>
      </w:r>
      <w:proofErr w:type="spellStart"/>
      <w:r>
        <w:rPr>
          <w:rFonts w:ascii="Arial" w:hAnsi="Arial" w:cs="Arial"/>
          <w:bCs/>
          <w:sz w:val="18"/>
          <w:szCs w:val="18"/>
        </w:rPr>
        <w:t>Aleida</w:t>
      </w:r>
      <w:proofErr w:type="spellEnd"/>
      <w:r>
        <w:rPr>
          <w:rFonts w:ascii="Arial" w:hAnsi="Arial" w:cs="Arial"/>
          <w:bCs/>
          <w:sz w:val="18"/>
          <w:szCs w:val="18"/>
        </w:rPr>
        <w:t xml:space="preserve"> Nieto Taba</w:t>
      </w:r>
    </w:p>
    <w:p w:rsidR="003029BA" w:rsidRDefault="0094177F" w:rsidP="003029BA">
      <w:pPr>
        <w:pStyle w:val="Titre"/>
        <w:spacing w:line="240" w:lineRule="auto"/>
        <w:jc w:val="both"/>
        <w:rPr>
          <w:rFonts w:ascii="Tahoma" w:hAnsi="Tahoma" w:cs="Tahoma"/>
          <w:b w:val="0"/>
          <w:sz w:val="18"/>
          <w:szCs w:val="18"/>
        </w:rPr>
      </w:pPr>
      <w:r>
        <w:rPr>
          <w:rFonts w:ascii="Tahoma" w:hAnsi="Tahoma" w:cs="Tahoma"/>
          <w:sz w:val="18"/>
          <w:szCs w:val="18"/>
        </w:rPr>
        <w:t>Magistrada</w:t>
      </w:r>
      <w:r w:rsidR="003029BA" w:rsidRPr="003029BA">
        <w:rPr>
          <w:rFonts w:ascii="Tahoma" w:hAnsi="Tahoma" w:cs="Tahoma"/>
          <w:sz w:val="18"/>
          <w:szCs w:val="18"/>
        </w:rPr>
        <w:t xml:space="preserve"> Ponente:</w:t>
      </w:r>
      <w:r w:rsidR="003029BA" w:rsidRPr="003029BA">
        <w:rPr>
          <w:rFonts w:ascii="Tahoma" w:hAnsi="Tahoma" w:cs="Tahoma"/>
          <w:b w:val="0"/>
          <w:sz w:val="18"/>
          <w:szCs w:val="18"/>
        </w:rPr>
        <w:tab/>
        <w:t>Dr</w:t>
      </w:r>
      <w:r>
        <w:rPr>
          <w:rFonts w:ascii="Tahoma" w:hAnsi="Tahoma" w:cs="Tahoma"/>
          <w:b w:val="0"/>
          <w:sz w:val="18"/>
          <w:szCs w:val="18"/>
        </w:rPr>
        <w:t>a</w:t>
      </w:r>
      <w:r w:rsidR="003029BA" w:rsidRPr="003029BA">
        <w:rPr>
          <w:rFonts w:ascii="Tahoma" w:hAnsi="Tahoma" w:cs="Tahoma"/>
          <w:b w:val="0"/>
          <w:sz w:val="18"/>
          <w:szCs w:val="18"/>
        </w:rPr>
        <w:t xml:space="preserve">. </w:t>
      </w:r>
      <w:r>
        <w:rPr>
          <w:rFonts w:ascii="Tahoma" w:hAnsi="Tahoma" w:cs="Tahoma"/>
          <w:b w:val="0"/>
          <w:sz w:val="18"/>
          <w:szCs w:val="18"/>
        </w:rPr>
        <w:t>OLGA LUCÍA HOYOS SEPÚLVEDA</w:t>
      </w:r>
    </w:p>
    <w:p w:rsidR="006715BB" w:rsidRDefault="006715BB" w:rsidP="003029BA">
      <w:pPr>
        <w:pStyle w:val="Titre"/>
        <w:spacing w:line="240" w:lineRule="auto"/>
        <w:jc w:val="both"/>
        <w:rPr>
          <w:rFonts w:ascii="Tahoma" w:hAnsi="Tahoma" w:cs="Tahoma"/>
          <w:sz w:val="18"/>
          <w:szCs w:val="18"/>
        </w:rPr>
      </w:pPr>
      <w:r w:rsidRPr="006715BB">
        <w:rPr>
          <w:rFonts w:ascii="Tahoma" w:hAnsi="Tahoma" w:cs="Tahoma"/>
          <w:sz w:val="18"/>
          <w:szCs w:val="18"/>
        </w:rPr>
        <w:t>Magistrada que aclara voto: ANA LUCÍA CAICEDO CALDERÓN</w:t>
      </w:r>
    </w:p>
    <w:p w:rsidR="00DE2745" w:rsidRPr="006715BB" w:rsidRDefault="00DE2745" w:rsidP="003029BA">
      <w:pPr>
        <w:pStyle w:val="Titre"/>
        <w:spacing w:line="240" w:lineRule="auto"/>
        <w:jc w:val="both"/>
        <w:rPr>
          <w:rFonts w:ascii="Tahoma" w:hAnsi="Tahoma" w:cs="Tahoma"/>
          <w:sz w:val="18"/>
          <w:szCs w:val="18"/>
        </w:rPr>
      </w:pPr>
    </w:p>
    <w:p w:rsidR="00DE2745" w:rsidRPr="00DE2745" w:rsidRDefault="00A515A7" w:rsidP="00DE2745">
      <w:pPr>
        <w:pStyle w:val="Titre"/>
        <w:spacing w:line="240" w:lineRule="auto"/>
        <w:ind w:left="2124" w:hanging="2124"/>
        <w:jc w:val="both"/>
        <w:rPr>
          <w:rFonts w:ascii="Tahoma" w:hAnsi="Tahoma" w:cs="Tahoma"/>
          <w:b w:val="0"/>
          <w:sz w:val="18"/>
          <w:szCs w:val="18"/>
        </w:rPr>
      </w:pPr>
      <w:r>
        <w:rPr>
          <w:rFonts w:ascii="Tahoma" w:hAnsi="Tahoma" w:cs="Tahoma"/>
          <w:sz w:val="18"/>
          <w:szCs w:val="18"/>
        </w:rPr>
        <w:t>Tema de la aclaración:</w:t>
      </w:r>
      <w:r w:rsidR="003029BA" w:rsidRPr="003029BA">
        <w:rPr>
          <w:rFonts w:ascii="Tahoma" w:hAnsi="Tahoma" w:cs="Tahoma"/>
          <w:sz w:val="18"/>
          <w:szCs w:val="18"/>
        </w:rPr>
        <w:t xml:space="preserve"> </w:t>
      </w:r>
      <w:r w:rsidR="003029BA" w:rsidRPr="003029BA">
        <w:rPr>
          <w:rFonts w:ascii="Tahoma" w:hAnsi="Tahoma" w:cs="Tahoma"/>
          <w:sz w:val="18"/>
          <w:szCs w:val="18"/>
        </w:rPr>
        <w:tab/>
      </w:r>
      <w:r>
        <w:rPr>
          <w:rFonts w:ascii="Tahoma" w:hAnsi="Tahoma" w:cs="Tahoma"/>
          <w:sz w:val="18"/>
          <w:szCs w:val="18"/>
          <w:u w:val="single"/>
        </w:rPr>
        <w:t xml:space="preserve">APLICACIÓN DE LA </w:t>
      </w:r>
      <w:r w:rsidR="000054F7">
        <w:rPr>
          <w:rFonts w:ascii="Tahoma" w:hAnsi="Tahoma" w:cs="Tahoma"/>
          <w:sz w:val="18"/>
          <w:szCs w:val="18"/>
          <w:u w:val="single"/>
        </w:rPr>
        <w:t xml:space="preserve">PERSPECTIVA DE GÉNERO POR PARTE DE LA TOTALIDAD DE LOS INTEGRANTES DE LA </w:t>
      </w:r>
      <w:r w:rsidR="00DE2745">
        <w:rPr>
          <w:rFonts w:ascii="Tahoma" w:hAnsi="Tahoma" w:cs="Tahoma"/>
          <w:sz w:val="18"/>
          <w:szCs w:val="18"/>
          <w:u w:val="single"/>
        </w:rPr>
        <w:t xml:space="preserve">SALA LABORAL: </w:t>
      </w:r>
      <w:r w:rsidR="00DE2745" w:rsidRPr="00DE2745">
        <w:rPr>
          <w:rFonts w:ascii="Tahoma" w:hAnsi="Tahoma" w:cs="Tahoma"/>
          <w:b w:val="0"/>
          <w:sz w:val="18"/>
          <w:szCs w:val="18"/>
        </w:rPr>
        <w:t xml:space="preserve">Como quiera que las mujeres han sido históricamente discriminadas, especialmente en el ámbito laboral, en procura de superar ese trato diferenciado injustificado, Colombia ha suscrito varios instrumentos internacionales como por ejemplo la Convención para la eliminación de todas las formas de discriminación contra la Mujer “CEDAW”, y en cumplimiento de ese compromiso internacional expidió ley 1257 de 2008. Igualmente se ha adherido a los PRINCIPOS DE BLANGLADORE SOBRE LA CONDUCTA JUDICIAL, en cuyo valor 5º  al hablar del principio de Equidad se establece la obligación para todos los jueces y juezas de familiarizarse con los instrumentos internacionales que prohíben la discriminación contra los grupos vulnerables de la comunidad, verbi gracia, el acabado de referenciar conocido por sus siglas en inglés como la CEDAW. </w:t>
      </w:r>
    </w:p>
    <w:p w:rsidR="00DE2745" w:rsidRPr="00DE2745" w:rsidRDefault="00DE2745" w:rsidP="00DE2745">
      <w:pPr>
        <w:ind w:left="2124"/>
        <w:jc w:val="both"/>
        <w:rPr>
          <w:rFonts w:ascii="Tahoma" w:hAnsi="Tahoma" w:cs="Tahoma"/>
          <w:sz w:val="18"/>
          <w:szCs w:val="18"/>
        </w:rPr>
      </w:pPr>
    </w:p>
    <w:p w:rsidR="00DE2745" w:rsidRPr="00DE2745" w:rsidRDefault="00DE2745" w:rsidP="00DE2745">
      <w:pPr>
        <w:ind w:left="2124"/>
        <w:jc w:val="both"/>
        <w:rPr>
          <w:rFonts w:ascii="Tahoma" w:hAnsi="Tahoma" w:cs="Tahoma"/>
          <w:sz w:val="18"/>
          <w:szCs w:val="18"/>
          <w:lang w:val="es-CO"/>
        </w:rPr>
      </w:pPr>
      <w:r w:rsidRPr="00DE2745">
        <w:rPr>
          <w:rFonts w:ascii="Tahoma" w:hAnsi="Tahoma" w:cs="Tahoma"/>
          <w:sz w:val="18"/>
          <w:szCs w:val="18"/>
        </w:rPr>
        <w:t xml:space="preserve">Al margen, celebro que por fin la Sala Laboral por primera vez a partir de esta sentencia por UNANIMIDAD </w:t>
      </w:r>
      <w:r w:rsidR="00042D18" w:rsidRPr="00DE2745">
        <w:rPr>
          <w:rFonts w:ascii="Tahoma" w:hAnsi="Tahoma" w:cs="Tahoma"/>
          <w:sz w:val="18"/>
          <w:szCs w:val="18"/>
        </w:rPr>
        <w:t>aplicó</w:t>
      </w:r>
      <w:r w:rsidRPr="00DE2745">
        <w:rPr>
          <w:rFonts w:ascii="Tahoma" w:hAnsi="Tahoma" w:cs="Tahoma"/>
          <w:sz w:val="18"/>
          <w:szCs w:val="18"/>
          <w:lang w:val="es-CO"/>
        </w:rPr>
        <w:t xml:space="preserve"> perspectiva de género, herramienta que venía siendo utilizada por la mayoría de sus integrantes. </w:t>
      </w:r>
    </w:p>
    <w:p w:rsidR="00DE2745" w:rsidRPr="00760FB7" w:rsidRDefault="00DE2745" w:rsidP="00DE2745">
      <w:pPr>
        <w:spacing w:line="276" w:lineRule="auto"/>
        <w:jc w:val="both"/>
        <w:rPr>
          <w:rFonts w:ascii="Tahoma" w:hAnsi="Tahoma" w:cs="Tahoma"/>
        </w:rPr>
      </w:pPr>
    </w:p>
    <w:p w:rsidR="00A515A7" w:rsidRPr="00ED69CB" w:rsidRDefault="00A515A7" w:rsidP="00290872">
      <w:pPr>
        <w:pStyle w:val="Titre"/>
        <w:spacing w:line="240" w:lineRule="auto"/>
        <w:ind w:left="2124" w:hanging="2124"/>
        <w:jc w:val="both"/>
        <w:rPr>
          <w:rFonts w:ascii="Tahoma" w:hAnsi="Tahoma" w:cs="Tahoma"/>
          <w:b w:val="0"/>
          <w:bCs/>
          <w:sz w:val="18"/>
          <w:szCs w:val="18"/>
          <w:u w:val="single"/>
        </w:rPr>
      </w:pPr>
    </w:p>
    <w:p w:rsidR="003029BA" w:rsidRPr="00DE2745" w:rsidRDefault="006715BB" w:rsidP="003029BA">
      <w:pPr>
        <w:pStyle w:val="Titre1"/>
        <w:widowControl/>
        <w:autoSpaceDE/>
        <w:autoSpaceDN/>
        <w:adjustRightInd/>
        <w:spacing w:line="360" w:lineRule="auto"/>
        <w:rPr>
          <w:rFonts w:ascii="Tahoma" w:hAnsi="Tahoma" w:cs="Tahoma"/>
          <w:bCs/>
          <w:sz w:val="22"/>
          <w:szCs w:val="22"/>
          <w:u w:val="single"/>
        </w:rPr>
      </w:pPr>
      <w:r w:rsidRPr="00DE2745">
        <w:rPr>
          <w:rFonts w:ascii="Tahoma" w:hAnsi="Tahoma" w:cs="Tahoma"/>
          <w:bCs/>
          <w:sz w:val="22"/>
          <w:szCs w:val="22"/>
          <w:u w:val="single"/>
        </w:rPr>
        <w:t>ACLARACIÓN DE</w:t>
      </w:r>
      <w:r w:rsidR="003029BA" w:rsidRPr="00DE2745">
        <w:rPr>
          <w:rFonts w:ascii="Tahoma" w:hAnsi="Tahoma" w:cs="Tahoma"/>
          <w:bCs/>
          <w:sz w:val="22"/>
          <w:szCs w:val="22"/>
          <w:u w:val="single"/>
        </w:rPr>
        <w:t xml:space="preserve"> VOTO</w:t>
      </w:r>
    </w:p>
    <w:p w:rsidR="00A24782" w:rsidRPr="00DE2745" w:rsidRDefault="00A24782" w:rsidP="003029BA">
      <w:pPr>
        <w:spacing w:line="360" w:lineRule="auto"/>
        <w:jc w:val="both"/>
        <w:rPr>
          <w:rFonts w:ascii="Tahoma" w:hAnsi="Tahoma" w:cs="Tahoma"/>
          <w:sz w:val="22"/>
          <w:szCs w:val="22"/>
        </w:rPr>
      </w:pPr>
    </w:p>
    <w:p w:rsidR="00760FB7" w:rsidRPr="00DE2745" w:rsidRDefault="0094177F" w:rsidP="000054F7">
      <w:pPr>
        <w:spacing w:line="276" w:lineRule="auto"/>
        <w:jc w:val="both"/>
        <w:rPr>
          <w:rFonts w:ascii="Tahoma" w:hAnsi="Tahoma" w:cs="Tahoma"/>
          <w:sz w:val="22"/>
          <w:szCs w:val="22"/>
        </w:rPr>
      </w:pPr>
      <w:r w:rsidRPr="00DE2745">
        <w:rPr>
          <w:rFonts w:ascii="Tahoma" w:hAnsi="Tahoma" w:cs="Tahoma"/>
          <w:sz w:val="22"/>
          <w:szCs w:val="22"/>
        </w:rPr>
        <w:t xml:space="preserve">Mi respetuosa aclaración va encaminada a reforzar la tesis de la sentencia en el tema de la aplicación de la perspectiva de género, y lo hago movida por un interés pedagógico y no porque esté en desacuerdo con el fallo. Lo anterior a efectos de contribuir en la aplicación de esta valiosa herramienta internacional </w:t>
      </w:r>
      <w:r w:rsidRPr="00DE2745">
        <w:rPr>
          <w:rFonts w:ascii="Tahoma" w:hAnsi="Tahoma" w:cs="Tahoma"/>
          <w:i/>
          <w:sz w:val="22"/>
          <w:szCs w:val="22"/>
        </w:rPr>
        <w:t xml:space="preserve">–perspectiva de género- </w:t>
      </w:r>
      <w:r w:rsidRPr="00DE2745">
        <w:rPr>
          <w:rFonts w:ascii="Tahoma" w:hAnsi="Tahoma" w:cs="Tahoma"/>
          <w:sz w:val="22"/>
          <w:szCs w:val="22"/>
        </w:rPr>
        <w:t xml:space="preserve">al percibir en veces la apatía de algunas de </w:t>
      </w:r>
      <w:r w:rsidR="000054F7" w:rsidRPr="00DE2745">
        <w:rPr>
          <w:rFonts w:ascii="Tahoma" w:hAnsi="Tahoma" w:cs="Tahoma"/>
          <w:sz w:val="22"/>
          <w:szCs w:val="22"/>
        </w:rPr>
        <w:t xml:space="preserve">las y los </w:t>
      </w:r>
      <w:r w:rsidRPr="00DE2745">
        <w:rPr>
          <w:rFonts w:ascii="Tahoma" w:hAnsi="Tahoma" w:cs="Tahoma"/>
          <w:sz w:val="22"/>
          <w:szCs w:val="22"/>
        </w:rPr>
        <w:t>jue</w:t>
      </w:r>
      <w:r w:rsidR="000054F7" w:rsidRPr="00DE2745">
        <w:rPr>
          <w:rFonts w:ascii="Tahoma" w:hAnsi="Tahoma" w:cs="Tahoma"/>
          <w:sz w:val="22"/>
          <w:szCs w:val="22"/>
        </w:rPr>
        <w:t>ces</w:t>
      </w:r>
      <w:r w:rsidRPr="00DE2745">
        <w:rPr>
          <w:rFonts w:ascii="Tahoma" w:hAnsi="Tahoma" w:cs="Tahoma"/>
          <w:sz w:val="22"/>
          <w:szCs w:val="22"/>
        </w:rPr>
        <w:t xml:space="preserve"> </w:t>
      </w:r>
      <w:r w:rsidR="00760FB7" w:rsidRPr="00DE2745">
        <w:rPr>
          <w:rFonts w:ascii="Tahoma" w:hAnsi="Tahoma" w:cs="Tahoma"/>
          <w:sz w:val="22"/>
          <w:szCs w:val="22"/>
        </w:rPr>
        <w:t>laborales frente a las normas internacionales y constitucionales, o en otras</w:t>
      </w:r>
      <w:r w:rsidR="000054F7" w:rsidRPr="00DE2745">
        <w:rPr>
          <w:rFonts w:ascii="Tahoma" w:hAnsi="Tahoma" w:cs="Tahoma"/>
          <w:sz w:val="22"/>
          <w:szCs w:val="22"/>
        </w:rPr>
        <w:t>,</w:t>
      </w:r>
      <w:r w:rsidR="00760FB7" w:rsidRPr="00DE2745">
        <w:rPr>
          <w:rFonts w:ascii="Tahoma" w:hAnsi="Tahoma" w:cs="Tahoma"/>
          <w:sz w:val="22"/>
          <w:szCs w:val="22"/>
        </w:rPr>
        <w:t xml:space="preserve"> </w:t>
      </w:r>
      <w:r w:rsidRPr="00DE2745">
        <w:rPr>
          <w:rFonts w:ascii="Tahoma" w:hAnsi="Tahoma" w:cs="Tahoma"/>
          <w:sz w:val="22"/>
          <w:szCs w:val="22"/>
        </w:rPr>
        <w:t>la dificultad</w:t>
      </w:r>
      <w:r w:rsidR="00760FB7" w:rsidRPr="00DE2745">
        <w:rPr>
          <w:rFonts w:ascii="Tahoma" w:hAnsi="Tahoma" w:cs="Tahoma"/>
          <w:sz w:val="22"/>
          <w:szCs w:val="22"/>
        </w:rPr>
        <w:t xml:space="preserve"> que ofrece la utilización de esta metodología </w:t>
      </w:r>
      <w:r w:rsidRPr="00DE2745">
        <w:rPr>
          <w:rFonts w:ascii="Tahoma" w:hAnsi="Tahoma" w:cs="Tahoma"/>
          <w:sz w:val="22"/>
          <w:szCs w:val="22"/>
        </w:rPr>
        <w:t xml:space="preserve"> </w:t>
      </w:r>
      <w:r w:rsidR="00760FB7" w:rsidRPr="00DE2745">
        <w:rPr>
          <w:rFonts w:ascii="Tahoma" w:hAnsi="Tahoma" w:cs="Tahoma"/>
          <w:sz w:val="22"/>
          <w:szCs w:val="22"/>
        </w:rPr>
        <w:t xml:space="preserve">en un caso concreto. </w:t>
      </w:r>
    </w:p>
    <w:p w:rsidR="00760FB7" w:rsidRPr="00DE2745" w:rsidRDefault="00760FB7" w:rsidP="000054F7">
      <w:pPr>
        <w:spacing w:line="276" w:lineRule="auto"/>
        <w:jc w:val="both"/>
        <w:rPr>
          <w:rFonts w:ascii="Tahoma" w:hAnsi="Tahoma" w:cs="Tahoma"/>
          <w:sz w:val="22"/>
          <w:szCs w:val="22"/>
        </w:rPr>
      </w:pPr>
    </w:p>
    <w:p w:rsidR="00760FB7" w:rsidRPr="00DE2745" w:rsidRDefault="00760FB7" w:rsidP="000054F7">
      <w:pPr>
        <w:spacing w:line="276" w:lineRule="auto"/>
        <w:jc w:val="both"/>
        <w:rPr>
          <w:rFonts w:ascii="Tahoma" w:hAnsi="Tahoma" w:cs="Tahoma"/>
          <w:sz w:val="22"/>
          <w:szCs w:val="22"/>
        </w:rPr>
      </w:pPr>
      <w:r w:rsidRPr="00DE2745">
        <w:rPr>
          <w:rFonts w:ascii="Tahoma" w:hAnsi="Tahoma" w:cs="Tahoma"/>
          <w:sz w:val="22"/>
          <w:szCs w:val="22"/>
        </w:rPr>
        <w:t xml:space="preserve">Pues bien, evidentemente en el caso de marras, existen tres circunstancias que no podían pasar inadvertidas: </w:t>
      </w:r>
      <w:r w:rsidRPr="00DE2745">
        <w:rPr>
          <w:rFonts w:ascii="Tahoma" w:hAnsi="Tahoma" w:cs="Tahoma"/>
          <w:i/>
          <w:sz w:val="22"/>
          <w:szCs w:val="22"/>
        </w:rPr>
        <w:t xml:space="preserve">i) </w:t>
      </w:r>
      <w:r w:rsidRPr="00DE2745">
        <w:rPr>
          <w:rFonts w:ascii="Tahoma" w:hAnsi="Tahoma" w:cs="Tahoma"/>
          <w:sz w:val="22"/>
          <w:szCs w:val="22"/>
        </w:rPr>
        <w:t xml:space="preserve">La demandante es una mujer y como tal hace parte de la cláusula de no discriminación establecida en el artículo 13 de la Constitución Política, de tal manera que si del contexto fático se desprende que esa condición </w:t>
      </w:r>
      <w:r w:rsidRPr="00DE2745">
        <w:rPr>
          <w:rFonts w:ascii="Tahoma" w:hAnsi="Tahoma" w:cs="Tahoma"/>
          <w:i/>
          <w:sz w:val="22"/>
          <w:szCs w:val="22"/>
        </w:rPr>
        <w:t xml:space="preserve">–la de ser mujer- </w:t>
      </w:r>
      <w:r w:rsidRPr="00DE2745">
        <w:rPr>
          <w:rFonts w:ascii="Tahoma" w:hAnsi="Tahoma" w:cs="Tahoma"/>
          <w:sz w:val="22"/>
          <w:szCs w:val="22"/>
        </w:rPr>
        <w:t xml:space="preserve">la puso en desventaja en la relación laboral que sostuvo con la empleadora, asoma la obligación constitucional para la judicatura de tomar medidas afirmativas para hacer efectiva la igualdad material de que es acreedora  conforme lo ordena el propio artículo 13 ya mencionado en armonía con los artículos 43 y 53 de la Carta Política; </w:t>
      </w:r>
      <w:r w:rsidRPr="00DE2745">
        <w:rPr>
          <w:rFonts w:ascii="Tahoma" w:hAnsi="Tahoma" w:cs="Tahoma"/>
          <w:i/>
          <w:sz w:val="22"/>
          <w:szCs w:val="22"/>
        </w:rPr>
        <w:t xml:space="preserve">ii) </w:t>
      </w:r>
      <w:r w:rsidRPr="00DE2745">
        <w:rPr>
          <w:rFonts w:ascii="Tahoma" w:hAnsi="Tahoma" w:cs="Tahoma"/>
          <w:sz w:val="22"/>
          <w:szCs w:val="22"/>
        </w:rPr>
        <w:t xml:space="preserve">la labor desarrollada por la demandante –atención de comensales y lavado de vajilla- es una actividad doméstica que ha sido históricamente mal remunerada y por regla general asignada a las mujeres; y, </w:t>
      </w:r>
      <w:r w:rsidRPr="00DE2745">
        <w:rPr>
          <w:rFonts w:ascii="Tahoma" w:hAnsi="Tahoma" w:cs="Tahoma"/>
          <w:i/>
          <w:sz w:val="22"/>
          <w:szCs w:val="22"/>
        </w:rPr>
        <w:t xml:space="preserve">iii) </w:t>
      </w:r>
      <w:r w:rsidRPr="00DE2745">
        <w:rPr>
          <w:rFonts w:ascii="Tahoma" w:hAnsi="Tahoma" w:cs="Tahoma"/>
          <w:sz w:val="22"/>
          <w:szCs w:val="22"/>
        </w:rPr>
        <w:t xml:space="preserve">durante la ejecución del contrato de trabajo, la actora quedó en estado de embarazo, circunstancia protegida constitucionalmente en el artículo 43 de la Constitución y el  artículo 239 del Código Sustantivo del Trabajo. </w:t>
      </w:r>
    </w:p>
    <w:p w:rsidR="00760FB7" w:rsidRPr="00DE2745" w:rsidRDefault="00760FB7" w:rsidP="000054F7">
      <w:pPr>
        <w:spacing w:line="276" w:lineRule="auto"/>
        <w:jc w:val="both"/>
        <w:rPr>
          <w:rFonts w:ascii="Tahoma" w:hAnsi="Tahoma" w:cs="Tahoma"/>
          <w:sz w:val="22"/>
          <w:szCs w:val="22"/>
        </w:rPr>
      </w:pPr>
    </w:p>
    <w:p w:rsidR="00760FB7" w:rsidRPr="00DE2745" w:rsidRDefault="00760FB7" w:rsidP="000054F7">
      <w:pPr>
        <w:spacing w:line="276" w:lineRule="auto"/>
        <w:jc w:val="both"/>
        <w:rPr>
          <w:rFonts w:ascii="Tahoma" w:hAnsi="Tahoma" w:cs="Tahoma"/>
          <w:sz w:val="22"/>
          <w:szCs w:val="22"/>
        </w:rPr>
      </w:pPr>
      <w:r w:rsidRPr="00DE2745">
        <w:rPr>
          <w:rFonts w:ascii="Tahoma" w:hAnsi="Tahoma" w:cs="Tahoma"/>
          <w:sz w:val="22"/>
          <w:szCs w:val="22"/>
        </w:rPr>
        <w:t xml:space="preserve">Como quiera que las mujeres han sido históricamente discriminadas, especialmente en el ámbito laboral, en procura de superar ese trato diferenciado injustificado, Colombia ha suscrito varios instrumentos internacionales como por ejemplo la Convención para la eliminación de todas las formas de discriminación contra la Mujer “CEDAW”, y en </w:t>
      </w:r>
      <w:r w:rsidRPr="00DE2745">
        <w:rPr>
          <w:rFonts w:ascii="Tahoma" w:hAnsi="Tahoma" w:cs="Tahoma"/>
          <w:sz w:val="22"/>
          <w:szCs w:val="22"/>
        </w:rPr>
        <w:lastRenderedPageBreak/>
        <w:t xml:space="preserve">cumplimiento de ese compromiso internacional expidió ley 1257 de 2008. Igualmente se ha adherido a los PRINCIPOS DE BLANGLADORE SOBRE LA CONDUCTA JUDICIAL, en cuyo valor 5º  al hablar del principio de Equidad se establece la obligación para todos los jueces y juezas de familiarizarse con los instrumentos internacionales que prohíben la discriminación contra los grupos vulnerables de la comunidad, verbi gracia, el acabado de referenciar conocido por sus siglas en inglés como la CEDAW. </w:t>
      </w:r>
    </w:p>
    <w:p w:rsidR="00760FB7" w:rsidRPr="00DE2745" w:rsidRDefault="00760FB7" w:rsidP="000054F7">
      <w:pPr>
        <w:spacing w:line="276" w:lineRule="auto"/>
        <w:jc w:val="both"/>
        <w:rPr>
          <w:rFonts w:ascii="Tahoma" w:hAnsi="Tahoma" w:cs="Tahoma"/>
          <w:sz w:val="22"/>
          <w:szCs w:val="22"/>
        </w:rPr>
      </w:pPr>
    </w:p>
    <w:p w:rsidR="00760FB7" w:rsidRPr="00DE2745" w:rsidRDefault="00760FB7" w:rsidP="000054F7">
      <w:pPr>
        <w:spacing w:line="276" w:lineRule="auto"/>
        <w:jc w:val="both"/>
        <w:rPr>
          <w:rFonts w:ascii="Tahoma" w:hAnsi="Tahoma" w:cs="Tahoma"/>
          <w:sz w:val="22"/>
          <w:szCs w:val="22"/>
        </w:rPr>
      </w:pPr>
      <w:r w:rsidRPr="00DE2745">
        <w:rPr>
          <w:rFonts w:ascii="Tahoma" w:hAnsi="Tahoma" w:cs="Tahoma"/>
          <w:sz w:val="22"/>
          <w:szCs w:val="22"/>
        </w:rPr>
        <w:t>En ese orden de ideas y en cumplimiento de las normas internacionales y nacionales, se observa que la mujer que interviene en el proceso fue discriminada por su empleadora</w:t>
      </w:r>
      <w:r w:rsidR="000054F7" w:rsidRPr="00DE2745">
        <w:rPr>
          <w:rFonts w:ascii="Tahoma" w:hAnsi="Tahoma" w:cs="Tahoma"/>
          <w:sz w:val="22"/>
          <w:szCs w:val="22"/>
        </w:rPr>
        <w:t xml:space="preserve"> (como se dijo en la sentencia)</w:t>
      </w:r>
      <w:r w:rsidRPr="00DE2745">
        <w:rPr>
          <w:rFonts w:ascii="Tahoma" w:hAnsi="Tahoma" w:cs="Tahoma"/>
          <w:sz w:val="22"/>
          <w:szCs w:val="22"/>
        </w:rPr>
        <w:t xml:space="preserve">, pero además </w:t>
      </w:r>
      <w:r w:rsidR="000054F7" w:rsidRPr="00DE2745">
        <w:rPr>
          <w:rFonts w:ascii="Tahoma" w:hAnsi="Tahoma" w:cs="Tahoma"/>
          <w:sz w:val="22"/>
          <w:szCs w:val="22"/>
        </w:rPr>
        <w:t xml:space="preserve">sus circunstancias fáticas particulares </w:t>
      </w:r>
      <w:r w:rsidRPr="00DE2745">
        <w:rPr>
          <w:rFonts w:ascii="Tahoma" w:hAnsi="Tahoma" w:cs="Tahoma"/>
          <w:sz w:val="22"/>
          <w:szCs w:val="22"/>
        </w:rPr>
        <w:t>se invisibiliz</w:t>
      </w:r>
      <w:r w:rsidR="000054F7" w:rsidRPr="00DE2745">
        <w:rPr>
          <w:rFonts w:ascii="Tahoma" w:hAnsi="Tahoma" w:cs="Tahoma"/>
          <w:sz w:val="22"/>
          <w:szCs w:val="22"/>
        </w:rPr>
        <w:t xml:space="preserve">aron </w:t>
      </w:r>
      <w:r w:rsidRPr="00DE2745">
        <w:rPr>
          <w:rFonts w:ascii="Tahoma" w:hAnsi="Tahoma" w:cs="Tahoma"/>
          <w:sz w:val="22"/>
          <w:szCs w:val="22"/>
        </w:rPr>
        <w:t>y/o se ignor</w:t>
      </w:r>
      <w:r w:rsidR="000054F7" w:rsidRPr="00DE2745">
        <w:rPr>
          <w:rFonts w:ascii="Tahoma" w:hAnsi="Tahoma" w:cs="Tahoma"/>
          <w:sz w:val="22"/>
          <w:szCs w:val="22"/>
        </w:rPr>
        <w:t>aron</w:t>
      </w:r>
      <w:r w:rsidRPr="00DE2745">
        <w:rPr>
          <w:rFonts w:ascii="Tahoma" w:hAnsi="Tahoma" w:cs="Tahoma"/>
          <w:sz w:val="22"/>
          <w:szCs w:val="22"/>
        </w:rPr>
        <w:t xml:space="preserve"> por parte de la jueza de instancia, </w:t>
      </w:r>
      <w:r w:rsidR="000054F7" w:rsidRPr="00DE2745">
        <w:rPr>
          <w:rFonts w:ascii="Tahoma" w:hAnsi="Tahoma" w:cs="Tahoma"/>
          <w:sz w:val="22"/>
          <w:szCs w:val="22"/>
        </w:rPr>
        <w:t xml:space="preserve">originándose una doble discriminación en su contra: una en la sociedad y otra en la decisión judicial de primera instancia, pues ha dicho la </w:t>
      </w:r>
      <w:r w:rsidR="00042D18" w:rsidRPr="00DE2745">
        <w:rPr>
          <w:rFonts w:ascii="Tahoma" w:hAnsi="Tahoma" w:cs="Tahoma"/>
          <w:sz w:val="22"/>
          <w:szCs w:val="22"/>
        </w:rPr>
        <w:t>jurisprudencia</w:t>
      </w:r>
      <w:r w:rsidR="000054F7" w:rsidRPr="00DE2745">
        <w:rPr>
          <w:rFonts w:ascii="Tahoma" w:hAnsi="Tahoma" w:cs="Tahoma"/>
          <w:sz w:val="22"/>
          <w:szCs w:val="22"/>
        </w:rPr>
        <w:t xml:space="preserve"> internacional y nacional que una posición NEUTRA </w:t>
      </w:r>
      <w:r w:rsidR="00042D18" w:rsidRPr="00DE2745">
        <w:rPr>
          <w:rFonts w:ascii="Tahoma" w:hAnsi="Tahoma" w:cs="Tahoma"/>
          <w:sz w:val="22"/>
          <w:szCs w:val="22"/>
        </w:rPr>
        <w:t>frente</w:t>
      </w:r>
      <w:r w:rsidR="000054F7" w:rsidRPr="00DE2745">
        <w:rPr>
          <w:rFonts w:ascii="Tahoma" w:hAnsi="Tahoma" w:cs="Tahoma"/>
          <w:sz w:val="22"/>
          <w:szCs w:val="22"/>
        </w:rPr>
        <w:t xml:space="preserve"> a un trato desigual, perpetua y legitima la </w:t>
      </w:r>
      <w:r w:rsidR="00042D18" w:rsidRPr="00DE2745">
        <w:rPr>
          <w:rFonts w:ascii="Tahoma" w:hAnsi="Tahoma" w:cs="Tahoma"/>
          <w:sz w:val="22"/>
          <w:szCs w:val="22"/>
        </w:rPr>
        <w:t>discriminación</w:t>
      </w:r>
      <w:r w:rsidR="00042D18">
        <w:rPr>
          <w:rFonts w:ascii="Tahoma" w:hAnsi="Tahoma" w:cs="Tahoma"/>
          <w:sz w:val="22"/>
          <w:szCs w:val="22"/>
        </w:rPr>
        <w:t xml:space="preserve"> en contra de la mu</w:t>
      </w:r>
      <w:r w:rsidR="000054F7" w:rsidRPr="00DE2745">
        <w:rPr>
          <w:rFonts w:ascii="Tahoma" w:hAnsi="Tahoma" w:cs="Tahoma"/>
          <w:sz w:val="22"/>
          <w:szCs w:val="22"/>
        </w:rPr>
        <w:t xml:space="preserve">jer, atentando contra el </w:t>
      </w:r>
      <w:r w:rsidR="00042D18" w:rsidRPr="00DE2745">
        <w:rPr>
          <w:rFonts w:ascii="Tahoma" w:hAnsi="Tahoma" w:cs="Tahoma"/>
          <w:sz w:val="22"/>
          <w:szCs w:val="22"/>
        </w:rPr>
        <w:t>derecho</w:t>
      </w:r>
      <w:r w:rsidR="000054F7" w:rsidRPr="00DE2745">
        <w:rPr>
          <w:rFonts w:ascii="Tahoma" w:hAnsi="Tahoma" w:cs="Tahoma"/>
          <w:sz w:val="22"/>
          <w:szCs w:val="22"/>
        </w:rPr>
        <w:t xml:space="preserve"> a la igualdad material. P</w:t>
      </w:r>
      <w:r w:rsidRPr="00DE2745">
        <w:rPr>
          <w:rFonts w:ascii="Tahoma" w:hAnsi="Tahoma" w:cs="Tahoma"/>
          <w:sz w:val="22"/>
          <w:szCs w:val="22"/>
        </w:rPr>
        <w:t>or lo tanto en aras de tomar una acción afirmativa para no perpetuar en las propias decisiones judiciales y en la sociedad el trato desigual de las mujeres, ha</w:t>
      </w:r>
      <w:r w:rsidR="000054F7" w:rsidRPr="00DE2745">
        <w:rPr>
          <w:rFonts w:ascii="Tahoma" w:hAnsi="Tahoma" w:cs="Tahoma"/>
          <w:sz w:val="22"/>
          <w:szCs w:val="22"/>
        </w:rPr>
        <w:t>bía</w:t>
      </w:r>
      <w:r w:rsidRPr="00DE2745">
        <w:rPr>
          <w:rFonts w:ascii="Tahoma" w:hAnsi="Tahoma" w:cs="Tahoma"/>
          <w:sz w:val="22"/>
          <w:szCs w:val="22"/>
        </w:rPr>
        <w:t xml:space="preserve"> lugar a flexibilizar </w:t>
      </w:r>
      <w:proofErr w:type="gramStart"/>
      <w:r w:rsidRPr="00DE2745">
        <w:rPr>
          <w:rFonts w:ascii="Tahoma" w:hAnsi="Tahoma" w:cs="Tahoma"/>
          <w:sz w:val="22"/>
          <w:szCs w:val="22"/>
        </w:rPr>
        <w:t>la reglas probatorias</w:t>
      </w:r>
      <w:proofErr w:type="gramEnd"/>
      <w:r w:rsidRPr="00DE2745">
        <w:rPr>
          <w:rFonts w:ascii="Tahoma" w:hAnsi="Tahoma" w:cs="Tahoma"/>
          <w:sz w:val="22"/>
          <w:szCs w:val="22"/>
        </w:rPr>
        <w:t xml:space="preserve">,  conforme lo establece la Corte  Constitucional, entre otras en la Sentencia T-921 de 2014, tal como se hizo por la Sala. </w:t>
      </w:r>
    </w:p>
    <w:p w:rsidR="000054F7" w:rsidRPr="00DE2745" w:rsidRDefault="000054F7" w:rsidP="000054F7">
      <w:pPr>
        <w:spacing w:line="276" w:lineRule="auto"/>
        <w:jc w:val="both"/>
        <w:rPr>
          <w:rFonts w:ascii="Tahoma" w:hAnsi="Tahoma" w:cs="Tahoma"/>
          <w:sz w:val="22"/>
          <w:szCs w:val="22"/>
        </w:rPr>
      </w:pPr>
    </w:p>
    <w:p w:rsidR="000054F7" w:rsidRPr="00DE2745" w:rsidRDefault="000054F7" w:rsidP="000054F7">
      <w:pPr>
        <w:spacing w:line="276" w:lineRule="auto"/>
        <w:jc w:val="both"/>
        <w:rPr>
          <w:rFonts w:ascii="Tahoma" w:hAnsi="Tahoma" w:cs="Tahoma"/>
          <w:sz w:val="22"/>
          <w:szCs w:val="22"/>
          <w:lang w:val="es-CO"/>
        </w:rPr>
      </w:pPr>
      <w:r w:rsidRPr="00DE2745">
        <w:rPr>
          <w:rFonts w:ascii="Tahoma" w:hAnsi="Tahoma" w:cs="Tahoma"/>
          <w:sz w:val="22"/>
          <w:szCs w:val="22"/>
        </w:rPr>
        <w:t xml:space="preserve">Al margen, celebro que por fin la Sala Laboral por primera vez a partir de esta sentencia por UNANIMIDAD </w:t>
      </w:r>
      <w:proofErr w:type="spellStart"/>
      <w:r w:rsidRPr="00DE2745">
        <w:rPr>
          <w:rFonts w:ascii="Tahoma" w:hAnsi="Tahoma" w:cs="Tahoma"/>
          <w:sz w:val="22"/>
          <w:szCs w:val="22"/>
        </w:rPr>
        <w:t>aplic</w:t>
      </w:r>
      <w:proofErr w:type="spellEnd"/>
      <w:r w:rsidRPr="00DE2745">
        <w:rPr>
          <w:rFonts w:ascii="Tahoma" w:hAnsi="Tahoma" w:cs="Tahoma"/>
          <w:sz w:val="22"/>
          <w:szCs w:val="22"/>
          <w:lang w:val="es-CO"/>
        </w:rPr>
        <w:t>ó perspectiva de género, herramienta que venía siendo utilizada por la mayoría de</w:t>
      </w:r>
      <w:r w:rsidR="00DE2745" w:rsidRPr="00DE2745">
        <w:rPr>
          <w:rFonts w:ascii="Tahoma" w:hAnsi="Tahoma" w:cs="Tahoma"/>
          <w:sz w:val="22"/>
          <w:szCs w:val="22"/>
          <w:lang w:val="es-CO"/>
        </w:rPr>
        <w:t xml:space="preserve"> sus integrantes</w:t>
      </w:r>
      <w:r w:rsidRPr="00DE2745">
        <w:rPr>
          <w:rFonts w:ascii="Tahoma" w:hAnsi="Tahoma" w:cs="Tahoma"/>
          <w:sz w:val="22"/>
          <w:szCs w:val="22"/>
          <w:lang w:val="es-CO"/>
        </w:rPr>
        <w:t>.</w:t>
      </w:r>
    </w:p>
    <w:p w:rsidR="00760FB7" w:rsidRPr="00DE2745" w:rsidRDefault="00760FB7" w:rsidP="000054F7">
      <w:pPr>
        <w:spacing w:line="276" w:lineRule="auto"/>
        <w:jc w:val="both"/>
        <w:rPr>
          <w:rFonts w:ascii="Tahoma" w:hAnsi="Tahoma" w:cs="Tahoma"/>
          <w:sz w:val="22"/>
          <w:szCs w:val="22"/>
        </w:rPr>
      </w:pPr>
    </w:p>
    <w:p w:rsidR="003029BA" w:rsidRPr="00DE2745" w:rsidRDefault="003029BA" w:rsidP="000054F7">
      <w:pPr>
        <w:pStyle w:val="Corpsdetexte"/>
        <w:autoSpaceDE/>
        <w:autoSpaceDN/>
        <w:adjustRightInd/>
        <w:spacing w:line="276" w:lineRule="auto"/>
        <w:rPr>
          <w:rFonts w:ascii="Tahoma" w:hAnsi="Tahoma" w:cs="Tahoma"/>
          <w:sz w:val="22"/>
          <w:szCs w:val="22"/>
          <w:lang w:val="es-ES"/>
        </w:rPr>
      </w:pPr>
      <w:r w:rsidRPr="00DE2745">
        <w:rPr>
          <w:rFonts w:ascii="Tahoma" w:hAnsi="Tahoma" w:cs="Tahoma"/>
          <w:sz w:val="22"/>
          <w:szCs w:val="22"/>
          <w:lang w:val="es-ES"/>
        </w:rPr>
        <w:t xml:space="preserve">En estos términos sustento mi </w:t>
      </w:r>
      <w:r w:rsidR="00ED69CB" w:rsidRPr="00DE2745">
        <w:rPr>
          <w:rFonts w:ascii="Tahoma" w:hAnsi="Tahoma" w:cs="Tahoma"/>
          <w:sz w:val="22"/>
          <w:szCs w:val="22"/>
          <w:lang w:val="es-ES"/>
        </w:rPr>
        <w:t>aclaración</w:t>
      </w:r>
      <w:r w:rsidRPr="00DE2745">
        <w:rPr>
          <w:rFonts w:ascii="Tahoma" w:hAnsi="Tahoma" w:cs="Tahoma"/>
          <w:sz w:val="22"/>
          <w:szCs w:val="22"/>
          <w:lang w:val="es-ES"/>
        </w:rPr>
        <w:t xml:space="preserve"> de voto.</w:t>
      </w:r>
    </w:p>
    <w:p w:rsidR="003029BA" w:rsidRPr="00DE2745" w:rsidRDefault="003029BA" w:rsidP="000054F7">
      <w:pPr>
        <w:pStyle w:val="Corpsdetexte"/>
        <w:autoSpaceDE/>
        <w:autoSpaceDN/>
        <w:adjustRightInd/>
        <w:spacing w:line="276" w:lineRule="auto"/>
        <w:rPr>
          <w:rFonts w:ascii="Tahoma" w:hAnsi="Tahoma" w:cs="Tahoma"/>
          <w:sz w:val="22"/>
          <w:szCs w:val="22"/>
          <w:lang w:val="es-ES"/>
        </w:rPr>
      </w:pPr>
    </w:p>
    <w:p w:rsidR="00ED69CB" w:rsidRPr="00DE2745" w:rsidRDefault="00ED69CB" w:rsidP="000054F7">
      <w:pPr>
        <w:pStyle w:val="Corpsdetexte"/>
        <w:autoSpaceDE/>
        <w:autoSpaceDN/>
        <w:adjustRightInd/>
        <w:spacing w:line="276" w:lineRule="auto"/>
        <w:rPr>
          <w:rFonts w:ascii="Tahoma" w:hAnsi="Tahoma" w:cs="Tahoma"/>
          <w:sz w:val="22"/>
          <w:szCs w:val="22"/>
          <w:lang w:val="es-ES"/>
        </w:rPr>
      </w:pPr>
    </w:p>
    <w:p w:rsidR="00A24782" w:rsidRPr="00DE2745" w:rsidRDefault="00A24782" w:rsidP="000054F7">
      <w:pPr>
        <w:pStyle w:val="Corpsdetexte"/>
        <w:autoSpaceDE/>
        <w:autoSpaceDN/>
        <w:adjustRightInd/>
        <w:spacing w:line="276" w:lineRule="auto"/>
        <w:rPr>
          <w:rFonts w:ascii="Tahoma" w:hAnsi="Tahoma" w:cs="Tahoma"/>
          <w:sz w:val="22"/>
          <w:szCs w:val="22"/>
          <w:lang w:val="es-ES"/>
        </w:rPr>
      </w:pPr>
    </w:p>
    <w:p w:rsidR="003029BA" w:rsidRPr="00DE2745" w:rsidRDefault="003029BA" w:rsidP="000054F7">
      <w:pPr>
        <w:pStyle w:val="Titre3"/>
        <w:spacing w:line="276" w:lineRule="auto"/>
        <w:rPr>
          <w:rFonts w:ascii="Tahoma" w:hAnsi="Tahoma" w:cs="Tahoma"/>
          <w:sz w:val="22"/>
          <w:szCs w:val="22"/>
        </w:rPr>
      </w:pPr>
      <w:r w:rsidRPr="00DE2745">
        <w:rPr>
          <w:rFonts w:ascii="Tahoma" w:hAnsi="Tahoma" w:cs="Tahoma"/>
          <w:sz w:val="22"/>
          <w:szCs w:val="22"/>
        </w:rPr>
        <w:t>ANA LUCÍA CAICEDO CALDERÓN</w:t>
      </w:r>
    </w:p>
    <w:p w:rsidR="0047358A" w:rsidRPr="00DE2745" w:rsidRDefault="0047358A" w:rsidP="000054F7">
      <w:pPr>
        <w:spacing w:line="276" w:lineRule="auto"/>
        <w:rPr>
          <w:sz w:val="22"/>
          <w:szCs w:val="22"/>
        </w:rPr>
      </w:pPr>
    </w:p>
    <w:p w:rsidR="0047358A" w:rsidRPr="00DE2745" w:rsidRDefault="0047358A" w:rsidP="0047358A">
      <w:pPr>
        <w:rPr>
          <w:sz w:val="22"/>
          <w:szCs w:val="22"/>
        </w:rPr>
      </w:pPr>
    </w:p>
    <w:p w:rsidR="0036013A" w:rsidRPr="00DE2745" w:rsidRDefault="0036013A">
      <w:pPr>
        <w:rPr>
          <w:sz w:val="22"/>
          <w:szCs w:val="22"/>
        </w:rPr>
      </w:pPr>
    </w:p>
    <w:sectPr w:rsidR="0036013A" w:rsidRPr="00DE2745" w:rsidSect="0074574A">
      <w:footerReference w:type="even" r:id="rId9"/>
      <w:footerReference w:type="default" r:id="rId10"/>
      <w:pgSz w:w="12242" w:h="18722" w:code="121"/>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66" w:rsidRDefault="001D7266">
      <w:r>
        <w:separator/>
      </w:r>
    </w:p>
  </w:endnote>
  <w:endnote w:type="continuationSeparator" w:id="0">
    <w:p w:rsidR="001D7266" w:rsidRDefault="001D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F" w:rsidRDefault="00C3794E">
    <w:pPr>
      <w:pStyle w:val="Pieddepage"/>
      <w:framePr w:wrap="around" w:vAnchor="text" w:hAnchor="margin" w:xAlign="center" w:y="1"/>
      <w:rPr>
        <w:rStyle w:val="Numrodepage"/>
      </w:rPr>
    </w:pPr>
    <w:r>
      <w:rPr>
        <w:rStyle w:val="Numrodepage"/>
      </w:rPr>
      <w:fldChar w:fldCharType="begin"/>
    </w:r>
    <w:r w:rsidR="002F6F5F">
      <w:rPr>
        <w:rStyle w:val="Numrodepage"/>
      </w:rPr>
      <w:instrText xml:space="preserve">PAGE  </w:instrText>
    </w:r>
    <w:r>
      <w:rPr>
        <w:rStyle w:val="Numrodepage"/>
      </w:rPr>
      <w:fldChar w:fldCharType="end"/>
    </w:r>
  </w:p>
  <w:p w:rsidR="002F6F5F" w:rsidRDefault="002F6F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F" w:rsidRDefault="00C3794E">
    <w:pPr>
      <w:pStyle w:val="Pieddepage"/>
      <w:framePr w:wrap="around" w:vAnchor="text" w:hAnchor="margin" w:xAlign="center" w:y="1"/>
      <w:rPr>
        <w:rStyle w:val="Numrodepage"/>
      </w:rPr>
    </w:pPr>
    <w:r>
      <w:rPr>
        <w:rStyle w:val="Numrodepage"/>
      </w:rPr>
      <w:fldChar w:fldCharType="begin"/>
    </w:r>
    <w:r w:rsidR="002F6F5F">
      <w:rPr>
        <w:rStyle w:val="Numrodepage"/>
      </w:rPr>
      <w:instrText xml:space="preserve">PAGE  </w:instrText>
    </w:r>
    <w:r>
      <w:rPr>
        <w:rStyle w:val="Numrodepage"/>
      </w:rPr>
      <w:fldChar w:fldCharType="separate"/>
    </w:r>
    <w:r w:rsidR="00832F7A">
      <w:rPr>
        <w:rStyle w:val="Numrodepage"/>
        <w:noProof/>
      </w:rPr>
      <w:t>2</w:t>
    </w:r>
    <w:r>
      <w:rPr>
        <w:rStyle w:val="Numrodepage"/>
      </w:rPr>
      <w:fldChar w:fldCharType="end"/>
    </w:r>
  </w:p>
  <w:p w:rsidR="002F6F5F" w:rsidRDefault="002F6F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66" w:rsidRDefault="001D7266">
      <w:r>
        <w:separator/>
      </w:r>
    </w:p>
  </w:footnote>
  <w:footnote w:type="continuationSeparator" w:id="0">
    <w:p w:rsidR="001D7266" w:rsidRDefault="001D7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75D0"/>
    <w:multiLevelType w:val="hybridMultilevel"/>
    <w:tmpl w:val="9462E5B2"/>
    <w:lvl w:ilvl="0" w:tplc="03B6CF4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720922"/>
    <w:multiLevelType w:val="hybridMultilevel"/>
    <w:tmpl w:val="161C865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7D6EA3"/>
    <w:multiLevelType w:val="hybridMultilevel"/>
    <w:tmpl w:val="E53CAAB2"/>
    <w:lvl w:ilvl="0" w:tplc="0E2E49BC">
      <w:start w:val="1"/>
      <w:numFmt w:val="decimal"/>
      <w:lvlText w:val="%1."/>
      <w:lvlJc w:val="left"/>
      <w:pPr>
        <w:ind w:left="720" w:hanging="360"/>
      </w:pPr>
      <w:rPr>
        <w:rFonts w:ascii="Tahoma" w:eastAsia="Times New Roman"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D02F61"/>
    <w:multiLevelType w:val="hybridMultilevel"/>
    <w:tmpl w:val="B03A4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9BA"/>
    <w:rsid w:val="000054F7"/>
    <w:rsid w:val="00042D18"/>
    <w:rsid w:val="0006543F"/>
    <w:rsid w:val="0006666C"/>
    <w:rsid w:val="001171DA"/>
    <w:rsid w:val="00123AA5"/>
    <w:rsid w:val="00137BD2"/>
    <w:rsid w:val="0017333E"/>
    <w:rsid w:val="00184326"/>
    <w:rsid w:val="00185BF8"/>
    <w:rsid w:val="0019051C"/>
    <w:rsid w:val="001B5C3D"/>
    <w:rsid w:val="001D3F21"/>
    <w:rsid w:val="001D7266"/>
    <w:rsid w:val="00252020"/>
    <w:rsid w:val="002560A8"/>
    <w:rsid w:val="00290872"/>
    <w:rsid w:val="002D164B"/>
    <w:rsid w:val="002F1171"/>
    <w:rsid w:val="002F6F5F"/>
    <w:rsid w:val="003029BA"/>
    <w:rsid w:val="0036013A"/>
    <w:rsid w:val="00366734"/>
    <w:rsid w:val="00375CED"/>
    <w:rsid w:val="00382AA1"/>
    <w:rsid w:val="003F4DC3"/>
    <w:rsid w:val="00402DF5"/>
    <w:rsid w:val="0041594A"/>
    <w:rsid w:val="00463CBF"/>
    <w:rsid w:val="004702B6"/>
    <w:rsid w:val="00471F21"/>
    <w:rsid w:val="0047358A"/>
    <w:rsid w:val="00486D48"/>
    <w:rsid w:val="00490572"/>
    <w:rsid w:val="004A089F"/>
    <w:rsid w:val="004B74CF"/>
    <w:rsid w:val="004C32A4"/>
    <w:rsid w:val="004D20A4"/>
    <w:rsid w:val="00541004"/>
    <w:rsid w:val="00542D2F"/>
    <w:rsid w:val="005645FC"/>
    <w:rsid w:val="005862BB"/>
    <w:rsid w:val="005867C3"/>
    <w:rsid w:val="005B57BF"/>
    <w:rsid w:val="005F534D"/>
    <w:rsid w:val="006003FF"/>
    <w:rsid w:val="006006E3"/>
    <w:rsid w:val="00600FB9"/>
    <w:rsid w:val="0061231B"/>
    <w:rsid w:val="00624CC5"/>
    <w:rsid w:val="006433A7"/>
    <w:rsid w:val="00656440"/>
    <w:rsid w:val="006715BB"/>
    <w:rsid w:val="0068319B"/>
    <w:rsid w:val="00692B1B"/>
    <w:rsid w:val="006E0E44"/>
    <w:rsid w:val="006F7CAD"/>
    <w:rsid w:val="007223FA"/>
    <w:rsid w:val="0074574A"/>
    <w:rsid w:val="00760FB7"/>
    <w:rsid w:val="0077766D"/>
    <w:rsid w:val="007B587E"/>
    <w:rsid w:val="007F397D"/>
    <w:rsid w:val="00811CCA"/>
    <w:rsid w:val="00812AAC"/>
    <w:rsid w:val="00832F7A"/>
    <w:rsid w:val="00837284"/>
    <w:rsid w:val="008451A7"/>
    <w:rsid w:val="00852F93"/>
    <w:rsid w:val="00863592"/>
    <w:rsid w:val="00895FBB"/>
    <w:rsid w:val="008A3266"/>
    <w:rsid w:val="008B1479"/>
    <w:rsid w:val="008B2D2A"/>
    <w:rsid w:val="008C599B"/>
    <w:rsid w:val="008C619A"/>
    <w:rsid w:val="008D2EB8"/>
    <w:rsid w:val="008E2187"/>
    <w:rsid w:val="00901EA4"/>
    <w:rsid w:val="0092645B"/>
    <w:rsid w:val="0094177F"/>
    <w:rsid w:val="00980954"/>
    <w:rsid w:val="00981090"/>
    <w:rsid w:val="00992742"/>
    <w:rsid w:val="0099450C"/>
    <w:rsid w:val="009E4E75"/>
    <w:rsid w:val="00A2397B"/>
    <w:rsid w:val="00A24782"/>
    <w:rsid w:val="00A515A7"/>
    <w:rsid w:val="00A86AC1"/>
    <w:rsid w:val="00A95CD9"/>
    <w:rsid w:val="00AC46D0"/>
    <w:rsid w:val="00AC4A2C"/>
    <w:rsid w:val="00AD4C98"/>
    <w:rsid w:val="00AE20BF"/>
    <w:rsid w:val="00B5134B"/>
    <w:rsid w:val="00B528BF"/>
    <w:rsid w:val="00B607D8"/>
    <w:rsid w:val="00B63CE8"/>
    <w:rsid w:val="00BE2677"/>
    <w:rsid w:val="00C00AA4"/>
    <w:rsid w:val="00C3794E"/>
    <w:rsid w:val="00C62707"/>
    <w:rsid w:val="00C64DE6"/>
    <w:rsid w:val="00C65E20"/>
    <w:rsid w:val="00C72EE1"/>
    <w:rsid w:val="00C8312D"/>
    <w:rsid w:val="00CA1A9A"/>
    <w:rsid w:val="00CB47FA"/>
    <w:rsid w:val="00CE52FC"/>
    <w:rsid w:val="00D05D75"/>
    <w:rsid w:val="00D369A9"/>
    <w:rsid w:val="00D53FAD"/>
    <w:rsid w:val="00D6061B"/>
    <w:rsid w:val="00DB414C"/>
    <w:rsid w:val="00DD191A"/>
    <w:rsid w:val="00DE2745"/>
    <w:rsid w:val="00DF1BC1"/>
    <w:rsid w:val="00E341CB"/>
    <w:rsid w:val="00E54CB9"/>
    <w:rsid w:val="00E5544C"/>
    <w:rsid w:val="00E77302"/>
    <w:rsid w:val="00E8713D"/>
    <w:rsid w:val="00EB2735"/>
    <w:rsid w:val="00EC6ECC"/>
    <w:rsid w:val="00ED573C"/>
    <w:rsid w:val="00ED69CB"/>
    <w:rsid w:val="00F338C4"/>
    <w:rsid w:val="00F41509"/>
    <w:rsid w:val="00F564E4"/>
    <w:rsid w:val="00F60167"/>
    <w:rsid w:val="00F62107"/>
    <w:rsid w:val="00F80479"/>
    <w:rsid w:val="00FA04C7"/>
    <w:rsid w:val="00FF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9BA"/>
    <w:rPr>
      <w:sz w:val="24"/>
      <w:szCs w:val="24"/>
    </w:rPr>
  </w:style>
  <w:style w:type="paragraph" w:styleId="Titre1">
    <w:name w:val="heading 1"/>
    <w:basedOn w:val="Normal"/>
    <w:next w:val="Normal"/>
    <w:qFormat/>
    <w:rsid w:val="003029BA"/>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qFormat/>
    <w:rsid w:val="003029BA"/>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rsid w:val="003029BA"/>
    <w:pPr>
      <w:keepNext/>
      <w:tabs>
        <w:tab w:val="left" w:pos="0"/>
      </w:tabs>
      <w:overflowPunct w:val="0"/>
      <w:autoSpaceDE w:val="0"/>
      <w:autoSpaceDN w:val="0"/>
      <w:adjustRightInd w:val="0"/>
      <w:jc w:val="center"/>
      <w:textAlignment w:val="baseline"/>
      <w:outlineLvl w:val="3"/>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3029BA"/>
    <w:rPr>
      <w:sz w:val="20"/>
      <w:szCs w:val="20"/>
    </w:rPr>
  </w:style>
  <w:style w:type="character" w:styleId="Appelnotedebasdep">
    <w:name w:val="footnote reference"/>
    <w:semiHidden/>
    <w:rsid w:val="003029BA"/>
    <w:rPr>
      <w:vertAlign w:val="superscript"/>
    </w:rPr>
  </w:style>
  <w:style w:type="paragraph" w:styleId="Corpsdetexte">
    <w:name w:val="Body Text"/>
    <w:basedOn w:val="Normal"/>
    <w:rsid w:val="003029BA"/>
    <w:pPr>
      <w:autoSpaceDE w:val="0"/>
      <w:autoSpaceDN w:val="0"/>
      <w:adjustRightInd w:val="0"/>
      <w:jc w:val="both"/>
    </w:pPr>
    <w:rPr>
      <w:lang w:val="es-CO"/>
    </w:rPr>
  </w:style>
  <w:style w:type="paragraph" w:styleId="Titre">
    <w:name w:val="Title"/>
    <w:basedOn w:val="Normal"/>
    <w:qFormat/>
    <w:rsid w:val="003029BA"/>
    <w:pPr>
      <w:widowControl w:val="0"/>
      <w:autoSpaceDE w:val="0"/>
      <w:autoSpaceDN w:val="0"/>
      <w:adjustRightInd w:val="0"/>
      <w:spacing w:line="360" w:lineRule="auto"/>
      <w:jc w:val="center"/>
    </w:pPr>
    <w:rPr>
      <w:rFonts w:ascii="Arial" w:hAnsi="Arial" w:cs="Arial"/>
      <w:b/>
    </w:rPr>
  </w:style>
  <w:style w:type="paragraph" w:styleId="Pieddepage">
    <w:name w:val="footer"/>
    <w:basedOn w:val="Normal"/>
    <w:rsid w:val="003029BA"/>
    <w:pPr>
      <w:tabs>
        <w:tab w:val="center" w:pos="4419"/>
        <w:tab w:val="right" w:pos="8838"/>
      </w:tabs>
    </w:pPr>
  </w:style>
  <w:style w:type="character" w:styleId="Numrodepage">
    <w:name w:val="page number"/>
    <w:basedOn w:val="Policepardfaut"/>
    <w:rsid w:val="003029BA"/>
  </w:style>
  <w:style w:type="character" w:customStyle="1" w:styleId="NotedebasdepageCar">
    <w:name w:val="Note de bas de page Car"/>
    <w:link w:val="Notedebasdepage"/>
    <w:rsid w:val="003029BA"/>
    <w:rPr>
      <w:lang w:val="es-ES" w:eastAsia="es-ES" w:bidi="ar-SA"/>
    </w:rPr>
  </w:style>
  <w:style w:type="paragraph" w:styleId="Textedebulles">
    <w:name w:val="Balloon Text"/>
    <w:basedOn w:val="Normal"/>
    <w:semiHidden/>
    <w:rsid w:val="003029BA"/>
    <w:rPr>
      <w:rFonts w:ascii="Tahoma" w:hAnsi="Tahoma" w:cs="Tahoma"/>
      <w:sz w:val="16"/>
      <w:szCs w:val="16"/>
    </w:rPr>
  </w:style>
  <w:style w:type="paragraph" w:styleId="Paragraphedeliste">
    <w:name w:val="List Paragraph"/>
    <w:basedOn w:val="Normal"/>
    <w:uiPriority w:val="34"/>
    <w:qFormat/>
    <w:rsid w:val="00AC4A2C"/>
    <w:pPr>
      <w:ind w:left="720"/>
      <w:contextualSpacing/>
    </w:pPr>
  </w:style>
  <w:style w:type="paragraph" w:styleId="Sansinterligne">
    <w:name w:val="No Spacing"/>
    <w:uiPriority w:val="1"/>
    <w:qFormat/>
    <w:rsid w:val="00981090"/>
    <w:rPr>
      <w:sz w:val="24"/>
      <w:szCs w:val="24"/>
    </w:rPr>
  </w:style>
  <w:style w:type="character" w:customStyle="1" w:styleId="textonavy">
    <w:name w:val="texto_navy"/>
    <w:basedOn w:val="Policepardfaut"/>
    <w:rsid w:val="00981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9D08-C38E-4BD7-A4F9-0FBDF822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Malucimedina</cp:lastModifiedBy>
  <cp:revision>6</cp:revision>
  <cp:lastPrinted>2017-02-01T16:12:00Z</cp:lastPrinted>
  <dcterms:created xsi:type="dcterms:W3CDTF">2017-02-01T16:10:00Z</dcterms:created>
  <dcterms:modified xsi:type="dcterms:W3CDTF">2017-05-01T00:34:00Z</dcterms:modified>
</cp:coreProperties>
</file>