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C137F" w:rsidRPr="00A817A6" w:rsidRDefault="00FC137F" w:rsidP="00FC137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C137F" w:rsidRDefault="00FC137F" w:rsidP="00B64E2A">
      <w:pPr>
        <w:pStyle w:val="Titre"/>
        <w:spacing w:line="240" w:lineRule="auto"/>
        <w:jc w:val="both"/>
        <w:rPr>
          <w:rFonts w:ascii="Tahoma" w:hAnsi="Tahoma" w:cs="Tahoma"/>
          <w:b w:val="0"/>
          <w:sz w:val="20"/>
        </w:rPr>
      </w:pPr>
    </w:p>
    <w:p w:rsidR="00B64E2A" w:rsidRPr="00C76801" w:rsidRDefault="00B64E2A" w:rsidP="00B64E2A">
      <w:pPr>
        <w:pStyle w:val="Titre"/>
        <w:spacing w:line="240" w:lineRule="auto"/>
        <w:jc w:val="both"/>
        <w:rPr>
          <w:rFonts w:ascii="Tahoma" w:hAnsi="Tahoma" w:cs="Tahoma"/>
          <w:b w:val="0"/>
          <w:sz w:val="20"/>
        </w:rPr>
      </w:pPr>
      <w:r w:rsidRPr="00C76801">
        <w:rPr>
          <w:rFonts w:ascii="Tahoma" w:hAnsi="Tahoma" w:cs="Tahoma"/>
          <w:b w:val="0"/>
          <w:sz w:val="20"/>
        </w:rPr>
        <w:t xml:space="preserve">Providencia: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F1550A">
        <w:rPr>
          <w:rFonts w:ascii="Tahoma" w:hAnsi="Tahoma" w:cs="Tahoma"/>
          <w:b w:val="0"/>
          <w:sz w:val="20"/>
        </w:rPr>
        <w:t>S</w:t>
      </w:r>
      <w:r w:rsidR="00FC137F">
        <w:rPr>
          <w:rFonts w:ascii="Tahoma" w:hAnsi="Tahoma" w:cs="Tahoma"/>
          <w:b w:val="0"/>
          <w:sz w:val="20"/>
        </w:rPr>
        <w:t>alvamento de voto - S</w:t>
      </w:r>
      <w:r w:rsidR="00F1550A">
        <w:rPr>
          <w:rFonts w:ascii="Tahoma" w:hAnsi="Tahoma" w:cs="Tahoma"/>
          <w:b w:val="0"/>
          <w:sz w:val="20"/>
        </w:rPr>
        <w:t xml:space="preserve">entencia </w:t>
      </w:r>
      <w:r w:rsidR="00113783">
        <w:rPr>
          <w:rFonts w:ascii="Tahoma" w:hAnsi="Tahoma" w:cs="Tahoma"/>
          <w:b w:val="0"/>
          <w:sz w:val="20"/>
        </w:rPr>
        <w:t>16 de febrero de 2017</w:t>
      </w:r>
    </w:p>
    <w:p w:rsidR="00782D3A" w:rsidRPr="00C76801" w:rsidRDefault="00782D3A">
      <w:pPr>
        <w:pStyle w:val="Titre"/>
        <w:spacing w:line="240" w:lineRule="auto"/>
        <w:jc w:val="both"/>
        <w:rPr>
          <w:rFonts w:ascii="Tahoma" w:hAnsi="Tahoma" w:cs="Tahoma"/>
          <w:b w:val="0"/>
          <w:sz w:val="20"/>
        </w:rPr>
      </w:pPr>
      <w:r w:rsidRPr="00C76801">
        <w:rPr>
          <w:rFonts w:ascii="Tahoma" w:hAnsi="Tahoma" w:cs="Tahoma"/>
          <w:b w:val="0"/>
          <w:sz w:val="20"/>
        </w:rPr>
        <w:t>Radicación No. :</w:t>
      </w:r>
      <w:r w:rsidRPr="00C76801">
        <w:rPr>
          <w:rFonts w:ascii="Tahoma" w:hAnsi="Tahoma" w:cs="Tahoma"/>
          <w:b w:val="0"/>
          <w:sz w:val="20"/>
        </w:rPr>
        <w:tab/>
      </w:r>
      <w:r w:rsidRPr="00C76801">
        <w:rPr>
          <w:rFonts w:ascii="Tahoma" w:hAnsi="Tahoma" w:cs="Tahoma"/>
          <w:b w:val="0"/>
          <w:sz w:val="20"/>
        </w:rPr>
        <w:tab/>
      </w:r>
      <w:r w:rsidR="00FC0800" w:rsidRPr="00C76801">
        <w:rPr>
          <w:rFonts w:ascii="Tahoma" w:hAnsi="Tahoma" w:cs="Tahoma"/>
          <w:b w:val="0"/>
          <w:sz w:val="20"/>
          <w:szCs w:val="20"/>
        </w:rPr>
        <w:t>66</w:t>
      </w:r>
      <w:r w:rsidR="0083123E" w:rsidRPr="00C76801">
        <w:rPr>
          <w:rFonts w:ascii="Tahoma" w:hAnsi="Tahoma" w:cs="Tahoma"/>
          <w:b w:val="0"/>
          <w:sz w:val="20"/>
          <w:szCs w:val="20"/>
        </w:rPr>
        <w:t>001</w:t>
      </w:r>
      <w:r w:rsidR="00FC0800" w:rsidRPr="00C76801">
        <w:rPr>
          <w:rFonts w:ascii="Tahoma" w:hAnsi="Tahoma" w:cs="Tahoma"/>
          <w:b w:val="0"/>
          <w:sz w:val="20"/>
          <w:szCs w:val="20"/>
        </w:rPr>
        <w:t>-31-05-00</w:t>
      </w:r>
      <w:r w:rsidR="00F74B76">
        <w:rPr>
          <w:rFonts w:ascii="Tahoma" w:hAnsi="Tahoma" w:cs="Tahoma"/>
          <w:b w:val="0"/>
          <w:sz w:val="20"/>
          <w:szCs w:val="20"/>
        </w:rPr>
        <w:t>3</w:t>
      </w:r>
      <w:r w:rsidR="00FC0800" w:rsidRPr="00C76801">
        <w:rPr>
          <w:rFonts w:ascii="Tahoma" w:hAnsi="Tahoma" w:cs="Tahoma"/>
          <w:b w:val="0"/>
          <w:sz w:val="20"/>
          <w:szCs w:val="20"/>
        </w:rPr>
        <w:t>-20</w:t>
      </w:r>
      <w:r w:rsidR="00A01BB0" w:rsidRPr="00C76801">
        <w:rPr>
          <w:rFonts w:ascii="Tahoma" w:hAnsi="Tahoma" w:cs="Tahoma"/>
          <w:b w:val="0"/>
          <w:sz w:val="20"/>
          <w:szCs w:val="20"/>
        </w:rPr>
        <w:t>1</w:t>
      </w:r>
      <w:r w:rsidR="00F74B76">
        <w:rPr>
          <w:rFonts w:ascii="Tahoma" w:hAnsi="Tahoma" w:cs="Tahoma"/>
          <w:b w:val="0"/>
          <w:sz w:val="20"/>
          <w:szCs w:val="20"/>
        </w:rPr>
        <w:t>5</w:t>
      </w:r>
      <w:r w:rsidR="00FC0800" w:rsidRPr="00C76801">
        <w:rPr>
          <w:rFonts w:ascii="Tahoma" w:hAnsi="Tahoma" w:cs="Tahoma"/>
          <w:b w:val="0"/>
          <w:sz w:val="20"/>
          <w:szCs w:val="20"/>
        </w:rPr>
        <w:t>-0</w:t>
      </w:r>
      <w:r w:rsidR="00B64E2A" w:rsidRPr="00C76801">
        <w:rPr>
          <w:rFonts w:ascii="Tahoma" w:hAnsi="Tahoma" w:cs="Tahoma"/>
          <w:b w:val="0"/>
          <w:sz w:val="20"/>
          <w:szCs w:val="20"/>
        </w:rPr>
        <w:t>0</w:t>
      </w:r>
      <w:r w:rsidR="00113783">
        <w:rPr>
          <w:rFonts w:ascii="Tahoma" w:hAnsi="Tahoma" w:cs="Tahoma"/>
          <w:b w:val="0"/>
          <w:sz w:val="20"/>
          <w:szCs w:val="20"/>
        </w:rPr>
        <w:t>4</w:t>
      </w:r>
      <w:r w:rsidR="00F74B76">
        <w:rPr>
          <w:rFonts w:ascii="Tahoma" w:hAnsi="Tahoma" w:cs="Tahoma"/>
          <w:b w:val="0"/>
          <w:sz w:val="20"/>
          <w:szCs w:val="20"/>
        </w:rPr>
        <w:t>2</w:t>
      </w:r>
      <w:r w:rsidR="00113783">
        <w:rPr>
          <w:rFonts w:ascii="Tahoma" w:hAnsi="Tahoma" w:cs="Tahoma"/>
          <w:b w:val="0"/>
          <w:sz w:val="20"/>
          <w:szCs w:val="20"/>
        </w:rPr>
        <w:t>2</w:t>
      </w:r>
      <w:r w:rsidR="00F1550A">
        <w:rPr>
          <w:rFonts w:ascii="Tahoma" w:hAnsi="Tahoma" w:cs="Tahoma"/>
          <w:b w:val="0"/>
          <w:sz w:val="20"/>
          <w:szCs w:val="20"/>
        </w:rPr>
        <w:t>-01</w:t>
      </w:r>
      <w:r w:rsidRPr="00C76801">
        <w:rPr>
          <w:rFonts w:ascii="Tahoma" w:hAnsi="Tahoma" w:cs="Tahoma"/>
          <w:b w:val="0"/>
          <w:sz w:val="20"/>
        </w:rPr>
        <w:t xml:space="preserve"> </w:t>
      </w:r>
    </w:p>
    <w:p w:rsidR="00782D3A" w:rsidRPr="00C76801" w:rsidRDefault="00782D3A">
      <w:pPr>
        <w:pStyle w:val="Titre"/>
        <w:spacing w:line="240" w:lineRule="auto"/>
        <w:jc w:val="both"/>
        <w:rPr>
          <w:rFonts w:ascii="Tahoma" w:hAnsi="Tahoma" w:cs="Tahoma"/>
          <w:b w:val="0"/>
          <w:sz w:val="20"/>
        </w:rPr>
      </w:pPr>
      <w:r w:rsidRPr="00C76801">
        <w:rPr>
          <w:rFonts w:ascii="Tahoma" w:hAnsi="Tahoma" w:cs="Tahoma"/>
          <w:b w:val="0"/>
          <w:sz w:val="20"/>
        </w:rPr>
        <w:t xml:space="preserve">Proceso: </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F1550A">
        <w:rPr>
          <w:rFonts w:ascii="Tahoma" w:hAnsi="Tahoma" w:cs="Tahoma"/>
          <w:b w:val="0"/>
          <w:sz w:val="20"/>
        </w:rPr>
        <w:t>Ordinario</w:t>
      </w:r>
      <w:r w:rsidR="004C7FD6">
        <w:rPr>
          <w:rFonts w:ascii="Tahoma" w:hAnsi="Tahoma" w:cs="Tahoma"/>
          <w:b w:val="0"/>
          <w:sz w:val="20"/>
        </w:rPr>
        <w:t xml:space="preserve"> Laboral</w:t>
      </w:r>
    </w:p>
    <w:p w:rsidR="00782D3A" w:rsidRPr="00C76801" w:rsidRDefault="00782D3A">
      <w:pPr>
        <w:pStyle w:val="Titre"/>
        <w:spacing w:line="240" w:lineRule="auto"/>
        <w:jc w:val="both"/>
        <w:rPr>
          <w:rFonts w:ascii="Tahoma" w:hAnsi="Tahoma" w:cs="Tahoma"/>
          <w:b w:val="0"/>
          <w:sz w:val="20"/>
        </w:rPr>
      </w:pPr>
      <w:r w:rsidRPr="00C76801">
        <w:rPr>
          <w:rFonts w:ascii="Tahoma" w:hAnsi="Tahoma" w:cs="Tahoma"/>
          <w:b w:val="0"/>
          <w:sz w:val="20"/>
        </w:rPr>
        <w:t>Demandante</w:t>
      </w:r>
      <w:r w:rsidRPr="00C76801">
        <w:rPr>
          <w:rFonts w:ascii="Tahoma" w:hAnsi="Tahoma" w:cs="Tahoma"/>
          <w:b w:val="0"/>
          <w:sz w:val="20"/>
        </w:rPr>
        <w:tab/>
      </w:r>
      <w:r w:rsidRPr="00C76801">
        <w:rPr>
          <w:rFonts w:ascii="Tahoma" w:hAnsi="Tahoma" w:cs="Tahoma"/>
          <w:b w:val="0"/>
          <w:sz w:val="20"/>
        </w:rPr>
        <w:tab/>
      </w:r>
      <w:r w:rsidRPr="00C76801">
        <w:rPr>
          <w:rFonts w:ascii="Tahoma" w:hAnsi="Tahoma" w:cs="Tahoma"/>
          <w:b w:val="0"/>
          <w:sz w:val="20"/>
        </w:rPr>
        <w:tab/>
      </w:r>
      <w:r w:rsidR="00F74B76">
        <w:rPr>
          <w:rFonts w:ascii="Tahoma" w:hAnsi="Tahoma" w:cs="Tahoma"/>
          <w:b w:val="0"/>
          <w:sz w:val="20"/>
        </w:rPr>
        <w:t>José Vicente Valencia López</w:t>
      </w:r>
    </w:p>
    <w:p w:rsidR="00782D3A" w:rsidRPr="00C76801" w:rsidRDefault="00782D3A" w:rsidP="00A01BB0">
      <w:pPr>
        <w:pStyle w:val="Titre"/>
        <w:spacing w:line="240" w:lineRule="auto"/>
        <w:ind w:left="2832" w:hanging="2832"/>
        <w:jc w:val="both"/>
        <w:rPr>
          <w:rFonts w:ascii="Tahoma" w:hAnsi="Tahoma" w:cs="Tahoma"/>
          <w:b w:val="0"/>
          <w:sz w:val="20"/>
        </w:rPr>
      </w:pPr>
      <w:r w:rsidRPr="00C76801">
        <w:rPr>
          <w:rFonts w:ascii="Tahoma" w:hAnsi="Tahoma" w:cs="Tahoma"/>
          <w:b w:val="0"/>
          <w:sz w:val="20"/>
        </w:rPr>
        <w:t>Demandado:</w:t>
      </w:r>
      <w:r w:rsidRPr="00C76801">
        <w:rPr>
          <w:rFonts w:ascii="Tahoma" w:hAnsi="Tahoma" w:cs="Tahoma"/>
          <w:b w:val="0"/>
          <w:sz w:val="20"/>
        </w:rPr>
        <w:tab/>
      </w:r>
      <w:r w:rsidR="00F74B76">
        <w:rPr>
          <w:rFonts w:ascii="Tahoma" w:hAnsi="Tahoma" w:cs="Tahoma"/>
          <w:b w:val="0"/>
          <w:sz w:val="20"/>
        </w:rPr>
        <w:t>COLPENSIONES</w:t>
      </w:r>
    </w:p>
    <w:p w:rsidR="00782D3A" w:rsidRPr="00C76801" w:rsidRDefault="00782D3A">
      <w:pPr>
        <w:pStyle w:val="Titre"/>
        <w:spacing w:line="240" w:lineRule="auto"/>
        <w:jc w:val="both"/>
        <w:rPr>
          <w:rFonts w:ascii="Tahoma" w:hAnsi="Tahoma" w:cs="Tahoma"/>
          <w:b w:val="0"/>
          <w:sz w:val="20"/>
        </w:rPr>
      </w:pPr>
      <w:r w:rsidRPr="00C76801">
        <w:rPr>
          <w:rFonts w:ascii="Tahoma" w:hAnsi="Tahoma" w:cs="Tahoma"/>
          <w:b w:val="0"/>
          <w:sz w:val="20"/>
        </w:rPr>
        <w:t xml:space="preserve">Juzgado de origen: </w:t>
      </w:r>
      <w:r w:rsidRPr="00C76801">
        <w:rPr>
          <w:rFonts w:ascii="Tahoma" w:hAnsi="Tahoma" w:cs="Tahoma"/>
          <w:b w:val="0"/>
          <w:sz w:val="20"/>
        </w:rPr>
        <w:tab/>
      </w:r>
      <w:r w:rsidRPr="00C76801">
        <w:rPr>
          <w:rFonts w:ascii="Tahoma" w:hAnsi="Tahoma" w:cs="Tahoma"/>
          <w:b w:val="0"/>
          <w:sz w:val="20"/>
        </w:rPr>
        <w:tab/>
      </w:r>
      <w:r w:rsidR="00F74B76">
        <w:rPr>
          <w:rFonts w:ascii="Tahoma" w:hAnsi="Tahoma" w:cs="Tahoma"/>
          <w:b w:val="0"/>
          <w:sz w:val="20"/>
        </w:rPr>
        <w:t>Tercero</w:t>
      </w:r>
      <w:r w:rsidR="0083123E" w:rsidRPr="00C76801">
        <w:rPr>
          <w:rFonts w:ascii="Tahoma" w:hAnsi="Tahoma" w:cs="Tahoma"/>
          <w:b w:val="0"/>
          <w:sz w:val="20"/>
        </w:rPr>
        <w:t xml:space="preserve"> </w:t>
      </w:r>
      <w:r w:rsidR="00FC0800" w:rsidRPr="00C76801">
        <w:rPr>
          <w:rFonts w:ascii="Tahoma" w:hAnsi="Tahoma" w:cs="Tahoma"/>
          <w:b w:val="0"/>
          <w:sz w:val="20"/>
        </w:rPr>
        <w:t xml:space="preserve">Laboral del Circuito de </w:t>
      </w:r>
      <w:r w:rsidR="0083123E" w:rsidRPr="00C76801">
        <w:rPr>
          <w:rFonts w:ascii="Tahoma" w:hAnsi="Tahoma" w:cs="Tahoma"/>
          <w:b w:val="0"/>
          <w:sz w:val="20"/>
        </w:rPr>
        <w:t>Pereira</w:t>
      </w:r>
      <w:r w:rsidR="004C7FD6">
        <w:rPr>
          <w:rFonts w:ascii="Tahoma" w:hAnsi="Tahoma" w:cs="Tahoma"/>
          <w:b w:val="0"/>
          <w:sz w:val="20"/>
        </w:rPr>
        <w:t xml:space="preserve"> </w:t>
      </w:r>
      <w:r w:rsidR="00FC0800" w:rsidRPr="00C76801">
        <w:rPr>
          <w:rFonts w:ascii="Tahoma" w:hAnsi="Tahoma" w:cs="Tahoma"/>
          <w:b w:val="0"/>
          <w:sz w:val="20"/>
        </w:rPr>
        <w:t xml:space="preserve"> </w:t>
      </w:r>
    </w:p>
    <w:p w:rsidR="00FC0800" w:rsidRDefault="00E15E52">
      <w:pPr>
        <w:pStyle w:val="Titre"/>
        <w:spacing w:line="240" w:lineRule="auto"/>
        <w:jc w:val="both"/>
        <w:rPr>
          <w:rFonts w:ascii="Tahoma" w:hAnsi="Tahoma" w:cs="Tahoma"/>
          <w:b w:val="0"/>
          <w:sz w:val="20"/>
        </w:rPr>
      </w:pPr>
      <w:r>
        <w:rPr>
          <w:rFonts w:ascii="Tahoma" w:hAnsi="Tahoma" w:cs="Tahoma"/>
          <w:b w:val="0"/>
          <w:sz w:val="20"/>
        </w:rPr>
        <w:t>Magistrado Ponente:</w:t>
      </w:r>
      <w:r>
        <w:rPr>
          <w:rFonts w:ascii="Tahoma" w:hAnsi="Tahoma" w:cs="Tahoma"/>
          <w:b w:val="0"/>
          <w:sz w:val="20"/>
        </w:rPr>
        <w:tab/>
      </w:r>
      <w:r>
        <w:rPr>
          <w:rFonts w:ascii="Tahoma" w:hAnsi="Tahoma" w:cs="Tahoma"/>
          <w:b w:val="0"/>
          <w:sz w:val="20"/>
        </w:rPr>
        <w:tab/>
      </w:r>
      <w:bookmarkStart w:id="0" w:name="_GoBack"/>
      <w:bookmarkEnd w:id="0"/>
      <w:r w:rsidR="00113783">
        <w:rPr>
          <w:rFonts w:ascii="Tahoma" w:hAnsi="Tahoma" w:cs="Tahoma"/>
          <w:b w:val="0"/>
          <w:sz w:val="20"/>
        </w:rPr>
        <w:t>Francisco Javier Tamayo Tabares</w:t>
      </w:r>
    </w:p>
    <w:p w:rsidR="00113783" w:rsidRPr="00E15E52" w:rsidRDefault="00113783">
      <w:pPr>
        <w:pStyle w:val="Titre"/>
        <w:spacing w:line="240" w:lineRule="auto"/>
        <w:jc w:val="both"/>
        <w:rPr>
          <w:rFonts w:ascii="Tahoma" w:hAnsi="Tahoma" w:cs="Tahoma"/>
          <w:b w:val="0"/>
          <w:sz w:val="20"/>
        </w:rPr>
      </w:pPr>
      <w:r w:rsidRPr="00E15E52">
        <w:rPr>
          <w:rFonts w:ascii="Tahoma" w:hAnsi="Tahoma" w:cs="Tahoma"/>
          <w:b w:val="0"/>
          <w:sz w:val="20"/>
        </w:rPr>
        <w:t xml:space="preserve">Magistrada que </w:t>
      </w:r>
      <w:r w:rsidR="006F012F" w:rsidRPr="00E15E52">
        <w:rPr>
          <w:rFonts w:ascii="Tahoma" w:hAnsi="Tahoma" w:cs="Tahoma"/>
          <w:b w:val="0"/>
          <w:sz w:val="20"/>
        </w:rPr>
        <w:t>salva</w:t>
      </w:r>
      <w:r w:rsidRPr="00E15E52">
        <w:rPr>
          <w:rFonts w:ascii="Tahoma" w:hAnsi="Tahoma" w:cs="Tahoma"/>
          <w:b w:val="0"/>
          <w:sz w:val="20"/>
        </w:rPr>
        <w:t xml:space="preserve"> voto:</w:t>
      </w:r>
      <w:r w:rsidRPr="00E15E52">
        <w:rPr>
          <w:rFonts w:ascii="Tahoma" w:hAnsi="Tahoma" w:cs="Tahoma"/>
          <w:b w:val="0"/>
          <w:sz w:val="20"/>
        </w:rPr>
        <w:tab/>
        <w:t>ANA LUCÍA CAICEDO CALDERÓN</w:t>
      </w:r>
    </w:p>
    <w:p w:rsidR="004F32B4" w:rsidRDefault="004F32B4">
      <w:pPr>
        <w:pStyle w:val="Titre"/>
        <w:spacing w:line="240" w:lineRule="auto"/>
        <w:jc w:val="both"/>
        <w:rPr>
          <w:rFonts w:ascii="Tahoma" w:hAnsi="Tahoma" w:cs="Tahoma"/>
          <w:sz w:val="20"/>
        </w:rPr>
      </w:pPr>
    </w:p>
    <w:p w:rsidR="00D816AE" w:rsidRPr="00D816AE" w:rsidRDefault="004C7FD6" w:rsidP="00D816AE">
      <w:pPr>
        <w:pStyle w:val="Titre"/>
        <w:spacing w:line="240" w:lineRule="auto"/>
        <w:ind w:left="2805" w:hanging="2805"/>
        <w:jc w:val="both"/>
        <w:rPr>
          <w:rFonts w:ascii="Tahoma" w:hAnsi="Tahoma" w:cs="Tahoma"/>
          <w:b w:val="0"/>
          <w:sz w:val="18"/>
          <w:szCs w:val="18"/>
        </w:rPr>
      </w:pPr>
      <w:r w:rsidRPr="004C7FD6">
        <w:rPr>
          <w:rFonts w:ascii="Tahoma" w:hAnsi="Tahoma" w:cs="Tahoma"/>
          <w:b w:val="0"/>
          <w:sz w:val="20"/>
          <w:szCs w:val="20"/>
        </w:rPr>
        <w:t>Tema</w:t>
      </w:r>
      <w:r w:rsidRPr="004C7FD6">
        <w:rPr>
          <w:rFonts w:ascii="Tahoma" w:hAnsi="Tahoma" w:cs="Tahoma"/>
          <w:sz w:val="20"/>
          <w:szCs w:val="20"/>
        </w:rPr>
        <w:t>:</w:t>
      </w:r>
      <w:r w:rsidR="0083123E" w:rsidRPr="00C76801">
        <w:rPr>
          <w:rFonts w:ascii="Tahoma" w:hAnsi="Tahoma" w:cs="Tahoma"/>
          <w:sz w:val="18"/>
          <w:szCs w:val="18"/>
        </w:rPr>
        <w:t xml:space="preserve"> </w:t>
      </w:r>
      <w:r w:rsidR="0083123E" w:rsidRPr="00C76801">
        <w:rPr>
          <w:rFonts w:ascii="Tahoma" w:hAnsi="Tahoma" w:cs="Tahoma"/>
          <w:sz w:val="18"/>
          <w:szCs w:val="18"/>
        </w:rPr>
        <w:tab/>
      </w:r>
      <w:r w:rsidR="00D816AE">
        <w:rPr>
          <w:rFonts w:ascii="Tahoma" w:hAnsi="Tahoma" w:cs="Tahoma"/>
          <w:sz w:val="18"/>
          <w:szCs w:val="18"/>
        </w:rPr>
        <w:t>CUMPLIMIENTO DE LA EDAD PARA PENSIONARSE DURANTE EL PROCESO</w:t>
      </w:r>
      <w:r w:rsidR="00450D1D">
        <w:rPr>
          <w:rFonts w:ascii="Tahoma" w:hAnsi="Tahoma" w:cs="Tahoma"/>
          <w:sz w:val="18"/>
          <w:szCs w:val="18"/>
        </w:rPr>
        <w:t>:</w:t>
      </w:r>
      <w:r w:rsidR="00E75072">
        <w:rPr>
          <w:rFonts w:ascii="Tahoma" w:hAnsi="Tahoma" w:cs="Tahoma"/>
          <w:sz w:val="18"/>
          <w:szCs w:val="18"/>
        </w:rPr>
        <w:t xml:space="preserve"> </w:t>
      </w:r>
      <w:r w:rsidR="00D816AE" w:rsidRPr="00D816AE">
        <w:rPr>
          <w:rFonts w:ascii="Tahoma" w:hAnsi="Tahoma" w:cs="Tahoma"/>
          <w:b w:val="0"/>
          <w:sz w:val="18"/>
          <w:szCs w:val="18"/>
        </w:rPr>
        <w:t xml:space="preserve">El advenimiento de la edad durante el transcurso del proceso, en mi concepto es un HECHO SOBREVINIENTE y debió considerarse por la Sala para entrar a reconocer la pensión de vejez, toda vez que el usuario de la justicia no tiene que soportar las demoras de la administración de justicia en la resolución de su caso, que en caso de haberse resuelto oportunamente le habría ahorrado tiempo y dinero en un derecho tan caro a la dignidad humana </w:t>
      </w:r>
      <w:proofErr w:type="gramStart"/>
      <w:r w:rsidR="00D816AE" w:rsidRPr="00D816AE">
        <w:rPr>
          <w:rFonts w:ascii="Tahoma" w:hAnsi="Tahoma" w:cs="Tahoma"/>
          <w:b w:val="0"/>
          <w:sz w:val="18"/>
          <w:szCs w:val="18"/>
        </w:rPr>
        <w:t>como</w:t>
      </w:r>
      <w:proofErr w:type="gramEnd"/>
      <w:r w:rsidR="00D816AE" w:rsidRPr="00D816AE">
        <w:rPr>
          <w:rFonts w:ascii="Tahoma" w:hAnsi="Tahoma" w:cs="Tahoma"/>
          <w:b w:val="0"/>
          <w:sz w:val="18"/>
          <w:szCs w:val="18"/>
        </w:rPr>
        <w:t xml:space="preserve"> es la seguridad social en pensiones, a sabiendas de que la falta de la pensión afecta su mínimo vital y el derecho a la salud.</w:t>
      </w:r>
    </w:p>
    <w:p w:rsidR="00E75072" w:rsidRPr="00B91415" w:rsidRDefault="00E75072" w:rsidP="002643DF">
      <w:pPr>
        <w:rPr>
          <w:lang w:val="es-CO" w:eastAsia="es-MX"/>
        </w:rPr>
      </w:pPr>
    </w:p>
    <w:p w:rsidR="00782D3A" w:rsidRPr="00B91415" w:rsidRDefault="006F012F" w:rsidP="00E8735A">
      <w:pPr>
        <w:pStyle w:val="Titre1"/>
        <w:widowControl/>
        <w:autoSpaceDE/>
        <w:autoSpaceDN/>
        <w:adjustRightInd/>
        <w:spacing w:line="276" w:lineRule="auto"/>
        <w:rPr>
          <w:rFonts w:ascii="Tahoma" w:hAnsi="Tahoma" w:cs="Tahoma"/>
          <w:bCs/>
          <w:sz w:val="24"/>
          <w:u w:val="single"/>
        </w:rPr>
      </w:pPr>
      <w:r>
        <w:rPr>
          <w:rFonts w:ascii="Tahoma" w:hAnsi="Tahoma" w:cs="Tahoma"/>
          <w:bCs/>
          <w:sz w:val="24"/>
          <w:u w:val="single"/>
        </w:rPr>
        <w:t>SALVAMENTO</w:t>
      </w:r>
      <w:r w:rsidR="00F1550A" w:rsidRPr="00B91415">
        <w:rPr>
          <w:rFonts w:ascii="Tahoma" w:hAnsi="Tahoma" w:cs="Tahoma"/>
          <w:bCs/>
          <w:sz w:val="24"/>
          <w:u w:val="single"/>
        </w:rPr>
        <w:t xml:space="preserve"> </w:t>
      </w:r>
      <w:r w:rsidR="00782D3A" w:rsidRPr="00B91415">
        <w:rPr>
          <w:rFonts w:ascii="Tahoma" w:hAnsi="Tahoma" w:cs="Tahoma"/>
          <w:bCs/>
          <w:sz w:val="24"/>
          <w:u w:val="single"/>
        </w:rPr>
        <w:t>DE VOTO</w:t>
      </w:r>
    </w:p>
    <w:p w:rsidR="00782D3A" w:rsidRPr="00B91415" w:rsidRDefault="00782D3A" w:rsidP="00E8735A">
      <w:pPr>
        <w:spacing w:line="276" w:lineRule="auto"/>
        <w:jc w:val="both"/>
        <w:rPr>
          <w:rFonts w:ascii="Tahoma" w:hAnsi="Tahoma" w:cs="Tahoma"/>
          <w:b/>
          <w:bCs/>
        </w:rPr>
      </w:pPr>
    </w:p>
    <w:p w:rsidR="006F012F" w:rsidRDefault="004C7FD6" w:rsidP="00F81906">
      <w:pPr>
        <w:spacing w:line="276" w:lineRule="auto"/>
        <w:ind w:firstLine="851"/>
        <w:jc w:val="both"/>
        <w:rPr>
          <w:rFonts w:ascii="Tahoma" w:hAnsi="Tahoma" w:cs="Tahoma"/>
          <w:sz w:val="22"/>
          <w:szCs w:val="22"/>
        </w:rPr>
      </w:pPr>
      <w:r w:rsidRPr="00F81906">
        <w:rPr>
          <w:rFonts w:ascii="Tahoma" w:hAnsi="Tahoma" w:cs="Tahoma"/>
          <w:sz w:val="22"/>
          <w:szCs w:val="22"/>
        </w:rPr>
        <w:t xml:space="preserve">Con mi acostumbrado respeto, </w:t>
      </w:r>
      <w:r w:rsidR="006F012F">
        <w:rPr>
          <w:rFonts w:ascii="Tahoma" w:hAnsi="Tahoma" w:cs="Tahoma"/>
          <w:sz w:val="22"/>
          <w:szCs w:val="22"/>
        </w:rPr>
        <w:t>me aparto de la decisión de las mayorías con base en los siguientes argumentos:</w:t>
      </w:r>
    </w:p>
    <w:p w:rsidR="006F012F" w:rsidRDefault="006F012F" w:rsidP="006F012F">
      <w:pPr>
        <w:spacing w:line="276" w:lineRule="auto"/>
        <w:jc w:val="both"/>
        <w:rPr>
          <w:rFonts w:ascii="Tahoma" w:hAnsi="Tahoma" w:cs="Tahoma"/>
          <w:sz w:val="22"/>
          <w:szCs w:val="22"/>
        </w:rPr>
      </w:pPr>
    </w:p>
    <w:p w:rsidR="006F012F" w:rsidRDefault="006F012F"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Para poner en contexto el presente asunto, conviene rememorar que la demanda se impetró para que se le reconociera la pensión de vejez al actor con fundamento en el RÉGIMEN DE TRANSICIÓN a que tiene derecho por contar supuestamente con 22 años de servicios antes del 1º de abril de 1.994. </w:t>
      </w:r>
    </w:p>
    <w:p w:rsidR="006F012F" w:rsidRDefault="006F012F" w:rsidP="006F012F">
      <w:pPr>
        <w:pStyle w:val="Paragraphedeliste"/>
        <w:spacing w:line="276" w:lineRule="auto"/>
        <w:jc w:val="both"/>
        <w:rPr>
          <w:rFonts w:ascii="Tahoma" w:hAnsi="Tahoma" w:cs="Tahoma"/>
          <w:sz w:val="22"/>
          <w:szCs w:val="22"/>
        </w:rPr>
      </w:pPr>
    </w:p>
    <w:p w:rsidR="008A1771" w:rsidRDefault="006F012F"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Sin embargo, el demandante no demostró </w:t>
      </w:r>
      <w:r w:rsidR="00DC724D">
        <w:rPr>
          <w:rFonts w:ascii="Tahoma" w:hAnsi="Tahoma" w:cs="Tahoma"/>
          <w:sz w:val="22"/>
          <w:szCs w:val="22"/>
        </w:rPr>
        <w:t xml:space="preserve">en el proceso que </w:t>
      </w:r>
      <w:r>
        <w:rPr>
          <w:rFonts w:ascii="Tahoma" w:hAnsi="Tahoma" w:cs="Tahoma"/>
          <w:sz w:val="22"/>
          <w:szCs w:val="22"/>
        </w:rPr>
        <w:t xml:space="preserve">tenía ese número de años de servicios </w:t>
      </w:r>
      <w:r w:rsidR="00DC724D">
        <w:rPr>
          <w:rFonts w:ascii="Tahoma" w:hAnsi="Tahoma" w:cs="Tahoma"/>
          <w:sz w:val="22"/>
          <w:szCs w:val="22"/>
        </w:rPr>
        <w:t xml:space="preserve">y/ cotizaciones </w:t>
      </w:r>
      <w:r>
        <w:rPr>
          <w:rFonts w:ascii="Tahoma" w:hAnsi="Tahoma" w:cs="Tahoma"/>
          <w:sz w:val="22"/>
          <w:szCs w:val="22"/>
        </w:rPr>
        <w:t xml:space="preserve">sino apenas </w:t>
      </w:r>
      <w:r w:rsidR="00DC724D">
        <w:rPr>
          <w:rFonts w:ascii="Tahoma" w:hAnsi="Tahoma" w:cs="Tahoma"/>
          <w:sz w:val="22"/>
          <w:szCs w:val="22"/>
        </w:rPr>
        <w:t xml:space="preserve">671.71 semanas, con lo cual </w:t>
      </w:r>
      <w:r w:rsidR="00684E30">
        <w:rPr>
          <w:rFonts w:ascii="Tahoma" w:hAnsi="Tahoma" w:cs="Tahoma"/>
          <w:sz w:val="22"/>
          <w:szCs w:val="22"/>
        </w:rPr>
        <w:t>se</w:t>
      </w:r>
      <w:r w:rsidR="00DC724D">
        <w:rPr>
          <w:rFonts w:ascii="Tahoma" w:hAnsi="Tahoma" w:cs="Tahoma"/>
          <w:sz w:val="22"/>
          <w:szCs w:val="22"/>
        </w:rPr>
        <w:t xml:space="preserve"> descartó que fuera beneficiario del régimen de transición y por eso se </w:t>
      </w:r>
      <w:r w:rsidR="008A1771">
        <w:rPr>
          <w:rFonts w:ascii="Tahoma" w:hAnsi="Tahoma" w:cs="Tahoma"/>
          <w:sz w:val="22"/>
          <w:szCs w:val="22"/>
        </w:rPr>
        <w:t>denegaron sus pretensiones. Así mismo se advirtió en la sentencia de primera instancia que la pensión del actor se disciplinaba con la ley 100 de 1.993.</w:t>
      </w:r>
    </w:p>
    <w:p w:rsidR="008A1771" w:rsidRPr="008A1771" w:rsidRDefault="008A1771" w:rsidP="008A1771">
      <w:pPr>
        <w:pStyle w:val="Paragraphedeliste"/>
        <w:rPr>
          <w:rFonts w:ascii="Tahoma" w:hAnsi="Tahoma" w:cs="Tahoma"/>
          <w:sz w:val="22"/>
          <w:szCs w:val="22"/>
        </w:rPr>
      </w:pPr>
    </w:p>
    <w:p w:rsidR="008A1771" w:rsidRDefault="008A1771"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Para cuando se profirió la sentencia de primera instancia (18 de febrero de 2016) el actor contaba con 61 años y 1.382.86 semanas cotizadas, razón por la cual para esa calenda </w:t>
      </w:r>
      <w:r>
        <w:rPr>
          <w:rFonts w:ascii="Tahoma" w:hAnsi="Tahoma" w:cs="Tahoma"/>
          <w:i/>
          <w:sz w:val="22"/>
          <w:szCs w:val="22"/>
        </w:rPr>
        <w:t xml:space="preserve">–la de la sentencia- </w:t>
      </w:r>
      <w:r>
        <w:rPr>
          <w:rFonts w:ascii="Tahoma" w:hAnsi="Tahoma" w:cs="Tahoma"/>
          <w:sz w:val="22"/>
          <w:szCs w:val="22"/>
        </w:rPr>
        <w:t xml:space="preserve">no era posible reconocerle la pensión de vejez por </w:t>
      </w:r>
      <w:r w:rsidR="00684E30">
        <w:rPr>
          <w:rFonts w:ascii="Tahoma" w:hAnsi="Tahoma" w:cs="Tahoma"/>
          <w:sz w:val="22"/>
          <w:szCs w:val="22"/>
        </w:rPr>
        <w:t>faltar</w:t>
      </w:r>
      <w:r>
        <w:rPr>
          <w:rFonts w:ascii="Tahoma" w:hAnsi="Tahoma" w:cs="Tahoma"/>
          <w:sz w:val="22"/>
          <w:szCs w:val="22"/>
        </w:rPr>
        <w:t xml:space="preserve"> uno de los requisitos para ello como era el de </w:t>
      </w:r>
      <w:r w:rsidR="00684E30">
        <w:rPr>
          <w:rFonts w:ascii="Tahoma" w:hAnsi="Tahoma" w:cs="Tahoma"/>
          <w:sz w:val="22"/>
          <w:szCs w:val="22"/>
        </w:rPr>
        <w:t>contar</w:t>
      </w:r>
      <w:r>
        <w:rPr>
          <w:rFonts w:ascii="Tahoma" w:hAnsi="Tahoma" w:cs="Tahoma"/>
          <w:sz w:val="22"/>
          <w:szCs w:val="22"/>
        </w:rPr>
        <w:t xml:space="preserve"> con 62 años.</w:t>
      </w:r>
    </w:p>
    <w:p w:rsidR="008A1771" w:rsidRPr="008A1771" w:rsidRDefault="008A1771" w:rsidP="008A1771">
      <w:pPr>
        <w:pStyle w:val="Paragraphedeliste"/>
        <w:rPr>
          <w:rFonts w:ascii="Tahoma" w:hAnsi="Tahoma" w:cs="Tahoma"/>
          <w:sz w:val="22"/>
          <w:szCs w:val="22"/>
        </w:rPr>
      </w:pPr>
    </w:p>
    <w:p w:rsidR="0057352F" w:rsidRDefault="008A1771"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El proceso vino en apelación a esta Corporación</w:t>
      </w:r>
      <w:r w:rsidR="0057352F">
        <w:rPr>
          <w:rFonts w:ascii="Tahoma" w:hAnsi="Tahoma" w:cs="Tahoma"/>
          <w:sz w:val="22"/>
          <w:szCs w:val="22"/>
        </w:rPr>
        <w:t xml:space="preserve">, pero dada la congestión a la que está sometida esta Sala por la gran cantidad de asuntos que nos compete conocer, sólo fue posible proferir la presente </w:t>
      </w:r>
      <w:r w:rsidR="00684E30">
        <w:rPr>
          <w:rFonts w:ascii="Tahoma" w:hAnsi="Tahoma" w:cs="Tahoma"/>
          <w:sz w:val="22"/>
          <w:szCs w:val="22"/>
        </w:rPr>
        <w:t>sentencia</w:t>
      </w:r>
      <w:r w:rsidR="0057352F">
        <w:rPr>
          <w:rFonts w:ascii="Tahoma" w:hAnsi="Tahoma" w:cs="Tahoma"/>
          <w:sz w:val="22"/>
          <w:szCs w:val="22"/>
        </w:rPr>
        <w:t xml:space="preserve"> un año después.</w:t>
      </w:r>
    </w:p>
    <w:p w:rsidR="0057352F" w:rsidRPr="0057352F" w:rsidRDefault="0057352F" w:rsidP="0057352F">
      <w:pPr>
        <w:pStyle w:val="Paragraphedeliste"/>
        <w:rPr>
          <w:rFonts w:ascii="Tahoma" w:hAnsi="Tahoma" w:cs="Tahoma"/>
          <w:sz w:val="22"/>
          <w:szCs w:val="22"/>
        </w:rPr>
      </w:pPr>
    </w:p>
    <w:p w:rsidR="00170892" w:rsidRDefault="0057352F"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Pues bien, durante el tiempo que el expediente permaneció en esta Sala, el actor cumplió los 62 años de edad el 16 de noviembre de 2016. No obstante, </w:t>
      </w:r>
      <w:r w:rsidR="00684E30">
        <w:rPr>
          <w:rFonts w:ascii="Tahoma" w:hAnsi="Tahoma" w:cs="Tahoma"/>
          <w:sz w:val="22"/>
          <w:szCs w:val="22"/>
        </w:rPr>
        <w:t>consientes</w:t>
      </w:r>
      <w:r w:rsidR="00170892">
        <w:rPr>
          <w:rFonts w:ascii="Tahoma" w:hAnsi="Tahoma" w:cs="Tahoma"/>
          <w:sz w:val="22"/>
          <w:szCs w:val="22"/>
        </w:rPr>
        <w:t xml:space="preserve"> todos los integrantes de la Sala de que el actor cumple los dos requisitos (edad y número de semanas cotizadas) la mayoría de los Magistrados consideraron que no era posible reconocer la pensión por </w:t>
      </w:r>
      <w:r w:rsidR="00684E30">
        <w:rPr>
          <w:rFonts w:ascii="Tahoma" w:hAnsi="Tahoma" w:cs="Tahoma"/>
          <w:sz w:val="22"/>
          <w:szCs w:val="22"/>
        </w:rPr>
        <w:t>haberse</w:t>
      </w:r>
      <w:r w:rsidR="00170892">
        <w:rPr>
          <w:rFonts w:ascii="Tahoma" w:hAnsi="Tahoma" w:cs="Tahoma"/>
          <w:sz w:val="22"/>
          <w:szCs w:val="22"/>
        </w:rPr>
        <w:t xml:space="preserve"> pedido antes de tiempo, conforme la posición de la Sala laboral de la Corte Suprema de Justicia en sentencia No. 19215 del 18 de marzo de 2003.</w:t>
      </w:r>
    </w:p>
    <w:p w:rsidR="00170892" w:rsidRPr="00170892" w:rsidRDefault="00170892" w:rsidP="00170892">
      <w:pPr>
        <w:pStyle w:val="Paragraphedeliste"/>
        <w:rPr>
          <w:rFonts w:ascii="Tahoma" w:hAnsi="Tahoma" w:cs="Tahoma"/>
          <w:sz w:val="22"/>
          <w:szCs w:val="22"/>
        </w:rPr>
      </w:pPr>
    </w:p>
    <w:p w:rsidR="00170892" w:rsidRDefault="00170892"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Sin embargo </w:t>
      </w:r>
      <w:r w:rsidR="00684E30">
        <w:rPr>
          <w:rFonts w:ascii="Tahoma" w:hAnsi="Tahoma" w:cs="Tahoma"/>
          <w:sz w:val="22"/>
          <w:szCs w:val="22"/>
        </w:rPr>
        <w:t>disiento</w:t>
      </w:r>
      <w:r>
        <w:rPr>
          <w:rFonts w:ascii="Tahoma" w:hAnsi="Tahoma" w:cs="Tahoma"/>
          <w:sz w:val="22"/>
          <w:szCs w:val="22"/>
        </w:rPr>
        <w:t xml:space="preserve"> de esa posición, porque en realidad el actor jamás pidió antes de tiempo. Por el contrario lo hizo bajo la convicción de cumplir los requisitos del </w:t>
      </w:r>
      <w:r>
        <w:rPr>
          <w:rFonts w:ascii="Tahoma" w:hAnsi="Tahoma" w:cs="Tahoma"/>
          <w:sz w:val="22"/>
          <w:szCs w:val="22"/>
        </w:rPr>
        <w:lastRenderedPageBreak/>
        <w:t>régimen de transición (60 años de edad y número de semanas cotizadas), sólo que en realidad no era beneficiario del susodicho régimen de transición. En caso de haberlo sido, se le hubiera reconocido la pensión y jamás se habría alegado que pidió antes de tiempo.</w:t>
      </w:r>
    </w:p>
    <w:p w:rsidR="00170892" w:rsidRPr="00170892" w:rsidRDefault="00170892" w:rsidP="00170892">
      <w:pPr>
        <w:pStyle w:val="Paragraphedeliste"/>
        <w:rPr>
          <w:rFonts w:ascii="Tahoma" w:hAnsi="Tahoma" w:cs="Tahoma"/>
          <w:sz w:val="22"/>
          <w:szCs w:val="22"/>
        </w:rPr>
      </w:pPr>
    </w:p>
    <w:p w:rsidR="00840AB0" w:rsidRDefault="00170892"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El advenimiento de la edad durante el </w:t>
      </w:r>
      <w:r w:rsidR="00684E30">
        <w:rPr>
          <w:rFonts w:ascii="Tahoma" w:hAnsi="Tahoma" w:cs="Tahoma"/>
          <w:sz w:val="22"/>
          <w:szCs w:val="22"/>
        </w:rPr>
        <w:t>transcurso</w:t>
      </w:r>
      <w:r>
        <w:rPr>
          <w:rFonts w:ascii="Tahoma" w:hAnsi="Tahoma" w:cs="Tahoma"/>
          <w:sz w:val="22"/>
          <w:szCs w:val="22"/>
        </w:rPr>
        <w:t xml:space="preserve"> del proceso, en mi concepto es un HECHO SOBREVINIENTE y debió considerarse por la Sala para entrar a reconocer la pensión de vejez</w:t>
      </w:r>
      <w:r w:rsidR="00840AB0">
        <w:rPr>
          <w:rFonts w:ascii="Tahoma" w:hAnsi="Tahoma" w:cs="Tahoma"/>
          <w:sz w:val="22"/>
          <w:szCs w:val="22"/>
        </w:rPr>
        <w:t xml:space="preserve">, toda vez que el usuario de la justicia no tiene que soportar las demoras de la administración de justicia en la </w:t>
      </w:r>
      <w:r w:rsidR="00684E30">
        <w:rPr>
          <w:rFonts w:ascii="Tahoma" w:hAnsi="Tahoma" w:cs="Tahoma"/>
          <w:sz w:val="22"/>
          <w:szCs w:val="22"/>
        </w:rPr>
        <w:t>resolución</w:t>
      </w:r>
      <w:r w:rsidR="00840AB0">
        <w:rPr>
          <w:rFonts w:ascii="Tahoma" w:hAnsi="Tahoma" w:cs="Tahoma"/>
          <w:sz w:val="22"/>
          <w:szCs w:val="22"/>
        </w:rPr>
        <w:t xml:space="preserve"> de su caso, que en caso de haberse resuelto oportunamente le habría ahorrado tiempo y dinero en un derecho tan caro a la dignidad humana como es la seguridad social en pensiones, a sabiendas de que la falta de la pensión afecta su mínimo </w:t>
      </w:r>
      <w:r w:rsidR="00684E30">
        <w:rPr>
          <w:rFonts w:ascii="Tahoma" w:hAnsi="Tahoma" w:cs="Tahoma"/>
          <w:sz w:val="22"/>
          <w:szCs w:val="22"/>
        </w:rPr>
        <w:t>vital</w:t>
      </w:r>
      <w:r w:rsidR="00840AB0">
        <w:rPr>
          <w:rFonts w:ascii="Tahoma" w:hAnsi="Tahoma" w:cs="Tahoma"/>
          <w:sz w:val="22"/>
          <w:szCs w:val="22"/>
        </w:rPr>
        <w:t xml:space="preserve"> y el derecho a la salud.</w:t>
      </w:r>
    </w:p>
    <w:p w:rsidR="00840AB0" w:rsidRPr="00840AB0" w:rsidRDefault="00840AB0" w:rsidP="00840AB0">
      <w:pPr>
        <w:pStyle w:val="Paragraphedeliste"/>
        <w:rPr>
          <w:rFonts w:ascii="Tahoma" w:hAnsi="Tahoma" w:cs="Tahoma"/>
          <w:sz w:val="22"/>
          <w:szCs w:val="22"/>
        </w:rPr>
      </w:pPr>
    </w:p>
    <w:p w:rsidR="00840AB0" w:rsidRDefault="00840AB0"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En tales condiciones, debió reconocerse la pensión y a efectos de no vulnerar los derechos de COPENSIONES debió la Sala abstenerse de condenar a dicha entidad por concepto de intereses moratorios y costas procesales, cuestión plenamente válida.</w:t>
      </w:r>
    </w:p>
    <w:p w:rsidR="00840AB0" w:rsidRPr="00840AB0" w:rsidRDefault="00840AB0" w:rsidP="00840AB0">
      <w:pPr>
        <w:pStyle w:val="Paragraphedeliste"/>
        <w:rPr>
          <w:rFonts w:ascii="Tahoma" w:hAnsi="Tahoma" w:cs="Tahoma"/>
          <w:sz w:val="22"/>
          <w:szCs w:val="22"/>
        </w:rPr>
      </w:pPr>
    </w:p>
    <w:p w:rsidR="007D030A" w:rsidRDefault="00840AB0" w:rsidP="006F012F">
      <w:pPr>
        <w:pStyle w:val="Paragraphedeliste"/>
        <w:numPr>
          <w:ilvl w:val="0"/>
          <w:numId w:val="18"/>
        </w:numPr>
        <w:spacing w:line="276" w:lineRule="auto"/>
        <w:jc w:val="both"/>
        <w:rPr>
          <w:rFonts w:ascii="Tahoma" w:hAnsi="Tahoma" w:cs="Tahoma"/>
          <w:sz w:val="22"/>
          <w:szCs w:val="22"/>
        </w:rPr>
      </w:pPr>
      <w:r>
        <w:rPr>
          <w:rFonts w:ascii="Tahoma" w:hAnsi="Tahoma" w:cs="Tahoma"/>
          <w:sz w:val="22"/>
          <w:szCs w:val="22"/>
        </w:rPr>
        <w:t xml:space="preserve">De esa manera, se </w:t>
      </w:r>
      <w:r w:rsidR="007C7523">
        <w:rPr>
          <w:rFonts w:ascii="Tahoma" w:hAnsi="Tahoma" w:cs="Tahoma"/>
          <w:sz w:val="22"/>
          <w:szCs w:val="22"/>
        </w:rPr>
        <w:t>hubiera definid</w:t>
      </w:r>
      <w:r>
        <w:rPr>
          <w:rFonts w:ascii="Tahoma" w:hAnsi="Tahoma" w:cs="Tahoma"/>
          <w:sz w:val="22"/>
          <w:szCs w:val="22"/>
        </w:rPr>
        <w:t>o de una vez por todas el derecho a la pensión de vejez del demandante, sin someterlo a otro tortuoso camino de tipo administrativo para pedir su pensión ante COLPENSIONES, y quizá a otro proceso judicial</w:t>
      </w:r>
      <w:r w:rsidR="00671BC4">
        <w:rPr>
          <w:rFonts w:ascii="Tahoma" w:hAnsi="Tahoma" w:cs="Tahoma"/>
          <w:sz w:val="22"/>
          <w:szCs w:val="22"/>
        </w:rPr>
        <w:t>, demoras que incluso afectan a la misma entidad y a lo mejor a la administración de justicia.</w:t>
      </w:r>
    </w:p>
    <w:p w:rsidR="007D030A" w:rsidRPr="007D030A" w:rsidRDefault="007D030A" w:rsidP="007D030A">
      <w:pPr>
        <w:pStyle w:val="Paragraphedeliste"/>
        <w:rPr>
          <w:rFonts w:ascii="Tahoma" w:hAnsi="Tahoma" w:cs="Tahoma"/>
          <w:sz w:val="22"/>
          <w:szCs w:val="22"/>
        </w:rPr>
      </w:pPr>
    </w:p>
    <w:p w:rsidR="00671BC4" w:rsidRPr="00684E30" w:rsidRDefault="007D030A" w:rsidP="00401685">
      <w:pPr>
        <w:pStyle w:val="Paragraphedeliste"/>
        <w:numPr>
          <w:ilvl w:val="0"/>
          <w:numId w:val="18"/>
        </w:numPr>
        <w:spacing w:line="276" w:lineRule="auto"/>
        <w:jc w:val="both"/>
        <w:rPr>
          <w:rFonts w:ascii="Tahoma" w:hAnsi="Tahoma" w:cs="Tahoma"/>
          <w:sz w:val="22"/>
          <w:szCs w:val="22"/>
        </w:rPr>
      </w:pPr>
      <w:r w:rsidRPr="00684E30">
        <w:rPr>
          <w:rFonts w:ascii="Tahoma" w:hAnsi="Tahoma" w:cs="Tahoma"/>
          <w:sz w:val="22"/>
          <w:szCs w:val="22"/>
        </w:rPr>
        <w:t xml:space="preserve">El principio de eficiencia que compete a todas las entidades públicas y la globalización mundial obliga a mirar los asuntos de una manera diferente a la tradicional, </w:t>
      </w:r>
      <w:r w:rsidR="00684E30" w:rsidRPr="00684E30">
        <w:rPr>
          <w:rFonts w:ascii="Tahoma" w:hAnsi="Tahoma" w:cs="Tahoma"/>
          <w:sz w:val="22"/>
          <w:szCs w:val="22"/>
        </w:rPr>
        <w:t xml:space="preserve">y a no anteponer razones legales formales que obstaculicen el efectivo goce de los derechos fundamentales, en este caso, el derecho a la seguridad social en pensiones de una persona de la tercera edad, para quien la demora en el goce de su mesada pensional puede incluso comprometer su vida en condiciones dignas. </w:t>
      </w:r>
    </w:p>
    <w:p w:rsidR="007C3F7D" w:rsidRDefault="007C3F7D" w:rsidP="00F81906">
      <w:pPr>
        <w:spacing w:line="276" w:lineRule="auto"/>
        <w:ind w:firstLine="851"/>
        <w:jc w:val="both"/>
        <w:rPr>
          <w:rFonts w:ascii="Tahoma" w:hAnsi="Tahoma" w:cs="Tahoma"/>
          <w:sz w:val="22"/>
          <w:szCs w:val="22"/>
        </w:rPr>
      </w:pPr>
    </w:p>
    <w:p w:rsidR="00782D3A" w:rsidRPr="00F81906" w:rsidRDefault="00782D3A" w:rsidP="00212ECA">
      <w:pPr>
        <w:pStyle w:val="Corpsdetexte"/>
        <w:spacing w:line="276" w:lineRule="auto"/>
        <w:ind w:firstLine="708"/>
        <w:rPr>
          <w:rFonts w:ascii="Tahoma" w:hAnsi="Tahoma" w:cs="Tahoma"/>
          <w:sz w:val="22"/>
          <w:szCs w:val="22"/>
          <w:lang w:val="es-ES"/>
        </w:rPr>
      </w:pPr>
      <w:r w:rsidRPr="00F81906">
        <w:rPr>
          <w:rFonts w:ascii="Tahoma" w:hAnsi="Tahoma" w:cs="Tahoma"/>
          <w:sz w:val="22"/>
          <w:szCs w:val="22"/>
          <w:lang w:val="es-ES"/>
        </w:rPr>
        <w:t xml:space="preserve">En estos términos sustento mi </w:t>
      </w:r>
      <w:r w:rsidR="00684E30">
        <w:rPr>
          <w:rFonts w:ascii="Tahoma" w:hAnsi="Tahoma" w:cs="Tahoma"/>
          <w:sz w:val="22"/>
          <w:szCs w:val="22"/>
          <w:lang w:val="es-ES"/>
        </w:rPr>
        <w:t>salvamento</w:t>
      </w:r>
      <w:r w:rsidR="00562945" w:rsidRPr="00F81906">
        <w:rPr>
          <w:rFonts w:ascii="Tahoma" w:hAnsi="Tahoma" w:cs="Tahoma"/>
          <w:sz w:val="22"/>
          <w:szCs w:val="22"/>
          <w:lang w:val="es-ES"/>
        </w:rPr>
        <w:t xml:space="preserve"> </w:t>
      </w:r>
      <w:r w:rsidRPr="00F81906">
        <w:rPr>
          <w:rFonts w:ascii="Tahoma" w:hAnsi="Tahoma" w:cs="Tahoma"/>
          <w:sz w:val="22"/>
          <w:szCs w:val="22"/>
          <w:lang w:val="es-ES"/>
        </w:rPr>
        <w:t>de voto.</w:t>
      </w:r>
    </w:p>
    <w:p w:rsidR="00782D3A" w:rsidRDefault="00782D3A" w:rsidP="00F81906">
      <w:pPr>
        <w:widowControl w:val="0"/>
        <w:autoSpaceDE w:val="0"/>
        <w:autoSpaceDN w:val="0"/>
        <w:adjustRightInd w:val="0"/>
        <w:spacing w:line="276" w:lineRule="auto"/>
        <w:jc w:val="both"/>
        <w:rPr>
          <w:rFonts w:ascii="Tahoma" w:hAnsi="Tahoma" w:cs="Tahoma"/>
          <w:sz w:val="22"/>
          <w:szCs w:val="22"/>
        </w:rPr>
      </w:pPr>
    </w:p>
    <w:p w:rsidR="00212ECA" w:rsidRPr="00F81906" w:rsidRDefault="00212ECA" w:rsidP="00F81906">
      <w:pPr>
        <w:widowControl w:val="0"/>
        <w:autoSpaceDE w:val="0"/>
        <w:autoSpaceDN w:val="0"/>
        <w:adjustRightInd w:val="0"/>
        <w:spacing w:line="276" w:lineRule="auto"/>
        <w:jc w:val="both"/>
        <w:rPr>
          <w:rFonts w:ascii="Tahoma" w:hAnsi="Tahoma" w:cs="Tahoma"/>
          <w:sz w:val="22"/>
          <w:szCs w:val="22"/>
        </w:rPr>
      </w:pPr>
    </w:p>
    <w:p w:rsidR="00212ECA" w:rsidRDefault="00212ECA" w:rsidP="00F81906">
      <w:pPr>
        <w:pStyle w:val="Titre3"/>
        <w:spacing w:line="276" w:lineRule="auto"/>
        <w:rPr>
          <w:rFonts w:ascii="Tahoma" w:hAnsi="Tahoma" w:cs="Tahoma"/>
          <w:sz w:val="22"/>
          <w:szCs w:val="22"/>
        </w:rPr>
      </w:pPr>
    </w:p>
    <w:p w:rsidR="00782D3A" w:rsidRPr="00F81906" w:rsidRDefault="00782D3A" w:rsidP="00F81906">
      <w:pPr>
        <w:pStyle w:val="Titre3"/>
        <w:spacing w:line="276" w:lineRule="auto"/>
        <w:rPr>
          <w:rFonts w:ascii="Tahoma" w:hAnsi="Tahoma" w:cs="Tahoma"/>
          <w:sz w:val="22"/>
          <w:szCs w:val="22"/>
        </w:rPr>
      </w:pPr>
      <w:r w:rsidRPr="00F81906">
        <w:rPr>
          <w:rFonts w:ascii="Tahoma" w:hAnsi="Tahoma" w:cs="Tahoma"/>
          <w:sz w:val="22"/>
          <w:szCs w:val="22"/>
        </w:rPr>
        <w:t>ANA LUCÍA CAICEDO CALDERÓN</w:t>
      </w:r>
    </w:p>
    <w:sectPr w:rsidR="00782D3A" w:rsidRPr="00F81906" w:rsidSect="00212ECA">
      <w:footerReference w:type="even" r:id="rId9"/>
      <w:footerReference w:type="default" r:id="rId10"/>
      <w:pgSz w:w="12242" w:h="18722" w:code="121"/>
      <w:pgMar w:top="1701"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0A" w:rsidRDefault="00463C0A">
      <w:r>
        <w:separator/>
      </w:r>
    </w:p>
  </w:endnote>
  <w:endnote w:type="continuationSeparator" w:id="0">
    <w:p w:rsidR="00463C0A" w:rsidRDefault="004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0306B" w:rsidRDefault="00F030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6B" w:rsidRDefault="00F0306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15E52">
      <w:rPr>
        <w:rStyle w:val="Numrodepage"/>
        <w:noProof/>
      </w:rPr>
      <w:t>2</w:t>
    </w:r>
    <w:r>
      <w:rPr>
        <w:rStyle w:val="Numrodepage"/>
      </w:rPr>
      <w:fldChar w:fldCharType="end"/>
    </w:r>
  </w:p>
  <w:p w:rsidR="00F0306B" w:rsidRDefault="00F030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0A" w:rsidRDefault="00463C0A">
      <w:r>
        <w:separator/>
      </w:r>
    </w:p>
  </w:footnote>
  <w:footnote w:type="continuationSeparator" w:id="0">
    <w:p w:rsidR="00463C0A" w:rsidRDefault="00463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5">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9">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7">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4"/>
  </w:num>
  <w:num w:numId="2">
    <w:abstractNumId w:val="10"/>
  </w:num>
  <w:num w:numId="3">
    <w:abstractNumId w:val="6"/>
  </w:num>
  <w:num w:numId="4">
    <w:abstractNumId w:val="11"/>
  </w:num>
  <w:num w:numId="5">
    <w:abstractNumId w:val="7"/>
  </w:num>
  <w:num w:numId="6">
    <w:abstractNumId w:val="12"/>
  </w:num>
  <w:num w:numId="7">
    <w:abstractNumId w:val="8"/>
  </w:num>
  <w:num w:numId="8">
    <w:abstractNumId w:val="0"/>
  </w:num>
  <w:num w:numId="9">
    <w:abstractNumId w:val="14"/>
  </w:num>
  <w:num w:numId="10">
    <w:abstractNumId w:val="17"/>
  </w:num>
  <w:num w:numId="11">
    <w:abstractNumId w:val="16"/>
  </w:num>
  <w:num w:numId="12">
    <w:abstractNumId w:val="15"/>
  </w:num>
  <w:num w:numId="13">
    <w:abstractNumId w:val="9"/>
  </w:num>
  <w:num w:numId="14">
    <w:abstractNumId w:val="13"/>
  </w:num>
  <w:num w:numId="15">
    <w:abstractNumId w:val="1"/>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04"/>
    <w:rsid w:val="00001D9E"/>
    <w:rsid w:val="00005FE7"/>
    <w:rsid w:val="0003459A"/>
    <w:rsid w:val="00055D56"/>
    <w:rsid w:val="00085817"/>
    <w:rsid w:val="0009080D"/>
    <w:rsid w:val="0009221C"/>
    <w:rsid w:val="00095044"/>
    <w:rsid w:val="00095BCE"/>
    <w:rsid w:val="000A56AE"/>
    <w:rsid w:val="000A681C"/>
    <w:rsid w:val="000B2D41"/>
    <w:rsid w:val="00103495"/>
    <w:rsid w:val="00107A5B"/>
    <w:rsid w:val="001103D7"/>
    <w:rsid w:val="00113783"/>
    <w:rsid w:val="001151DF"/>
    <w:rsid w:val="00115AFF"/>
    <w:rsid w:val="00156484"/>
    <w:rsid w:val="00170892"/>
    <w:rsid w:val="00173C9C"/>
    <w:rsid w:val="001811C6"/>
    <w:rsid w:val="001A16A0"/>
    <w:rsid w:val="001A4170"/>
    <w:rsid w:val="001A56E3"/>
    <w:rsid w:val="001B051C"/>
    <w:rsid w:val="001B1BBE"/>
    <w:rsid w:val="001C0EBE"/>
    <w:rsid w:val="001C3B62"/>
    <w:rsid w:val="001D0F0B"/>
    <w:rsid w:val="001D1D11"/>
    <w:rsid w:val="001D688D"/>
    <w:rsid w:val="001E6555"/>
    <w:rsid w:val="00201C0A"/>
    <w:rsid w:val="00210B65"/>
    <w:rsid w:val="00212ECA"/>
    <w:rsid w:val="00221E3E"/>
    <w:rsid w:val="002228D3"/>
    <w:rsid w:val="00222EC4"/>
    <w:rsid w:val="00231DFB"/>
    <w:rsid w:val="00233C49"/>
    <w:rsid w:val="00253F96"/>
    <w:rsid w:val="002551FF"/>
    <w:rsid w:val="0025601E"/>
    <w:rsid w:val="002643DF"/>
    <w:rsid w:val="0028043A"/>
    <w:rsid w:val="00283CAB"/>
    <w:rsid w:val="002C7A6B"/>
    <w:rsid w:val="002F2E49"/>
    <w:rsid w:val="003021B2"/>
    <w:rsid w:val="003224A8"/>
    <w:rsid w:val="003245A0"/>
    <w:rsid w:val="00326D68"/>
    <w:rsid w:val="003325AA"/>
    <w:rsid w:val="00363522"/>
    <w:rsid w:val="003A53D9"/>
    <w:rsid w:val="003A6AB6"/>
    <w:rsid w:val="003B67F2"/>
    <w:rsid w:val="003D4F25"/>
    <w:rsid w:val="00411366"/>
    <w:rsid w:val="00421A82"/>
    <w:rsid w:val="00423330"/>
    <w:rsid w:val="00450D1D"/>
    <w:rsid w:val="00463C0A"/>
    <w:rsid w:val="00496E67"/>
    <w:rsid w:val="00497A9F"/>
    <w:rsid w:val="004A1075"/>
    <w:rsid w:val="004A7232"/>
    <w:rsid w:val="004C10F3"/>
    <w:rsid w:val="004C1DC8"/>
    <w:rsid w:val="004C4FC3"/>
    <w:rsid w:val="004C5D20"/>
    <w:rsid w:val="004C7FD6"/>
    <w:rsid w:val="004D1C41"/>
    <w:rsid w:val="004D24A4"/>
    <w:rsid w:val="004E24AF"/>
    <w:rsid w:val="004E5FAC"/>
    <w:rsid w:val="004F32B4"/>
    <w:rsid w:val="00503C57"/>
    <w:rsid w:val="00504CB1"/>
    <w:rsid w:val="00510B20"/>
    <w:rsid w:val="0051471B"/>
    <w:rsid w:val="00554071"/>
    <w:rsid w:val="00554F04"/>
    <w:rsid w:val="00562945"/>
    <w:rsid w:val="0056685B"/>
    <w:rsid w:val="00571A61"/>
    <w:rsid w:val="0057352F"/>
    <w:rsid w:val="00583F42"/>
    <w:rsid w:val="00593D49"/>
    <w:rsid w:val="005A6189"/>
    <w:rsid w:val="005B4CD3"/>
    <w:rsid w:val="005C432E"/>
    <w:rsid w:val="005D0315"/>
    <w:rsid w:val="005D6C17"/>
    <w:rsid w:val="005D73E1"/>
    <w:rsid w:val="005F1C18"/>
    <w:rsid w:val="005F3741"/>
    <w:rsid w:val="0060110F"/>
    <w:rsid w:val="00601BB9"/>
    <w:rsid w:val="006235BE"/>
    <w:rsid w:val="006532E4"/>
    <w:rsid w:val="00671BC4"/>
    <w:rsid w:val="00676FC1"/>
    <w:rsid w:val="00684E30"/>
    <w:rsid w:val="006959D3"/>
    <w:rsid w:val="006A1A69"/>
    <w:rsid w:val="006A38A3"/>
    <w:rsid w:val="006F012F"/>
    <w:rsid w:val="0070606F"/>
    <w:rsid w:val="007320CE"/>
    <w:rsid w:val="00757AFF"/>
    <w:rsid w:val="00760339"/>
    <w:rsid w:val="00762F4A"/>
    <w:rsid w:val="00777535"/>
    <w:rsid w:val="00777A28"/>
    <w:rsid w:val="00782D3A"/>
    <w:rsid w:val="007A7DE2"/>
    <w:rsid w:val="007B060F"/>
    <w:rsid w:val="007C3F7D"/>
    <w:rsid w:val="007C7523"/>
    <w:rsid w:val="007D030A"/>
    <w:rsid w:val="007E7A37"/>
    <w:rsid w:val="007F721C"/>
    <w:rsid w:val="00800F64"/>
    <w:rsid w:val="00817723"/>
    <w:rsid w:val="008229C8"/>
    <w:rsid w:val="0083123E"/>
    <w:rsid w:val="00832A84"/>
    <w:rsid w:val="00840AB0"/>
    <w:rsid w:val="0086126A"/>
    <w:rsid w:val="0086762A"/>
    <w:rsid w:val="00872948"/>
    <w:rsid w:val="008768A2"/>
    <w:rsid w:val="00880685"/>
    <w:rsid w:val="00891AF1"/>
    <w:rsid w:val="008A1771"/>
    <w:rsid w:val="008C09D3"/>
    <w:rsid w:val="008C29B3"/>
    <w:rsid w:val="008F0F3E"/>
    <w:rsid w:val="008F5548"/>
    <w:rsid w:val="009046D3"/>
    <w:rsid w:val="00905052"/>
    <w:rsid w:val="0094648D"/>
    <w:rsid w:val="00993F8A"/>
    <w:rsid w:val="009A1FF7"/>
    <w:rsid w:val="009A54E6"/>
    <w:rsid w:val="009B280C"/>
    <w:rsid w:val="009D0461"/>
    <w:rsid w:val="009F40F9"/>
    <w:rsid w:val="00A01BB0"/>
    <w:rsid w:val="00A14181"/>
    <w:rsid w:val="00A25CE2"/>
    <w:rsid w:val="00A33025"/>
    <w:rsid w:val="00A541A3"/>
    <w:rsid w:val="00A717A9"/>
    <w:rsid w:val="00A73491"/>
    <w:rsid w:val="00A7446C"/>
    <w:rsid w:val="00A7792B"/>
    <w:rsid w:val="00A90B60"/>
    <w:rsid w:val="00A92BAB"/>
    <w:rsid w:val="00A97FA1"/>
    <w:rsid w:val="00AC143D"/>
    <w:rsid w:val="00AC64F9"/>
    <w:rsid w:val="00AD4352"/>
    <w:rsid w:val="00AE4607"/>
    <w:rsid w:val="00AF5FA9"/>
    <w:rsid w:val="00B0436C"/>
    <w:rsid w:val="00B43BEF"/>
    <w:rsid w:val="00B517E1"/>
    <w:rsid w:val="00B629B3"/>
    <w:rsid w:val="00B64E2A"/>
    <w:rsid w:val="00B7056E"/>
    <w:rsid w:val="00B91415"/>
    <w:rsid w:val="00BD21AA"/>
    <w:rsid w:val="00C213B4"/>
    <w:rsid w:val="00C24428"/>
    <w:rsid w:val="00C4311E"/>
    <w:rsid w:val="00C5427A"/>
    <w:rsid w:val="00C64469"/>
    <w:rsid w:val="00C76801"/>
    <w:rsid w:val="00C83E77"/>
    <w:rsid w:val="00C86633"/>
    <w:rsid w:val="00C9423D"/>
    <w:rsid w:val="00CB739E"/>
    <w:rsid w:val="00CD59F2"/>
    <w:rsid w:val="00D03D70"/>
    <w:rsid w:val="00D14814"/>
    <w:rsid w:val="00D308BA"/>
    <w:rsid w:val="00D75804"/>
    <w:rsid w:val="00D80C31"/>
    <w:rsid w:val="00D816AE"/>
    <w:rsid w:val="00D81791"/>
    <w:rsid w:val="00D83073"/>
    <w:rsid w:val="00D84A29"/>
    <w:rsid w:val="00D935F4"/>
    <w:rsid w:val="00D93C01"/>
    <w:rsid w:val="00D94B4A"/>
    <w:rsid w:val="00DB49AA"/>
    <w:rsid w:val="00DC0E7B"/>
    <w:rsid w:val="00DC724D"/>
    <w:rsid w:val="00DF58E1"/>
    <w:rsid w:val="00E03CAC"/>
    <w:rsid w:val="00E068D8"/>
    <w:rsid w:val="00E148E0"/>
    <w:rsid w:val="00E15E52"/>
    <w:rsid w:val="00E178A4"/>
    <w:rsid w:val="00E25ADB"/>
    <w:rsid w:val="00E314D4"/>
    <w:rsid w:val="00E5165C"/>
    <w:rsid w:val="00E568CD"/>
    <w:rsid w:val="00E62799"/>
    <w:rsid w:val="00E63B7B"/>
    <w:rsid w:val="00E71BA8"/>
    <w:rsid w:val="00E75072"/>
    <w:rsid w:val="00E8735A"/>
    <w:rsid w:val="00EC047D"/>
    <w:rsid w:val="00F01155"/>
    <w:rsid w:val="00F0306B"/>
    <w:rsid w:val="00F13218"/>
    <w:rsid w:val="00F1550A"/>
    <w:rsid w:val="00F17120"/>
    <w:rsid w:val="00F233A1"/>
    <w:rsid w:val="00F308E1"/>
    <w:rsid w:val="00F402E4"/>
    <w:rsid w:val="00F47ADB"/>
    <w:rsid w:val="00F53ED3"/>
    <w:rsid w:val="00F55905"/>
    <w:rsid w:val="00F67008"/>
    <w:rsid w:val="00F74B76"/>
    <w:rsid w:val="00F77C73"/>
    <w:rsid w:val="00F81906"/>
    <w:rsid w:val="00F90957"/>
    <w:rsid w:val="00F91F81"/>
    <w:rsid w:val="00F92B7A"/>
    <w:rsid w:val="00FA3F02"/>
    <w:rsid w:val="00FB0904"/>
    <w:rsid w:val="00FC0800"/>
    <w:rsid w:val="00FC137F"/>
    <w:rsid w:val="00FC5548"/>
    <w:rsid w:val="00FD0051"/>
    <w:rsid w:val="00FD2216"/>
    <w:rsid w:val="00FD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semiHidden/>
    <w:rPr>
      <w:sz w:val="20"/>
      <w:szCs w:val="20"/>
    </w:rPr>
  </w:style>
  <w:style w:type="character" w:styleId="Appelnotedebasdep">
    <w:name w:val="footnote reference"/>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Paragraphedeliste">
    <w:name w:val="List Paragraph"/>
    <w:basedOn w:val="Normal"/>
    <w:uiPriority w:val="34"/>
    <w:qFormat/>
    <w:rsid w:val="006F012F"/>
    <w:pPr>
      <w:ind w:left="720"/>
      <w:contextualSpacing/>
    </w:pPr>
  </w:style>
  <w:style w:type="paragraph" w:styleId="Textedebulles">
    <w:name w:val="Balloon Text"/>
    <w:basedOn w:val="Normal"/>
    <w:link w:val="TextedebullesCar"/>
    <w:rsid w:val="00D94B4A"/>
    <w:rPr>
      <w:rFonts w:ascii="Segoe UI" w:hAnsi="Segoe UI" w:cs="Segoe UI"/>
      <w:sz w:val="18"/>
      <w:szCs w:val="18"/>
    </w:rPr>
  </w:style>
  <w:style w:type="character" w:customStyle="1" w:styleId="TextedebullesCar">
    <w:name w:val="Texte de bulles Car"/>
    <w:basedOn w:val="Policepardfaut"/>
    <w:link w:val="Textedebulles"/>
    <w:rsid w:val="00D94B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itre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Texto nota pie Car"/>
    <w:basedOn w:val="Normal"/>
    <w:link w:val="NotedebasdepageCar"/>
    <w:semiHidden/>
    <w:rPr>
      <w:sz w:val="20"/>
      <w:szCs w:val="20"/>
    </w:rPr>
  </w:style>
  <w:style w:type="character" w:styleId="Appelnotedebasdep">
    <w:name w:val="footnote reference"/>
    <w:semiHidden/>
    <w:rPr>
      <w:vertAlign w:val="superscript"/>
    </w:rPr>
  </w:style>
  <w:style w:type="paragraph" w:styleId="Corpsdetexte">
    <w:name w:val="Body Text"/>
    <w:basedOn w:val="Normal"/>
    <w:pPr>
      <w:autoSpaceDE w:val="0"/>
      <w:autoSpaceDN w:val="0"/>
      <w:adjustRightInd w:val="0"/>
      <w:jc w:val="both"/>
    </w:pPr>
    <w:rPr>
      <w:lang w:val="es-CO"/>
    </w:rPr>
  </w:style>
  <w:style w:type="paragraph" w:styleId="Retraitcorpsdetexte">
    <w:name w:val="Body Text Indent"/>
    <w:basedOn w:val="Normal"/>
    <w:pPr>
      <w:autoSpaceDE w:val="0"/>
      <w:autoSpaceDN w:val="0"/>
      <w:adjustRightInd w:val="0"/>
      <w:spacing w:line="360" w:lineRule="auto"/>
      <w:ind w:left="60"/>
      <w:jc w:val="both"/>
    </w:pPr>
    <w:rPr>
      <w:rFonts w:ascii="Arial" w:hAnsi="Arial" w:cs="Arial"/>
      <w:lang w:val="es-CO"/>
    </w:rPr>
  </w:style>
  <w:style w:type="paragraph" w:styleId="Retraitcorpsdetexte3">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paragraph" w:styleId="Corpsdetexte2">
    <w:name w:val="Body Text 2"/>
    <w:basedOn w:val="Normal"/>
    <w:pPr>
      <w:widowControl w:val="0"/>
      <w:autoSpaceDE w:val="0"/>
      <w:autoSpaceDN w:val="0"/>
      <w:adjustRightInd w:val="0"/>
      <w:jc w:val="both"/>
    </w:pPr>
    <w:rPr>
      <w:rFonts w:ascii="Arial" w:hAnsi="Arial" w:cs="Arial"/>
      <w:sz w:val="28"/>
    </w:rPr>
  </w:style>
  <w:style w:type="paragraph" w:styleId="Titre">
    <w:name w:val="Title"/>
    <w:basedOn w:val="Normal"/>
    <w:qFormat/>
    <w:pPr>
      <w:widowControl w:val="0"/>
      <w:autoSpaceDE w:val="0"/>
      <w:autoSpaceDN w:val="0"/>
      <w:adjustRightInd w:val="0"/>
      <w:spacing w:line="360" w:lineRule="auto"/>
      <w:jc w:val="center"/>
    </w:pPr>
    <w:rPr>
      <w:rFonts w:ascii="Arial" w:hAnsi="Arial" w:cs="Arial"/>
      <w:b/>
    </w:rPr>
  </w:style>
  <w:style w:type="paragraph" w:styleId="Normalcentr">
    <w:name w:val="Block Text"/>
    <w:basedOn w:val="Normal"/>
    <w:pPr>
      <w:spacing w:line="360" w:lineRule="auto"/>
      <w:ind w:left="1134" w:right="567"/>
      <w:jc w:val="both"/>
    </w:pPr>
    <w:rPr>
      <w:rFonts w:ascii="Book Antiqua" w:hAnsi="Book Antiqua" w:cs="Arial"/>
    </w:rPr>
  </w:style>
  <w:style w:type="paragraph" w:styleId="Pieddepage">
    <w:name w:val="footer"/>
    <w:basedOn w:val="Normal"/>
    <w:pPr>
      <w:tabs>
        <w:tab w:val="center" w:pos="4419"/>
        <w:tab w:val="right" w:pos="8838"/>
      </w:tabs>
    </w:pPr>
  </w:style>
  <w:style w:type="character" w:styleId="Numrodepage">
    <w:name w:val="page number"/>
    <w:basedOn w:val="Policepardfaut"/>
  </w:style>
  <w:style w:type="character" w:customStyle="1" w:styleId="NotedebasdepageCar">
    <w:name w:val="Note de bas de page Car"/>
    <w:aliases w:val="Texto nota pie Car Car"/>
    <w:link w:val="Notedebasdepag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tte">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Policepardfaut"/>
    <w:rsid w:val="00503C57"/>
  </w:style>
  <w:style w:type="paragraph" w:styleId="Paragraphedeliste">
    <w:name w:val="List Paragraph"/>
    <w:basedOn w:val="Normal"/>
    <w:uiPriority w:val="34"/>
    <w:qFormat/>
    <w:rsid w:val="006F012F"/>
    <w:pPr>
      <w:ind w:left="720"/>
      <w:contextualSpacing/>
    </w:pPr>
  </w:style>
  <w:style w:type="paragraph" w:styleId="Textedebulles">
    <w:name w:val="Balloon Text"/>
    <w:basedOn w:val="Normal"/>
    <w:link w:val="TextedebullesCar"/>
    <w:rsid w:val="00D94B4A"/>
    <w:rPr>
      <w:rFonts w:ascii="Segoe UI" w:hAnsi="Segoe UI" w:cs="Segoe UI"/>
      <w:sz w:val="18"/>
      <w:szCs w:val="18"/>
    </w:rPr>
  </w:style>
  <w:style w:type="character" w:customStyle="1" w:styleId="TextedebullesCar">
    <w:name w:val="Texte de bulles Car"/>
    <w:basedOn w:val="Policepardfaut"/>
    <w:link w:val="Textedebulles"/>
    <w:rsid w:val="00D94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B0D33-446A-4AE8-A7F8-8C402363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Malucimedina</cp:lastModifiedBy>
  <cp:revision>7</cp:revision>
  <cp:lastPrinted>2017-03-01T13:09:00Z</cp:lastPrinted>
  <dcterms:created xsi:type="dcterms:W3CDTF">2017-03-01T13:01:00Z</dcterms:created>
  <dcterms:modified xsi:type="dcterms:W3CDTF">2017-05-02T19:15:00Z</dcterms:modified>
</cp:coreProperties>
</file>