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EF5615" w:rsidRPr="00A817A6" w:rsidRDefault="00EF5615" w:rsidP="00EF5615">
      <w:pPr>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color w:val="222222"/>
          <w:sz w:val="16"/>
          <w:szCs w:val="16"/>
          <w:lang w:val="es-CO" w:eastAsia="fr-FR"/>
        </w:rPr>
      </w:pPr>
      <w:r w:rsidRPr="00A817A6">
        <w:rPr>
          <w:rFonts w:asciiTheme="minorHAnsi" w:hAnsiTheme="minorHAnsi" w:cstheme="minorHAnsi"/>
          <w:color w:val="FF0000"/>
          <w:sz w:val="16"/>
          <w:szCs w:val="16"/>
          <w:lang w:val="es-CO" w:eastAsia="fr-FR"/>
        </w:rPr>
        <w:t xml:space="preserve">El siguiente es el documento presentado por el Magistrado Ponente que sirvió de base para proferir la providencia dentro del presente proceso. El contenido total y fiel de la decisión debe ser verificado en </w:t>
      </w:r>
      <w:r>
        <w:rPr>
          <w:rFonts w:asciiTheme="minorHAnsi" w:hAnsiTheme="minorHAnsi" w:cstheme="minorHAnsi"/>
          <w:color w:val="FF0000"/>
          <w:sz w:val="16"/>
          <w:szCs w:val="16"/>
          <w:lang w:val="es-CO" w:eastAsia="fr-FR"/>
        </w:rPr>
        <w:t xml:space="preserve">el audio que reposa en </w:t>
      </w:r>
      <w:r w:rsidRPr="00A817A6">
        <w:rPr>
          <w:rFonts w:asciiTheme="minorHAnsi" w:hAnsiTheme="minorHAnsi" w:cstheme="minorHAnsi"/>
          <w:color w:val="FF0000"/>
          <w:sz w:val="16"/>
          <w:szCs w:val="16"/>
          <w:lang w:val="es-CO" w:eastAsia="fr-FR"/>
        </w:rPr>
        <w:t>la Secretaría de esta Sala.</w:t>
      </w:r>
      <w:r w:rsidRPr="00A817A6">
        <w:rPr>
          <w:rFonts w:asciiTheme="minorHAnsi" w:hAnsiTheme="minorHAnsi" w:cstheme="minorHAnsi"/>
          <w:color w:val="222222"/>
          <w:sz w:val="16"/>
          <w:szCs w:val="16"/>
          <w:lang w:val="es-CO" w:eastAsia="fr-FR"/>
        </w:rPr>
        <w:t> </w:t>
      </w:r>
    </w:p>
    <w:p w:rsidR="00EF5615" w:rsidRPr="00C2335B" w:rsidRDefault="00EF5615" w:rsidP="00EF5615">
      <w:pPr>
        <w:pStyle w:val="Titre"/>
        <w:spacing w:line="240" w:lineRule="auto"/>
        <w:jc w:val="both"/>
        <w:rPr>
          <w:rFonts w:ascii="Tahoma" w:hAnsi="Tahoma" w:cs="Tahoma"/>
          <w:sz w:val="18"/>
          <w:szCs w:val="18"/>
          <w:lang w:val="es-CO"/>
        </w:rPr>
      </w:pPr>
    </w:p>
    <w:p w:rsidR="008B7665" w:rsidRPr="00B77D00" w:rsidRDefault="008B7665" w:rsidP="002169D0">
      <w:pPr>
        <w:pStyle w:val="Titre"/>
        <w:spacing w:line="240" w:lineRule="auto"/>
        <w:jc w:val="both"/>
        <w:rPr>
          <w:rFonts w:ascii="Tahoma" w:hAnsi="Tahoma" w:cs="Tahoma"/>
          <w:b w:val="0"/>
          <w:color w:val="000000" w:themeColor="text1"/>
          <w:sz w:val="18"/>
          <w:szCs w:val="18"/>
        </w:rPr>
      </w:pPr>
      <w:r w:rsidRPr="00BF4F59">
        <w:rPr>
          <w:rFonts w:ascii="Tahoma" w:hAnsi="Tahoma" w:cs="Tahoma"/>
          <w:sz w:val="18"/>
          <w:szCs w:val="18"/>
        </w:rPr>
        <w:t>Providencia:</w:t>
      </w:r>
      <w:r w:rsidRPr="00BF4F59">
        <w:rPr>
          <w:rFonts w:ascii="Tahoma" w:hAnsi="Tahoma" w:cs="Tahoma"/>
          <w:b w:val="0"/>
          <w:sz w:val="18"/>
          <w:szCs w:val="18"/>
        </w:rPr>
        <w:tab/>
      </w:r>
      <w:r w:rsidRPr="00BF4F59">
        <w:rPr>
          <w:rFonts w:ascii="Tahoma" w:hAnsi="Tahoma" w:cs="Tahoma"/>
          <w:b w:val="0"/>
          <w:sz w:val="18"/>
          <w:szCs w:val="18"/>
        </w:rPr>
        <w:tab/>
      </w:r>
      <w:r w:rsidRPr="00BF4F59">
        <w:rPr>
          <w:rFonts w:ascii="Tahoma" w:hAnsi="Tahoma" w:cs="Tahoma"/>
          <w:b w:val="0"/>
          <w:bCs/>
          <w:sz w:val="18"/>
          <w:szCs w:val="18"/>
        </w:rPr>
        <w:t>Sente</w:t>
      </w:r>
      <w:r w:rsidRPr="00B77D00">
        <w:rPr>
          <w:rFonts w:ascii="Tahoma" w:hAnsi="Tahoma" w:cs="Tahoma"/>
          <w:b w:val="0"/>
          <w:bCs/>
          <w:color w:val="000000" w:themeColor="text1"/>
          <w:sz w:val="18"/>
          <w:szCs w:val="18"/>
        </w:rPr>
        <w:t xml:space="preserve">ncia </w:t>
      </w:r>
      <w:r w:rsidR="00EF5615">
        <w:rPr>
          <w:rFonts w:ascii="Tahoma" w:hAnsi="Tahoma" w:cs="Tahoma"/>
          <w:b w:val="0"/>
          <w:bCs/>
          <w:color w:val="000000" w:themeColor="text1"/>
          <w:sz w:val="18"/>
          <w:szCs w:val="18"/>
        </w:rPr>
        <w:t>- 2ª instancia -</w:t>
      </w:r>
      <w:r w:rsidRPr="00B77D00">
        <w:rPr>
          <w:rFonts w:ascii="Tahoma" w:hAnsi="Tahoma" w:cs="Tahoma"/>
          <w:b w:val="0"/>
          <w:bCs/>
          <w:color w:val="000000" w:themeColor="text1"/>
          <w:sz w:val="18"/>
          <w:szCs w:val="18"/>
        </w:rPr>
        <w:t xml:space="preserve"> </w:t>
      </w:r>
      <w:r w:rsidR="00390200">
        <w:rPr>
          <w:rFonts w:ascii="Tahoma" w:hAnsi="Tahoma" w:cs="Tahoma"/>
          <w:b w:val="0"/>
          <w:bCs/>
          <w:color w:val="000000" w:themeColor="text1"/>
          <w:sz w:val="18"/>
          <w:szCs w:val="18"/>
        </w:rPr>
        <w:t>24 de marzo</w:t>
      </w:r>
      <w:r w:rsidR="006A1A7A" w:rsidRPr="00B77D00">
        <w:rPr>
          <w:rFonts w:ascii="Tahoma" w:hAnsi="Tahoma" w:cs="Tahoma"/>
          <w:b w:val="0"/>
          <w:bCs/>
          <w:color w:val="000000" w:themeColor="text1"/>
          <w:sz w:val="18"/>
          <w:szCs w:val="18"/>
        </w:rPr>
        <w:t xml:space="preserve"> del 2017</w:t>
      </w:r>
    </w:p>
    <w:p w:rsidR="00EF5615" w:rsidRPr="00B77D00" w:rsidRDefault="00EF5615" w:rsidP="00EF5615">
      <w:pPr>
        <w:pStyle w:val="Titre"/>
        <w:spacing w:line="240" w:lineRule="auto"/>
        <w:jc w:val="both"/>
        <w:rPr>
          <w:rFonts w:ascii="Tahoma" w:hAnsi="Tahoma" w:cs="Tahoma"/>
          <w:b w:val="0"/>
          <w:color w:val="000000" w:themeColor="text1"/>
          <w:sz w:val="18"/>
          <w:szCs w:val="18"/>
        </w:rPr>
      </w:pPr>
      <w:r w:rsidRPr="00B77D00">
        <w:rPr>
          <w:rFonts w:ascii="Tahoma" w:hAnsi="Tahoma" w:cs="Tahoma"/>
          <w:color w:val="000000" w:themeColor="text1"/>
          <w:sz w:val="18"/>
          <w:szCs w:val="18"/>
        </w:rPr>
        <w:t>Proceso:</w:t>
      </w:r>
      <w:r w:rsidRPr="00B77D00">
        <w:rPr>
          <w:rFonts w:ascii="Tahoma" w:hAnsi="Tahoma" w:cs="Tahoma"/>
          <w:b w:val="0"/>
          <w:color w:val="000000" w:themeColor="text1"/>
          <w:sz w:val="18"/>
          <w:szCs w:val="18"/>
        </w:rPr>
        <w:tab/>
      </w:r>
      <w:r w:rsidRPr="00B77D00">
        <w:rPr>
          <w:rFonts w:ascii="Tahoma" w:hAnsi="Tahoma" w:cs="Tahoma"/>
          <w:b w:val="0"/>
          <w:color w:val="000000" w:themeColor="text1"/>
          <w:sz w:val="18"/>
          <w:szCs w:val="18"/>
        </w:rPr>
        <w:tab/>
        <w:t xml:space="preserve">Ordinario laboral </w:t>
      </w:r>
      <w:r>
        <w:rPr>
          <w:rFonts w:ascii="Tahoma" w:hAnsi="Tahoma" w:cs="Tahoma"/>
          <w:b w:val="0"/>
          <w:color w:val="000000" w:themeColor="text1"/>
          <w:sz w:val="18"/>
          <w:szCs w:val="18"/>
        </w:rPr>
        <w:t>– Confirma sentencia que negó las pretensiones</w:t>
      </w:r>
      <w:bookmarkStart w:id="0" w:name="_GoBack"/>
      <w:bookmarkEnd w:id="0"/>
    </w:p>
    <w:p w:rsidR="008B7665" w:rsidRPr="00B77D00" w:rsidRDefault="008B7665" w:rsidP="002169D0">
      <w:pPr>
        <w:pStyle w:val="Titre"/>
        <w:spacing w:line="240" w:lineRule="auto"/>
        <w:jc w:val="both"/>
        <w:rPr>
          <w:rFonts w:ascii="Tahoma" w:hAnsi="Tahoma" w:cs="Tahoma"/>
          <w:b w:val="0"/>
          <w:color w:val="000000" w:themeColor="text1"/>
          <w:sz w:val="18"/>
          <w:szCs w:val="18"/>
        </w:rPr>
      </w:pPr>
      <w:r w:rsidRPr="00B77D00">
        <w:rPr>
          <w:rFonts w:ascii="Tahoma" w:hAnsi="Tahoma" w:cs="Tahoma"/>
          <w:color w:val="000000" w:themeColor="text1"/>
          <w:sz w:val="18"/>
          <w:szCs w:val="18"/>
        </w:rPr>
        <w:t>Radicación No.:</w:t>
      </w:r>
      <w:r w:rsidRPr="00B77D00">
        <w:rPr>
          <w:rFonts w:ascii="Tahoma" w:hAnsi="Tahoma" w:cs="Tahoma"/>
          <w:b w:val="0"/>
          <w:color w:val="000000" w:themeColor="text1"/>
          <w:sz w:val="18"/>
          <w:szCs w:val="18"/>
        </w:rPr>
        <w:tab/>
      </w:r>
      <w:r w:rsidRPr="00B77D00">
        <w:rPr>
          <w:rFonts w:ascii="Tahoma" w:hAnsi="Tahoma" w:cs="Tahoma"/>
          <w:b w:val="0"/>
          <w:color w:val="000000" w:themeColor="text1"/>
          <w:sz w:val="18"/>
          <w:szCs w:val="18"/>
        </w:rPr>
        <w:tab/>
        <w:t>66001-31-05-00</w:t>
      </w:r>
      <w:r w:rsidR="00390200">
        <w:rPr>
          <w:rFonts w:ascii="Tahoma" w:hAnsi="Tahoma" w:cs="Tahoma"/>
          <w:b w:val="0"/>
          <w:color w:val="000000" w:themeColor="text1"/>
          <w:sz w:val="18"/>
          <w:szCs w:val="18"/>
        </w:rPr>
        <w:t>4</w:t>
      </w:r>
      <w:r w:rsidRPr="00B77D00">
        <w:rPr>
          <w:rFonts w:ascii="Tahoma" w:hAnsi="Tahoma" w:cs="Tahoma"/>
          <w:b w:val="0"/>
          <w:color w:val="000000" w:themeColor="text1"/>
          <w:sz w:val="18"/>
          <w:szCs w:val="18"/>
        </w:rPr>
        <w:t>-201</w:t>
      </w:r>
      <w:r w:rsidR="00C6783A">
        <w:rPr>
          <w:rFonts w:ascii="Tahoma" w:hAnsi="Tahoma" w:cs="Tahoma"/>
          <w:b w:val="0"/>
          <w:color w:val="000000" w:themeColor="text1"/>
          <w:sz w:val="18"/>
          <w:szCs w:val="18"/>
        </w:rPr>
        <w:t>5</w:t>
      </w:r>
      <w:r w:rsidRPr="00B77D00">
        <w:rPr>
          <w:rFonts w:ascii="Tahoma" w:hAnsi="Tahoma" w:cs="Tahoma"/>
          <w:b w:val="0"/>
          <w:color w:val="000000" w:themeColor="text1"/>
          <w:sz w:val="18"/>
          <w:szCs w:val="18"/>
        </w:rPr>
        <w:t>-00</w:t>
      </w:r>
      <w:r w:rsidR="00390200">
        <w:rPr>
          <w:rFonts w:ascii="Tahoma" w:hAnsi="Tahoma" w:cs="Tahoma"/>
          <w:b w:val="0"/>
          <w:color w:val="000000" w:themeColor="text1"/>
          <w:sz w:val="18"/>
          <w:szCs w:val="18"/>
        </w:rPr>
        <w:t>281</w:t>
      </w:r>
      <w:r w:rsidRPr="00B77D00">
        <w:rPr>
          <w:rFonts w:ascii="Tahoma" w:hAnsi="Tahoma" w:cs="Tahoma"/>
          <w:b w:val="0"/>
          <w:color w:val="000000" w:themeColor="text1"/>
          <w:sz w:val="18"/>
          <w:szCs w:val="18"/>
        </w:rPr>
        <w:t>-0</w:t>
      </w:r>
      <w:r w:rsidR="0093143A">
        <w:rPr>
          <w:rFonts w:ascii="Tahoma" w:hAnsi="Tahoma" w:cs="Tahoma"/>
          <w:b w:val="0"/>
          <w:color w:val="000000" w:themeColor="text1"/>
          <w:sz w:val="18"/>
          <w:szCs w:val="18"/>
        </w:rPr>
        <w:t>1</w:t>
      </w:r>
    </w:p>
    <w:p w:rsidR="008B7665" w:rsidRPr="00B77D00" w:rsidRDefault="008B7665" w:rsidP="002169D0">
      <w:pPr>
        <w:pStyle w:val="Titre"/>
        <w:spacing w:line="240" w:lineRule="auto"/>
        <w:jc w:val="both"/>
        <w:rPr>
          <w:rFonts w:ascii="Tahoma" w:hAnsi="Tahoma" w:cs="Tahoma"/>
          <w:b w:val="0"/>
          <w:color w:val="000000" w:themeColor="text1"/>
          <w:sz w:val="18"/>
          <w:szCs w:val="18"/>
        </w:rPr>
      </w:pPr>
      <w:r w:rsidRPr="00B77D00">
        <w:rPr>
          <w:rFonts w:ascii="Tahoma" w:hAnsi="Tahoma" w:cs="Tahoma"/>
          <w:color w:val="000000" w:themeColor="text1"/>
          <w:sz w:val="18"/>
          <w:szCs w:val="18"/>
        </w:rPr>
        <w:t>Demandantes:</w:t>
      </w:r>
      <w:r w:rsidRPr="00B77D00">
        <w:rPr>
          <w:rFonts w:ascii="Tahoma" w:hAnsi="Tahoma" w:cs="Tahoma"/>
          <w:b w:val="0"/>
          <w:color w:val="000000" w:themeColor="text1"/>
          <w:sz w:val="18"/>
          <w:szCs w:val="18"/>
        </w:rPr>
        <w:tab/>
      </w:r>
      <w:r w:rsidRPr="00B77D00">
        <w:rPr>
          <w:rFonts w:ascii="Tahoma" w:hAnsi="Tahoma" w:cs="Tahoma"/>
          <w:b w:val="0"/>
          <w:color w:val="000000" w:themeColor="text1"/>
          <w:sz w:val="18"/>
          <w:szCs w:val="18"/>
        </w:rPr>
        <w:tab/>
      </w:r>
      <w:r w:rsidR="00390200">
        <w:rPr>
          <w:rFonts w:ascii="Tahoma" w:hAnsi="Tahoma" w:cs="Tahoma"/>
          <w:b w:val="0"/>
          <w:color w:val="000000" w:themeColor="text1"/>
          <w:sz w:val="18"/>
          <w:szCs w:val="18"/>
        </w:rPr>
        <w:t xml:space="preserve">Rosa María Agudelo Valencia </w:t>
      </w:r>
    </w:p>
    <w:p w:rsidR="008B7665" w:rsidRPr="00B77D00" w:rsidRDefault="008B7665" w:rsidP="002169D0">
      <w:pPr>
        <w:pStyle w:val="Titre"/>
        <w:spacing w:line="240" w:lineRule="auto"/>
        <w:ind w:left="708" w:hanging="708"/>
        <w:jc w:val="both"/>
        <w:rPr>
          <w:rFonts w:ascii="Tahoma" w:hAnsi="Tahoma" w:cs="Tahoma"/>
          <w:b w:val="0"/>
          <w:color w:val="000000" w:themeColor="text1"/>
          <w:sz w:val="18"/>
          <w:szCs w:val="18"/>
        </w:rPr>
      </w:pPr>
      <w:r w:rsidRPr="00B77D00">
        <w:rPr>
          <w:rFonts w:ascii="Tahoma" w:hAnsi="Tahoma" w:cs="Tahoma"/>
          <w:color w:val="000000" w:themeColor="text1"/>
          <w:sz w:val="18"/>
          <w:szCs w:val="18"/>
        </w:rPr>
        <w:t>Demandado:</w:t>
      </w:r>
      <w:r w:rsidRPr="00B77D00">
        <w:rPr>
          <w:rFonts w:ascii="Tahoma" w:hAnsi="Tahoma" w:cs="Tahoma"/>
          <w:b w:val="0"/>
          <w:color w:val="000000" w:themeColor="text1"/>
          <w:sz w:val="18"/>
          <w:szCs w:val="18"/>
        </w:rPr>
        <w:tab/>
      </w:r>
      <w:r w:rsidRPr="00B77D00">
        <w:rPr>
          <w:rFonts w:ascii="Tahoma" w:hAnsi="Tahoma" w:cs="Tahoma"/>
          <w:b w:val="0"/>
          <w:color w:val="000000" w:themeColor="text1"/>
          <w:sz w:val="18"/>
          <w:szCs w:val="18"/>
        </w:rPr>
        <w:tab/>
        <w:t xml:space="preserve">Colpensiones  </w:t>
      </w:r>
    </w:p>
    <w:p w:rsidR="008B7665" w:rsidRPr="00B77D00" w:rsidRDefault="008B7665" w:rsidP="002169D0">
      <w:pPr>
        <w:pStyle w:val="Titre"/>
        <w:spacing w:line="240" w:lineRule="auto"/>
        <w:jc w:val="both"/>
        <w:rPr>
          <w:rFonts w:ascii="Tahoma" w:hAnsi="Tahoma" w:cs="Tahoma"/>
          <w:b w:val="0"/>
          <w:color w:val="000000" w:themeColor="text1"/>
          <w:sz w:val="18"/>
          <w:szCs w:val="18"/>
        </w:rPr>
      </w:pPr>
      <w:r w:rsidRPr="00B77D00">
        <w:rPr>
          <w:rFonts w:ascii="Tahoma" w:hAnsi="Tahoma" w:cs="Tahoma"/>
          <w:color w:val="000000" w:themeColor="text1"/>
          <w:sz w:val="18"/>
          <w:szCs w:val="18"/>
        </w:rPr>
        <w:t>Juzgado de origen:</w:t>
      </w:r>
      <w:r w:rsidRPr="00B77D00">
        <w:rPr>
          <w:rFonts w:ascii="Tahoma" w:hAnsi="Tahoma" w:cs="Tahoma"/>
          <w:b w:val="0"/>
          <w:color w:val="000000" w:themeColor="text1"/>
          <w:sz w:val="18"/>
          <w:szCs w:val="18"/>
        </w:rPr>
        <w:tab/>
      </w:r>
      <w:r w:rsidR="00825DBD">
        <w:rPr>
          <w:rFonts w:ascii="Tahoma" w:hAnsi="Tahoma" w:cs="Tahoma"/>
          <w:b w:val="0"/>
          <w:color w:val="000000" w:themeColor="text1"/>
          <w:sz w:val="18"/>
          <w:szCs w:val="18"/>
        </w:rPr>
        <w:t xml:space="preserve">Cuarto </w:t>
      </w:r>
      <w:r w:rsidRPr="00B77D00">
        <w:rPr>
          <w:rFonts w:ascii="Tahoma" w:hAnsi="Tahoma" w:cs="Tahoma"/>
          <w:b w:val="0"/>
          <w:color w:val="000000" w:themeColor="text1"/>
          <w:sz w:val="18"/>
          <w:szCs w:val="18"/>
        </w:rPr>
        <w:t>Laboral del Circuito de Pereira</w:t>
      </w:r>
    </w:p>
    <w:p w:rsidR="008B7665" w:rsidRPr="00B77D00" w:rsidRDefault="008B7665" w:rsidP="002169D0">
      <w:pPr>
        <w:pStyle w:val="Titre"/>
        <w:spacing w:line="240" w:lineRule="auto"/>
        <w:jc w:val="both"/>
        <w:rPr>
          <w:rFonts w:ascii="Tahoma" w:hAnsi="Tahoma" w:cs="Tahoma"/>
          <w:b w:val="0"/>
          <w:color w:val="000000" w:themeColor="text1"/>
          <w:sz w:val="18"/>
          <w:szCs w:val="18"/>
        </w:rPr>
      </w:pPr>
      <w:r w:rsidRPr="00B77D00">
        <w:rPr>
          <w:rFonts w:ascii="Tahoma" w:hAnsi="Tahoma" w:cs="Tahoma"/>
          <w:color w:val="000000" w:themeColor="text1"/>
          <w:sz w:val="18"/>
          <w:szCs w:val="18"/>
        </w:rPr>
        <w:t>Magistrada ponente:</w:t>
      </w:r>
      <w:r w:rsidRPr="00B77D00">
        <w:rPr>
          <w:rFonts w:ascii="Tahoma" w:hAnsi="Tahoma" w:cs="Tahoma"/>
          <w:b w:val="0"/>
          <w:color w:val="000000" w:themeColor="text1"/>
          <w:sz w:val="18"/>
          <w:szCs w:val="18"/>
        </w:rPr>
        <w:tab/>
        <w:t>Dra. Ana Lucía Caicedo Calderón</w:t>
      </w:r>
    </w:p>
    <w:p w:rsidR="00EA3B1B" w:rsidRDefault="008B7665" w:rsidP="002169D0">
      <w:pPr>
        <w:pStyle w:val="Titre"/>
        <w:spacing w:line="240" w:lineRule="auto"/>
        <w:ind w:left="2127" w:hanging="2127"/>
        <w:jc w:val="both"/>
        <w:rPr>
          <w:rFonts w:ascii="Tahoma" w:hAnsi="Tahoma" w:cs="Tahoma"/>
          <w:sz w:val="18"/>
          <w:szCs w:val="18"/>
        </w:rPr>
      </w:pPr>
      <w:r w:rsidRPr="00BF4F59">
        <w:rPr>
          <w:rFonts w:ascii="Tahoma" w:hAnsi="Tahoma" w:cs="Tahoma"/>
          <w:sz w:val="18"/>
          <w:szCs w:val="18"/>
        </w:rPr>
        <w:t>Tema:</w:t>
      </w:r>
      <w:r w:rsidRPr="00BF4F59">
        <w:rPr>
          <w:rFonts w:ascii="Tahoma" w:hAnsi="Tahoma" w:cs="Tahoma"/>
          <w:sz w:val="18"/>
          <w:szCs w:val="18"/>
        </w:rPr>
        <w:tab/>
      </w:r>
    </w:p>
    <w:p w:rsidR="000D629B" w:rsidRPr="000D629B" w:rsidRDefault="000D629B" w:rsidP="000D629B">
      <w:pPr>
        <w:autoSpaceDE w:val="0"/>
        <w:autoSpaceDN w:val="0"/>
        <w:adjustRightInd w:val="0"/>
        <w:ind w:left="2127" w:right="51"/>
        <w:jc w:val="both"/>
        <w:rPr>
          <w:rFonts w:ascii="Tahoma" w:hAnsi="Tahoma" w:cs="Tahoma"/>
          <w:sz w:val="18"/>
          <w:szCs w:val="18"/>
        </w:rPr>
      </w:pPr>
      <w:r w:rsidRPr="00B43E60">
        <w:rPr>
          <w:rFonts w:ascii="Tahoma" w:hAnsi="Tahoma" w:cs="Tahoma"/>
          <w:b/>
          <w:sz w:val="18"/>
          <w:szCs w:val="18"/>
          <w:u w:val="single"/>
        </w:rPr>
        <w:t>Compatibilidad de la indemnización sustitutiva de la pensión de vejez y la pensión de sobrevivientes:</w:t>
      </w:r>
      <w:r w:rsidRPr="00B43E60">
        <w:rPr>
          <w:rFonts w:ascii="Tahoma" w:hAnsi="Tahoma" w:cs="Tahoma"/>
          <w:sz w:val="18"/>
          <w:szCs w:val="18"/>
        </w:rPr>
        <w:t xml:space="preserve"> La circunstancia de que el afiliado haya recibido la indemnización sustitutiva de la pensión de vejez, para el caso la prevista en el artículo 37 de la Ley 100 de 1993, no impide, como ya se ha expuesto, que éste o sus derechohabientes se beneficien de una pensión distinta al riesgo de vejez, como sería el caso de la pensión de sobrevivientes que se causa es por la muerte del </w:t>
      </w:r>
      <w:r w:rsidRPr="000D629B">
        <w:rPr>
          <w:rFonts w:ascii="Tahoma" w:hAnsi="Tahoma" w:cs="Tahoma"/>
          <w:sz w:val="18"/>
          <w:szCs w:val="18"/>
        </w:rPr>
        <w:t>asegurado, eso sí siempre y cuando se reúnan los requisitos legales exigidos para esta precisa contingencia. (Ahora bien) como quiera que en aplicación de la condición más beneficiosa, la demandante solicita que su pensión de invalidez se resuelva con base en los requisitos previstos en el acuerdo 049 de 1990, y en dicha norma, como se ha explicado, existe</w:t>
      </w:r>
      <w:r w:rsidR="00CB61CA">
        <w:rPr>
          <w:rFonts w:ascii="Tahoma" w:hAnsi="Tahoma" w:cs="Tahoma"/>
          <w:sz w:val="18"/>
          <w:szCs w:val="18"/>
        </w:rPr>
        <w:t xml:space="preserve"> disposición</w:t>
      </w:r>
      <w:r w:rsidRPr="000D629B">
        <w:rPr>
          <w:rFonts w:ascii="Tahoma" w:hAnsi="Tahoma" w:cs="Tahoma"/>
          <w:sz w:val="18"/>
          <w:szCs w:val="18"/>
        </w:rPr>
        <w:t xml:space="preserve"> expresa que excluye de </w:t>
      </w:r>
      <w:r w:rsidRPr="000D629B">
        <w:rPr>
          <w:rStyle w:val="apple-converted-space"/>
          <w:rFonts w:ascii="Tahoma" w:hAnsi="Tahoma" w:cs="Tahoma"/>
          <w:color w:val="000000"/>
          <w:sz w:val="18"/>
          <w:szCs w:val="18"/>
        </w:rPr>
        <w:t> </w:t>
      </w:r>
      <w:r w:rsidRPr="000D629B">
        <w:rPr>
          <w:rFonts w:ascii="Tahoma" w:hAnsi="Tahoma" w:cs="Tahoma"/>
          <w:color w:val="000000"/>
          <w:sz w:val="18"/>
          <w:szCs w:val="18"/>
        </w:rPr>
        <w:t>del Seguro Social Obligatorio de Invalidez, Vejez y Muerte</w:t>
      </w:r>
      <w:r>
        <w:rPr>
          <w:rFonts w:ascii="Tahoma" w:hAnsi="Tahoma" w:cs="Tahoma"/>
          <w:color w:val="000000"/>
          <w:sz w:val="18"/>
          <w:szCs w:val="18"/>
        </w:rPr>
        <w:t xml:space="preserve"> a la</w:t>
      </w:r>
      <w:r w:rsidRPr="000D629B">
        <w:rPr>
          <w:rFonts w:ascii="Tahoma" w:hAnsi="Tahoma" w:cs="Tahoma"/>
          <w:color w:val="000000"/>
          <w:sz w:val="18"/>
          <w:szCs w:val="18"/>
        </w:rPr>
        <w:t>s personas que se hayan pensionado por el Régimen de los Seguros Sociales Obligatorios o hubieren recibido la indemnización sustitutiva de la pensión de vejez o de invalidez por riesgo común</w:t>
      </w:r>
    </w:p>
    <w:p w:rsidR="000D629B" w:rsidRDefault="000D629B" w:rsidP="000D629B">
      <w:pPr>
        <w:autoSpaceDE w:val="0"/>
        <w:autoSpaceDN w:val="0"/>
        <w:adjustRightInd w:val="0"/>
        <w:ind w:left="2127" w:right="51"/>
        <w:jc w:val="both"/>
        <w:rPr>
          <w:rFonts w:ascii="Tahoma" w:hAnsi="Tahoma" w:cs="Tahoma"/>
          <w:sz w:val="18"/>
          <w:szCs w:val="18"/>
        </w:rPr>
      </w:pPr>
    </w:p>
    <w:p w:rsidR="00C47EA8" w:rsidRDefault="00C47EA8" w:rsidP="002169D0">
      <w:pPr>
        <w:pStyle w:val="Titre4"/>
        <w:widowControl w:val="0"/>
        <w:tabs>
          <w:tab w:val="clear" w:pos="0"/>
        </w:tabs>
        <w:spacing w:line="276" w:lineRule="auto"/>
        <w:rPr>
          <w:rFonts w:ascii="Tahoma" w:hAnsi="Tahoma" w:cs="Tahoma"/>
          <w:bCs/>
          <w:szCs w:val="24"/>
          <w:lang w:eastAsia="es-MX"/>
        </w:rPr>
      </w:pPr>
    </w:p>
    <w:p w:rsidR="009F11DF" w:rsidRDefault="009F11DF" w:rsidP="002169D0">
      <w:pPr>
        <w:rPr>
          <w:lang w:eastAsia="es-MX"/>
        </w:rPr>
      </w:pPr>
    </w:p>
    <w:p w:rsidR="009F11DF" w:rsidRPr="009F11DF" w:rsidRDefault="009F11DF" w:rsidP="002169D0">
      <w:pPr>
        <w:rPr>
          <w:lang w:eastAsia="es-MX"/>
        </w:rPr>
      </w:pPr>
    </w:p>
    <w:p w:rsidR="008B7665" w:rsidRPr="004B5DE4" w:rsidRDefault="008B7665" w:rsidP="002169D0">
      <w:pPr>
        <w:pStyle w:val="Titre4"/>
        <w:widowControl w:val="0"/>
        <w:tabs>
          <w:tab w:val="clear" w:pos="0"/>
        </w:tabs>
        <w:spacing w:line="276" w:lineRule="auto"/>
        <w:rPr>
          <w:rFonts w:ascii="Tahoma" w:hAnsi="Tahoma" w:cs="Tahoma"/>
          <w:bCs/>
          <w:szCs w:val="24"/>
          <w:lang w:eastAsia="es-MX"/>
        </w:rPr>
      </w:pPr>
      <w:r w:rsidRPr="004B5DE4">
        <w:rPr>
          <w:rFonts w:ascii="Tahoma" w:hAnsi="Tahoma" w:cs="Tahoma"/>
          <w:bCs/>
          <w:szCs w:val="24"/>
          <w:lang w:eastAsia="es-MX"/>
        </w:rPr>
        <w:t>TRIBUNAL SUPERIOR DEL DISTRITO JUDICIAL DE PEREIRA</w:t>
      </w:r>
    </w:p>
    <w:p w:rsidR="008B7665" w:rsidRPr="004B5DE4" w:rsidRDefault="008B7665" w:rsidP="002169D0">
      <w:pPr>
        <w:pStyle w:val="Titre4"/>
        <w:widowControl w:val="0"/>
        <w:tabs>
          <w:tab w:val="clear" w:pos="0"/>
        </w:tabs>
        <w:spacing w:line="276" w:lineRule="auto"/>
        <w:rPr>
          <w:rFonts w:ascii="Tahoma" w:hAnsi="Tahoma" w:cs="Tahoma"/>
          <w:bCs/>
          <w:szCs w:val="24"/>
          <w:lang w:eastAsia="es-MX"/>
        </w:rPr>
      </w:pPr>
      <w:r w:rsidRPr="004B5DE4">
        <w:rPr>
          <w:rFonts w:ascii="Tahoma" w:hAnsi="Tahoma" w:cs="Tahoma"/>
          <w:bCs/>
          <w:szCs w:val="24"/>
          <w:lang w:eastAsia="es-MX"/>
        </w:rPr>
        <w:t xml:space="preserve">SALA </w:t>
      </w:r>
      <w:r>
        <w:rPr>
          <w:rFonts w:ascii="Tahoma" w:hAnsi="Tahoma" w:cs="Tahoma"/>
          <w:bCs/>
          <w:szCs w:val="24"/>
          <w:lang w:eastAsia="es-MX"/>
        </w:rPr>
        <w:t xml:space="preserve">DE DECISION </w:t>
      </w:r>
      <w:r w:rsidRPr="004B5DE4">
        <w:rPr>
          <w:rFonts w:ascii="Tahoma" w:hAnsi="Tahoma" w:cs="Tahoma"/>
          <w:bCs/>
          <w:szCs w:val="24"/>
          <w:lang w:eastAsia="es-MX"/>
        </w:rPr>
        <w:t>LABORAL</w:t>
      </w:r>
      <w:r>
        <w:rPr>
          <w:rFonts w:ascii="Tahoma" w:hAnsi="Tahoma" w:cs="Tahoma"/>
          <w:bCs/>
          <w:szCs w:val="24"/>
          <w:lang w:eastAsia="es-MX"/>
        </w:rPr>
        <w:t xml:space="preserve"> No. 1</w:t>
      </w:r>
    </w:p>
    <w:p w:rsidR="008B7665" w:rsidRPr="007834F9" w:rsidRDefault="008B7665" w:rsidP="002169D0">
      <w:pPr>
        <w:jc w:val="center"/>
        <w:rPr>
          <w:rFonts w:ascii="Tahoma" w:hAnsi="Tahoma" w:cs="Tahoma"/>
          <w:bCs/>
          <w:sz w:val="22"/>
          <w:szCs w:val="22"/>
        </w:rPr>
      </w:pPr>
    </w:p>
    <w:p w:rsidR="008B7665" w:rsidRDefault="008B7665" w:rsidP="002169D0">
      <w:pPr>
        <w:jc w:val="center"/>
        <w:rPr>
          <w:rFonts w:ascii="Tahoma" w:hAnsi="Tahoma" w:cs="Tahoma"/>
          <w:b/>
          <w:bCs/>
          <w:sz w:val="22"/>
          <w:szCs w:val="22"/>
        </w:rPr>
      </w:pPr>
      <w:r w:rsidRPr="007834F9">
        <w:rPr>
          <w:rFonts w:ascii="Tahoma" w:hAnsi="Tahoma" w:cs="Tahoma"/>
          <w:bCs/>
          <w:sz w:val="22"/>
          <w:szCs w:val="22"/>
        </w:rPr>
        <w:t>Magistrada Ponente:</w:t>
      </w:r>
      <w:r w:rsidRPr="007834F9">
        <w:rPr>
          <w:rFonts w:ascii="Tahoma" w:hAnsi="Tahoma" w:cs="Tahoma"/>
          <w:b/>
          <w:bCs/>
          <w:sz w:val="22"/>
          <w:szCs w:val="22"/>
        </w:rPr>
        <w:t xml:space="preserve"> Ana Lucía Caicedo Calderón</w:t>
      </w:r>
    </w:p>
    <w:p w:rsidR="008B7665" w:rsidRPr="004B5DE4" w:rsidRDefault="008B7665" w:rsidP="002169D0">
      <w:pPr>
        <w:jc w:val="center"/>
        <w:rPr>
          <w:rFonts w:ascii="Tahoma" w:hAnsi="Tahoma" w:cs="Tahoma"/>
          <w:b/>
          <w:bCs/>
          <w:sz w:val="22"/>
          <w:szCs w:val="22"/>
        </w:rPr>
      </w:pPr>
    </w:p>
    <w:p w:rsidR="008B7665" w:rsidRPr="00B77D00" w:rsidRDefault="008B7665" w:rsidP="002169D0">
      <w:pPr>
        <w:jc w:val="center"/>
        <w:rPr>
          <w:rFonts w:ascii="Tahoma" w:hAnsi="Tahoma" w:cs="Tahoma"/>
          <w:b/>
          <w:color w:val="000000" w:themeColor="text1"/>
          <w:sz w:val="20"/>
          <w:szCs w:val="20"/>
        </w:rPr>
      </w:pPr>
      <w:r w:rsidRPr="00B77D00">
        <w:rPr>
          <w:rFonts w:ascii="Tahoma" w:hAnsi="Tahoma" w:cs="Tahoma"/>
          <w:b/>
          <w:color w:val="000000" w:themeColor="text1"/>
          <w:sz w:val="20"/>
          <w:szCs w:val="20"/>
        </w:rPr>
        <w:t>Acta No. ____</w:t>
      </w:r>
    </w:p>
    <w:p w:rsidR="008B7665" w:rsidRPr="00B77D00" w:rsidRDefault="008B7665" w:rsidP="002169D0">
      <w:pPr>
        <w:jc w:val="center"/>
        <w:rPr>
          <w:rFonts w:ascii="Tahoma" w:hAnsi="Tahoma" w:cs="Tahoma"/>
          <w:b/>
          <w:color w:val="000000" w:themeColor="text1"/>
          <w:sz w:val="22"/>
          <w:szCs w:val="22"/>
        </w:rPr>
      </w:pPr>
      <w:r w:rsidRPr="00B77D00">
        <w:rPr>
          <w:rFonts w:ascii="Tahoma" w:hAnsi="Tahoma" w:cs="Tahoma"/>
          <w:b/>
          <w:color w:val="000000" w:themeColor="text1"/>
          <w:sz w:val="22"/>
          <w:szCs w:val="22"/>
        </w:rPr>
        <w:t>(</w:t>
      </w:r>
      <w:r w:rsidR="00390200">
        <w:rPr>
          <w:rFonts w:ascii="Tahoma" w:hAnsi="Tahoma" w:cs="Tahoma"/>
          <w:b/>
          <w:color w:val="000000" w:themeColor="text1"/>
          <w:sz w:val="22"/>
          <w:szCs w:val="22"/>
        </w:rPr>
        <w:t>Marzo 24</w:t>
      </w:r>
      <w:r w:rsidR="00287FF7">
        <w:rPr>
          <w:rFonts w:ascii="Tahoma" w:hAnsi="Tahoma" w:cs="Tahoma"/>
          <w:b/>
          <w:color w:val="000000" w:themeColor="text1"/>
          <w:sz w:val="22"/>
          <w:szCs w:val="22"/>
        </w:rPr>
        <w:t xml:space="preserve"> </w:t>
      </w:r>
      <w:r w:rsidR="004E4E43" w:rsidRPr="00B77D00">
        <w:rPr>
          <w:rFonts w:ascii="Tahoma" w:hAnsi="Tahoma" w:cs="Tahoma"/>
          <w:b/>
          <w:color w:val="000000" w:themeColor="text1"/>
          <w:sz w:val="22"/>
          <w:szCs w:val="22"/>
        </w:rPr>
        <w:t>de 2017</w:t>
      </w:r>
      <w:r w:rsidRPr="00B77D00">
        <w:rPr>
          <w:rFonts w:ascii="Tahoma" w:hAnsi="Tahoma" w:cs="Tahoma"/>
          <w:b/>
          <w:color w:val="000000" w:themeColor="text1"/>
          <w:sz w:val="22"/>
          <w:szCs w:val="22"/>
        </w:rPr>
        <w:t>)</w:t>
      </w:r>
    </w:p>
    <w:p w:rsidR="008B7665" w:rsidRPr="00870A6F" w:rsidRDefault="008B7665" w:rsidP="002169D0">
      <w:pPr>
        <w:jc w:val="center"/>
        <w:rPr>
          <w:rFonts w:ascii="Tahoma" w:hAnsi="Tahoma" w:cs="Tahoma"/>
          <w:b/>
          <w:sz w:val="22"/>
          <w:szCs w:val="22"/>
        </w:rPr>
      </w:pPr>
    </w:p>
    <w:p w:rsidR="008B7665" w:rsidRPr="004B5DE4" w:rsidRDefault="008B7665" w:rsidP="002169D0">
      <w:pPr>
        <w:pStyle w:val="Titre5"/>
        <w:spacing w:line="240" w:lineRule="auto"/>
        <w:ind w:firstLine="0"/>
        <w:jc w:val="center"/>
        <w:rPr>
          <w:rFonts w:ascii="Tahoma" w:hAnsi="Tahoma" w:cs="Tahoma"/>
          <w:sz w:val="20"/>
          <w:szCs w:val="20"/>
        </w:rPr>
      </w:pPr>
      <w:r w:rsidRPr="004B5DE4">
        <w:rPr>
          <w:rFonts w:ascii="Tahoma" w:hAnsi="Tahoma" w:cs="Tahoma"/>
          <w:sz w:val="20"/>
          <w:szCs w:val="20"/>
        </w:rPr>
        <w:t>Sistema oral - Audiencia de juzgamiento</w:t>
      </w:r>
    </w:p>
    <w:p w:rsidR="008B7665" w:rsidRPr="007834F9" w:rsidRDefault="008B7665" w:rsidP="002169D0">
      <w:pPr>
        <w:jc w:val="both"/>
        <w:rPr>
          <w:rFonts w:ascii="Tahoma" w:hAnsi="Tahoma" w:cs="Tahoma"/>
          <w:sz w:val="22"/>
          <w:szCs w:val="22"/>
          <w:lang w:val="es-ES_tradnl"/>
        </w:rPr>
      </w:pPr>
      <w:r w:rsidRPr="007834F9">
        <w:rPr>
          <w:rFonts w:ascii="Tahoma" w:hAnsi="Tahoma" w:cs="Tahoma"/>
          <w:b/>
          <w:sz w:val="22"/>
          <w:szCs w:val="22"/>
        </w:rPr>
        <w:tab/>
      </w:r>
    </w:p>
    <w:p w:rsidR="009F11DF" w:rsidRDefault="008B7665" w:rsidP="002169D0">
      <w:pPr>
        <w:spacing w:line="276" w:lineRule="auto"/>
        <w:ind w:firstLine="708"/>
        <w:jc w:val="both"/>
        <w:rPr>
          <w:rFonts w:ascii="Tahoma" w:hAnsi="Tahoma" w:cs="Tahoma"/>
          <w:color w:val="000000" w:themeColor="text1"/>
          <w:sz w:val="22"/>
          <w:szCs w:val="22"/>
          <w:lang w:val="es-ES_tradnl"/>
        </w:rPr>
      </w:pPr>
      <w:r w:rsidRPr="00976E72">
        <w:rPr>
          <w:rFonts w:ascii="Tahoma" w:hAnsi="Tahoma" w:cs="Tahoma"/>
          <w:color w:val="000000" w:themeColor="text1"/>
          <w:sz w:val="22"/>
          <w:szCs w:val="22"/>
          <w:lang w:val="es-ES_tradnl"/>
        </w:rPr>
        <w:t xml:space="preserve">Siendo las </w:t>
      </w:r>
      <w:r w:rsidR="0093143A">
        <w:rPr>
          <w:rFonts w:ascii="Tahoma" w:hAnsi="Tahoma" w:cs="Tahoma"/>
          <w:color w:val="000000" w:themeColor="text1"/>
          <w:sz w:val="22"/>
          <w:szCs w:val="22"/>
          <w:lang w:val="es-ES_tradnl"/>
        </w:rPr>
        <w:t>8</w:t>
      </w:r>
      <w:r w:rsidR="00B56BEF" w:rsidRPr="009F11DF">
        <w:rPr>
          <w:rFonts w:ascii="Tahoma" w:hAnsi="Tahoma" w:cs="Tahoma"/>
          <w:sz w:val="22"/>
          <w:szCs w:val="22"/>
          <w:lang w:val="es-ES_tradnl"/>
        </w:rPr>
        <w:t>:</w:t>
      </w:r>
      <w:r w:rsidR="0093143A" w:rsidRPr="009F11DF">
        <w:rPr>
          <w:rFonts w:ascii="Tahoma" w:hAnsi="Tahoma" w:cs="Tahoma"/>
          <w:sz w:val="22"/>
          <w:szCs w:val="22"/>
          <w:lang w:val="es-ES_tradnl"/>
        </w:rPr>
        <w:t>15</w:t>
      </w:r>
      <w:r w:rsidR="00976E72">
        <w:rPr>
          <w:rFonts w:ascii="Tahoma" w:hAnsi="Tahoma" w:cs="Tahoma"/>
          <w:color w:val="000000" w:themeColor="text1"/>
          <w:sz w:val="22"/>
          <w:szCs w:val="22"/>
          <w:lang w:val="es-ES_tradnl"/>
        </w:rPr>
        <w:t xml:space="preserve"> </w:t>
      </w:r>
      <w:r w:rsidR="004E4E43" w:rsidRPr="00976E72">
        <w:rPr>
          <w:rFonts w:ascii="Tahoma" w:hAnsi="Tahoma" w:cs="Tahoma"/>
          <w:color w:val="000000" w:themeColor="text1"/>
          <w:sz w:val="22"/>
          <w:szCs w:val="22"/>
          <w:lang w:val="es-ES_tradnl"/>
        </w:rPr>
        <w:t>a</w:t>
      </w:r>
      <w:r w:rsidR="0072543C" w:rsidRPr="00976E72">
        <w:rPr>
          <w:rFonts w:ascii="Tahoma" w:hAnsi="Tahoma" w:cs="Tahoma"/>
          <w:color w:val="000000" w:themeColor="text1"/>
          <w:sz w:val="22"/>
          <w:szCs w:val="22"/>
          <w:lang w:val="es-ES_tradnl"/>
        </w:rPr>
        <w:t xml:space="preserve">.m. </w:t>
      </w:r>
      <w:r w:rsidRPr="00976E72">
        <w:rPr>
          <w:rFonts w:ascii="Tahoma" w:hAnsi="Tahoma" w:cs="Tahoma"/>
          <w:color w:val="000000" w:themeColor="text1"/>
          <w:sz w:val="22"/>
          <w:szCs w:val="22"/>
          <w:lang w:val="es-ES_tradnl"/>
        </w:rPr>
        <w:t xml:space="preserve">de hoy, </w:t>
      </w:r>
      <w:r w:rsidR="00390200">
        <w:rPr>
          <w:rFonts w:ascii="Tahoma" w:hAnsi="Tahoma" w:cs="Tahoma"/>
          <w:color w:val="000000" w:themeColor="text1"/>
          <w:sz w:val="22"/>
          <w:szCs w:val="22"/>
          <w:lang w:val="es-ES_tradnl"/>
        </w:rPr>
        <w:t>24</w:t>
      </w:r>
      <w:r w:rsidR="00976E72" w:rsidRPr="00976E72">
        <w:rPr>
          <w:rFonts w:ascii="Tahoma" w:hAnsi="Tahoma" w:cs="Tahoma"/>
          <w:color w:val="000000" w:themeColor="text1"/>
          <w:sz w:val="22"/>
          <w:szCs w:val="22"/>
          <w:lang w:val="es-ES_tradnl"/>
        </w:rPr>
        <w:t xml:space="preserve"> de </w:t>
      </w:r>
      <w:r w:rsidR="00390200">
        <w:rPr>
          <w:rFonts w:ascii="Tahoma" w:hAnsi="Tahoma" w:cs="Tahoma"/>
          <w:color w:val="000000" w:themeColor="text1"/>
          <w:sz w:val="22"/>
          <w:szCs w:val="22"/>
          <w:lang w:val="es-ES_tradnl"/>
        </w:rPr>
        <w:t>marzo</w:t>
      </w:r>
      <w:r w:rsidR="004E4E43" w:rsidRPr="00976E72">
        <w:rPr>
          <w:rFonts w:ascii="Tahoma" w:hAnsi="Tahoma" w:cs="Tahoma"/>
          <w:color w:val="000000" w:themeColor="text1"/>
          <w:sz w:val="22"/>
          <w:szCs w:val="22"/>
          <w:lang w:val="es-ES_tradnl"/>
        </w:rPr>
        <w:t xml:space="preserve"> de 2017</w:t>
      </w:r>
      <w:r w:rsidRPr="007834F9">
        <w:rPr>
          <w:rFonts w:ascii="Tahoma" w:hAnsi="Tahoma" w:cs="Tahoma"/>
          <w:sz w:val="22"/>
          <w:szCs w:val="22"/>
          <w:lang w:val="es-ES_tradnl"/>
        </w:rPr>
        <w:t xml:space="preserve">, la Sala de Decisión Laboral </w:t>
      </w:r>
      <w:r>
        <w:rPr>
          <w:rFonts w:ascii="Tahoma" w:hAnsi="Tahoma" w:cs="Tahoma"/>
          <w:sz w:val="22"/>
          <w:szCs w:val="22"/>
          <w:lang w:val="es-ES_tradnl"/>
        </w:rPr>
        <w:t xml:space="preserve">No. 1 </w:t>
      </w:r>
      <w:r w:rsidRPr="007834F9">
        <w:rPr>
          <w:rFonts w:ascii="Tahoma" w:hAnsi="Tahoma" w:cs="Tahoma"/>
          <w:sz w:val="22"/>
          <w:szCs w:val="22"/>
          <w:lang w:val="es-ES_tradnl"/>
        </w:rPr>
        <w:t>del Tribunal Superior de Pereira se constituye en audiencia pública de juzgamiento en el proceso ordinario laboral instaurado por</w:t>
      </w:r>
      <w:r w:rsidR="00A6694C">
        <w:rPr>
          <w:rFonts w:ascii="Tahoma" w:hAnsi="Tahoma" w:cs="Tahoma"/>
          <w:sz w:val="22"/>
          <w:szCs w:val="22"/>
          <w:lang w:val="es-ES_tradnl"/>
        </w:rPr>
        <w:t xml:space="preserve"> </w:t>
      </w:r>
      <w:r w:rsidR="00390200">
        <w:rPr>
          <w:rFonts w:ascii="Tahoma" w:hAnsi="Tahoma" w:cs="Tahoma"/>
          <w:sz w:val="22"/>
          <w:szCs w:val="22"/>
          <w:lang w:val="es-ES_tradnl"/>
        </w:rPr>
        <w:t xml:space="preserve">Rosa María Agudelo Valencia </w:t>
      </w:r>
      <w:r w:rsidR="009F11DF">
        <w:rPr>
          <w:rFonts w:ascii="Tahoma" w:hAnsi="Tahoma" w:cs="Tahoma"/>
          <w:sz w:val="22"/>
          <w:szCs w:val="22"/>
          <w:lang w:val="es-ES_tradnl"/>
        </w:rPr>
        <w:t>en con</w:t>
      </w:r>
      <w:r w:rsidRPr="0044270D">
        <w:rPr>
          <w:rFonts w:ascii="Tahoma" w:hAnsi="Tahoma" w:cs="Tahoma"/>
          <w:color w:val="000000" w:themeColor="text1"/>
          <w:sz w:val="22"/>
          <w:szCs w:val="22"/>
          <w:lang w:val="es-ES_tradnl"/>
        </w:rPr>
        <w:t>tra de la Administradora Colombiana de Pensiones</w:t>
      </w:r>
      <w:r w:rsidR="0044270D">
        <w:rPr>
          <w:rFonts w:ascii="Tahoma" w:hAnsi="Tahoma" w:cs="Tahoma"/>
          <w:color w:val="000000" w:themeColor="text1"/>
          <w:sz w:val="22"/>
          <w:szCs w:val="22"/>
          <w:lang w:val="es-ES_tradnl"/>
        </w:rPr>
        <w:t xml:space="preserve"> - </w:t>
      </w:r>
      <w:r w:rsidR="00B56BEF" w:rsidRPr="0044270D">
        <w:rPr>
          <w:rFonts w:ascii="Tahoma" w:hAnsi="Tahoma" w:cs="Tahoma"/>
          <w:color w:val="000000" w:themeColor="text1"/>
          <w:sz w:val="22"/>
          <w:szCs w:val="22"/>
          <w:lang w:val="es-ES_tradnl"/>
        </w:rPr>
        <w:t>Colpensiones</w:t>
      </w:r>
      <w:r w:rsidR="00F21123" w:rsidRPr="0044270D">
        <w:rPr>
          <w:rFonts w:ascii="Tahoma" w:hAnsi="Tahoma" w:cs="Tahoma"/>
          <w:color w:val="000000" w:themeColor="text1"/>
          <w:sz w:val="22"/>
          <w:szCs w:val="22"/>
          <w:lang w:val="es-ES_tradnl"/>
        </w:rPr>
        <w:t>.</w:t>
      </w:r>
      <w:r w:rsidR="009F11DF">
        <w:rPr>
          <w:rFonts w:ascii="Tahoma" w:hAnsi="Tahoma" w:cs="Tahoma"/>
          <w:color w:val="000000" w:themeColor="text1"/>
          <w:sz w:val="22"/>
          <w:szCs w:val="22"/>
          <w:lang w:val="es-ES_tradnl"/>
        </w:rPr>
        <w:t xml:space="preserve"> </w:t>
      </w:r>
    </w:p>
    <w:p w:rsidR="009F11DF" w:rsidRDefault="009F11DF" w:rsidP="002169D0">
      <w:pPr>
        <w:spacing w:line="276" w:lineRule="auto"/>
        <w:ind w:firstLine="708"/>
        <w:jc w:val="both"/>
        <w:rPr>
          <w:rFonts w:ascii="Tahoma" w:hAnsi="Tahoma" w:cs="Tahoma"/>
          <w:color w:val="000000" w:themeColor="text1"/>
          <w:sz w:val="22"/>
          <w:szCs w:val="22"/>
          <w:lang w:val="es-ES_tradnl"/>
        </w:rPr>
      </w:pPr>
    </w:p>
    <w:p w:rsidR="008B7665" w:rsidRPr="007834F9" w:rsidRDefault="008B7665" w:rsidP="002169D0">
      <w:pPr>
        <w:spacing w:line="276" w:lineRule="auto"/>
        <w:ind w:firstLine="708"/>
        <w:jc w:val="both"/>
        <w:rPr>
          <w:rFonts w:ascii="Tahoma" w:hAnsi="Tahoma" w:cs="Tahoma"/>
          <w:sz w:val="22"/>
          <w:szCs w:val="22"/>
          <w:lang w:val="es-ES_tradnl"/>
        </w:rPr>
      </w:pPr>
      <w:r w:rsidRPr="007834F9">
        <w:rPr>
          <w:rFonts w:ascii="Tahoma" w:hAnsi="Tahoma" w:cs="Tahoma"/>
          <w:sz w:val="22"/>
          <w:szCs w:val="22"/>
          <w:lang w:val="es-ES_tradnl"/>
        </w:rPr>
        <w:t>Para el efecto, se verifica la asistencia de las partes a la presente diligencia: Por la parte demandante… Por la demandada…</w:t>
      </w:r>
    </w:p>
    <w:p w:rsidR="008B7665" w:rsidRDefault="008B7665" w:rsidP="002169D0">
      <w:pPr>
        <w:ind w:firstLine="1122"/>
        <w:jc w:val="both"/>
        <w:rPr>
          <w:rFonts w:ascii="Tahoma" w:hAnsi="Tahoma" w:cs="Tahoma"/>
          <w:caps/>
          <w:sz w:val="22"/>
          <w:szCs w:val="22"/>
          <w:lang w:val="es-ES_tradnl"/>
        </w:rPr>
      </w:pPr>
    </w:p>
    <w:p w:rsidR="008B7665" w:rsidRPr="00C75CBF" w:rsidRDefault="00581FD6" w:rsidP="002169D0">
      <w:pPr>
        <w:widowControl w:val="0"/>
        <w:autoSpaceDE w:val="0"/>
        <w:autoSpaceDN w:val="0"/>
        <w:adjustRightInd w:val="0"/>
        <w:spacing w:line="276" w:lineRule="auto"/>
        <w:jc w:val="center"/>
        <w:rPr>
          <w:rFonts w:ascii="Tahoma" w:hAnsi="Tahoma" w:cs="Tahoma"/>
          <w:b/>
          <w:caps/>
          <w:sz w:val="22"/>
          <w:szCs w:val="22"/>
        </w:rPr>
      </w:pPr>
      <w:r w:rsidRPr="00C75CBF">
        <w:rPr>
          <w:rFonts w:ascii="Tahoma" w:hAnsi="Tahoma" w:cs="Tahoma"/>
          <w:b/>
          <w:sz w:val="22"/>
          <w:szCs w:val="22"/>
        </w:rPr>
        <w:t>Alegatos de conclusión</w:t>
      </w:r>
    </w:p>
    <w:p w:rsidR="008B7665" w:rsidRPr="007834F9" w:rsidRDefault="008B7665" w:rsidP="002169D0">
      <w:pPr>
        <w:widowControl w:val="0"/>
        <w:autoSpaceDE w:val="0"/>
        <w:autoSpaceDN w:val="0"/>
        <w:adjustRightInd w:val="0"/>
        <w:jc w:val="both"/>
        <w:rPr>
          <w:rFonts w:ascii="Tahoma" w:hAnsi="Tahoma" w:cs="Tahoma"/>
          <w:sz w:val="22"/>
          <w:szCs w:val="22"/>
        </w:rPr>
      </w:pPr>
    </w:p>
    <w:p w:rsidR="008B7665" w:rsidRPr="007834F9" w:rsidRDefault="008B7665" w:rsidP="002169D0">
      <w:pPr>
        <w:spacing w:line="276" w:lineRule="auto"/>
        <w:ind w:firstLine="708"/>
        <w:jc w:val="both"/>
        <w:rPr>
          <w:rFonts w:ascii="Tahoma" w:hAnsi="Tahoma" w:cs="Tahoma"/>
          <w:sz w:val="22"/>
          <w:szCs w:val="22"/>
          <w:lang w:val="es-ES_tradnl"/>
        </w:rPr>
      </w:pPr>
      <w:r w:rsidRPr="007834F9">
        <w:rPr>
          <w:rFonts w:ascii="Tahoma" w:hAnsi="Tahoma" w:cs="Tahoma"/>
          <w:sz w:val="22"/>
          <w:szCs w:val="22"/>
          <w:lang w:val="es-ES_tradnl"/>
        </w:rPr>
        <w:t>De conformidad con el artículo 82 del C.P.T y de la s.s., modificado por el artículo 13 de la Ley 1149 de 2007, se concede el uso de la palabra a las partes para que presenten sus alegatos de conclusión. Por la parte demandante… Por la parte demandada…</w:t>
      </w:r>
    </w:p>
    <w:p w:rsidR="0037044F" w:rsidRPr="007834F9" w:rsidRDefault="0037044F" w:rsidP="002169D0">
      <w:pPr>
        <w:ind w:firstLine="708"/>
        <w:jc w:val="both"/>
        <w:rPr>
          <w:rFonts w:ascii="Tahoma" w:hAnsi="Tahoma" w:cs="Tahoma"/>
          <w:sz w:val="22"/>
          <w:szCs w:val="22"/>
          <w:lang w:val="es-ES_tradnl"/>
        </w:rPr>
      </w:pPr>
    </w:p>
    <w:p w:rsidR="008B7665" w:rsidRPr="007834F9" w:rsidRDefault="008B7665" w:rsidP="002169D0">
      <w:pPr>
        <w:widowControl w:val="0"/>
        <w:autoSpaceDE w:val="0"/>
        <w:autoSpaceDN w:val="0"/>
        <w:adjustRightInd w:val="0"/>
        <w:spacing w:line="276" w:lineRule="auto"/>
        <w:jc w:val="center"/>
        <w:rPr>
          <w:rFonts w:ascii="Tahoma" w:hAnsi="Tahoma" w:cs="Tahoma"/>
          <w:b/>
          <w:sz w:val="22"/>
          <w:szCs w:val="22"/>
        </w:rPr>
      </w:pPr>
      <w:r w:rsidRPr="007834F9">
        <w:rPr>
          <w:rFonts w:ascii="Tahoma" w:hAnsi="Tahoma" w:cs="Tahoma"/>
          <w:b/>
          <w:sz w:val="22"/>
          <w:szCs w:val="22"/>
        </w:rPr>
        <w:t>SENTENCIA</w:t>
      </w:r>
    </w:p>
    <w:p w:rsidR="008B7665" w:rsidRPr="007834F9" w:rsidRDefault="008B7665" w:rsidP="002169D0">
      <w:pPr>
        <w:widowControl w:val="0"/>
        <w:autoSpaceDE w:val="0"/>
        <w:autoSpaceDN w:val="0"/>
        <w:adjustRightInd w:val="0"/>
        <w:jc w:val="center"/>
        <w:rPr>
          <w:rFonts w:ascii="Tahoma" w:hAnsi="Tahoma" w:cs="Tahoma"/>
          <w:b/>
          <w:sz w:val="22"/>
          <w:szCs w:val="22"/>
        </w:rPr>
      </w:pPr>
    </w:p>
    <w:p w:rsidR="00B56BEF" w:rsidRPr="00925408" w:rsidRDefault="008B7665" w:rsidP="002169D0">
      <w:pPr>
        <w:widowControl w:val="0"/>
        <w:autoSpaceDE w:val="0"/>
        <w:autoSpaceDN w:val="0"/>
        <w:adjustRightInd w:val="0"/>
        <w:spacing w:line="276" w:lineRule="auto"/>
        <w:ind w:firstLine="708"/>
        <w:jc w:val="both"/>
        <w:rPr>
          <w:rFonts w:ascii="Tahoma" w:hAnsi="Tahoma" w:cs="Tahoma"/>
          <w:sz w:val="22"/>
          <w:szCs w:val="22"/>
        </w:rPr>
      </w:pPr>
      <w:r w:rsidRPr="006E6687">
        <w:rPr>
          <w:rFonts w:ascii="Tahoma" w:hAnsi="Tahoma" w:cs="Tahoma"/>
          <w:color w:val="000000" w:themeColor="text1"/>
          <w:sz w:val="22"/>
          <w:szCs w:val="22"/>
        </w:rPr>
        <w:t>Como quiera que los argumentos expuestos en las alegaciones fueron tenidos en cuenta en la discusión del proyecto, procede la Sala a resolver el grado jurisdiccional de consulta</w:t>
      </w:r>
      <w:r w:rsidR="00B56BEF" w:rsidRPr="006E6687">
        <w:rPr>
          <w:rFonts w:ascii="Tahoma" w:hAnsi="Tahoma" w:cs="Tahoma"/>
          <w:color w:val="000000" w:themeColor="text1"/>
          <w:sz w:val="22"/>
          <w:szCs w:val="22"/>
        </w:rPr>
        <w:t xml:space="preserve"> de la </w:t>
      </w:r>
      <w:r w:rsidRPr="006E6687">
        <w:rPr>
          <w:rFonts w:ascii="Tahoma" w:hAnsi="Tahoma" w:cs="Tahoma"/>
          <w:color w:val="000000" w:themeColor="text1"/>
          <w:sz w:val="22"/>
          <w:szCs w:val="22"/>
        </w:rPr>
        <w:t xml:space="preserve">sentencia emitida por el Juzgado </w:t>
      </w:r>
      <w:r w:rsidR="00EA4B42">
        <w:rPr>
          <w:rFonts w:ascii="Tahoma" w:hAnsi="Tahoma" w:cs="Tahoma"/>
          <w:color w:val="000000" w:themeColor="text1"/>
          <w:sz w:val="22"/>
          <w:szCs w:val="22"/>
        </w:rPr>
        <w:t xml:space="preserve">Cuarto </w:t>
      </w:r>
      <w:r w:rsidRPr="006E6687">
        <w:rPr>
          <w:rFonts w:ascii="Tahoma" w:hAnsi="Tahoma" w:cs="Tahoma"/>
          <w:color w:val="000000" w:themeColor="text1"/>
          <w:sz w:val="22"/>
          <w:szCs w:val="22"/>
        </w:rPr>
        <w:t xml:space="preserve">Laboral del Circuito de Pereira el </w:t>
      </w:r>
      <w:r w:rsidR="00FF0487">
        <w:rPr>
          <w:rFonts w:ascii="Tahoma" w:hAnsi="Tahoma" w:cs="Tahoma"/>
          <w:color w:val="000000" w:themeColor="text1"/>
          <w:sz w:val="22"/>
          <w:szCs w:val="22"/>
        </w:rPr>
        <w:t>2</w:t>
      </w:r>
      <w:r w:rsidR="006E6687" w:rsidRPr="006E6687">
        <w:rPr>
          <w:rFonts w:ascii="Tahoma" w:hAnsi="Tahoma" w:cs="Tahoma"/>
          <w:color w:val="000000" w:themeColor="text1"/>
          <w:sz w:val="22"/>
          <w:szCs w:val="22"/>
        </w:rPr>
        <w:t xml:space="preserve"> de </w:t>
      </w:r>
      <w:r w:rsidR="00FF0487">
        <w:rPr>
          <w:rFonts w:ascii="Tahoma" w:hAnsi="Tahoma" w:cs="Tahoma"/>
          <w:color w:val="000000" w:themeColor="text1"/>
          <w:sz w:val="22"/>
          <w:szCs w:val="22"/>
        </w:rPr>
        <w:t xml:space="preserve">marzo </w:t>
      </w:r>
      <w:r w:rsidR="004E4E43" w:rsidRPr="006E6687">
        <w:rPr>
          <w:rFonts w:ascii="Tahoma" w:hAnsi="Tahoma" w:cs="Tahoma"/>
          <w:color w:val="000000" w:themeColor="text1"/>
          <w:sz w:val="22"/>
          <w:szCs w:val="22"/>
        </w:rPr>
        <w:t>de 20</w:t>
      </w:r>
      <w:r w:rsidR="00FF0487">
        <w:rPr>
          <w:rFonts w:ascii="Tahoma" w:hAnsi="Tahoma" w:cs="Tahoma"/>
          <w:color w:val="000000" w:themeColor="text1"/>
          <w:sz w:val="22"/>
          <w:szCs w:val="22"/>
        </w:rPr>
        <w:t>16</w:t>
      </w:r>
      <w:r w:rsidRPr="006E6687">
        <w:rPr>
          <w:rFonts w:ascii="Tahoma" w:hAnsi="Tahoma" w:cs="Tahoma"/>
          <w:color w:val="000000" w:themeColor="text1"/>
          <w:sz w:val="22"/>
          <w:szCs w:val="22"/>
        </w:rPr>
        <w:t>, que resultara desfavorable a</w:t>
      </w:r>
      <w:r w:rsidR="009B5BDF">
        <w:rPr>
          <w:rFonts w:ascii="Tahoma" w:hAnsi="Tahoma" w:cs="Tahoma"/>
          <w:color w:val="000000" w:themeColor="text1"/>
          <w:sz w:val="22"/>
          <w:szCs w:val="22"/>
        </w:rPr>
        <w:t xml:space="preserve"> </w:t>
      </w:r>
      <w:r w:rsidR="006E6687" w:rsidRPr="006E6687">
        <w:rPr>
          <w:rFonts w:ascii="Tahoma" w:hAnsi="Tahoma" w:cs="Tahoma"/>
          <w:color w:val="000000" w:themeColor="text1"/>
          <w:sz w:val="22"/>
          <w:szCs w:val="22"/>
        </w:rPr>
        <w:t>l</w:t>
      </w:r>
      <w:r w:rsidR="009B5BDF">
        <w:rPr>
          <w:rFonts w:ascii="Tahoma" w:hAnsi="Tahoma" w:cs="Tahoma"/>
          <w:color w:val="000000" w:themeColor="text1"/>
          <w:sz w:val="22"/>
          <w:szCs w:val="22"/>
        </w:rPr>
        <w:t>a</w:t>
      </w:r>
      <w:r w:rsidR="006E6687" w:rsidRPr="006E6687">
        <w:rPr>
          <w:rFonts w:ascii="Tahoma" w:hAnsi="Tahoma" w:cs="Tahoma"/>
          <w:color w:val="000000" w:themeColor="text1"/>
          <w:sz w:val="22"/>
          <w:szCs w:val="22"/>
        </w:rPr>
        <w:t xml:space="preserve"> demandante</w:t>
      </w:r>
      <w:r w:rsidRPr="007834F9">
        <w:rPr>
          <w:rFonts w:ascii="Tahoma" w:hAnsi="Tahoma" w:cs="Tahoma"/>
          <w:sz w:val="22"/>
          <w:szCs w:val="22"/>
        </w:rPr>
        <w:t xml:space="preserve">, dentro del proceso ordinario laboral </w:t>
      </w:r>
      <w:r w:rsidRPr="00925408">
        <w:rPr>
          <w:rFonts w:ascii="Tahoma" w:hAnsi="Tahoma" w:cs="Tahoma"/>
          <w:sz w:val="22"/>
          <w:szCs w:val="22"/>
        </w:rPr>
        <w:t xml:space="preserve">reseñado con anterioridad. </w:t>
      </w:r>
    </w:p>
    <w:p w:rsidR="00CA38C1" w:rsidRPr="00925408" w:rsidRDefault="00CA38C1" w:rsidP="002169D0">
      <w:pPr>
        <w:widowControl w:val="0"/>
        <w:autoSpaceDE w:val="0"/>
        <w:autoSpaceDN w:val="0"/>
        <w:adjustRightInd w:val="0"/>
        <w:spacing w:line="276" w:lineRule="auto"/>
        <w:jc w:val="center"/>
        <w:rPr>
          <w:rFonts w:ascii="Tahoma" w:hAnsi="Tahoma" w:cs="Tahoma"/>
          <w:b/>
          <w:bCs/>
          <w:sz w:val="22"/>
          <w:szCs w:val="22"/>
        </w:rPr>
      </w:pPr>
    </w:p>
    <w:p w:rsidR="008B7665" w:rsidRPr="00925408" w:rsidRDefault="00581FD6" w:rsidP="002169D0">
      <w:pPr>
        <w:widowControl w:val="0"/>
        <w:autoSpaceDE w:val="0"/>
        <w:autoSpaceDN w:val="0"/>
        <w:adjustRightInd w:val="0"/>
        <w:spacing w:line="276" w:lineRule="auto"/>
        <w:jc w:val="center"/>
        <w:rPr>
          <w:rFonts w:ascii="Tahoma" w:hAnsi="Tahoma" w:cs="Tahoma"/>
          <w:b/>
          <w:bCs/>
          <w:caps/>
          <w:sz w:val="22"/>
          <w:szCs w:val="22"/>
        </w:rPr>
      </w:pPr>
      <w:r w:rsidRPr="00925408">
        <w:rPr>
          <w:rFonts w:ascii="Tahoma" w:hAnsi="Tahoma" w:cs="Tahoma"/>
          <w:b/>
          <w:bCs/>
          <w:sz w:val="22"/>
          <w:szCs w:val="22"/>
        </w:rPr>
        <w:t>Problema jurídico por resolver</w:t>
      </w:r>
    </w:p>
    <w:p w:rsidR="008B7665" w:rsidRPr="00925408" w:rsidRDefault="008B7665" w:rsidP="002169D0">
      <w:pPr>
        <w:widowControl w:val="0"/>
        <w:tabs>
          <w:tab w:val="left" w:pos="748"/>
        </w:tabs>
        <w:autoSpaceDE w:val="0"/>
        <w:autoSpaceDN w:val="0"/>
        <w:adjustRightInd w:val="0"/>
        <w:ind w:left="748"/>
        <w:jc w:val="center"/>
        <w:rPr>
          <w:rFonts w:ascii="Tahoma" w:hAnsi="Tahoma" w:cs="Tahoma"/>
          <w:b/>
          <w:bCs/>
          <w:sz w:val="22"/>
          <w:szCs w:val="22"/>
        </w:rPr>
      </w:pPr>
    </w:p>
    <w:p w:rsidR="00075FAF" w:rsidRPr="00925408" w:rsidRDefault="008B7665" w:rsidP="002169D0">
      <w:pPr>
        <w:tabs>
          <w:tab w:val="left" w:pos="567"/>
        </w:tabs>
        <w:spacing w:line="276" w:lineRule="auto"/>
        <w:jc w:val="both"/>
        <w:rPr>
          <w:rFonts w:ascii="Tahoma" w:hAnsi="Tahoma" w:cs="Tahoma"/>
          <w:sz w:val="22"/>
          <w:szCs w:val="22"/>
        </w:rPr>
      </w:pPr>
      <w:r w:rsidRPr="00925408">
        <w:rPr>
          <w:rFonts w:ascii="Tahoma" w:hAnsi="Tahoma" w:cs="Tahoma"/>
          <w:sz w:val="22"/>
          <w:szCs w:val="22"/>
        </w:rPr>
        <w:lastRenderedPageBreak/>
        <w:tab/>
      </w:r>
      <w:r w:rsidRPr="00925408">
        <w:rPr>
          <w:rFonts w:ascii="Tahoma" w:hAnsi="Tahoma" w:cs="Tahoma"/>
          <w:sz w:val="22"/>
          <w:szCs w:val="22"/>
        </w:rPr>
        <w:tab/>
      </w:r>
      <w:r w:rsidR="00925408" w:rsidRPr="00925408">
        <w:rPr>
          <w:rFonts w:ascii="Tahoma" w:hAnsi="Tahoma" w:cs="Tahoma"/>
          <w:sz w:val="22"/>
          <w:szCs w:val="22"/>
        </w:rPr>
        <w:t>De acuerdo a las razones expuestas en la sentencia de primera instancia y en el recurso de apelación, le corresponde a la Sala determinar si es procedente el reconocimiento de la pensión de sobrevivientes a la demandante a pesar de que a su fallecido esposo le había sido reconocida la indemnización sustitutiva de la pensión de vejez.</w:t>
      </w:r>
    </w:p>
    <w:p w:rsidR="00925408" w:rsidRPr="00925408" w:rsidRDefault="00925408" w:rsidP="002169D0">
      <w:pPr>
        <w:tabs>
          <w:tab w:val="left" w:pos="567"/>
        </w:tabs>
        <w:spacing w:line="276" w:lineRule="auto"/>
        <w:jc w:val="both"/>
        <w:rPr>
          <w:rFonts w:ascii="Tahoma" w:hAnsi="Tahoma" w:cs="Tahoma"/>
          <w:sz w:val="22"/>
          <w:szCs w:val="22"/>
        </w:rPr>
      </w:pPr>
    </w:p>
    <w:p w:rsidR="008B7665" w:rsidRPr="00925408" w:rsidRDefault="00581FD6" w:rsidP="002169D0">
      <w:pPr>
        <w:widowControl w:val="0"/>
        <w:numPr>
          <w:ilvl w:val="0"/>
          <w:numId w:val="1"/>
        </w:numPr>
        <w:tabs>
          <w:tab w:val="clear" w:pos="1080"/>
          <w:tab w:val="num" w:pos="374"/>
          <w:tab w:val="left" w:pos="561"/>
          <w:tab w:val="left" w:pos="935"/>
        </w:tabs>
        <w:autoSpaceDE w:val="0"/>
        <w:autoSpaceDN w:val="0"/>
        <w:adjustRightInd w:val="0"/>
        <w:spacing w:line="276" w:lineRule="auto"/>
        <w:ind w:left="0" w:firstLine="0"/>
        <w:jc w:val="center"/>
        <w:rPr>
          <w:rFonts w:ascii="Tahoma" w:hAnsi="Tahoma" w:cs="Tahoma"/>
          <w:b/>
          <w:caps/>
          <w:sz w:val="22"/>
          <w:szCs w:val="22"/>
        </w:rPr>
      </w:pPr>
      <w:r w:rsidRPr="00925408">
        <w:rPr>
          <w:rFonts w:ascii="Tahoma" w:hAnsi="Tahoma" w:cs="Tahoma"/>
          <w:b/>
          <w:sz w:val="22"/>
          <w:szCs w:val="22"/>
        </w:rPr>
        <w:t>La demanda y su contestación</w:t>
      </w:r>
    </w:p>
    <w:p w:rsidR="008B7665" w:rsidRPr="00925408" w:rsidRDefault="008B7665" w:rsidP="002169D0">
      <w:pPr>
        <w:widowControl w:val="0"/>
        <w:tabs>
          <w:tab w:val="left" w:pos="561"/>
          <w:tab w:val="left" w:pos="935"/>
        </w:tabs>
        <w:autoSpaceDE w:val="0"/>
        <w:autoSpaceDN w:val="0"/>
        <w:adjustRightInd w:val="0"/>
        <w:spacing w:line="276" w:lineRule="auto"/>
        <w:jc w:val="center"/>
        <w:rPr>
          <w:rFonts w:ascii="Tahoma" w:hAnsi="Tahoma" w:cs="Tahoma"/>
          <w:b/>
          <w:caps/>
          <w:sz w:val="22"/>
          <w:szCs w:val="22"/>
        </w:rPr>
      </w:pPr>
    </w:p>
    <w:p w:rsidR="00C60E1D" w:rsidRPr="00260476" w:rsidRDefault="00076310" w:rsidP="002169D0">
      <w:pPr>
        <w:spacing w:line="276" w:lineRule="auto"/>
        <w:ind w:firstLine="708"/>
        <w:jc w:val="both"/>
        <w:rPr>
          <w:rFonts w:ascii="Tahoma" w:hAnsi="Tahoma" w:cs="Tahoma"/>
          <w:sz w:val="22"/>
          <w:szCs w:val="22"/>
          <w:lang w:val="es-CO"/>
        </w:rPr>
      </w:pPr>
      <w:r w:rsidRPr="00925408">
        <w:rPr>
          <w:rFonts w:ascii="Tahoma" w:hAnsi="Tahoma" w:cs="Tahoma"/>
          <w:sz w:val="22"/>
          <w:szCs w:val="22"/>
        </w:rPr>
        <w:t xml:space="preserve">La citada </w:t>
      </w:r>
      <w:r w:rsidR="00306E24" w:rsidRPr="00925408">
        <w:rPr>
          <w:rFonts w:ascii="Tahoma" w:hAnsi="Tahoma" w:cs="Tahoma"/>
          <w:sz w:val="22"/>
          <w:szCs w:val="22"/>
        </w:rPr>
        <w:t xml:space="preserve">demandante </w:t>
      </w:r>
      <w:r w:rsidR="00EE4F7D" w:rsidRPr="00925408">
        <w:rPr>
          <w:rFonts w:ascii="Tahoma" w:hAnsi="Tahoma" w:cs="Tahoma"/>
          <w:sz w:val="22"/>
          <w:szCs w:val="22"/>
        </w:rPr>
        <w:t>sol</w:t>
      </w:r>
      <w:r w:rsidR="00347056">
        <w:rPr>
          <w:rFonts w:ascii="Tahoma" w:hAnsi="Tahoma" w:cs="Tahoma"/>
          <w:sz w:val="22"/>
          <w:szCs w:val="22"/>
        </w:rPr>
        <w:t>i</w:t>
      </w:r>
      <w:r w:rsidR="00EE4F7D" w:rsidRPr="00925408">
        <w:rPr>
          <w:rFonts w:ascii="Tahoma" w:hAnsi="Tahoma" w:cs="Tahoma"/>
          <w:sz w:val="22"/>
          <w:szCs w:val="22"/>
        </w:rPr>
        <w:t>cita</w:t>
      </w:r>
      <w:r w:rsidR="00306E24" w:rsidRPr="00925408">
        <w:rPr>
          <w:rFonts w:ascii="Tahoma" w:hAnsi="Tahoma" w:cs="Tahoma"/>
          <w:sz w:val="22"/>
          <w:szCs w:val="22"/>
        </w:rPr>
        <w:t xml:space="preserve"> que se</w:t>
      </w:r>
      <w:r w:rsidR="000B5142" w:rsidRPr="00925408">
        <w:rPr>
          <w:rFonts w:ascii="Tahoma" w:hAnsi="Tahoma" w:cs="Tahoma"/>
          <w:sz w:val="22"/>
          <w:szCs w:val="22"/>
        </w:rPr>
        <w:t xml:space="preserve"> </w:t>
      </w:r>
      <w:r w:rsidR="0098272B" w:rsidRPr="00925408">
        <w:rPr>
          <w:rFonts w:ascii="Tahoma" w:hAnsi="Tahoma" w:cs="Tahoma"/>
          <w:sz w:val="22"/>
          <w:szCs w:val="22"/>
        </w:rPr>
        <w:t xml:space="preserve">declare </w:t>
      </w:r>
      <w:r w:rsidR="00491C0D">
        <w:rPr>
          <w:rFonts w:ascii="Tahoma" w:hAnsi="Tahoma" w:cs="Tahoma"/>
          <w:sz w:val="22"/>
          <w:szCs w:val="22"/>
        </w:rPr>
        <w:t xml:space="preserve">que es </w:t>
      </w:r>
      <w:r w:rsidRPr="00925408">
        <w:rPr>
          <w:rFonts w:ascii="Tahoma" w:hAnsi="Tahoma" w:cs="Tahoma"/>
          <w:sz w:val="22"/>
          <w:szCs w:val="22"/>
        </w:rPr>
        <w:t xml:space="preserve">beneficiaria de la </w:t>
      </w:r>
      <w:r w:rsidR="003A64A7" w:rsidRPr="00925408">
        <w:rPr>
          <w:rFonts w:ascii="Tahoma" w:hAnsi="Tahoma" w:cs="Tahoma"/>
          <w:sz w:val="22"/>
          <w:szCs w:val="22"/>
        </w:rPr>
        <w:t>pensión</w:t>
      </w:r>
      <w:r w:rsidRPr="00260476">
        <w:rPr>
          <w:rFonts w:ascii="Tahoma" w:hAnsi="Tahoma" w:cs="Tahoma"/>
          <w:sz w:val="22"/>
          <w:szCs w:val="22"/>
        </w:rPr>
        <w:t xml:space="preserve"> de </w:t>
      </w:r>
      <w:r w:rsidR="003A64A7" w:rsidRPr="00260476">
        <w:rPr>
          <w:rFonts w:ascii="Tahoma" w:hAnsi="Tahoma" w:cs="Tahoma"/>
          <w:sz w:val="22"/>
          <w:szCs w:val="22"/>
        </w:rPr>
        <w:t>sobrevivientes</w:t>
      </w:r>
      <w:r w:rsidR="00491C0D">
        <w:rPr>
          <w:rFonts w:ascii="Tahoma" w:hAnsi="Tahoma" w:cs="Tahoma"/>
          <w:sz w:val="22"/>
          <w:szCs w:val="22"/>
        </w:rPr>
        <w:t xml:space="preserve"> causada por el fallecimiento </w:t>
      </w:r>
      <w:r w:rsidRPr="00260476">
        <w:rPr>
          <w:rFonts w:ascii="Tahoma" w:hAnsi="Tahoma" w:cs="Tahoma"/>
          <w:sz w:val="22"/>
          <w:szCs w:val="22"/>
        </w:rPr>
        <w:t xml:space="preserve">del señor </w:t>
      </w:r>
      <w:r w:rsidR="00FF0487">
        <w:rPr>
          <w:rFonts w:ascii="Tahoma" w:hAnsi="Tahoma" w:cs="Tahoma"/>
          <w:sz w:val="22"/>
          <w:szCs w:val="22"/>
        </w:rPr>
        <w:t xml:space="preserve">José Leonel Cifuentes Agudelo, con base </w:t>
      </w:r>
      <w:r w:rsidR="00347056">
        <w:rPr>
          <w:rFonts w:ascii="Tahoma" w:hAnsi="Tahoma" w:cs="Tahoma"/>
          <w:sz w:val="22"/>
          <w:szCs w:val="22"/>
        </w:rPr>
        <w:t xml:space="preserve">en el Acuerdo 049 de 1990 y </w:t>
      </w:r>
      <w:r w:rsidR="00FF0487">
        <w:rPr>
          <w:rFonts w:ascii="Tahoma" w:hAnsi="Tahoma" w:cs="Tahoma"/>
          <w:sz w:val="22"/>
          <w:szCs w:val="22"/>
        </w:rPr>
        <w:t>en</w:t>
      </w:r>
      <w:r w:rsidR="00A06DF7">
        <w:rPr>
          <w:rFonts w:ascii="Tahoma" w:hAnsi="Tahoma" w:cs="Tahoma"/>
          <w:sz w:val="22"/>
          <w:szCs w:val="22"/>
        </w:rPr>
        <w:t xml:space="preserve"> virtud </w:t>
      </w:r>
      <w:r w:rsidR="00FF0487">
        <w:rPr>
          <w:rFonts w:ascii="Tahoma" w:hAnsi="Tahoma" w:cs="Tahoma"/>
          <w:sz w:val="22"/>
          <w:szCs w:val="22"/>
        </w:rPr>
        <w:t>del principio de la condición más beneficiosa</w:t>
      </w:r>
      <w:r w:rsidR="00347056">
        <w:rPr>
          <w:rFonts w:ascii="Tahoma" w:hAnsi="Tahoma" w:cs="Tahoma"/>
          <w:sz w:val="22"/>
          <w:szCs w:val="22"/>
        </w:rPr>
        <w:t>;</w:t>
      </w:r>
      <w:r w:rsidR="00C60E1D" w:rsidRPr="00260476">
        <w:rPr>
          <w:rFonts w:ascii="Tahoma" w:hAnsi="Tahoma" w:cs="Tahoma"/>
          <w:sz w:val="22"/>
          <w:szCs w:val="22"/>
          <w:lang w:val="es-CO"/>
        </w:rPr>
        <w:t xml:space="preserve"> en consecuencia, procura que se ordene </w:t>
      </w:r>
      <w:r w:rsidR="003460B7" w:rsidRPr="00260476">
        <w:rPr>
          <w:rFonts w:ascii="Tahoma" w:hAnsi="Tahoma" w:cs="Tahoma"/>
          <w:sz w:val="22"/>
          <w:szCs w:val="22"/>
          <w:lang w:val="es-CO"/>
        </w:rPr>
        <w:t xml:space="preserve">a Colpensiones </w:t>
      </w:r>
      <w:r w:rsidR="00C60E1D" w:rsidRPr="00260476">
        <w:rPr>
          <w:rFonts w:ascii="Tahoma" w:hAnsi="Tahoma" w:cs="Tahoma"/>
          <w:sz w:val="22"/>
          <w:szCs w:val="22"/>
          <w:lang w:val="es-CO"/>
        </w:rPr>
        <w:t xml:space="preserve">reconocer y pagar dicha prestación a partir del </w:t>
      </w:r>
      <w:r w:rsidR="00FF0487">
        <w:rPr>
          <w:rFonts w:ascii="Tahoma" w:hAnsi="Tahoma" w:cs="Tahoma"/>
          <w:sz w:val="22"/>
          <w:szCs w:val="22"/>
          <w:lang w:val="es-CO"/>
        </w:rPr>
        <w:t xml:space="preserve">3 de </w:t>
      </w:r>
      <w:r w:rsidR="00347056">
        <w:rPr>
          <w:rFonts w:ascii="Tahoma" w:hAnsi="Tahoma" w:cs="Tahoma"/>
          <w:sz w:val="22"/>
          <w:szCs w:val="22"/>
          <w:lang w:val="es-CO"/>
        </w:rPr>
        <w:t>julio</w:t>
      </w:r>
      <w:r w:rsidR="00347056" w:rsidRPr="00260476">
        <w:rPr>
          <w:rFonts w:ascii="Tahoma" w:hAnsi="Tahoma" w:cs="Tahoma"/>
          <w:sz w:val="22"/>
          <w:szCs w:val="22"/>
          <w:lang w:val="es-CO"/>
        </w:rPr>
        <w:t xml:space="preserve"> </w:t>
      </w:r>
      <w:r w:rsidR="00FF0487">
        <w:rPr>
          <w:rFonts w:ascii="Tahoma" w:hAnsi="Tahoma" w:cs="Tahoma"/>
          <w:sz w:val="22"/>
          <w:szCs w:val="22"/>
          <w:lang w:val="es-CO"/>
        </w:rPr>
        <w:t>de 2007</w:t>
      </w:r>
      <w:r w:rsidR="00C60E1D" w:rsidRPr="00260476">
        <w:rPr>
          <w:rFonts w:ascii="Tahoma" w:hAnsi="Tahoma" w:cs="Tahoma"/>
          <w:sz w:val="22"/>
          <w:szCs w:val="22"/>
          <w:lang w:val="es-CO"/>
        </w:rPr>
        <w:t>, más los intereses moratorios</w:t>
      </w:r>
      <w:r w:rsidR="00C47EA8">
        <w:rPr>
          <w:rFonts w:ascii="Tahoma" w:hAnsi="Tahoma" w:cs="Tahoma"/>
          <w:sz w:val="22"/>
          <w:szCs w:val="22"/>
          <w:lang w:val="es-CO"/>
        </w:rPr>
        <w:t>,</w:t>
      </w:r>
      <w:r w:rsidR="00C60E1D" w:rsidRPr="00260476">
        <w:rPr>
          <w:rFonts w:ascii="Tahoma" w:hAnsi="Tahoma" w:cs="Tahoma"/>
          <w:sz w:val="22"/>
          <w:szCs w:val="22"/>
          <w:lang w:val="es-CO"/>
        </w:rPr>
        <w:t xml:space="preserve"> </w:t>
      </w:r>
      <w:r w:rsidR="00872C86" w:rsidRPr="00260476">
        <w:rPr>
          <w:rFonts w:ascii="Tahoma" w:hAnsi="Tahoma" w:cs="Tahoma"/>
          <w:sz w:val="22"/>
          <w:szCs w:val="22"/>
          <w:lang w:val="es-CO"/>
        </w:rPr>
        <w:t>o la indexación</w:t>
      </w:r>
      <w:r w:rsidR="00C47EA8">
        <w:rPr>
          <w:rFonts w:ascii="Tahoma" w:hAnsi="Tahoma" w:cs="Tahoma"/>
          <w:sz w:val="22"/>
          <w:szCs w:val="22"/>
          <w:lang w:val="es-CO"/>
        </w:rPr>
        <w:t>,</w:t>
      </w:r>
      <w:r w:rsidR="00872C86" w:rsidRPr="00260476">
        <w:rPr>
          <w:rFonts w:ascii="Tahoma" w:hAnsi="Tahoma" w:cs="Tahoma"/>
          <w:sz w:val="22"/>
          <w:szCs w:val="22"/>
          <w:lang w:val="es-CO"/>
        </w:rPr>
        <w:t xml:space="preserve"> </w:t>
      </w:r>
      <w:r w:rsidR="00C60E1D" w:rsidRPr="00260476">
        <w:rPr>
          <w:rFonts w:ascii="Tahoma" w:hAnsi="Tahoma" w:cs="Tahoma"/>
          <w:sz w:val="22"/>
          <w:szCs w:val="22"/>
          <w:lang w:val="es-CO"/>
        </w:rPr>
        <w:t>y las costas procesales.</w:t>
      </w:r>
    </w:p>
    <w:p w:rsidR="00017838" w:rsidRPr="00A06DF7" w:rsidRDefault="00017838" w:rsidP="002169D0">
      <w:pPr>
        <w:widowControl w:val="0"/>
        <w:autoSpaceDE w:val="0"/>
        <w:autoSpaceDN w:val="0"/>
        <w:adjustRightInd w:val="0"/>
        <w:jc w:val="both"/>
        <w:rPr>
          <w:rFonts w:ascii="Tahoma" w:hAnsi="Tahoma" w:cs="Tahoma"/>
          <w:sz w:val="22"/>
          <w:szCs w:val="22"/>
          <w:lang w:val="es-CO"/>
        </w:rPr>
      </w:pPr>
    </w:p>
    <w:p w:rsidR="00941E66" w:rsidRDefault="009919EC" w:rsidP="002169D0">
      <w:pPr>
        <w:spacing w:line="276" w:lineRule="auto"/>
        <w:ind w:firstLine="708"/>
        <w:jc w:val="both"/>
        <w:rPr>
          <w:rFonts w:ascii="Tahoma" w:hAnsi="Tahoma" w:cs="Tahoma"/>
          <w:sz w:val="22"/>
          <w:szCs w:val="22"/>
          <w:lang w:val="es-CO"/>
        </w:rPr>
      </w:pPr>
      <w:r w:rsidRPr="00260476">
        <w:rPr>
          <w:rFonts w:ascii="Tahoma" w:hAnsi="Tahoma" w:cs="Tahoma"/>
          <w:sz w:val="22"/>
          <w:szCs w:val="22"/>
          <w:lang w:val="es-CO"/>
        </w:rPr>
        <w:t>Para funda</w:t>
      </w:r>
      <w:r w:rsidR="00320964">
        <w:rPr>
          <w:rFonts w:ascii="Tahoma" w:hAnsi="Tahoma" w:cs="Tahoma"/>
          <w:sz w:val="22"/>
          <w:szCs w:val="22"/>
          <w:lang w:val="es-CO"/>
        </w:rPr>
        <w:t>r dichas pretensiones manifiesta</w:t>
      </w:r>
      <w:r w:rsidRPr="00260476">
        <w:rPr>
          <w:rFonts w:ascii="Tahoma" w:hAnsi="Tahoma" w:cs="Tahoma"/>
          <w:sz w:val="22"/>
          <w:szCs w:val="22"/>
          <w:lang w:val="es-CO"/>
        </w:rPr>
        <w:t xml:space="preserve"> que</w:t>
      </w:r>
      <w:r w:rsidR="00941E66" w:rsidRPr="00941E66">
        <w:rPr>
          <w:rFonts w:ascii="Tahoma" w:hAnsi="Tahoma" w:cs="Tahoma"/>
          <w:sz w:val="22"/>
          <w:szCs w:val="22"/>
          <w:lang w:val="es-CO"/>
        </w:rPr>
        <w:t xml:space="preserve"> </w:t>
      </w:r>
      <w:r w:rsidR="00941E66">
        <w:rPr>
          <w:rFonts w:ascii="Tahoma" w:hAnsi="Tahoma" w:cs="Tahoma"/>
          <w:sz w:val="22"/>
          <w:szCs w:val="22"/>
          <w:lang w:val="es-CO"/>
        </w:rPr>
        <w:t xml:space="preserve">convivió ininterrumpidamente </w:t>
      </w:r>
      <w:r w:rsidR="00941E66" w:rsidRPr="00260476">
        <w:rPr>
          <w:rFonts w:ascii="Tahoma" w:hAnsi="Tahoma" w:cs="Tahoma"/>
          <w:sz w:val="22"/>
          <w:szCs w:val="22"/>
          <w:lang w:val="es-CO"/>
        </w:rPr>
        <w:t>con</w:t>
      </w:r>
      <w:r w:rsidR="00941E66" w:rsidRPr="00D7725C">
        <w:rPr>
          <w:rFonts w:ascii="Tahoma" w:hAnsi="Tahoma" w:cs="Tahoma"/>
          <w:sz w:val="22"/>
          <w:szCs w:val="22"/>
          <w:lang w:val="es-CO"/>
        </w:rPr>
        <w:t xml:space="preserve"> </w:t>
      </w:r>
      <w:r w:rsidR="00941E66" w:rsidRPr="00260476">
        <w:rPr>
          <w:rFonts w:ascii="Tahoma" w:hAnsi="Tahoma" w:cs="Tahoma"/>
          <w:sz w:val="22"/>
          <w:szCs w:val="22"/>
          <w:lang w:val="es-CO"/>
        </w:rPr>
        <w:t xml:space="preserve">el señor </w:t>
      </w:r>
      <w:r w:rsidR="00941E66">
        <w:rPr>
          <w:rFonts w:ascii="Tahoma" w:hAnsi="Tahoma" w:cs="Tahoma"/>
          <w:sz w:val="22"/>
          <w:szCs w:val="22"/>
          <w:lang w:val="es-CO"/>
        </w:rPr>
        <w:t>José Leonel Cifuentes Agudelo, desde el 24 de septiembre de 1964 hasta el 3 de julio de 2007, fecha en la que aquel falleció</w:t>
      </w:r>
      <w:r w:rsidR="00E82A1C">
        <w:rPr>
          <w:rFonts w:ascii="Tahoma" w:hAnsi="Tahoma" w:cs="Tahoma"/>
          <w:sz w:val="22"/>
          <w:szCs w:val="22"/>
          <w:lang w:val="es-CO"/>
        </w:rPr>
        <w:t>;</w:t>
      </w:r>
      <w:r w:rsidR="00941E66">
        <w:rPr>
          <w:rFonts w:ascii="Tahoma" w:hAnsi="Tahoma" w:cs="Tahoma"/>
          <w:sz w:val="22"/>
          <w:szCs w:val="22"/>
          <w:lang w:val="es-CO"/>
        </w:rPr>
        <w:t xml:space="preserve"> que dependía económicamente de él y que en dicha convivencia procrearon 4 hijos, de los cuales s</w:t>
      </w:r>
      <w:r w:rsidR="00E82A1C">
        <w:rPr>
          <w:rFonts w:ascii="Tahoma" w:hAnsi="Tahoma" w:cs="Tahoma"/>
          <w:sz w:val="22"/>
          <w:szCs w:val="22"/>
          <w:lang w:val="es-CO"/>
        </w:rPr>
        <w:t>ó</w:t>
      </w:r>
      <w:r w:rsidR="00941E66">
        <w:rPr>
          <w:rFonts w:ascii="Tahoma" w:hAnsi="Tahoma" w:cs="Tahoma"/>
          <w:sz w:val="22"/>
          <w:szCs w:val="22"/>
          <w:lang w:val="es-CO"/>
        </w:rPr>
        <w:t xml:space="preserve">lo sobreviven 2. </w:t>
      </w:r>
    </w:p>
    <w:p w:rsidR="00611320" w:rsidRDefault="00611320" w:rsidP="002169D0">
      <w:pPr>
        <w:spacing w:line="276" w:lineRule="auto"/>
        <w:ind w:firstLine="708"/>
        <w:jc w:val="both"/>
        <w:rPr>
          <w:rFonts w:ascii="Tahoma" w:hAnsi="Tahoma" w:cs="Tahoma"/>
          <w:sz w:val="22"/>
          <w:szCs w:val="22"/>
          <w:lang w:val="es-CO"/>
        </w:rPr>
      </w:pPr>
    </w:p>
    <w:p w:rsidR="00BC02D2" w:rsidRPr="00611320" w:rsidRDefault="00090347" w:rsidP="002169D0">
      <w:pPr>
        <w:spacing w:line="276" w:lineRule="auto"/>
        <w:ind w:firstLine="708"/>
        <w:jc w:val="both"/>
        <w:rPr>
          <w:rFonts w:ascii="Tahoma" w:hAnsi="Tahoma" w:cs="Tahoma"/>
          <w:color w:val="FF0000"/>
          <w:sz w:val="22"/>
          <w:szCs w:val="22"/>
          <w:lang w:val="es-CO"/>
        </w:rPr>
      </w:pPr>
      <w:r>
        <w:rPr>
          <w:rFonts w:ascii="Tahoma" w:hAnsi="Tahoma" w:cs="Tahoma"/>
          <w:sz w:val="22"/>
          <w:szCs w:val="22"/>
          <w:lang w:val="es-CO"/>
        </w:rPr>
        <w:t xml:space="preserve">Agrega que </w:t>
      </w:r>
      <w:r w:rsidRPr="00260476">
        <w:rPr>
          <w:rFonts w:ascii="Tahoma" w:hAnsi="Tahoma" w:cs="Tahoma"/>
          <w:sz w:val="22"/>
          <w:szCs w:val="22"/>
          <w:lang w:val="es-CO"/>
        </w:rPr>
        <w:t xml:space="preserve">el señor </w:t>
      </w:r>
      <w:r w:rsidR="00611320">
        <w:rPr>
          <w:rFonts w:ascii="Tahoma" w:hAnsi="Tahoma" w:cs="Tahoma"/>
          <w:sz w:val="22"/>
          <w:szCs w:val="22"/>
          <w:lang w:val="es-CO"/>
        </w:rPr>
        <w:t>Cifuentes Agudelo cotiz</w:t>
      </w:r>
      <w:r w:rsidR="00E82A1C">
        <w:rPr>
          <w:rFonts w:ascii="Tahoma" w:hAnsi="Tahoma" w:cs="Tahoma"/>
          <w:sz w:val="22"/>
          <w:szCs w:val="22"/>
          <w:lang w:val="es-CO"/>
        </w:rPr>
        <w:t xml:space="preserve">ó en el entonces </w:t>
      </w:r>
      <w:r w:rsidR="00611320">
        <w:rPr>
          <w:rFonts w:ascii="Tahoma" w:hAnsi="Tahoma" w:cs="Tahoma"/>
          <w:sz w:val="22"/>
          <w:szCs w:val="22"/>
          <w:lang w:val="es-CO"/>
        </w:rPr>
        <w:t xml:space="preserve">I.S.S. </w:t>
      </w:r>
      <w:r w:rsidR="00E82A1C" w:rsidRPr="004671B0">
        <w:rPr>
          <w:rFonts w:ascii="Tahoma" w:hAnsi="Tahoma" w:cs="Tahoma"/>
          <w:color w:val="000000" w:themeColor="text1"/>
          <w:sz w:val="22"/>
          <w:szCs w:val="22"/>
          <w:lang w:val="es-CO"/>
        </w:rPr>
        <w:t>un total de 387,14 semanas</w:t>
      </w:r>
      <w:r w:rsidR="00E82A1C">
        <w:rPr>
          <w:rFonts w:ascii="Tahoma" w:hAnsi="Tahoma" w:cs="Tahoma"/>
          <w:color w:val="000000" w:themeColor="text1"/>
          <w:sz w:val="22"/>
          <w:szCs w:val="22"/>
          <w:lang w:val="es-CO"/>
        </w:rPr>
        <w:t>,</w:t>
      </w:r>
      <w:r w:rsidR="00E82A1C">
        <w:rPr>
          <w:rFonts w:ascii="Tahoma" w:hAnsi="Tahoma" w:cs="Tahoma"/>
          <w:sz w:val="22"/>
          <w:szCs w:val="22"/>
          <w:lang w:val="es-CO"/>
        </w:rPr>
        <w:t xml:space="preserve"> desde </w:t>
      </w:r>
      <w:r w:rsidR="00611320">
        <w:rPr>
          <w:rFonts w:ascii="Tahoma" w:hAnsi="Tahoma" w:cs="Tahoma"/>
          <w:sz w:val="22"/>
          <w:szCs w:val="22"/>
          <w:lang w:val="es-CO"/>
        </w:rPr>
        <w:t>el 23 de agosto de 1990 hasta el 29 de febrero de 2000</w:t>
      </w:r>
      <w:r w:rsidR="00BC02D2" w:rsidRPr="004671B0">
        <w:rPr>
          <w:rFonts w:ascii="Tahoma" w:hAnsi="Tahoma" w:cs="Tahoma"/>
          <w:color w:val="000000" w:themeColor="text1"/>
          <w:sz w:val="22"/>
          <w:szCs w:val="22"/>
          <w:lang w:val="es-CO"/>
        </w:rPr>
        <w:t xml:space="preserve">, </w:t>
      </w:r>
      <w:r w:rsidRPr="004671B0">
        <w:rPr>
          <w:rFonts w:ascii="Tahoma" w:hAnsi="Tahoma" w:cs="Tahoma"/>
          <w:color w:val="000000" w:themeColor="text1"/>
          <w:sz w:val="22"/>
          <w:szCs w:val="22"/>
          <w:lang w:val="es-CO"/>
        </w:rPr>
        <w:t xml:space="preserve">de las cuales </w:t>
      </w:r>
      <w:r w:rsidR="00611320" w:rsidRPr="004671B0">
        <w:rPr>
          <w:rFonts w:ascii="Tahoma" w:hAnsi="Tahoma" w:cs="Tahoma"/>
          <w:color w:val="000000" w:themeColor="text1"/>
          <w:sz w:val="22"/>
          <w:szCs w:val="22"/>
          <w:lang w:val="es-CO"/>
        </w:rPr>
        <w:t>1</w:t>
      </w:r>
      <w:r w:rsidR="004671B0" w:rsidRPr="004671B0">
        <w:rPr>
          <w:rFonts w:ascii="Tahoma" w:hAnsi="Tahoma" w:cs="Tahoma"/>
          <w:color w:val="000000" w:themeColor="text1"/>
          <w:sz w:val="22"/>
          <w:szCs w:val="22"/>
          <w:lang w:val="es-CO"/>
        </w:rPr>
        <w:t xml:space="preserve">89,14 </w:t>
      </w:r>
      <w:r w:rsidRPr="004671B0">
        <w:rPr>
          <w:rFonts w:ascii="Tahoma" w:hAnsi="Tahoma" w:cs="Tahoma"/>
          <w:color w:val="000000" w:themeColor="text1"/>
          <w:sz w:val="22"/>
          <w:szCs w:val="22"/>
          <w:lang w:val="es-CO"/>
        </w:rPr>
        <w:t xml:space="preserve">fueron </w:t>
      </w:r>
      <w:r w:rsidR="00BC02D2" w:rsidRPr="004671B0">
        <w:rPr>
          <w:rFonts w:ascii="Tahoma" w:hAnsi="Tahoma" w:cs="Tahoma"/>
          <w:color w:val="000000" w:themeColor="text1"/>
          <w:sz w:val="22"/>
          <w:szCs w:val="22"/>
          <w:lang w:val="es-CO"/>
        </w:rPr>
        <w:t xml:space="preserve">efectuadas </w:t>
      </w:r>
      <w:r w:rsidRPr="004671B0">
        <w:rPr>
          <w:rFonts w:ascii="Tahoma" w:hAnsi="Tahoma" w:cs="Tahoma"/>
          <w:color w:val="000000" w:themeColor="text1"/>
          <w:sz w:val="22"/>
          <w:szCs w:val="22"/>
          <w:lang w:val="es-CO"/>
        </w:rPr>
        <w:t>antes del 1</w:t>
      </w:r>
      <w:r w:rsidR="00BC02D2" w:rsidRPr="004671B0">
        <w:rPr>
          <w:rFonts w:ascii="Tahoma" w:hAnsi="Tahoma" w:cs="Tahoma"/>
          <w:color w:val="000000" w:themeColor="text1"/>
          <w:sz w:val="22"/>
          <w:szCs w:val="22"/>
          <w:lang w:val="es-CO"/>
        </w:rPr>
        <w:t xml:space="preserve">º </w:t>
      </w:r>
      <w:r w:rsidRPr="004671B0">
        <w:rPr>
          <w:rFonts w:ascii="Tahoma" w:hAnsi="Tahoma" w:cs="Tahoma"/>
          <w:color w:val="000000" w:themeColor="text1"/>
          <w:sz w:val="22"/>
          <w:szCs w:val="22"/>
          <w:lang w:val="es-CO"/>
        </w:rPr>
        <w:t>de abril de 1994</w:t>
      </w:r>
      <w:r w:rsidR="004671B0">
        <w:rPr>
          <w:rFonts w:ascii="Tahoma" w:hAnsi="Tahoma" w:cs="Tahoma"/>
          <w:color w:val="FF0000"/>
          <w:sz w:val="22"/>
          <w:szCs w:val="22"/>
          <w:lang w:val="es-CO"/>
        </w:rPr>
        <w:t xml:space="preserve"> </w:t>
      </w:r>
      <w:r w:rsidR="004671B0" w:rsidRPr="004671B0">
        <w:rPr>
          <w:rFonts w:ascii="Tahoma" w:hAnsi="Tahoma" w:cs="Tahoma"/>
          <w:color w:val="000000" w:themeColor="text1"/>
          <w:sz w:val="22"/>
          <w:szCs w:val="22"/>
          <w:lang w:val="es-CO"/>
        </w:rPr>
        <w:t>y 1</w:t>
      </w:r>
      <w:r w:rsidR="00F607DA">
        <w:rPr>
          <w:rFonts w:ascii="Tahoma" w:hAnsi="Tahoma" w:cs="Tahoma"/>
          <w:color w:val="000000" w:themeColor="text1"/>
          <w:sz w:val="22"/>
          <w:szCs w:val="22"/>
          <w:lang w:val="es-CO"/>
        </w:rPr>
        <w:t xml:space="preserve">98 </w:t>
      </w:r>
      <w:r w:rsidR="004671B0" w:rsidRPr="004671B0">
        <w:rPr>
          <w:rFonts w:ascii="Tahoma" w:hAnsi="Tahoma" w:cs="Tahoma"/>
          <w:color w:val="000000" w:themeColor="text1"/>
          <w:sz w:val="22"/>
          <w:szCs w:val="22"/>
          <w:lang w:val="es-CO"/>
        </w:rPr>
        <w:t xml:space="preserve">con posterioridad a esta </w:t>
      </w:r>
      <w:r w:rsidR="004671B0" w:rsidRPr="00CA38C1">
        <w:rPr>
          <w:rFonts w:ascii="Tahoma" w:hAnsi="Tahoma" w:cs="Tahoma"/>
          <w:color w:val="000000" w:themeColor="text1"/>
          <w:sz w:val="22"/>
          <w:szCs w:val="22"/>
          <w:lang w:val="es-CO"/>
        </w:rPr>
        <w:t xml:space="preserve">fecha, </w:t>
      </w:r>
      <w:r w:rsidR="00BC02D2" w:rsidRPr="004671B0">
        <w:rPr>
          <w:rFonts w:ascii="Tahoma" w:hAnsi="Tahoma" w:cs="Tahoma"/>
          <w:color w:val="000000" w:themeColor="text1"/>
          <w:sz w:val="22"/>
          <w:szCs w:val="22"/>
          <w:lang w:val="es-CO"/>
        </w:rPr>
        <w:t xml:space="preserve">por lo que </w:t>
      </w:r>
      <w:r w:rsidR="004671B0" w:rsidRPr="004671B0">
        <w:rPr>
          <w:rFonts w:ascii="Tahoma" w:hAnsi="Tahoma" w:cs="Tahoma"/>
          <w:color w:val="000000" w:themeColor="text1"/>
          <w:sz w:val="22"/>
          <w:szCs w:val="22"/>
          <w:lang w:val="es-CO"/>
        </w:rPr>
        <w:t>el 27</w:t>
      </w:r>
      <w:r w:rsidR="00BC02D2" w:rsidRPr="004671B0">
        <w:rPr>
          <w:rFonts w:ascii="Tahoma" w:hAnsi="Tahoma" w:cs="Tahoma"/>
          <w:color w:val="000000" w:themeColor="text1"/>
          <w:sz w:val="22"/>
          <w:szCs w:val="22"/>
          <w:lang w:val="es-CO"/>
        </w:rPr>
        <w:t xml:space="preserve"> de </w:t>
      </w:r>
      <w:r w:rsidR="004671B0" w:rsidRPr="004671B0">
        <w:rPr>
          <w:rFonts w:ascii="Tahoma" w:hAnsi="Tahoma" w:cs="Tahoma"/>
          <w:color w:val="000000" w:themeColor="text1"/>
          <w:sz w:val="22"/>
          <w:szCs w:val="22"/>
          <w:lang w:val="es-CO"/>
        </w:rPr>
        <w:t>noviembre de 2014</w:t>
      </w:r>
      <w:r w:rsidR="00BC02D2" w:rsidRPr="004671B0">
        <w:rPr>
          <w:rFonts w:ascii="Tahoma" w:hAnsi="Tahoma" w:cs="Tahoma"/>
          <w:color w:val="000000" w:themeColor="text1"/>
          <w:sz w:val="22"/>
          <w:szCs w:val="22"/>
          <w:lang w:val="es-CO"/>
        </w:rPr>
        <w:t xml:space="preserve"> presentó ante Colpensiones reclamación de la pensión de sobrevivientes,</w:t>
      </w:r>
      <w:r w:rsidR="00BC02D2" w:rsidRPr="00611320">
        <w:rPr>
          <w:rFonts w:ascii="Tahoma" w:hAnsi="Tahoma" w:cs="Tahoma"/>
          <w:color w:val="FF0000"/>
          <w:sz w:val="22"/>
          <w:szCs w:val="22"/>
          <w:lang w:val="es-CO"/>
        </w:rPr>
        <w:t xml:space="preserve"> </w:t>
      </w:r>
      <w:r w:rsidR="00BC02D2" w:rsidRPr="004671B0">
        <w:rPr>
          <w:rFonts w:ascii="Tahoma" w:hAnsi="Tahoma" w:cs="Tahoma"/>
          <w:color w:val="000000" w:themeColor="text1"/>
          <w:sz w:val="22"/>
          <w:szCs w:val="22"/>
          <w:lang w:val="es-CO"/>
        </w:rPr>
        <w:t xml:space="preserve">la cual fue negada mediante la Resolución GNR </w:t>
      </w:r>
      <w:r w:rsidR="004671B0" w:rsidRPr="004671B0">
        <w:rPr>
          <w:rFonts w:ascii="Tahoma" w:hAnsi="Tahoma" w:cs="Tahoma"/>
          <w:color w:val="000000" w:themeColor="text1"/>
          <w:sz w:val="22"/>
          <w:szCs w:val="22"/>
          <w:lang w:val="es-CO"/>
        </w:rPr>
        <w:t>26033  del 5 de febrero del 2015</w:t>
      </w:r>
      <w:r w:rsidR="00BC02D2" w:rsidRPr="004671B0">
        <w:rPr>
          <w:rFonts w:ascii="Tahoma" w:hAnsi="Tahoma" w:cs="Tahoma"/>
          <w:color w:val="000000" w:themeColor="text1"/>
          <w:sz w:val="22"/>
          <w:szCs w:val="22"/>
          <w:lang w:val="es-CO"/>
        </w:rPr>
        <w:t xml:space="preserve">, bajo el argumento de que </w:t>
      </w:r>
      <w:r w:rsidR="00F607DA">
        <w:rPr>
          <w:rFonts w:ascii="Tahoma" w:hAnsi="Tahoma" w:cs="Tahoma"/>
          <w:color w:val="000000" w:themeColor="text1"/>
          <w:sz w:val="22"/>
          <w:szCs w:val="22"/>
          <w:lang w:val="es-CO"/>
        </w:rPr>
        <w:t xml:space="preserve">el </w:t>
      </w:r>
      <w:r w:rsidR="00BC02D2" w:rsidRPr="004671B0">
        <w:rPr>
          <w:rFonts w:ascii="Tahoma" w:hAnsi="Tahoma" w:cs="Tahoma"/>
          <w:color w:val="000000" w:themeColor="text1"/>
          <w:sz w:val="22"/>
          <w:szCs w:val="22"/>
          <w:lang w:val="es-CO"/>
        </w:rPr>
        <w:t>causante no cotiz</w:t>
      </w:r>
      <w:r w:rsidR="009C567B" w:rsidRPr="004671B0">
        <w:rPr>
          <w:rFonts w:ascii="Tahoma" w:hAnsi="Tahoma" w:cs="Tahoma"/>
          <w:color w:val="000000" w:themeColor="text1"/>
          <w:sz w:val="22"/>
          <w:szCs w:val="22"/>
          <w:lang w:val="es-CO"/>
        </w:rPr>
        <w:t>ó</w:t>
      </w:r>
      <w:r w:rsidR="00BC02D2" w:rsidRPr="004671B0">
        <w:rPr>
          <w:rFonts w:ascii="Tahoma" w:hAnsi="Tahoma" w:cs="Tahoma"/>
          <w:color w:val="000000" w:themeColor="text1"/>
          <w:sz w:val="22"/>
          <w:szCs w:val="22"/>
          <w:lang w:val="es-CO"/>
        </w:rPr>
        <w:t xml:space="preserve"> al sistema las 50 semanas exigidas dentro de los 3 años inmediatamente anteriores al fallecimiento</w:t>
      </w:r>
      <w:r w:rsidR="004671B0">
        <w:rPr>
          <w:rFonts w:ascii="Tahoma" w:hAnsi="Tahoma" w:cs="Tahoma"/>
          <w:color w:val="000000" w:themeColor="text1"/>
          <w:sz w:val="22"/>
          <w:szCs w:val="22"/>
          <w:lang w:val="es-CO"/>
        </w:rPr>
        <w:t xml:space="preserve"> y</w:t>
      </w:r>
      <w:r w:rsidR="00F607DA">
        <w:rPr>
          <w:rFonts w:ascii="Tahoma" w:hAnsi="Tahoma" w:cs="Tahoma"/>
          <w:color w:val="000000" w:themeColor="text1"/>
          <w:sz w:val="22"/>
          <w:szCs w:val="22"/>
          <w:lang w:val="es-CO"/>
        </w:rPr>
        <w:t>, además, por</w:t>
      </w:r>
      <w:r w:rsidR="004671B0">
        <w:rPr>
          <w:rFonts w:ascii="Tahoma" w:hAnsi="Tahoma" w:cs="Tahoma"/>
          <w:color w:val="000000" w:themeColor="text1"/>
          <w:sz w:val="22"/>
          <w:szCs w:val="22"/>
          <w:lang w:val="es-CO"/>
        </w:rPr>
        <w:t xml:space="preserve">que la solicitud pensional es incompatible con indemnización sustitutiva de vejez que le fue reconocida al causante. </w:t>
      </w:r>
    </w:p>
    <w:p w:rsidR="00E82A1C" w:rsidRDefault="00E82A1C" w:rsidP="002169D0">
      <w:pPr>
        <w:spacing w:line="276" w:lineRule="auto"/>
        <w:ind w:firstLine="708"/>
        <w:jc w:val="both"/>
        <w:rPr>
          <w:rFonts w:ascii="Tahoma" w:hAnsi="Tahoma" w:cs="Tahoma"/>
          <w:sz w:val="22"/>
          <w:szCs w:val="22"/>
          <w:lang w:val="es-CO"/>
        </w:rPr>
      </w:pPr>
    </w:p>
    <w:p w:rsidR="00E82A1C" w:rsidRDefault="00F607DA" w:rsidP="002169D0">
      <w:pPr>
        <w:spacing w:line="276" w:lineRule="auto"/>
        <w:ind w:firstLine="708"/>
        <w:jc w:val="both"/>
        <w:rPr>
          <w:rFonts w:ascii="Tahoma" w:hAnsi="Tahoma" w:cs="Tahoma"/>
          <w:sz w:val="22"/>
          <w:szCs w:val="22"/>
          <w:lang w:val="es-CO"/>
        </w:rPr>
      </w:pPr>
      <w:r>
        <w:rPr>
          <w:rFonts w:ascii="Tahoma" w:hAnsi="Tahoma" w:cs="Tahoma"/>
          <w:sz w:val="22"/>
          <w:szCs w:val="22"/>
          <w:lang w:val="es-CO"/>
        </w:rPr>
        <w:t xml:space="preserve">Igualmente, indica que </w:t>
      </w:r>
      <w:r w:rsidR="00E82A1C">
        <w:rPr>
          <w:rFonts w:ascii="Tahoma" w:hAnsi="Tahoma" w:cs="Tahoma"/>
          <w:sz w:val="22"/>
          <w:szCs w:val="22"/>
          <w:lang w:val="es-CO"/>
        </w:rPr>
        <w:t>el 29 de junio de 1959</w:t>
      </w:r>
      <w:r w:rsidR="00E82A1C" w:rsidRPr="00D7725C">
        <w:rPr>
          <w:rFonts w:ascii="Tahoma" w:hAnsi="Tahoma" w:cs="Tahoma"/>
          <w:sz w:val="22"/>
          <w:szCs w:val="22"/>
          <w:lang w:val="es-CO"/>
        </w:rPr>
        <w:t xml:space="preserve"> </w:t>
      </w:r>
      <w:r>
        <w:rPr>
          <w:rFonts w:ascii="Tahoma" w:hAnsi="Tahoma" w:cs="Tahoma"/>
          <w:sz w:val="22"/>
          <w:szCs w:val="22"/>
          <w:lang w:val="es-CO"/>
        </w:rPr>
        <w:t xml:space="preserve">el señor Cifuentes </w:t>
      </w:r>
      <w:r w:rsidR="00E82A1C" w:rsidRPr="00260476">
        <w:rPr>
          <w:rFonts w:ascii="Tahoma" w:hAnsi="Tahoma" w:cs="Tahoma"/>
          <w:sz w:val="22"/>
          <w:szCs w:val="22"/>
          <w:lang w:val="es-CO"/>
        </w:rPr>
        <w:t>contrajo matrimonio</w:t>
      </w:r>
      <w:r w:rsidR="00E61640">
        <w:rPr>
          <w:rFonts w:ascii="Tahoma" w:hAnsi="Tahoma" w:cs="Tahoma"/>
          <w:sz w:val="22"/>
          <w:szCs w:val="22"/>
          <w:lang w:val="es-CO"/>
        </w:rPr>
        <w:t xml:space="preserve"> con la señora María </w:t>
      </w:r>
      <w:proofErr w:type="spellStart"/>
      <w:r w:rsidR="00E61640">
        <w:rPr>
          <w:rFonts w:ascii="Tahoma" w:hAnsi="Tahoma" w:cs="Tahoma"/>
          <w:sz w:val="22"/>
          <w:szCs w:val="22"/>
          <w:lang w:val="es-CO"/>
        </w:rPr>
        <w:t>Marleny</w:t>
      </w:r>
      <w:proofErr w:type="spellEnd"/>
      <w:r w:rsidR="00E61640">
        <w:rPr>
          <w:rFonts w:ascii="Tahoma" w:hAnsi="Tahoma" w:cs="Tahoma"/>
          <w:sz w:val="22"/>
          <w:szCs w:val="22"/>
          <w:lang w:val="es-CO"/>
        </w:rPr>
        <w:t xml:space="preserve"> Ríos</w:t>
      </w:r>
      <w:r w:rsidR="00E82A1C">
        <w:rPr>
          <w:rFonts w:ascii="Tahoma" w:hAnsi="Tahoma" w:cs="Tahoma"/>
          <w:sz w:val="22"/>
          <w:szCs w:val="22"/>
          <w:lang w:val="es-CO"/>
        </w:rPr>
        <w:t xml:space="preserve">, </w:t>
      </w:r>
      <w:r w:rsidR="00E61640">
        <w:rPr>
          <w:rFonts w:ascii="Tahoma" w:hAnsi="Tahoma" w:cs="Tahoma"/>
          <w:sz w:val="22"/>
          <w:szCs w:val="22"/>
          <w:lang w:val="es-CO"/>
        </w:rPr>
        <w:t>separándose de hecho en el año 1963.</w:t>
      </w:r>
    </w:p>
    <w:p w:rsidR="00BC02D2" w:rsidRDefault="00BC02D2" w:rsidP="002169D0">
      <w:pPr>
        <w:tabs>
          <w:tab w:val="left" w:pos="7350"/>
        </w:tabs>
        <w:jc w:val="both"/>
        <w:rPr>
          <w:rFonts w:ascii="Tahoma" w:hAnsi="Tahoma" w:cs="Tahoma"/>
          <w:sz w:val="22"/>
          <w:szCs w:val="22"/>
          <w:lang w:val="es-CO"/>
        </w:rPr>
      </w:pPr>
    </w:p>
    <w:p w:rsidR="0098272B" w:rsidRDefault="001250D7" w:rsidP="002169D0">
      <w:pPr>
        <w:widowControl w:val="0"/>
        <w:autoSpaceDE w:val="0"/>
        <w:autoSpaceDN w:val="0"/>
        <w:adjustRightInd w:val="0"/>
        <w:spacing w:line="276" w:lineRule="auto"/>
        <w:ind w:firstLine="708"/>
        <w:jc w:val="both"/>
        <w:rPr>
          <w:rFonts w:ascii="Tahoma" w:hAnsi="Tahoma" w:cs="Tahoma"/>
          <w:sz w:val="22"/>
          <w:szCs w:val="22"/>
        </w:rPr>
      </w:pPr>
      <w:r w:rsidRPr="001250D7">
        <w:rPr>
          <w:rFonts w:ascii="Tahoma" w:hAnsi="Tahoma" w:cs="Tahoma"/>
          <w:sz w:val="22"/>
          <w:szCs w:val="22"/>
        </w:rPr>
        <w:t>Colpensiones</w:t>
      </w:r>
      <w:r w:rsidR="00E83BD9">
        <w:rPr>
          <w:rFonts w:ascii="Tahoma" w:hAnsi="Tahoma" w:cs="Tahoma"/>
          <w:sz w:val="22"/>
          <w:szCs w:val="22"/>
        </w:rPr>
        <w:t xml:space="preserve"> </w:t>
      </w:r>
      <w:r w:rsidR="0098272B">
        <w:rPr>
          <w:rFonts w:ascii="Tahoma" w:hAnsi="Tahoma" w:cs="Tahoma"/>
          <w:sz w:val="22"/>
          <w:szCs w:val="22"/>
        </w:rPr>
        <w:t xml:space="preserve">aceptó los hechos relacionados </w:t>
      </w:r>
      <w:r w:rsidR="00C77AF6">
        <w:rPr>
          <w:rFonts w:ascii="Tahoma" w:hAnsi="Tahoma" w:cs="Tahoma"/>
          <w:sz w:val="22"/>
          <w:szCs w:val="22"/>
        </w:rPr>
        <w:t>con el fallecimiento del señor José Leonel Cifuentes</w:t>
      </w:r>
      <w:r w:rsidR="00DD7B2D">
        <w:rPr>
          <w:rFonts w:ascii="Tahoma" w:hAnsi="Tahoma" w:cs="Tahoma"/>
          <w:sz w:val="22"/>
          <w:szCs w:val="22"/>
        </w:rPr>
        <w:t xml:space="preserve"> y el contenido de la Resolución GNR 26033</w:t>
      </w:r>
      <w:r w:rsidR="007F3444">
        <w:rPr>
          <w:rFonts w:ascii="Tahoma" w:hAnsi="Tahoma" w:cs="Tahoma"/>
          <w:sz w:val="22"/>
          <w:szCs w:val="22"/>
        </w:rPr>
        <w:t xml:space="preserve"> de 2015</w:t>
      </w:r>
      <w:r w:rsidR="00C77AF6">
        <w:rPr>
          <w:rFonts w:ascii="Tahoma" w:hAnsi="Tahoma" w:cs="Tahoma"/>
          <w:sz w:val="22"/>
          <w:szCs w:val="22"/>
        </w:rPr>
        <w:t xml:space="preserve">, </w:t>
      </w:r>
      <w:r w:rsidR="007F3444">
        <w:rPr>
          <w:rFonts w:ascii="Tahoma" w:hAnsi="Tahoma" w:cs="Tahoma"/>
          <w:sz w:val="22"/>
          <w:szCs w:val="22"/>
        </w:rPr>
        <w:t xml:space="preserve">por medio de la cual se negó la </w:t>
      </w:r>
      <w:r w:rsidR="00C77AF6">
        <w:rPr>
          <w:rFonts w:ascii="Tahoma" w:hAnsi="Tahoma" w:cs="Tahoma"/>
          <w:sz w:val="22"/>
          <w:szCs w:val="22"/>
        </w:rPr>
        <w:t xml:space="preserve">pensión de sobrevivientes </w:t>
      </w:r>
      <w:r w:rsidR="007F3444">
        <w:rPr>
          <w:rFonts w:ascii="Tahoma" w:hAnsi="Tahoma" w:cs="Tahoma"/>
          <w:sz w:val="22"/>
          <w:szCs w:val="22"/>
        </w:rPr>
        <w:t xml:space="preserve">a </w:t>
      </w:r>
      <w:r w:rsidR="00C77AF6">
        <w:rPr>
          <w:rFonts w:ascii="Tahoma" w:hAnsi="Tahoma" w:cs="Tahoma"/>
          <w:sz w:val="22"/>
          <w:szCs w:val="22"/>
        </w:rPr>
        <w:t>la demandante</w:t>
      </w:r>
      <w:r w:rsidR="007F3444">
        <w:rPr>
          <w:rFonts w:ascii="Tahoma" w:hAnsi="Tahoma" w:cs="Tahoma"/>
          <w:sz w:val="22"/>
          <w:szCs w:val="22"/>
        </w:rPr>
        <w:t>; respecto de los demás hechos manifestó que no le constaban</w:t>
      </w:r>
      <w:r w:rsidR="00C77AF6">
        <w:rPr>
          <w:rFonts w:ascii="Tahoma" w:hAnsi="Tahoma" w:cs="Tahoma"/>
          <w:sz w:val="22"/>
          <w:szCs w:val="22"/>
        </w:rPr>
        <w:t xml:space="preserve"> </w:t>
      </w:r>
      <w:r w:rsidR="00F15D58">
        <w:rPr>
          <w:rFonts w:ascii="Tahoma" w:hAnsi="Tahoma" w:cs="Tahoma"/>
          <w:sz w:val="22"/>
          <w:szCs w:val="22"/>
        </w:rPr>
        <w:t xml:space="preserve">y debían probarse. </w:t>
      </w:r>
      <w:r w:rsidR="007F3444">
        <w:rPr>
          <w:rFonts w:ascii="Tahoma" w:hAnsi="Tahoma" w:cs="Tahoma"/>
          <w:sz w:val="22"/>
          <w:szCs w:val="22"/>
        </w:rPr>
        <w:t>S</w:t>
      </w:r>
      <w:r w:rsidR="0098272B">
        <w:rPr>
          <w:rFonts w:ascii="Tahoma" w:hAnsi="Tahoma" w:cs="Tahoma"/>
          <w:sz w:val="22"/>
          <w:szCs w:val="22"/>
        </w:rPr>
        <w:t>eguidamente se opuso a la totalidad de las pretensiones y propuso como excepciones de mérito las que denominó</w:t>
      </w:r>
      <w:r w:rsidR="0098272B" w:rsidRPr="006E2894">
        <w:rPr>
          <w:rFonts w:ascii="Tahoma" w:hAnsi="Tahoma" w:cs="Tahoma"/>
          <w:sz w:val="22"/>
          <w:szCs w:val="22"/>
        </w:rPr>
        <w:t xml:space="preserve"> “</w:t>
      </w:r>
      <w:r w:rsidR="006E2894" w:rsidRPr="006E2894">
        <w:rPr>
          <w:rFonts w:ascii="Tahoma" w:hAnsi="Tahoma" w:cs="Tahoma"/>
          <w:sz w:val="22"/>
          <w:szCs w:val="22"/>
        </w:rPr>
        <w:t xml:space="preserve">Inexistencia de la obligación” y </w:t>
      </w:r>
      <w:r w:rsidR="0052721B">
        <w:rPr>
          <w:rFonts w:ascii="Tahoma" w:hAnsi="Tahoma" w:cs="Tahoma"/>
          <w:sz w:val="22"/>
          <w:szCs w:val="22"/>
        </w:rPr>
        <w:t>“Prescripción”.</w:t>
      </w:r>
    </w:p>
    <w:p w:rsidR="0052721B" w:rsidRDefault="0052721B" w:rsidP="002169D0">
      <w:pPr>
        <w:widowControl w:val="0"/>
        <w:autoSpaceDE w:val="0"/>
        <w:autoSpaceDN w:val="0"/>
        <w:adjustRightInd w:val="0"/>
        <w:spacing w:line="276" w:lineRule="auto"/>
        <w:ind w:firstLine="708"/>
        <w:jc w:val="both"/>
        <w:rPr>
          <w:rFonts w:ascii="Tahoma" w:hAnsi="Tahoma" w:cs="Tahoma"/>
          <w:sz w:val="22"/>
          <w:szCs w:val="22"/>
        </w:rPr>
      </w:pPr>
    </w:p>
    <w:p w:rsidR="0052721B" w:rsidRDefault="0052721B" w:rsidP="002169D0">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El despacho de conocimiento vinculó al proceso a la señora </w:t>
      </w:r>
      <w:r w:rsidR="00601271">
        <w:rPr>
          <w:rFonts w:ascii="Tahoma" w:hAnsi="Tahoma" w:cs="Tahoma"/>
          <w:sz w:val="22"/>
          <w:szCs w:val="22"/>
        </w:rPr>
        <w:t xml:space="preserve">María </w:t>
      </w:r>
      <w:proofErr w:type="spellStart"/>
      <w:r w:rsidR="00601271">
        <w:rPr>
          <w:rFonts w:ascii="Tahoma" w:hAnsi="Tahoma" w:cs="Tahoma"/>
          <w:sz w:val="22"/>
          <w:szCs w:val="22"/>
        </w:rPr>
        <w:t>Marleny</w:t>
      </w:r>
      <w:proofErr w:type="spellEnd"/>
      <w:r w:rsidR="00601271">
        <w:rPr>
          <w:rFonts w:ascii="Tahoma" w:hAnsi="Tahoma" w:cs="Tahoma"/>
          <w:sz w:val="22"/>
          <w:szCs w:val="22"/>
        </w:rPr>
        <w:t xml:space="preserve"> Ríos, quien contestó la demanda a través de curadora Ad-</w:t>
      </w:r>
      <w:proofErr w:type="spellStart"/>
      <w:r w:rsidR="00601271">
        <w:rPr>
          <w:rFonts w:ascii="Tahoma" w:hAnsi="Tahoma" w:cs="Tahoma"/>
          <w:sz w:val="22"/>
          <w:szCs w:val="22"/>
        </w:rPr>
        <w:t>litem</w:t>
      </w:r>
      <w:proofErr w:type="spellEnd"/>
      <w:r w:rsidR="00601271">
        <w:rPr>
          <w:rFonts w:ascii="Tahoma" w:hAnsi="Tahoma" w:cs="Tahoma"/>
          <w:sz w:val="22"/>
          <w:szCs w:val="22"/>
        </w:rPr>
        <w:t xml:space="preserve">, indicando que “al parecer eran ciertos” los hechos relacionados con la muerte del señor José Leonel Cifuentes y la negativa de la pensión de sobrevivientes a la señora Rosa María Agudelo a través de la Resolución No. </w:t>
      </w:r>
      <w:r w:rsidR="00DD7B2D">
        <w:rPr>
          <w:rFonts w:ascii="Tahoma" w:hAnsi="Tahoma" w:cs="Tahoma"/>
          <w:sz w:val="22"/>
          <w:szCs w:val="22"/>
        </w:rPr>
        <w:t>GNR 26033 del 5 de febrero de 2015; frente a los demás hechos manifestó que no le constaban</w:t>
      </w:r>
      <w:r w:rsidR="00AB6F10">
        <w:rPr>
          <w:rFonts w:ascii="Tahoma" w:hAnsi="Tahoma" w:cs="Tahoma"/>
          <w:sz w:val="22"/>
          <w:szCs w:val="22"/>
        </w:rPr>
        <w:t>.</w:t>
      </w:r>
    </w:p>
    <w:p w:rsidR="00AB6F10" w:rsidRDefault="00AB6F10" w:rsidP="002169D0">
      <w:pPr>
        <w:widowControl w:val="0"/>
        <w:autoSpaceDE w:val="0"/>
        <w:autoSpaceDN w:val="0"/>
        <w:adjustRightInd w:val="0"/>
        <w:spacing w:line="276" w:lineRule="auto"/>
        <w:ind w:firstLine="708"/>
        <w:jc w:val="both"/>
        <w:rPr>
          <w:rFonts w:ascii="Tahoma" w:hAnsi="Tahoma" w:cs="Tahoma"/>
          <w:sz w:val="22"/>
          <w:szCs w:val="22"/>
        </w:rPr>
      </w:pPr>
    </w:p>
    <w:p w:rsidR="00AB6F10" w:rsidRDefault="00AB6F10" w:rsidP="002169D0">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Por otra parte, solicitó que se accediera a las pretensiones conforme se logre demostrar la vigencia de las peticiones cuya declaración se reclama.</w:t>
      </w:r>
    </w:p>
    <w:p w:rsidR="008C7E33" w:rsidRDefault="008C7E33" w:rsidP="002169D0">
      <w:pPr>
        <w:widowControl w:val="0"/>
        <w:autoSpaceDE w:val="0"/>
        <w:autoSpaceDN w:val="0"/>
        <w:adjustRightInd w:val="0"/>
        <w:ind w:firstLine="708"/>
        <w:jc w:val="both"/>
        <w:rPr>
          <w:rFonts w:ascii="Tahoma" w:hAnsi="Tahoma" w:cs="Tahoma"/>
          <w:sz w:val="22"/>
          <w:szCs w:val="22"/>
        </w:rPr>
      </w:pPr>
    </w:p>
    <w:p w:rsidR="008B7665" w:rsidRPr="00C75CBF" w:rsidRDefault="00581FD6" w:rsidP="002169D0">
      <w:pPr>
        <w:widowControl w:val="0"/>
        <w:numPr>
          <w:ilvl w:val="0"/>
          <w:numId w:val="1"/>
        </w:numPr>
        <w:tabs>
          <w:tab w:val="clear" w:pos="1080"/>
          <w:tab w:val="num" w:pos="561"/>
        </w:tabs>
        <w:autoSpaceDE w:val="0"/>
        <w:autoSpaceDN w:val="0"/>
        <w:adjustRightInd w:val="0"/>
        <w:spacing w:line="276" w:lineRule="auto"/>
        <w:ind w:left="0" w:firstLine="0"/>
        <w:jc w:val="center"/>
        <w:rPr>
          <w:rFonts w:ascii="Tahoma" w:hAnsi="Tahoma" w:cs="Tahoma"/>
          <w:b/>
          <w:caps/>
          <w:sz w:val="22"/>
          <w:szCs w:val="22"/>
        </w:rPr>
      </w:pPr>
      <w:r w:rsidRPr="00C75CBF">
        <w:rPr>
          <w:rFonts w:ascii="Tahoma" w:hAnsi="Tahoma" w:cs="Tahoma"/>
          <w:b/>
          <w:sz w:val="22"/>
          <w:szCs w:val="22"/>
        </w:rPr>
        <w:t>La sentencia de primera instancia</w:t>
      </w:r>
    </w:p>
    <w:p w:rsidR="008B7665" w:rsidRPr="00962CE9" w:rsidRDefault="008B7665" w:rsidP="002169D0">
      <w:pPr>
        <w:widowControl w:val="0"/>
        <w:autoSpaceDE w:val="0"/>
        <w:autoSpaceDN w:val="0"/>
        <w:adjustRightInd w:val="0"/>
        <w:jc w:val="center"/>
        <w:rPr>
          <w:rFonts w:ascii="Tahoma" w:hAnsi="Tahoma" w:cs="Tahoma"/>
          <w:b/>
          <w:sz w:val="22"/>
          <w:szCs w:val="22"/>
        </w:rPr>
      </w:pPr>
    </w:p>
    <w:p w:rsidR="00F15D58" w:rsidRDefault="008B7665" w:rsidP="002169D0">
      <w:pPr>
        <w:tabs>
          <w:tab w:val="left" w:pos="748"/>
        </w:tabs>
        <w:spacing w:line="276" w:lineRule="auto"/>
        <w:jc w:val="both"/>
        <w:rPr>
          <w:rFonts w:ascii="Tahoma" w:hAnsi="Tahoma" w:cs="Tahoma"/>
          <w:sz w:val="22"/>
          <w:szCs w:val="22"/>
          <w:lang w:val="es-CO"/>
        </w:rPr>
      </w:pPr>
      <w:r w:rsidRPr="00962CE9">
        <w:rPr>
          <w:rFonts w:ascii="Tahoma" w:hAnsi="Tahoma" w:cs="Tahoma"/>
          <w:sz w:val="22"/>
          <w:szCs w:val="22"/>
        </w:rPr>
        <w:tab/>
        <w:t>La Jueza de conocimiento</w:t>
      </w:r>
      <w:r w:rsidR="00CE77D9" w:rsidRPr="00962CE9">
        <w:rPr>
          <w:rFonts w:ascii="Tahoma" w:hAnsi="Tahoma" w:cs="Tahoma"/>
          <w:sz w:val="22"/>
          <w:szCs w:val="22"/>
          <w:lang w:val="es-CO"/>
        </w:rPr>
        <w:t xml:space="preserve"> negó la totalidad de las pretensiones </w:t>
      </w:r>
      <w:r w:rsidR="00F15D58">
        <w:rPr>
          <w:rFonts w:ascii="Tahoma" w:hAnsi="Tahoma" w:cs="Tahoma"/>
          <w:sz w:val="22"/>
          <w:szCs w:val="22"/>
          <w:lang w:val="es-CO"/>
        </w:rPr>
        <w:t>de la demandante, a quién condenó en costas procesales.</w:t>
      </w:r>
    </w:p>
    <w:p w:rsidR="00F15D58" w:rsidRDefault="00F15D58" w:rsidP="002169D0">
      <w:pPr>
        <w:tabs>
          <w:tab w:val="left" w:pos="748"/>
        </w:tabs>
        <w:jc w:val="both"/>
        <w:rPr>
          <w:rFonts w:ascii="Tahoma" w:hAnsi="Tahoma" w:cs="Tahoma"/>
          <w:sz w:val="22"/>
          <w:szCs w:val="22"/>
          <w:lang w:val="es-CO"/>
        </w:rPr>
      </w:pPr>
    </w:p>
    <w:p w:rsidR="00E50215" w:rsidRDefault="008B7665" w:rsidP="002169D0">
      <w:pPr>
        <w:tabs>
          <w:tab w:val="left" w:pos="0"/>
        </w:tabs>
        <w:spacing w:line="276" w:lineRule="auto"/>
        <w:jc w:val="both"/>
        <w:rPr>
          <w:rFonts w:ascii="Tahoma" w:hAnsi="Tahoma" w:cs="Tahoma"/>
          <w:sz w:val="22"/>
          <w:szCs w:val="22"/>
        </w:rPr>
      </w:pPr>
      <w:r w:rsidRPr="00962CE9">
        <w:rPr>
          <w:rFonts w:ascii="Tahoma" w:hAnsi="Tahoma" w:cs="Tahoma"/>
          <w:sz w:val="22"/>
          <w:szCs w:val="22"/>
        </w:rPr>
        <w:tab/>
      </w:r>
      <w:r w:rsidR="0057376A" w:rsidRPr="0057376A">
        <w:rPr>
          <w:rFonts w:ascii="Tahoma" w:hAnsi="Tahoma" w:cs="Tahoma"/>
          <w:sz w:val="22"/>
          <w:szCs w:val="22"/>
        </w:rPr>
        <w:t>Para llegar a tal de</w:t>
      </w:r>
      <w:r w:rsidR="00D75987">
        <w:rPr>
          <w:rFonts w:ascii="Tahoma" w:hAnsi="Tahoma" w:cs="Tahoma"/>
          <w:sz w:val="22"/>
          <w:szCs w:val="22"/>
        </w:rPr>
        <w:t>terminación la A-quo consideró</w:t>
      </w:r>
      <w:r w:rsidR="003A0AC7">
        <w:rPr>
          <w:rFonts w:ascii="Tahoma" w:hAnsi="Tahoma" w:cs="Tahoma"/>
          <w:sz w:val="22"/>
          <w:szCs w:val="22"/>
        </w:rPr>
        <w:t xml:space="preserve">, en síntesis, </w:t>
      </w:r>
      <w:r w:rsidR="00D75987">
        <w:rPr>
          <w:rFonts w:ascii="Tahoma" w:hAnsi="Tahoma" w:cs="Tahoma"/>
          <w:sz w:val="22"/>
          <w:szCs w:val="22"/>
        </w:rPr>
        <w:t>q</w:t>
      </w:r>
      <w:r w:rsidR="00E50215">
        <w:rPr>
          <w:rFonts w:ascii="Tahoma" w:hAnsi="Tahoma" w:cs="Tahoma"/>
          <w:sz w:val="22"/>
          <w:szCs w:val="22"/>
        </w:rPr>
        <w:t xml:space="preserve">ue </w:t>
      </w:r>
      <w:r w:rsidR="00940832">
        <w:rPr>
          <w:rFonts w:ascii="Tahoma" w:hAnsi="Tahoma" w:cs="Tahoma"/>
          <w:sz w:val="22"/>
          <w:szCs w:val="22"/>
        </w:rPr>
        <w:t xml:space="preserve">en principio se podría pensar que </w:t>
      </w:r>
      <w:r w:rsidR="003A0AC7">
        <w:rPr>
          <w:rFonts w:ascii="Tahoma" w:hAnsi="Tahoma" w:cs="Tahoma"/>
          <w:sz w:val="22"/>
          <w:szCs w:val="22"/>
        </w:rPr>
        <w:t xml:space="preserve">el </w:t>
      </w:r>
      <w:r w:rsidR="00E50215">
        <w:rPr>
          <w:rFonts w:ascii="Tahoma" w:hAnsi="Tahoma" w:cs="Tahoma"/>
          <w:sz w:val="22"/>
          <w:szCs w:val="22"/>
        </w:rPr>
        <w:t xml:space="preserve">señor </w:t>
      </w:r>
      <w:r w:rsidR="00E50215" w:rsidRPr="00267CE0">
        <w:rPr>
          <w:rFonts w:ascii="Tahoma" w:hAnsi="Tahoma" w:cs="Tahoma"/>
          <w:sz w:val="22"/>
          <w:szCs w:val="22"/>
        </w:rPr>
        <w:t>José Leonel Cifuentes Agudelo</w:t>
      </w:r>
      <w:r w:rsidR="00E50215">
        <w:rPr>
          <w:rFonts w:ascii="Tahoma" w:hAnsi="Tahoma" w:cs="Tahoma"/>
          <w:sz w:val="22"/>
          <w:szCs w:val="22"/>
        </w:rPr>
        <w:t xml:space="preserve"> dejó causad</w:t>
      </w:r>
      <w:r w:rsidR="00D75987">
        <w:rPr>
          <w:rFonts w:ascii="Tahoma" w:hAnsi="Tahoma" w:cs="Tahoma"/>
          <w:sz w:val="22"/>
          <w:szCs w:val="22"/>
        </w:rPr>
        <w:t>a</w:t>
      </w:r>
      <w:r w:rsidR="00D75987" w:rsidRPr="00D75987">
        <w:rPr>
          <w:rFonts w:ascii="Tahoma" w:hAnsi="Tahoma" w:cs="Tahoma"/>
          <w:sz w:val="22"/>
          <w:szCs w:val="22"/>
        </w:rPr>
        <w:t xml:space="preserve"> </w:t>
      </w:r>
      <w:r w:rsidR="00D75987">
        <w:rPr>
          <w:rFonts w:ascii="Tahoma" w:hAnsi="Tahoma" w:cs="Tahoma"/>
          <w:sz w:val="22"/>
          <w:szCs w:val="22"/>
        </w:rPr>
        <w:t>la pensión de sobrevivientes contemplada en el Acuerdo 049 de 1990</w:t>
      </w:r>
      <w:r w:rsidR="00940832">
        <w:rPr>
          <w:rFonts w:ascii="Tahoma" w:hAnsi="Tahoma" w:cs="Tahoma"/>
          <w:sz w:val="22"/>
          <w:szCs w:val="22"/>
        </w:rPr>
        <w:t>, en virtud del principio de la condición más beneficiosa,</w:t>
      </w:r>
      <w:r w:rsidR="00E50215">
        <w:rPr>
          <w:rFonts w:ascii="Tahoma" w:hAnsi="Tahoma" w:cs="Tahoma"/>
          <w:sz w:val="22"/>
          <w:szCs w:val="22"/>
        </w:rPr>
        <w:t xml:space="preserve"> </w:t>
      </w:r>
      <w:r w:rsidR="00D75987">
        <w:rPr>
          <w:rFonts w:ascii="Tahoma" w:hAnsi="Tahoma" w:cs="Tahoma"/>
          <w:sz w:val="22"/>
          <w:szCs w:val="22"/>
        </w:rPr>
        <w:t xml:space="preserve">pues </w:t>
      </w:r>
      <w:r w:rsidR="00D75987">
        <w:rPr>
          <w:rFonts w:ascii="Tahoma" w:hAnsi="Tahoma" w:cs="Tahoma"/>
          <w:sz w:val="22"/>
          <w:szCs w:val="22"/>
        </w:rPr>
        <w:lastRenderedPageBreak/>
        <w:t xml:space="preserve">contaba </w:t>
      </w:r>
      <w:r w:rsidR="00E50215">
        <w:rPr>
          <w:rFonts w:ascii="Tahoma" w:hAnsi="Tahoma" w:cs="Tahoma"/>
          <w:sz w:val="22"/>
          <w:szCs w:val="22"/>
        </w:rPr>
        <w:t>con más de 150 semanas en los 6 años anteriores al 1º de abril de 1994, y más de 150 en los 6 años siguientes a esa fecha</w:t>
      </w:r>
      <w:r w:rsidR="00D75987">
        <w:rPr>
          <w:rFonts w:ascii="Tahoma" w:hAnsi="Tahoma" w:cs="Tahoma"/>
          <w:sz w:val="22"/>
          <w:szCs w:val="22"/>
        </w:rPr>
        <w:t xml:space="preserve">; no obstante, como el </w:t>
      </w:r>
      <w:r w:rsidR="00D75987" w:rsidRPr="00267CE0">
        <w:rPr>
          <w:rFonts w:ascii="Tahoma" w:hAnsi="Tahoma" w:cs="Tahoma"/>
          <w:sz w:val="22"/>
          <w:szCs w:val="22"/>
        </w:rPr>
        <w:t xml:space="preserve">30 de julio de 2003 </w:t>
      </w:r>
      <w:r w:rsidR="00D75987">
        <w:rPr>
          <w:rFonts w:ascii="Tahoma" w:hAnsi="Tahoma" w:cs="Tahoma"/>
          <w:sz w:val="22"/>
          <w:szCs w:val="22"/>
        </w:rPr>
        <w:t>se le reconoció la indemnización sustitutiva de la pensión de vejez, aquellas semanas no podían ser tenidas en cuenta</w:t>
      </w:r>
      <w:r w:rsidR="00D75987" w:rsidRPr="00267CE0">
        <w:rPr>
          <w:rFonts w:ascii="Tahoma" w:hAnsi="Tahoma" w:cs="Tahoma"/>
          <w:sz w:val="22"/>
          <w:szCs w:val="22"/>
        </w:rPr>
        <w:t xml:space="preserve"> para reclamar una prestación distinta</w:t>
      </w:r>
      <w:r w:rsidR="00876308">
        <w:rPr>
          <w:rFonts w:ascii="Tahoma" w:hAnsi="Tahoma" w:cs="Tahoma"/>
          <w:sz w:val="22"/>
          <w:szCs w:val="22"/>
        </w:rPr>
        <w:t xml:space="preserve">, pues quedó </w:t>
      </w:r>
      <w:r w:rsidR="00876308" w:rsidRPr="00267CE0">
        <w:rPr>
          <w:rFonts w:ascii="Tahoma" w:hAnsi="Tahoma" w:cs="Tahoma"/>
          <w:sz w:val="22"/>
          <w:szCs w:val="22"/>
        </w:rPr>
        <w:t>desafiliado del sistema y</w:t>
      </w:r>
      <w:r w:rsidR="00876308">
        <w:rPr>
          <w:rFonts w:ascii="Tahoma" w:hAnsi="Tahoma" w:cs="Tahoma"/>
          <w:sz w:val="22"/>
          <w:szCs w:val="22"/>
        </w:rPr>
        <w:t>,</w:t>
      </w:r>
      <w:r w:rsidR="00876308" w:rsidRPr="00267CE0">
        <w:rPr>
          <w:rFonts w:ascii="Tahoma" w:hAnsi="Tahoma" w:cs="Tahoma"/>
          <w:sz w:val="22"/>
          <w:szCs w:val="22"/>
        </w:rPr>
        <w:t xml:space="preserve"> por lo tanto</w:t>
      </w:r>
      <w:r w:rsidR="00876308">
        <w:rPr>
          <w:rFonts w:ascii="Tahoma" w:hAnsi="Tahoma" w:cs="Tahoma"/>
          <w:sz w:val="22"/>
          <w:szCs w:val="22"/>
        </w:rPr>
        <w:t>,</w:t>
      </w:r>
      <w:r w:rsidR="00876308" w:rsidRPr="00267CE0">
        <w:rPr>
          <w:rFonts w:ascii="Tahoma" w:hAnsi="Tahoma" w:cs="Tahoma"/>
          <w:sz w:val="22"/>
          <w:szCs w:val="22"/>
        </w:rPr>
        <w:t xml:space="preserve"> no dej</w:t>
      </w:r>
      <w:r w:rsidR="00876308">
        <w:rPr>
          <w:rFonts w:ascii="Tahoma" w:hAnsi="Tahoma" w:cs="Tahoma"/>
          <w:sz w:val="22"/>
          <w:szCs w:val="22"/>
        </w:rPr>
        <w:t>ó</w:t>
      </w:r>
      <w:r w:rsidR="00876308" w:rsidRPr="00267CE0">
        <w:rPr>
          <w:rFonts w:ascii="Tahoma" w:hAnsi="Tahoma" w:cs="Tahoma"/>
          <w:sz w:val="22"/>
          <w:szCs w:val="22"/>
        </w:rPr>
        <w:t xml:space="preserve"> causado el derecho</w:t>
      </w:r>
      <w:r w:rsidR="00876308">
        <w:rPr>
          <w:rFonts w:ascii="Tahoma" w:hAnsi="Tahoma" w:cs="Tahoma"/>
          <w:sz w:val="22"/>
          <w:szCs w:val="22"/>
        </w:rPr>
        <w:t>, tal como lo ha sostenido este tribunal.</w:t>
      </w:r>
    </w:p>
    <w:p w:rsidR="00266939" w:rsidRPr="00267CE0" w:rsidRDefault="00266939" w:rsidP="002169D0">
      <w:pPr>
        <w:tabs>
          <w:tab w:val="left" w:pos="0"/>
        </w:tabs>
        <w:spacing w:line="276" w:lineRule="auto"/>
        <w:jc w:val="both"/>
        <w:rPr>
          <w:rFonts w:ascii="Tahoma" w:hAnsi="Tahoma" w:cs="Tahoma"/>
          <w:sz w:val="22"/>
          <w:szCs w:val="22"/>
        </w:rPr>
      </w:pPr>
    </w:p>
    <w:p w:rsidR="00BF4F59" w:rsidRPr="00267CE0" w:rsidRDefault="00BF4F59" w:rsidP="002169D0">
      <w:pPr>
        <w:widowControl w:val="0"/>
        <w:numPr>
          <w:ilvl w:val="0"/>
          <w:numId w:val="1"/>
        </w:numPr>
        <w:tabs>
          <w:tab w:val="clear" w:pos="1080"/>
          <w:tab w:val="num" w:pos="374"/>
        </w:tabs>
        <w:autoSpaceDE w:val="0"/>
        <w:autoSpaceDN w:val="0"/>
        <w:adjustRightInd w:val="0"/>
        <w:spacing w:line="276" w:lineRule="auto"/>
        <w:ind w:left="0" w:firstLine="0"/>
        <w:jc w:val="center"/>
        <w:rPr>
          <w:rFonts w:ascii="Tahoma" w:hAnsi="Tahoma" w:cs="Tahoma"/>
          <w:b/>
          <w:sz w:val="22"/>
          <w:szCs w:val="22"/>
        </w:rPr>
      </w:pPr>
      <w:r w:rsidRPr="00267CE0">
        <w:rPr>
          <w:rFonts w:ascii="Tahoma" w:hAnsi="Tahoma" w:cs="Tahoma"/>
          <w:b/>
          <w:sz w:val="22"/>
          <w:szCs w:val="22"/>
        </w:rPr>
        <w:t>Procedencia de la consulta</w:t>
      </w:r>
    </w:p>
    <w:p w:rsidR="00BF4F59" w:rsidRPr="00267CE0" w:rsidRDefault="00BF4F59" w:rsidP="002169D0">
      <w:pPr>
        <w:pStyle w:val="Sansinterligne"/>
        <w:spacing w:line="276" w:lineRule="auto"/>
        <w:rPr>
          <w:sz w:val="22"/>
          <w:szCs w:val="22"/>
        </w:rPr>
      </w:pPr>
    </w:p>
    <w:p w:rsidR="00BF4F59" w:rsidRPr="000D629B" w:rsidRDefault="00BF4F59" w:rsidP="002169D0">
      <w:pPr>
        <w:pStyle w:val="Retraitcorpsdetexte"/>
        <w:spacing w:line="276" w:lineRule="auto"/>
        <w:ind w:firstLine="561"/>
        <w:rPr>
          <w:sz w:val="22"/>
          <w:szCs w:val="22"/>
        </w:rPr>
      </w:pPr>
      <w:r w:rsidRPr="00267CE0">
        <w:rPr>
          <w:sz w:val="22"/>
          <w:szCs w:val="22"/>
        </w:rPr>
        <w:t xml:space="preserve">Como quiera que la sentencia </w:t>
      </w:r>
      <w:r w:rsidR="00266939" w:rsidRPr="00267CE0">
        <w:rPr>
          <w:sz w:val="22"/>
          <w:szCs w:val="22"/>
        </w:rPr>
        <w:t>fue</w:t>
      </w:r>
      <w:r w:rsidRPr="00267CE0">
        <w:rPr>
          <w:sz w:val="22"/>
          <w:szCs w:val="22"/>
        </w:rPr>
        <w:t xml:space="preserve"> totalmente desfavorable para </w:t>
      </w:r>
      <w:r w:rsidR="00266939" w:rsidRPr="00267CE0">
        <w:rPr>
          <w:sz w:val="22"/>
          <w:szCs w:val="22"/>
        </w:rPr>
        <w:t xml:space="preserve">la demandante </w:t>
      </w:r>
      <w:r w:rsidRPr="00267CE0">
        <w:rPr>
          <w:sz w:val="22"/>
          <w:szCs w:val="22"/>
        </w:rPr>
        <w:t>y no fue apelada, se dispuso el grad</w:t>
      </w:r>
      <w:r w:rsidRPr="000D629B">
        <w:rPr>
          <w:sz w:val="22"/>
          <w:szCs w:val="22"/>
        </w:rPr>
        <w:t>o jurisdiccional de consulta.</w:t>
      </w:r>
    </w:p>
    <w:p w:rsidR="00B6315C" w:rsidRPr="000D629B" w:rsidRDefault="00B6315C" w:rsidP="002169D0">
      <w:pPr>
        <w:spacing w:line="276" w:lineRule="auto"/>
        <w:jc w:val="both"/>
        <w:rPr>
          <w:rFonts w:ascii="Tahoma" w:hAnsi="Tahoma" w:cs="Tahoma"/>
          <w:sz w:val="22"/>
          <w:szCs w:val="22"/>
        </w:rPr>
      </w:pPr>
    </w:p>
    <w:p w:rsidR="008B7665" w:rsidRPr="000D629B" w:rsidRDefault="00BF4F59" w:rsidP="002169D0">
      <w:pPr>
        <w:widowControl w:val="0"/>
        <w:numPr>
          <w:ilvl w:val="0"/>
          <w:numId w:val="1"/>
        </w:numPr>
        <w:tabs>
          <w:tab w:val="clear" w:pos="1080"/>
          <w:tab w:val="num" w:pos="374"/>
        </w:tabs>
        <w:autoSpaceDE w:val="0"/>
        <w:autoSpaceDN w:val="0"/>
        <w:adjustRightInd w:val="0"/>
        <w:spacing w:line="276" w:lineRule="auto"/>
        <w:ind w:left="0" w:firstLine="0"/>
        <w:jc w:val="center"/>
        <w:rPr>
          <w:rFonts w:ascii="Tahoma" w:hAnsi="Tahoma" w:cs="Tahoma"/>
          <w:b/>
          <w:caps/>
          <w:sz w:val="22"/>
          <w:szCs w:val="22"/>
        </w:rPr>
      </w:pPr>
      <w:r w:rsidRPr="000D629B">
        <w:rPr>
          <w:rFonts w:ascii="Tahoma" w:hAnsi="Tahoma" w:cs="Tahoma"/>
          <w:b/>
          <w:sz w:val="22"/>
          <w:szCs w:val="22"/>
        </w:rPr>
        <w:t>Consideraciones</w:t>
      </w:r>
      <w:r w:rsidR="008B7665" w:rsidRPr="000D629B">
        <w:rPr>
          <w:rFonts w:ascii="Tahoma" w:hAnsi="Tahoma" w:cs="Tahoma"/>
          <w:caps/>
          <w:sz w:val="22"/>
          <w:szCs w:val="22"/>
        </w:rPr>
        <w:tab/>
      </w:r>
    </w:p>
    <w:p w:rsidR="00267CE0" w:rsidRPr="000D629B" w:rsidRDefault="00267CE0" w:rsidP="002169D0">
      <w:pPr>
        <w:tabs>
          <w:tab w:val="left" w:pos="567"/>
        </w:tabs>
        <w:spacing w:line="276" w:lineRule="auto"/>
        <w:jc w:val="both"/>
        <w:rPr>
          <w:rFonts w:ascii="Tahoma" w:hAnsi="Tahoma" w:cs="Tahoma"/>
          <w:sz w:val="22"/>
          <w:szCs w:val="22"/>
        </w:rPr>
      </w:pPr>
    </w:p>
    <w:p w:rsidR="000D629B" w:rsidRPr="000D629B" w:rsidRDefault="000D629B" w:rsidP="000D629B">
      <w:pPr>
        <w:pStyle w:val="Corpsdetexte"/>
        <w:numPr>
          <w:ilvl w:val="1"/>
          <w:numId w:val="4"/>
        </w:numPr>
        <w:spacing w:after="0" w:line="276" w:lineRule="auto"/>
        <w:ind w:left="709" w:right="51" w:firstLine="0"/>
        <w:jc w:val="both"/>
        <w:rPr>
          <w:rFonts w:ascii="Tahoma" w:hAnsi="Tahoma" w:cs="Tahoma"/>
          <w:b/>
          <w:bCs/>
          <w:sz w:val="22"/>
          <w:szCs w:val="22"/>
        </w:rPr>
      </w:pPr>
      <w:r w:rsidRPr="000D629B">
        <w:rPr>
          <w:rFonts w:ascii="Tahoma" w:hAnsi="Tahoma" w:cs="Tahoma"/>
          <w:b/>
          <w:bCs/>
          <w:sz w:val="22"/>
          <w:szCs w:val="22"/>
        </w:rPr>
        <w:t>Jurisprudencia de la sala de casación laboral de la corte suprema de justicia respecto a los efectos jurídicos que produce el pago de la indemnización sustitutiva de la pensión de vejez</w:t>
      </w:r>
    </w:p>
    <w:p w:rsidR="000D629B" w:rsidRPr="000D629B" w:rsidRDefault="000D629B" w:rsidP="000D629B">
      <w:pPr>
        <w:spacing w:line="276" w:lineRule="auto"/>
        <w:jc w:val="both"/>
        <w:rPr>
          <w:rFonts w:ascii="Tahoma" w:hAnsi="Tahoma" w:cs="Tahoma"/>
          <w:sz w:val="22"/>
          <w:szCs w:val="22"/>
        </w:rPr>
      </w:pPr>
    </w:p>
    <w:p w:rsidR="000D629B" w:rsidRPr="000D629B" w:rsidRDefault="000D629B" w:rsidP="000D629B">
      <w:pPr>
        <w:spacing w:line="276" w:lineRule="auto"/>
        <w:ind w:firstLine="708"/>
        <w:jc w:val="both"/>
        <w:rPr>
          <w:rFonts w:ascii="Tahoma" w:hAnsi="Tahoma" w:cs="Tahoma"/>
          <w:bCs/>
          <w:sz w:val="22"/>
          <w:szCs w:val="22"/>
        </w:rPr>
      </w:pPr>
      <w:r w:rsidRPr="000D629B">
        <w:rPr>
          <w:rFonts w:ascii="Tahoma" w:hAnsi="Tahoma" w:cs="Tahoma"/>
          <w:bCs/>
          <w:sz w:val="22"/>
          <w:szCs w:val="22"/>
        </w:rPr>
        <w:t xml:space="preserve">Como bien lo expone el recurrente, la Sala de Casación Laboral de la Corte Suprema de Justicia ha resaltado que, a la luz de la filosofía y los principios del Sistema General de Seguridad Social, el reconocimiento que se haga de la indemnización sustitutiva no afecta la eventualidad del derecho a la pensión de invalidez, por cuanto se trata de dos beneficios legales diversos, que buscan amparar riesgos disímiles y, por tanto, se soportan en exigencias legales diferentes, por lo que nada se opone para que un afiliado, que no reunió en su momento los requisitos de la pensión de vejez y, por ello, se le cancele la citada indemnización, pueda seguir como asegurado del sistema pensional para otro tipo de contingencias y, con ello, genere las respectivas prestaciones económicas. </w:t>
      </w:r>
    </w:p>
    <w:p w:rsidR="000D629B" w:rsidRPr="000D629B" w:rsidRDefault="000D629B" w:rsidP="000D629B">
      <w:pPr>
        <w:spacing w:line="276" w:lineRule="auto"/>
        <w:ind w:right="51"/>
        <w:jc w:val="both"/>
        <w:rPr>
          <w:rFonts w:ascii="Tahoma" w:hAnsi="Tahoma" w:cs="Tahoma"/>
          <w:bCs/>
          <w:sz w:val="22"/>
          <w:szCs w:val="22"/>
        </w:rPr>
      </w:pPr>
    </w:p>
    <w:p w:rsidR="000D629B" w:rsidRPr="000D629B" w:rsidRDefault="000D629B" w:rsidP="000D629B">
      <w:pPr>
        <w:widowControl w:val="0"/>
        <w:autoSpaceDE w:val="0"/>
        <w:autoSpaceDN w:val="0"/>
        <w:adjustRightInd w:val="0"/>
        <w:spacing w:line="276" w:lineRule="auto"/>
        <w:ind w:right="51" w:firstLine="708"/>
        <w:jc w:val="both"/>
        <w:rPr>
          <w:rFonts w:ascii="Tahoma" w:hAnsi="Tahoma" w:cs="Tahoma"/>
          <w:i/>
          <w:sz w:val="22"/>
          <w:szCs w:val="22"/>
        </w:rPr>
      </w:pPr>
      <w:r w:rsidRPr="000D629B">
        <w:rPr>
          <w:rFonts w:ascii="Tahoma" w:hAnsi="Tahoma" w:cs="Tahoma"/>
          <w:bCs/>
          <w:sz w:val="22"/>
          <w:szCs w:val="22"/>
        </w:rPr>
        <w:t>Así lo indicó en sentencia del pasado 16 de agosto de 2015, Rad. 45857, con ponencia del Magistrado Rigoberto Echeverry Bueno, que se acompasa entre otras con la sentencia del 27 agosto de 2008, rad. 33885, en la que se indicó que la afiliación al Sistema Pensional no desaparece con el pago de la indemnización sustitutiva o la devolución de saldos en RAIS</w:t>
      </w:r>
      <w:r w:rsidRPr="000D629B">
        <w:rPr>
          <w:rStyle w:val="Appelnotedebasdep"/>
          <w:rFonts w:ascii="Tahoma" w:hAnsi="Tahoma" w:cs="Tahoma"/>
          <w:bCs/>
          <w:sz w:val="22"/>
          <w:szCs w:val="22"/>
        </w:rPr>
        <w:footnoteReference w:id="1"/>
      </w:r>
      <w:r w:rsidRPr="000D629B">
        <w:rPr>
          <w:rFonts w:ascii="Tahoma" w:hAnsi="Tahoma" w:cs="Tahoma"/>
          <w:bCs/>
          <w:sz w:val="22"/>
          <w:szCs w:val="22"/>
        </w:rPr>
        <w:t xml:space="preserve">. Vale destacar de dicha sentencia, la conclusión en el sentido de que </w:t>
      </w:r>
      <w:r w:rsidRPr="000D629B">
        <w:rPr>
          <w:rFonts w:ascii="Tahoma" w:hAnsi="Tahoma" w:cs="Tahoma"/>
          <w:bCs/>
          <w:i/>
          <w:sz w:val="22"/>
          <w:szCs w:val="22"/>
        </w:rPr>
        <w:t>“</w:t>
      </w:r>
      <w:r w:rsidRPr="000D629B">
        <w:rPr>
          <w:rFonts w:ascii="Tahoma" w:hAnsi="Tahoma" w:cs="Tahoma"/>
          <w:i/>
          <w:sz w:val="22"/>
          <w:szCs w:val="22"/>
        </w:rPr>
        <w:t>aunque el asegurado no tenga derecho a la prestación por vejez, puede perfectamente dejar causado el derecho a la pensión de sobrevivencia en favor de sus legítimos derechohabientes”.</w:t>
      </w:r>
    </w:p>
    <w:p w:rsidR="000D629B" w:rsidRPr="000D629B" w:rsidRDefault="000D629B" w:rsidP="000D629B">
      <w:pPr>
        <w:widowControl w:val="0"/>
        <w:autoSpaceDE w:val="0"/>
        <w:autoSpaceDN w:val="0"/>
        <w:adjustRightInd w:val="0"/>
        <w:spacing w:line="276" w:lineRule="auto"/>
        <w:ind w:right="51"/>
        <w:jc w:val="both"/>
        <w:rPr>
          <w:rFonts w:ascii="Tahoma" w:hAnsi="Tahoma" w:cs="Tahoma"/>
          <w:i/>
          <w:sz w:val="22"/>
          <w:szCs w:val="22"/>
        </w:rPr>
      </w:pPr>
    </w:p>
    <w:p w:rsidR="000D629B" w:rsidRPr="000D629B" w:rsidRDefault="000D629B" w:rsidP="000D629B">
      <w:pPr>
        <w:widowControl w:val="0"/>
        <w:autoSpaceDE w:val="0"/>
        <w:autoSpaceDN w:val="0"/>
        <w:adjustRightInd w:val="0"/>
        <w:spacing w:line="276" w:lineRule="auto"/>
        <w:ind w:right="51" w:firstLine="708"/>
        <w:jc w:val="both"/>
        <w:rPr>
          <w:rFonts w:ascii="Tahoma" w:hAnsi="Tahoma" w:cs="Tahoma"/>
          <w:sz w:val="22"/>
          <w:szCs w:val="22"/>
        </w:rPr>
      </w:pPr>
      <w:r w:rsidRPr="000D629B">
        <w:rPr>
          <w:rFonts w:ascii="Tahoma" w:hAnsi="Tahoma" w:cs="Tahoma"/>
          <w:sz w:val="22"/>
          <w:szCs w:val="22"/>
        </w:rPr>
        <w:t xml:space="preserve">A la luz de esa consolidada línea jurisprudencial, atendiendo al precedente vertical sobre la materia, la Sala decidió recoger su precedente horizontal, expresado en la sentencia del 24 de abril de 2015, que es contrario a la interpretación de la Corte Suprema, lo que comporta un nuevo entendimiento del asunto, pues la circunstancia de que el afiliado haya recibido la indemnización sustitutiva de la pensión de vejez o la devolución de su saldo en la cuenta de ahorro individual, prevista en el artículo 66 de la Ley 100 de 1993, no impide, como ya se ha expuesto, que este o sus derechohabientes se beneficien de una pensión distinta al riesgo de vejez, como sería el caso de la pensión de invalidez, incluso cuando esta se estructura en fecha posterior a la devolución del saldo o al pago de la indemnización sustitutiva, sin que pueda afirmarse que por esta razón la cobertura del riesgo de invalidez se extiende de manera indefinida más allá de tal fecha, pues no puede perderse de vista que la exigencia de un número mínimo de semanas cotizadas con anterioridad a la estructuración de la invalidez, hace que la cobertura tenga un límite en el tiempo. </w:t>
      </w:r>
    </w:p>
    <w:p w:rsidR="000D629B" w:rsidRPr="000D629B" w:rsidRDefault="000D629B" w:rsidP="000D629B">
      <w:pPr>
        <w:widowControl w:val="0"/>
        <w:autoSpaceDE w:val="0"/>
        <w:autoSpaceDN w:val="0"/>
        <w:adjustRightInd w:val="0"/>
        <w:spacing w:line="276" w:lineRule="auto"/>
        <w:ind w:right="51" w:firstLine="708"/>
        <w:rPr>
          <w:rFonts w:ascii="Tahoma" w:hAnsi="Tahoma" w:cs="Tahoma"/>
          <w:sz w:val="22"/>
          <w:szCs w:val="22"/>
        </w:rPr>
      </w:pPr>
    </w:p>
    <w:p w:rsidR="000D629B" w:rsidRPr="000D629B" w:rsidRDefault="000D629B" w:rsidP="000D629B">
      <w:pPr>
        <w:widowControl w:val="0"/>
        <w:autoSpaceDE w:val="0"/>
        <w:autoSpaceDN w:val="0"/>
        <w:adjustRightInd w:val="0"/>
        <w:spacing w:line="276" w:lineRule="auto"/>
        <w:ind w:right="51" w:firstLine="708"/>
        <w:jc w:val="both"/>
        <w:rPr>
          <w:rFonts w:ascii="Tahoma" w:hAnsi="Tahoma" w:cs="Tahoma"/>
          <w:sz w:val="22"/>
          <w:szCs w:val="22"/>
        </w:rPr>
      </w:pPr>
      <w:r w:rsidRPr="000D629B">
        <w:rPr>
          <w:rFonts w:ascii="Tahoma" w:hAnsi="Tahoma" w:cs="Tahoma"/>
          <w:sz w:val="22"/>
          <w:szCs w:val="22"/>
        </w:rPr>
        <w:t xml:space="preserve">Debe advertirse que en esa misma línea se pronunció la Sala Mayoritaria de la Sala Laboral en sentencia reciente, con ponencia del Magistrado Julio César Salazar Muñoz, en la que se indicó, en </w:t>
      </w:r>
      <w:r w:rsidRPr="000D629B">
        <w:rPr>
          <w:rFonts w:ascii="Tahoma" w:hAnsi="Tahoma" w:cs="Tahoma"/>
          <w:sz w:val="22"/>
          <w:szCs w:val="22"/>
        </w:rPr>
        <w:lastRenderedPageBreak/>
        <w:t>consonancia con la aludida sentencia SL 11234 de 26 de agosto de 2015 radicación Nº 45.857, de la Sala de Casación Laboral, que un afiliado al que se le había reconocido la indemnización sustitutiva de la pensión de vejez, podía reconocérsele la pensión de invalidez, siempre y cuando cumpla con los requisitos exigidos para el momento en que se estructure la invalidez.</w:t>
      </w:r>
    </w:p>
    <w:p w:rsidR="000D629B" w:rsidRPr="000D629B" w:rsidRDefault="000D629B" w:rsidP="000D629B">
      <w:pPr>
        <w:spacing w:line="276" w:lineRule="auto"/>
        <w:jc w:val="both"/>
        <w:rPr>
          <w:rFonts w:ascii="Tahoma" w:hAnsi="Tahoma" w:cs="Tahoma"/>
          <w:sz w:val="22"/>
          <w:szCs w:val="22"/>
        </w:rPr>
      </w:pPr>
    </w:p>
    <w:p w:rsidR="000D629B" w:rsidRPr="000D629B" w:rsidRDefault="000D629B" w:rsidP="000D629B">
      <w:pPr>
        <w:pStyle w:val="Paragraphedeliste"/>
        <w:numPr>
          <w:ilvl w:val="1"/>
          <w:numId w:val="4"/>
        </w:numPr>
        <w:spacing w:line="276" w:lineRule="auto"/>
        <w:ind w:left="709" w:firstLine="0"/>
        <w:jc w:val="both"/>
        <w:rPr>
          <w:rFonts w:ascii="Tahoma" w:hAnsi="Tahoma" w:cs="Tahoma"/>
          <w:b/>
          <w:caps/>
          <w:sz w:val="22"/>
          <w:szCs w:val="22"/>
        </w:rPr>
      </w:pPr>
      <w:r w:rsidRPr="000D629B">
        <w:rPr>
          <w:rFonts w:ascii="Tahoma" w:hAnsi="Tahoma" w:cs="Tahoma"/>
          <w:b/>
          <w:sz w:val="22"/>
          <w:szCs w:val="22"/>
        </w:rPr>
        <w:t>Del principio de la condición más beneficiosa</w:t>
      </w:r>
    </w:p>
    <w:p w:rsidR="000D629B" w:rsidRPr="000D629B" w:rsidRDefault="000D629B" w:rsidP="000D629B">
      <w:pPr>
        <w:tabs>
          <w:tab w:val="left" w:pos="567"/>
        </w:tabs>
        <w:jc w:val="both"/>
        <w:rPr>
          <w:rFonts w:ascii="Tahoma" w:hAnsi="Tahoma" w:cs="Tahoma"/>
          <w:sz w:val="22"/>
          <w:szCs w:val="22"/>
        </w:rPr>
      </w:pPr>
    </w:p>
    <w:p w:rsidR="000D629B" w:rsidRPr="000D629B" w:rsidRDefault="000D629B" w:rsidP="000D629B">
      <w:pPr>
        <w:autoSpaceDE w:val="0"/>
        <w:autoSpaceDN w:val="0"/>
        <w:adjustRightInd w:val="0"/>
        <w:spacing w:line="276" w:lineRule="auto"/>
        <w:ind w:firstLine="708"/>
        <w:jc w:val="both"/>
        <w:rPr>
          <w:rFonts w:ascii="Tahoma" w:hAnsi="Tahoma" w:cs="Tahoma"/>
          <w:sz w:val="22"/>
          <w:szCs w:val="22"/>
        </w:rPr>
      </w:pPr>
      <w:r w:rsidRPr="000D629B">
        <w:rPr>
          <w:rFonts w:ascii="Tahoma" w:hAnsi="Tahoma" w:cs="Tahoma"/>
          <w:sz w:val="22"/>
          <w:szCs w:val="22"/>
        </w:rPr>
        <w:t xml:space="preserve">Como bien lo advirtió el juzgador de primera instancia, en el sub lite resulta aplicable el principio de la condición más beneficiosa y es factible acudir al Acuerdo 049 de 1990, pues </w:t>
      </w:r>
      <w:r>
        <w:rPr>
          <w:rFonts w:ascii="Tahoma" w:hAnsi="Tahoma" w:cs="Tahoma"/>
          <w:sz w:val="22"/>
          <w:szCs w:val="22"/>
        </w:rPr>
        <w:t>el causante contaba con 188 semanas cotizadas entre el 1º de abril de 1988 y el primero de abril de 1994, y entre el 1º de abril de 1994 y el 1º de abril de 2000 tenía 198 semanas cotizadas</w:t>
      </w:r>
      <w:r w:rsidRPr="000D629B">
        <w:rPr>
          <w:rFonts w:ascii="Tahoma" w:hAnsi="Tahoma" w:cs="Tahoma"/>
          <w:sz w:val="22"/>
          <w:szCs w:val="22"/>
        </w:rPr>
        <w:t>, tal como fue acreditado sin oposición en sede de primera instancia, cifra</w:t>
      </w:r>
      <w:r w:rsidR="00CB61CA">
        <w:rPr>
          <w:rFonts w:ascii="Tahoma" w:hAnsi="Tahoma" w:cs="Tahoma"/>
          <w:sz w:val="22"/>
          <w:szCs w:val="22"/>
        </w:rPr>
        <w:t>s</w:t>
      </w:r>
      <w:r w:rsidRPr="000D629B">
        <w:rPr>
          <w:rFonts w:ascii="Tahoma" w:hAnsi="Tahoma" w:cs="Tahoma"/>
          <w:sz w:val="22"/>
          <w:szCs w:val="22"/>
        </w:rPr>
        <w:t xml:space="preserve"> que resulta</w:t>
      </w:r>
      <w:r w:rsidR="00CB61CA">
        <w:rPr>
          <w:rFonts w:ascii="Tahoma" w:hAnsi="Tahoma" w:cs="Tahoma"/>
          <w:sz w:val="22"/>
          <w:szCs w:val="22"/>
        </w:rPr>
        <w:t xml:space="preserve">n </w:t>
      </w:r>
      <w:r w:rsidRPr="000D629B">
        <w:rPr>
          <w:rFonts w:ascii="Tahoma" w:hAnsi="Tahoma" w:cs="Tahoma"/>
          <w:sz w:val="22"/>
          <w:szCs w:val="22"/>
        </w:rPr>
        <w:t>superior</w:t>
      </w:r>
      <w:r w:rsidR="00CB61CA">
        <w:rPr>
          <w:rFonts w:ascii="Tahoma" w:hAnsi="Tahoma" w:cs="Tahoma"/>
          <w:sz w:val="22"/>
          <w:szCs w:val="22"/>
        </w:rPr>
        <w:t>es</w:t>
      </w:r>
      <w:r w:rsidRPr="000D629B">
        <w:rPr>
          <w:rFonts w:ascii="Tahoma" w:hAnsi="Tahoma" w:cs="Tahoma"/>
          <w:sz w:val="22"/>
          <w:szCs w:val="22"/>
        </w:rPr>
        <w:t xml:space="preserve"> a las </w:t>
      </w:r>
      <w:r w:rsidR="00CB61CA">
        <w:rPr>
          <w:rFonts w:ascii="Tahoma" w:hAnsi="Tahoma" w:cs="Tahoma"/>
          <w:sz w:val="22"/>
          <w:szCs w:val="22"/>
        </w:rPr>
        <w:t>150 e</w:t>
      </w:r>
      <w:r w:rsidRPr="000D629B">
        <w:rPr>
          <w:rFonts w:ascii="Tahoma" w:hAnsi="Tahoma" w:cs="Tahoma"/>
          <w:sz w:val="22"/>
          <w:szCs w:val="22"/>
        </w:rPr>
        <w:t xml:space="preserve">xigidas </w:t>
      </w:r>
      <w:r w:rsidR="00CB61CA">
        <w:rPr>
          <w:rFonts w:ascii="Tahoma" w:hAnsi="Tahoma" w:cs="Tahoma"/>
          <w:sz w:val="22"/>
          <w:szCs w:val="22"/>
        </w:rPr>
        <w:t>jurisprudencialmente en cada uno de esos interregnos</w:t>
      </w:r>
      <w:r w:rsidRPr="000D629B">
        <w:rPr>
          <w:rFonts w:ascii="Tahoma" w:hAnsi="Tahoma" w:cs="Tahoma"/>
          <w:sz w:val="22"/>
          <w:szCs w:val="22"/>
        </w:rPr>
        <w:t xml:space="preserve">. Ello sin embargo, como pasa a explicarse, se convierte en un obstáculo a la hora de acoger el criterio jurisprudencial acabado de exponer en el anterior acápite, según el cual el pago de la indemnización sustitutiva de la pensión de vejez no impide el posterior reconocimiento de la pensión de invalidez o sobreviviente, ya que bajo la egida del acuerdo 049 de 1990 </w:t>
      </w:r>
      <w:r w:rsidRPr="00CB61CA">
        <w:rPr>
          <w:rFonts w:ascii="Tahoma" w:hAnsi="Tahoma" w:cs="Tahoma"/>
          <w:i/>
          <w:sz w:val="22"/>
          <w:szCs w:val="22"/>
        </w:rPr>
        <w:t>-que sería la norma aplicable a efectos de reconocer la pensión de</w:t>
      </w:r>
      <w:r w:rsidR="00CB61CA" w:rsidRPr="00CB61CA">
        <w:rPr>
          <w:rFonts w:ascii="Tahoma" w:hAnsi="Tahoma" w:cs="Tahoma"/>
          <w:i/>
          <w:sz w:val="22"/>
          <w:szCs w:val="22"/>
        </w:rPr>
        <w:t xml:space="preserve"> sobrevivientes con 150 semanas en los 6 años anteriores y 150 semanas con los 6 años posteriores a la entra en vigencia de la Ley 100 de 1993</w:t>
      </w:r>
      <w:r w:rsidRPr="00CB61CA">
        <w:rPr>
          <w:rFonts w:ascii="Tahoma" w:hAnsi="Tahoma" w:cs="Tahoma"/>
          <w:i/>
          <w:sz w:val="22"/>
          <w:szCs w:val="22"/>
        </w:rPr>
        <w:t>-</w:t>
      </w:r>
      <w:r w:rsidRPr="000D629B">
        <w:rPr>
          <w:rFonts w:ascii="Tahoma" w:hAnsi="Tahoma" w:cs="Tahoma"/>
          <w:sz w:val="22"/>
          <w:szCs w:val="22"/>
        </w:rPr>
        <w:t xml:space="preserve"> la cobertura del aseguramiento en vejez, invalidez y muerte, tiene un límite en tiempo, llegado al cual el afiliado tiene derecho al pago de la indemnización sustitutiva, en el evento en que no haya alcanzado a cotizar la densidad mínima de semanas cotizadas. Señala el artículo 14 del mencionado acuerdo: </w:t>
      </w:r>
    </w:p>
    <w:p w:rsidR="000D629B" w:rsidRPr="000D629B" w:rsidRDefault="000D629B" w:rsidP="000D629B">
      <w:pPr>
        <w:shd w:val="clear" w:color="auto" w:fill="F1F1F1"/>
        <w:spacing w:before="100" w:beforeAutospacing="1" w:after="100" w:afterAutospacing="1" w:line="270" w:lineRule="atLeast"/>
        <w:ind w:left="709" w:right="901"/>
        <w:jc w:val="both"/>
        <w:rPr>
          <w:rFonts w:ascii="Arial Narrow" w:hAnsi="Arial Narrow" w:cs="Tahoma"/>
          <w:i/>
          <w:color w:val="000000"/>
          <w:sz w:val="22"/>
          <w:szCs w:val="22"/>
        </w:rPr>
      </w:pPr>
      <w:r w:rsidRPr="000D629B">
        <w:rPr>
          <w:rFonts w:ascii="Arial Narrow" w:hAnsi="Arial Narrow" w:cs="Tahoma"/>
          <w:i/>
          <w:color w:val="000000"/>
          <w:sz w:val="22"/>
          <w:szCs w:val="22"/>
        </w:rPr>
        <w:t>Las personas que habiendo cumplido las edades mínimas exigidas para adquirir el derecho a la pensión de vejez, se retiraren definitivamente de las actividades sujetas al seguro social y no hubieren acreditado el número mínimo de semanas de cotización requeridas para que tal derecho se cause, percibirán en sustitución, por cada veinticinco (25) semanas de cotización acreditadas, una indemnización equivalente a una mensualidad de la pensión por invalidez permanente total que les hubiere correspondido en el supuesto de haberse invalidado al cumplimiento de la respectiva edad.</w:t>
      </w:r>
    </w:p>
    <w:p w:rsidR="000D629B" w:rsidRPr="000D629B" w:rsidRDefault="000D629B" w:rsidP="000D629B">
      <w:pPr>
        <w:shd w:val="clear" w:color="auto" w:fill="F1F1F1"/>
        <w:spacing w:before="100" w:beforeAutospacing="1" w:after="100" w:afterAutospacing="1" w:line="270" w:lineRule="atLeast"/>
        <w:ind w:left="709" w:right="901"/>
        <w:jc w:val="both"/>
        <w:rPr>
          <w:rFonts w:ascii="Arial Narrow" w:hAnsi="Arial Narrow" w:cs="Tahoma"/>
          <w:i/>
          <w:color w:val="000000"/>
          <w:sz w:val="22"/>
          <w:szCs w:val="22"/>
        </w:rPr>
      </w:pPr>
      <w:r w:rsidRPr="000D629B">
        <w:rPr>
          <w:rFonts w:ascii="Arial Narrow" w:hAnsi="Arial Narrow" w:cs="Tahoma"/>
          <w:i/>
          <w:color w:val="000000"/>
          <w:sz w:val="22"/>
          <w:szCs w:val="22"/>
        </w:rPr>
        <w:t>Para conceder esta indemnización se requiere, que no hayan transcurrido más de diez (10) años entre el período a que corresponde la última cotización acreditada y la fecha de cumplimiento de las edades para adquirir el derecho a la pensión de vejez, y que el asegurado tenga acreditadas no menos de cien (100) semanas de cotización.</w:t>
      </w:r>
    </w:p>
    <w:p w:rsidR="000D629B" w:rsidRPr="000D629B" w:rsidRDefault="000D629B" w:rsidP="000D629B">
      <w:pPr>
        <w:autoSpaceDE w:val="0"/>
        <w:autoSpaceDN w:val="0"/>
        <w:adjustRightInd w:val="0"/>
        <w:spacing w:line="276" w:lineRule="auto"/>
        <w:ind w:firstLine="708"/>
        <w:jc w:val="both"/>
        <w:rPr>
          <w:rFonts w:ascii="Tahoma" w:hAnsi="Tahoma" w:cs="Tahoma"/>
          <w:sz w:val="22"/>
          <w:szCs w:val="22"/>
        </w:rPr>
      </w:pPr>
      <w:r w:rsidRPr="000D629B">
        <w:rPr>
          <w:rFonts w:ascii="Tahoma" w:hAnsi="Tahoma" w:cs="Tahoma"/>
          <w:sz w:val="22"/>
          <w:szCs w:val="22"/>
        </w:rPr>
        <w:t xml:space="preserve">Pero además, en virtud literal d), artículo 2º del citado acuerdo, las personas que se hayan pensionado por el Régimen de los Seguros Sociales Obligatorios (hoy régimen de prima media con prestación definida) o hubieren recibido la indemnización sustitutiva de la pensión de vejez o de invalidez por riesgo común, quedan excluidos del seguro de invalidez, vejez y muerte. </w:t>
      </w:r>
    </w:p>
    <w:p w:rsidR="000D629B" w:rsidRPr="000D629B" w:rsidRDefault="000D629B" w:rsidP="000D629B">
      <w:pPr>
        <w:autoSpaceDE w:val="0"/>
        <w:autoSpaceDN w:val="0"/>
        <w:adjustRightInd w:val="0"/>
        <w:spacing w:line="276" w:lineRule="auto"/>
        <w:jc w:val="both"/>
        <w:rPr>
          <w:rFonts w:ascii="Tahoma" w:hAnsi="Tahoma" w:cs="Tahoma"/>
          <w:sz w:val="22"/>
          <w:szCs w:val="22"/>
        </w:rPr>
      </w:pPr>
    </w:p>
    <w:p w:rsidR="000D629B" w:rsidRPr="000D629B" w:rsidRDefault="000D629B" w:rsidP="000D629B">
      <w:pPr>
        <w:autoSpaceDE w:val="0"/>
        <w:autoSpaceDN w:val="0"/>
        <w:adjustRightInd w:val="0"/>
        <w:spacing w:line="276" w:lineRule="auto"/>
        <w:ind w:firstLine="708"/>
        <w:jc w:val="both"/>
        <w:rPr>
          <w:rFonts w:ascii="Tahoma" w:hAnsi="Tahoma" w:cs="Tahoma"/>
          <w:sz w:val="22"/>
          <w:szCs w:val="22"/>
        </w:rPr>
      </w:pPr>
      <w:r w:rsidRPr="000D629B">
        <w:rPr>
          <w:rFonts w:ascii="Tahoma" w:hAnsi="Tahoma" w:cs="Tahoma"/>
          <w:sz w:val="22"/>
          <w:szCs w:val="22"/>
        </w:rPr>
        <w:t>Dichas normas aplicadas al caso concreto, impiden a</w:t>
      </w:r>
      <w:r w:rsidR="00CB61CA">
        <w:rPr>
          <w:rFonts w:ascii="Tahoma" w:hAnsi="Tahoma" w:cs="Tahoma"/>
          <w:sz w:val="22"/>
          <w:szCs w:val="22"/>
        </w:rPr>
        <w:t xml:space="preserve"> </w:t>
      </w:r>
      <w:r w:rsidRPr="000D629B">
        <w:rPr>
          <w:rFonts w:ascii="Tahoma" w:hAnsi="Tahoma" w:cs="Tahoma"/>
          <w:sz w:val="22"/>
          <w:szCs w:val="22"/>
        </w:rPr>
        <w:t>l</w:t>
      </w:r>
      <w:r w:rsidR="00CB61CA">
        <w:rPr>
          <w:rFonts w:ascii="Tahoma" w:hAnsi="Tahoma" w:cs="Tahoma"/>
          <w:sz w:val="22"/>
          <w:szCs w:val="22"/>
        </w:rPr>
        <w:t>a</w:t>
      </w:r>
      <w:r w:rsidRPr="000D629B">
        <w:rPr>
          <w:rFonts w:ascii="Tahoma" w:hAnsi="Tahoma" w:cs="Tahoma"/>
          <w:sz w:val="22"/>
          <w:szCs w:val="22"/>
        </w:rPr>
        <w:t xml:space="preserve"> </w:t>
      </w:r>
      <w:r w:rsidR="00CB61CA">
        <w:rPr>
          <w:rFonts w:ascii="Tahoma" w:hAnsi="Tahoma" w:cs="Tahoma"/>
          <w:sz w:val="22"/>
          <w:szCs w:val="22"/>
        </w:rPr>
        <w:t xml:space="preserve">demandante </w:t>
      </w:r>
      <w:r w:rsidRPr="000D629B">
        <w:rPr>
          <w:rFonts w:ascii="Tahoma" w:hAnsi="Tahoma" w:cs="Tahoma"/>
          <w:sz w:val="22"/>
          <w:szCs w:val="22"/>
        </w:rPr>
        <w:t>acceder al pago de la pensión de</w:t>
      </w:r>
      <w:r w:rsidR="00CB61CA">
        <w:rPr>
          <w:rFonts w:ascii="Tahoma" w:hAnsi="Tahoma" w:cs="Tahoma"/>
          <w:sz w:val="22"/>
          <w:szCs w:val="22"/>
        </w:rPr>
        <w:t xml:space="preserve"> sobrevivientes</w:t>
      </w:r>
      <w:r w:rsidRPr="000D629B">
        <w:rPr>
          <w:rFonts w:ascii="Tahoma" w:hAnsi="Tahoma" w:cs="Tahoma"/>
          <w:sz w:val="22"/>
          <w:szCs w:val="22"/>
        </w:rPr>
        <w:t xml:space="preserve">, </w:t>
      </w:r>
      <w:r w:rsidR="00CB61CA">
        <w:rPr>
          <w:rFonts w:ascii="Tahoma" w:hAnsi="Tahoma" w:cs="Tahoma"/>
          <w:sz w:val="22"/>
          <w:szCs w:val="22"/>
        </w:rPr>
        <w:t xml:space="preserve">habida consideración </w:t>
      </w:r>
      <w:r w:rsidRPr="000D629B">
        <w:rPr>
          <w:rFonts w:ascii="Tahoma" w:hAnsi="Tahoma" w:cs="Tahoma"/>
          <w:sz w:val="22"/>
          <w:szCs w:val="22"/>
        </w:rPr>
        <w:t>que</w:t>
      </w:r>
      <w:r w:rsidR="00CB61CA">
        <w:rPr>
          <w:rFonts w:ascii="Tahoma" w:hAnsi="Tahoma" w:cs="Tahoma"/>
          <w:sz w:val="22"/>
          <w:szCs w:val="22"/>
        </w:rPr>
        <w:t xml:space="preserve"> el señor José Leonel Cifuentes Agudelo</w:t>
      </w:r>
      <w:r w:rsidRPr="000D629B">
        <w:rPr>
          <w:rFonts w:ascii="Tahoma" w:hAnsi="Tahoma" w:cs="Tahoma"/>
          <w:sz w:val="22"/>
          <w:szCs w:val="22"/>
        </w:rPr>
        <w:t xml:space="preserve"> </w:t>
      </w:r>
      <w:r w:rsidR="00CB61CA">
        <w:rPr>
          <w:rFonts w:ascii="Tahoma" w:hAnsi="Tahoma" w:cs="Tahoma"/>
          <w:sz w:val="22"/>
          <w:szCs w:val="22"/>
        </w:rPr>
        <w:t xml:space="preserve">recibió </w:t>
      </w:r>
      <w:r w:rsidRPr="000D629B">
        <w:rPr>
          <w:rFonts w:ascii="Tahoma" w:hAnsi="Tahoma" w:cs="Tahoma"/>
          <w:sz w:val="22"/>
          <w:szCs w:val="22"/>
        </w:rPr>
        <w:t xml:space="preserve">la indemnización sustitutiva de la pensión de vejez, en virtud de lo cual debe aplicarse al caso en particular el artículo el artículo 2º del acuerdo 049 de 1990, el cual, como atrás se indicó, dispone expresamente la exclusión del seguro de invalidez, vejez y muerte de las personas que hubieren recibido el pago de tal prestación (esto es, la indemnización sustitutiva de vejez). </w:t>
      </w:r>
    </w:p>
    <w:p w:rsidR="000D629B" w:rsidRPr="000D629B" w:rsidRDefault="000D629B" w:rsidP="000D629B">
      <w:pPr>
        <w:autoSpaceDE w:val="0"/>
        <w:autoSpaceDN w:val="0"/>
        <w:adjustRightInd w:val="0"/>
        <w:spacing w:line="276" w:lineRule="auto"/>
        <w:ind w:firstLine="708"/>
        <w:jc w:val="both"/>
        <w:rPr>
          <w:rFonts w:ascii="Tahoma" w:hAnsi="Tahoma" w:cs="Tahoma"/>
          <w:sz w:val="22"/>
          <w:szCs w:val="22"/>
        </w:rPr>
      </w:pPr>
    </w:p>
    <w:p w:rsidR="000D629B" w:rsidRPr="000D629B" w:rsidRDefault="000D629B" w:rsidP="00CB61CA">
      <w:pPr>
        <w:autoSpaceDE w:val="0"/>
        <w:autoSpaceDN w:val="0"/>
        <w:adjustRightInd w:val="0"/>
        <w:spacing w:line="276" w:lineRule="auto"/>
        <w:ind w:firstLine="708"/>
        <w:jc w:val="both"/>
        <w:rPr>
          <w:rFonts w:ascii="Tahoma" w:hAnsi="Tahoma" w:cs="Tahoma"/>
          <w:sz w:val="22"/>
          <w:szCs w:val="22"/>
        </w:rPr>
      </w:pPr>
      <w:r w:rsidRPr="000D629B">
        <w:rPr>
          <w:rFonts w:ascii="Tahoma" w:hAnsi="Tahoma" w:cs="Tahoma"/>
          <w:sz w:val="22"/>
          <w:szCs w:val="22"/>
        </w:rPr>
        <w:t xml:space="preserve">En este orden de ideas, como quiera que en aplicación de la condición más beneficiosa, </w:t>
      </w:r>
      <w:r w:rsidR="00CB61CA">
        <w:rPr>
          <w:rFonts w:ascii="Tahoma" w:hAnsi="Tahoma" w:cs="Tahoma"/>
          <w:sz w:val="22"/>
          <w:szCs w:val="22"/>
        </w:rPr>
        <w:t xml:space="preserve">la actora </w:t>
      </w:r>
      <w:r w:rsidRPr="000D629B">
        <w:rPr>
          <w:rFonts w:ascii="Tahoma" w:hAnsi="Tahoma" w:cs="Tahoma"/>
          <w:sz w:val="22"/>
          <w:szCs w:val="22"/>
        </w:rPr>
        <w:t xml:space="preserve">solicita que su pensión de </w:t>
      </w:r>
      <w:r w:rsidR="00CB61CA">
        <w:rPr>
          <w:rFonts w:ascii="Tahoma" w:hAnsi="Tahoma" w:cs="Tahoma"/>
          <w:sz w:val="22"/>
          <w:szCs w:val="22"/>
        </w:rPr>
        <w:t xml:space="preserve">sobrevivientes </w:t>
      </w:r>
      <w:r w:rsidRPr="000D629B">
        <w:rPr>
          <w:rFonts w:ascii="Tahoma" w:hAnsi="Tahoma" w:cs="Tahoma"/>
          <w:sz w:val="22"/>
          <w:szCs w:val="22"/>
        </w:rPr>
        <w:t xml:space="preserve">se resuelva con base en los requisitos previstos en el acuerdo 049 de 1990, y en dicha norma, como se ha explicado, existe </w:t>
      </w:r>
      <w:r w:rsidR="00CB61CA">
        <w:rPr>
          <w:rFonts w:ascii="Tahoma" w:hAnsi="Tahoma" w:cs="Tahoma"/>
          <w:sz w:val="22"/>
          <w:szCs w:val="22"/>
        </w:rPr>
        <w:t>disposición e</w:t>
      </w:r>
      <w:r w:rsidRPr="000D629B">
        <w:rPr>
          <w:rFonts w:ascii="Tahoma" w:hAnsi="Tahoma" w:cs="Tahoma"/>
          <w:sz w:val="22"/>
          <w:szCs w:val="22"/>
        </w:rPr>
        <w:t xml:space="preserve">xpresa que </w:t>
      </w:r>
      <w:r w:rsidR="00CB61CA" w:rsidRPr="00CB61CA">
        <w:rPr>
          <w:rFonts w:ascii="Tahoma" w:hAnsi="Tahoma" w:cs="Tahoma"/>
          <w:sz w:val="22"/>
          <w:szCs w:val="22"/>
        </w:rPr>
        <w:t xml:space="preserve">excluye </w:t>
      </w:r>
      <w:r w:rsidR="00CB61CA" w:rsidRPr="00CB61CA">
        <w:rPr>
          <w:rFonts w:ascii="Tahoma" w:hAnsi="Tahoma" w:cs="Tahoma"/>
          <w:color w:val="000000"/>
          <w:sz w:val="22"/>
          <w:szCs w:val="22"/>
        </w:rPr>
        <w:t>del Seguro Social Obligatorio de Invalidez, Vejez y Muerte a las personas que se hayan pensionado por el Régimen de los Seguros Sociales Obligatorios o hubieren recibido la indemnización sustitutiva de la pensión de vejez o de invalidez por riesgo común</w:t>
      </w:r>
      <w:r w:rsidRPr="000D629B">
        <w:rPr>
          <w:rFonts w:ascii="Tahoma" w:hAnsi="Tahoma" w:cs="Tahoma"/>
          <w:sz w:val="22"/>
          <w:szCs w:val="22"/>
        </w:rPr>
        <w:t xml:space="preserve">, forzoso resulta confirma la decisión de primera instancia. </w:t>
      </w:r>
    </w:p>
    <w:p w:rsidR="000D629B" w:rsidRPr="000D629B" w:rsidRDefault="000D629B" w:rsidP="000D629B">
      <w:pPr>
        <w:widowControl w:val="0"/>
        <w:autoSpaceDE w:val="0"/>
        <w:autoSpaceDN w:val="0"/>
        <w:adjustRightInd w:val="0"/>
        <w:spacing w:line="276" w:lineRule="auto"/>
        <w:ind w:firstLine="708"/>
        <w:jc w:val="both"/>
        <w:rPr>
          <w:rFonts w:ascii="Tahoma" w:hAnsi="Tahoma" w:cs="Tahoma"/>
          <w:b/>
          <w:sz w:val="22"/>
          <w:szCs w:val="22"/>
        </w:rPr>
      </w:pPr>
    </w:p>
    <w:p w:rsidR="000D629B" w:rsidRPr="000D629B" w:rsidRDefault="00CB61CA" w:rsidP="000D629B">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Sin costas en este grado jurisdiccional</w:t>
      </w:r>
      <w:r w:rsidR="000D629B" w:rsidRPr="000D629B">
        <w:rPr>
          <w:rFonts w:ascii="Tahoma" w:hAnsi="Tahoma" w:cs="Tahoma"/>
          <w:sz w:val="22"/>
          <w:szCs w:val="22"/>
        </w:rPr>
        <w:t xml:space="preserve">. </w:t>
      </w:r>
    </w:p>
    <w:p w:rsidR="000D629B" w:rsidRPr="000D629B" w:rsidRDefault="000D629B" w:rsidP="000D629B">
      <w:pPr>
        <w:widowControl w:val="0"/>
        <w:autoSpaceDE w:val="0"/>
        <w:autoSpaceDN w:val="0"/>
        <w:adjustRightInd w:val="0"/>
        <w:spacing w:line="276" w:lineRule="auto"/>
        <w:ind w:firstLine="708"/>
        <w:jc w:val="both"/>
        <w:rPr>
          <w:rFonts w:ascii="Tahoma" w:hAnsi="Tahoma" w:cs="Tahoma"/>
          <w:sz w:val="22"/>
          <w:szCs w:val="22"/>
        </w:rPr>
      </w:pPr>
    </w:p>
    <w:p w:rsidR="000D629B" w:rsidRPr="000D629B" w:rsidRDefault="000D629B" w:rsidP="000D629B">
      <w:pPr>
        <w:pStyle w:val="Retraitcorpsdetexte"/>
        <w:spacing w:line="276" w:lineRule="auto"/>
        <w:rPr>
          <w:sz w:val="22"/>
          <w:szCs w:val="22"/>
        </w:rPr>
      </w:pPr>
      <w:r w:rsidRPr="000D629B">
        <w:rPr>
          <w:sz w:val="22"/>
          <w:szCs w:val="22"/>
        </w:rPr>
        <w:t>En mérito de lo expuesto,</w:t>
      </w:r>
      <w:r w:rsidRPr="000D629B">
        <w:rPr>
          <w:b/>
          <w:sz w:val="22"/>
          <w:szCs w:val="22"/>
        </w:rPr>
        <w:t xml:space="preserve"> </w:t>
      </w:r>
      <w:r w:rsidRPr="000D629B">
        <w:rPr>
          <w:b/>
          <w:sz w:val="22"/>
          <w:szCs w:val="22"/>
          <w:lang w:val="es-ES_tradnl"/>
        </w:rPr>
        <w:t>la Sala No. 1º de Decisión Laboral del Tribunal Superior de Pereira</w:t>
      </w:r>
      <w:r w:rsidRPr="000D629B">
        <w:rPr>
          <w:sz w:val="22"/>
          <w:szCs w:val="22"/>
        </w:rPr>
        <w:t>, administrando justicia en nombre de la República y por autoridad de la Ley,</w:t>
      </w:r>
    </w:p>
    <w:p w:rsidR="000D629B" w:rsidRPr="000D629B" w:rsidRDefault="000D629B" w:rsidP="000D629B">
      <w:pPr>
        <w:pStyle w:val="Retraitcorpsdetexte"/>
        <w:tabs>
          <w:tab w:val="left" w:pos="3780"/>
        </w:tabs>
        <w:spacing w:line="240" w:lineRule="auto"/>
        <w:rPr>
          <w:sz w:val="22"/>
          <w:szCs w:val="22"/>
        </w:rPr>
      </w:pPr>
      <w:r w:rsidRPr="000D629B">
        <w:rPr>
          <w:sz w:val="22"/>
          <w:szCs w:val="22"/>
        </w:rPr>
        <w:tab/>
      </w:r>
    </w:p>
    <w:p w:rsidR="000D629B" w:rsidRPr="000D629B" w:rsidRDefault="000D629B" w:rsidP="000D629B">
      <w:pPr>
        <w:widowControl w:val="0"/>
        <w:autoSpaceDE w:val="0"/>
        <w:autoSpaceDN w:val="0"/>
        <w:adjustRightInd w:val="0"/>
        <w:spacing w:line="276" w:lineRule="auto"/>
        <w:jc w:val="center"/>
        <w:rPr>
          <w:rFonts w:ascii="Tahoma" w:hAnsi="Tahoma" w:cs="Tahoma"/>
          <w:b/>
          <w:sz w:val="22"/>
          <w:szCs w:val="22"/>
        </w:rPr>
      </w:pPr>
      <w:r w:rsidRPr="000D629B">
        <w:rPr>
          <w:rFonts w:ascii="Tahoma" w:hAnsi="Tahoma" w:cs="Tahoma"/>
          <w:b/>
          <w:sz w:val="22"/>
          <w:szCs w:val="22"/>
        </w:rPr>
        <w:t>R E S U E L V E:</w:t>
      </w:r>
    </w:p>
    <w:p w:rsidR="000D629B" w:rsidRPr="000D629B" w:rsidRDefault="000D629B" w:rsidP="000D629B">
      <w:pPr>
        <w:widowControl w:val="0"/>
        <w:autoSpaceDE w:val="0"/>
        <w:autoSpaceDN w:val="0"/>
        <w:adjustRightInd w:val="0"/>
        <w:jc w:val="center"/>
        <w:rPr>
          <w:rFonts w:ascii="Tahoma" w:hAnsi="Tahoma" w:cs="Tahoma"/>
          <w:b/>
          <w:sz w:val="22"/>
          <w:szCs w:val="22"/>
        </w:rPr>
      </w:pPr>
    </w:p>
    <w:p w:rsidR="000D629B" w:rsidRPr="000D629B" w:rsidRDefault="000D629B" w:rsidP="000D629B">
      <w:pPr>
        <w:spacing w:line="276" w:lineRule="auto"/>
        <w:ind w:firstLine="709"/>
        <w:jc w:val="both"/>
        <w:rPr>
          <w:rFonts w:ascii="Tahoma" w:hAnsi="Tahoma" w:cs="Tahoma"/>
          <w:b/>
          <w:sz w:val="22"/>
          <w:szCs w:val="22"/>
        </w:rPr>
      </w:pPr>
      <w:r w:rsidRPr="000D629B">
        <w:rPr>
          <w:rFonts w:ascii="Tahoma" w:hAnsi="Tahoma" w:cs="Tahoma"/>
          <w:b/>
          <w:sz w:val="22"/>
          <w:szCs w:val="22"/>
          <w:u w:val="single"/>
        </w:rPr>
        <w:t>PRIMERO</w:t>
      </w:r>
      <w:r w:rsidRPr="000D629B">
        <w:rPr>
          <w:rFonts w:ascii="Tahoma" w:hAnsi="Tahoma" w:cs="Tahoma"/>
          <w:sz w:val="22"/>
          <w:szCs w:val="22"/>
        </w:rPr>
        <w:t xml:space="preserve">.- </w:t>
      </w:r>
      <w:r w:rsidRPr="000D629B">
        <w:rPr>
          <w:rFonts w:ascii="Tahoma" w:hAnsi="Tahoma" w:cs="Tahoma"/>
          <w:b/>
          <w:sz w:val="22"/>
          <w:szCs w:val="22"/>
        </w:rPr>
        <w:t>CONFIRMAR</w:t>
      </w:r>
      <w:r w:rsidRPr="000D629B">
        <w:rPr>
          <w:rFonts w:ascii="Tahoma" w:hAnsi="Tahoma" w:cs="Tahoma"/>
          <w:sz w:val="22"/>
          <w:szCs w:val="22"/>
        </w:rPr>
        <w:t xml:space="preserve"> la sentencia proferida el 22 de febrero de 2016 por el Juzgado  </w:t>
      </w:r>
      <w:r w:rsidR="00192884">
        <w:rPr>
          <w:rFonts w:ascii="Tahoma" w:hAnsi="Tahoma" w:cs="Tahoma"/>
          <w:sz w:val="22"/>
          <w:szCs w:val="22"/>
        </w:rPr>
        <w:t xml:space="preserve">Cuarto </w:t>
      </w:r>
      <w:r w:rsidRPr="000D629B">
        <w:rPr>
          <w:rFonts w:ascii="Tahoma" w:hAnsi="Tahoma" w:cs="Tahoma"/>
          <w:sz w:val="22"/>
          <w:szCs w:val="22"/>
        </w:rPr>
        <w:t>Laboral del Circuito de Pereira dentro del proceso ordinario laboral promovido por</w:t>
      </w:r>
      <w:r w:rsidR="00CB61CA">
        <w:rPr>
          <w:rFonts w:ascii="Tahoma" w:hAnsi="Tahoma" w:cs="Tahoma"/>
          <w:sz w:val="22"/>
          <w:szCs w:val="22"/>
        </w:rPr>
        <w:t xml:space="preserve"> Rosa María Agudelo Valencia </w:t>
      </w:r>
      <w:r w:rsidRPr="000D629B">
        <w:rPr>
          <w:rFonts w:ascii="Tahoma" w:hAnsi="Tahoma" w:cs="Tahoma"/>
          <w:sz w:val="22"/>
          <w:szCs w:val="22"/>
        </w:rPr>
        <w:t xml:space="preserve">contra </w:t>
      </w:r>
      <w:r w:rsidR="00CB61CA" w:rsidRPr="000D629B">
        <w:rPr>
          <w:rFonts w:ascii="Tahoma" w:hAnsi="Tahoma" w:cs="Tahoma"/>
          <w:b/>
          <w:sz w:val="22"/>
          <w:szCs w:val="22"/>
        </w:rPr>
        <w:t>Colpensiones</w:t>
      </w:r>
      <w:r w:rsidRPr="000D629B">
        <w:rPr>
          <w:rFonts w:ascii="Tahoma" w:hAnsi="Tahoma" w:cs="Tahoma"/>
          <w:b/>
          <w:sz w:val="22"/>
          <w:szCs w:val="22"/>
        </w:rPr>
        <w:t>.</w:t>
      </w:r>
    </w:p>
    <w:p w:rsidR="000D629B" w:rsidRPr="000D629B" w:rsidRDefault="000D629B" w:rsidP="000D629B">
      <w:pPr>
        <w:spacing w:line="276" w:lineRule="auto"/>
        <w:ind w:firstLine="709"/>
        <w:jc w:val="both"/>
        <w:rPr>
          <w:rFonts w:ascii="Tahoma" w:hAnsi="Tahoma" w:cs="Tahoma"/>
          <w:b/>
          <w:sz w:val="22"/>
          <w:szCs w:val="22"/>
        </w:rPr>
      </w:pPr>
    </w:p>
    <w:p w:rsidR="000D629B" w:rsidRPr="000D629B" w:rsidRDefault="000D629B" w:rsidP="000D629B">
      <w:pPr>
        <w:spacing w:line="276" w:lineRule="auto"/>
        <w:ind w:firstLine="709"/>
        <w:jc w:val="both"/>
        <w:rPr>
          <w:rFonts w:ascii="Tahoma" w:hAnsi="Tahoma" w:cs="Tahoma"/>
          <w:bCs/>
          <w:sz w:val="22"/>
          <w:szCs w:val="22"/>
        </w:rPr>
      </w:pPr>
      <w:r w:rsidRPr="000D629B">
        <w:rPr>
          <w:rFonts w:ascii="Tahoma" w:hAnsi="Tahoma" w:cs="Tahoma"/>
          <w:b/>
          <w:sz w:val="22"/>
          <w:szCs w:val="22"/>
          <w:u w:val="single"/>
        </w:rPr>
        <w:t>SEGUNDO</w:t>
      </w:r>
      <w:r w:rsidRPr="000D629B">
        <w:rPr>
          <w:rFonts w:ascii="Tahoma" w:hAnsi="Tahoma" w:cs="Tahoma"/>
          <w:sz w:val="22"/>
          <w:szCs w:val="22"/>
        </w:rPr>
        <w:t xml:space="preserve">.- </w:t>
      </w:r>
      <w:r w:rsidR="00CB61CA" w:rsidRPr="00CB61CA">
        <w:rPr>
          <w:rFonts w:ascii="Tahoma" w:hAnsi="Tahoma" w:cs="Tahoma"/>
          <w:bCs/>
          <w:sz w:val="22"/>
          <w:szCs w:val="22"/>
        </w:rPr>
        <w:t>Sin condena en costas en este grado jurisdiccional</w:t>
      </w:r>
    </w:p>
    <w:p w:rsidR="000D629B" w:rsidRPr="000D629B" w:rsidRDefault="000D629B" w:rsidP="000D629B">
      <w:pPr>
        <w:spacing w:line="276" w:lineRule="auto"/>
        <w:ind w:firstLine="709"/>
        <w:jc w:val="both"/>
        <w:rPr>
          <w:rFonts w:ascii="Tahoma" w:hAnsi="Tahoma" w:cs="Tahoma"/>
          <w:sz w:val="22"/>
          <w:szCs w:val="22"/>
        </w:rPr>
      </w:pPr>
    </w:p>
    <w:p w:rsidR="000D629B" w:rsidRPr="000D629B" w:rsidRDefault="000D629B" w:rsidP="000D629B">
      <w:pPr>
        <w:widowControl w:val="0"/>
        <w:autoSpaceDE w:val="0"/>
        <w:autoSpaceDN w:val="0"/>
        <w:adjustRightInd w:val="0"/>
        <w:spacing w:line="276" w:lineRule="auto"/>
        <w:jc w:val="both"/>
        <w:rPr>
          <w:rFonts w:ascii="Tahoma" w:hAnsi="Tahoma" w:cs="Tahoma"/>
          <w:b/>
          <w:bCs/>
          <w:sz w:val="22"/>
          <w:szCs w:val="22"/>
        </w:rPr>
      </w:pPr>
      <w:r w:rsidRPr="000D629B">
        <w:rPr>
          <w:rFonts w:ascii="Tahoma" w:hAnsi="Tahoma" w:cs="Tahoma"/>
          <w:sz w:val="22"/>
          <w:szCs w:val="22"/>
        </w:rPr>
        <w:tab/>
      </w:r>
      <w:r w:rsidRPr="000D629B">
        <w:rPr>
          <w:rFonts w:ascii="Tahoma" w:hAnsi="Tahoma" w:cs="Tahoma"/>
          <w:b/>
          <w:bCs/>
          <w:sz w:val="22"/>
          <w:szCs w:val="22"/>
        </w:rPr>
        <w:t>NOTIFICACIÓN SURTIDA EN ESTRADOS.</w:t>
      </w:r>
    </w:p>
    <w:p w:rsidR="000D629B" w:rsidRPr="000D629B" w:rsidRDefault="000D629B" w:rsidP="000D629B">
      <w:pPr>
        <w:widowControl w:val="0"/>
        <w:autoSpaceDE w:val="0"/>
        <w:autoSpaceDN w:val="0"/>
        <w:adjustRightInd w:val="0"/>
        <w:spacing w:line="276" w:lineRule="auto"/>
        <w:jc w:val="both"/>
        <w:rPr>
          <w:rFonts w:ascii="Tahoma" w:hAnsi="Tahoma" w:cs="Tahoma"/>
          <w:b/>
          <w:bCs/>
          <w:sz w:val="22"/>
          <w:szCs w:val="22"/>
        </w:rPr>
      </w:pPr>
    </w:p>
    <w:p w:rsidR="000D629B" w:rsidRPr="000D629B" w:rsidRDefault="000D629B" w:rsidP="000D629B">
      <w:pPr>
        <w:widowControl w:val="0"/>
        <w:autoSpaceDE w:val="0"/>
        <w:autoSpaceDN w:val="0"/>
        <w:adjustRightInd w:val="0"/>
        <w:spacing w:line="276" w:lineRule="auto"/>
        <w:ind w:firstLine="708"/>
        <w:jc w:val="both"/>
        <w:rPr>
          <w:rFonts w:ascii="Tahoma" w:hAnsi="Tahoma" w:cs="Tahoma"/>
          <w:sz w:val="22"/>
          <w:szCs w:val="22"/>
        </w:rPr>
      </w:pPr>
      <w:r w:rsidRPr="000D629B">
        <w:rPr>
          <w:rFonts w:ascii="Tahoma" w:hAnsi="Tahoma" w:cs="Tahoma"/>
          <w:b/>
          <w:sz w:val="22"/>
          <w:szCs w:val="22"/>
        </w:rPr>
        <w:t>CÚMPLASE</w:t>
      </w:r>
      <w:r w:rsidRPr="000D629B">
        <w:rPr>
          <w:rFonts w:ascii="Tahoma" w:hAnsi="Tahoma" w:cs="Tahoma"/>
          <w:sz w:val="22"/>
          <w:szCs w:val="22"/>
        </w:rPr>
        <w:t xml:space="preserve"> y </w:t>
      </w:r>
      <w:r w:rsidRPr="000D629B">
        <w:rPr>
          <w:rFonts w:ascii="Tahoma" w:hAnsi="Tahoma" w:cs="Tahoma"/>
          <w:b/>
          <w:sz w:val="22"/>
          <w:szCs w:val="22"/>
        </w:rPr>
        <w:t>DEVUÉLVASE</w:t>
      </w:r>
      <w:r w:rsidRPr="000D629B">
        <w:rPr>
          <w:rFonts w:ascii="Tahoma" w:hAnsi="Tahoma" w:cs="Tahoma"/>
          <w:sz w:val="22"/>
          <w:szCs w:val="22"/>
        </w:rPr>
        <w:t xml:space="preserve"> el expediente al Juzgado de origen.</w:t>
      </w:r>
    </w:p>
    <w:p w:rsidR="000D629B" w:rsidRPr="000D629B" w:rsidRDefault="000D629B" w:rsidP="000D629B">
      <w:pPr>
        <w:spacing w:line="276" w:lineRule="auto"/>
        <w:jc w:val="both"/>
        <w:rPr>
          <w:rFonts w:ascii="Tahoma" w:hAnsi="Tahoma" w:cs="Tahoma"/>
          <w:sz w:val="22"/>
          <w:szCs w:val="22"/>
        </w:rPr>
      </w:pPr>
      <w:r w:rsidRPr="000D629B">
        <w:rPr>
          <w:rFonts w:ascii="Tahoma" w:hAnsi="Tahoma" w:cs="Tahoma"/>
          <w:sz w:val="22"/>
          <w:szCs w:val="22"/>
        </w:rPr>
        <w:t xml:space="preserve"> </w:t>
      </w:r>
    </w:p>
    <w:p w:rsidR="000D629B" w:rsidRPr="000D629B" w:rsidRDefault="000D629B" w:rsidP="000D629B">
      <w:pPr>
        <w:spacing w:line="276" w:lineRule="auto"/>
        <w:jc w:val="both"/>
        <w:rPr>
          <w:rFonts w:ascii="Tahoma" w:hAnsi="Tahoma" w:cs="Tahoma"/>
          <w:sz w:val="22"/>
          <w:szCs w:val="22"/>
        </w:rPr>
      </w:pPr>
      <w:r w:rsidRPr="000D629B">
        <w:rPr>
          <w:rFonts w:ascii="Tahoma" w:hAnsi="Tahoma" w:cs="Tahoma"/>
          <w:sz w:val="22"/>
          <w:szCs w:val="22"/>
        </w:rPr>
        <w:t>La Magistrada,</w:t>
      </w:r>
    </w:p>
    <w:p w:rsidR="000D629B" w:rsidRPr="000D629B" w:rsidRDefault="000D629B" w:rsidP="000D629B">
      <w:pPr>
        <w:spacing w:line="276" w:lineRule="auto"/>
        <w:rPr>
          <w:sz w:val="22"/>
          <w:szCs w:val="22"/>
        </w:rPr>
      </w:pPr>
    </w:p>
    <w:p w:rsidR="000D629B" w:rsidRPr="000D629B" w:rsidRDefault="000D629B" w:rsidP="000D629B">
      <w:pPr>
        <w:spacing w:line="276" w:lineRule="auto"/>
        <w:rPr>
          <w:sz w:val="22"/>
          <w:szCs w:val="22"/>
        </w:rPr>
      </w:pPr>
    </w:p>
    <w:p w:rsidR="000D629B" w:rsidRPr="000D629B" w:rsidRDefault="000D629B" w:rsidP="000D629B">
      <w:pPr>
        <w:spacing w:line="276" w:lineRule="auto"/>
        <w:rPr>
          <w:sz w:val="22"/>
          <w:szCs w:val="22"/>
        </w:rPr>
      </w:pPr>
    </w:p>
    <w:p w:rsidR="000D629B" w:rsidRPr="000D629B" w:rsidRDefault="000D629B" w:rsidP="000D629B">
      <w:pPr>
        <w:spacing w:line="276" w:lineRule="auto"/>
        <w:rPr>
          <w:b/>
          <w:sz w:val="22"/>
          <w:szCs w:val="22"/>
        </w:rPr>
      </w:pPr>
    </w:p>
    <w:p w:rsidR="000D629B" w:rsidRPr="000D629B" w:rsidRDefault="000D629B" w:rsidP="000D629B">
      <w:pPr>
        <w:pStyle w:val="Titre3"/>
        <w:spacing w:before="0" w:line="276" w:lineRule="auto"/>
        <w:jc w:val="center"/>
        <w:rPr>
          <w:rFonts w:ascii="Tahoma" w:hAnsi="Tahoma" w:cs="Tahoma"/>
          <w:bCs w:val="0"/>
          <w:sz w:val="22"/>
          <w:szCs w:val="22"/>
        </w:rPr>
      </w:pPr>
      <w:r w:rsidRPr="000D629B">
        <w:rPr>
          <w:rFonts w:ascii="Tahoma" w:hAnsi="Tahoma" w:cs="Tahoma"/>
          <w:sz w:val="22"/>
          <w:szCs w:val="22"/>
        </w:rPr>
        <w:t>ANA LUCÍA CAICEDO CALDERÓN</w:t>
      </w:r>
    </w:p>
    <w:p w:rsidR="000D629B" w:rsidRPr="000D629B" w:rsidRDefault="000D629B" w:rsidP="000D629B">
      <w:pPr>
        <w:spacing w:line="276" w:lineRule="auto"/>
        <w:rPr>
          <w:rFonts w:ascii="Tahoma" w:hAnsi="Tahoma" w:cs="Tahoma"/>
          <w:b/>
          <w:sz w:val="22"/>
          <w:szCs w:val="22"/>
        </w:rPr>
      </w:pPr>
    </w:p>
    <w:p w:rsidR="000D629B" w:rsidRPr="000D629B" w:rsidRDefault="000D629B" w:rsidP="000D629B">
      <w:pPr>
        <w:spacing w:line="276" w:lineRule="auto"/>
        <w:rPr>
          <w:rFonts w:ascii="Tahoma" w:hAnsi="Tahoma" w:cs="Tahoma"/>
          <w:b/>
          <w:sz w:val="22"/>
          <w:szCs w:val="22"/>
        </w:rPr>
      </w:pPr>
    </w:p>
    <w:p w:rsidR="000D629B" w:rsidRPr="000D629B" w:rsidRDefault="000D629B" w:rsidP="000D629B">
      <w:pPr>
        <w:spacing w:line="276" w:lineRule="auto"/>
        <w:rPr>
          <w:rFonts w:ascii="Tahoma" w:hAnsi="Tahoma" w:cs="Tahoma"/>
          <w:sz w:val="22"/>
          <w:szCs w:val="22"/>
        </w:rPr>
      </w:pPr>
    </w:p>
    <w:p w:rsidR="000D629B" w:rsidRPr="000D629B" w:rsidRDefault="000D629B" w:rsidP="000D629B">
      <w:pPr>
        <w:spacing w:line="276" w:lineRule="auto"/>
        <w:rPr>
          <w:rFonts w:ascii="Tahoma" w:hAnsi="Tahoma" w:cs="Tahoma"/>
          <w:sz w:val="22"/>
          <w:szCs w:val="22"/>
        </w:rPr>
      </w:pPr>
      <w:r w:rsidRPr="000D629B">
        <w:rPr>
          <w:rFonts w:ascii="Tahoma" w:hAnsi="Tahoma" w:cs="Tahoma"/>
          <w:sz w:val="22"/>
          <w:szCs w:val="22"/>
        </w:rPr>
        <w:t>Los Magistrados,</w:t>
      </w:r>
    </w:p>
    <w:p w:rsidR="000D629B" w:rsidRPr="000D629B" w:rsidRDefault="000D629B" w:rsidP="000D629B">
      <w:pPr>
        <w:spacing w:line="276" w:lineRule="auto"/>
        <w:rPr>
          <w:rFonts w:ascii="Tahoma" w:hAnsi="Tahoma" w:cs="Tahoma"/>
          <w:b/>
          <w:sz w:val="22"/>
          <w:szCs w:val="22"/>
        </w:rPr>
      </w:pPr>
    </w:p>
    <w:p w:rsidR="000D629B" w:rsidRPr="000D629B" w:rsidRDefault="000D629B" w:rsidP="000D629B">
      <w:pPr>
        <w:spacing w:line="276" w:lineRule="auto"/>
        <w:rPr>
          <w:rFonts w:ascii="Tahoma" w:hAnsi="Tahoma" w:cs="Tahoma"/>
          <w:b/>
          <w:sz w:val="22"/>
          <w:szCs w:val="22"/>
        </w:rPr>
      </w:pPr>
    </w:p>
    <w:p w:rsidR="000D629B" w:rsidRPr="000D629B" w:rsidRDefault="000D629B" w:rsidP="000D629B">
      <w:pPr>
        <w:spacing w:line="276" w:lineRule="auto"/>
        <w:rPr>
          <w:rFonts w:ascii="Tahoma" w:hAnsi="Tahoma" w:cs="Tahoma"/>
          <w:b/>
          <w:sz w:val="22"/>
          <w:szCs w:val="22"/>
        </w:rPr>
      </w:pPr>
    </w:p>
    <w:p w:rsidR="000D629B" w:rsidRPr="000D629B" w:rsidRDefault="000D629B" w:rsidP="000D629B">
      <w:pPr>
        <w:spacing w:line="276" w:lineRule="auto"/>
        <w:rPr>
          <w:rFonts w:ascii="Tahoma" w:hAnsi="Tahoma" w:cs="Tahoma"/>
          <w:b/>
          <w:sz w:val="22"/>
          <w:szCs w:val="22"/>
        </w:rPr>
      </w:pPr>
    </w:p>
    <w:p w:rsidR="000D629B" w:rsidRPr="000D629B" w:rsidRDefault="000D629B" w:rsidP="000D629B">
      <w:pPr>
        <w:spacing w:line="276" w:lineRule="auto"/>
        <w:rPr>
          <w:rFonts w:ascii="Tahoma" w:hAnsi="Tahoma" w:cs="Tahoma"/>
          <w:b/>
          <w:sz w:val="22"/>
          <w:szCs w:val="22"/>
        </w:rPr>
      </w:pPr>
    </w:p>
    <w:p w:rsidR="000D629B" w:rsidRPr="000D629B" w:rsidRDefault="000D629B" w:rsidP="00CB61CA">
      <w:pPr>
        <w:spacing w:line="276" w:lineRule="auto"/>
        <w:jc w:val="center"/>
        <w:rPr>
          <w:rFonts w:ascii="Tahoma" w:hAnsi="Tahoma" w:cs="Tahoma"/>
          <w:b/>
          <w:sz w:val="22"/>
          <w:szCs w:val="22"/>
        </w:rPr>
      </w:pPr>
      <w:r w:rsidRPr="000D629B">
        <w:rPr>
          <w:rFonts w:ascii="Tahoma" w:hAnsi="Tahoma" w:cs="Tahoma"/>
          <w:b/>
          <w:sz w:val="22"/>
          <w:szCs w:val="22"/>
        </w:rPr>
        <w:t>JULIO CÉSAR SALAZAR MUÑOZ</w:t>
      </w:r>
      <w:r w:rsidRPr="000D629B">
        <w:rPr>
          <w:rFonts w:ascii="Tahoma" w:hAnsi="Tahoma" w:cs="Tahoma"/>
          <w:b/>
          <w:sz w:val="22"/>
          <w:szCs w:val="22"/>
        </w:rPr>
        <w:tab/>
      </w:r>
      <w:r w:rsidR="00CB61CA">
        <w:rPr>
          <w:rFonts w:ascii="Tahoma" w:hAnsi="Tahoma" w:cs="Tahoma"/>
          <w:b/>
          <w:sz w:val="22"/>
          <w:szCs w:val="22"/>
        </w:rPr>
        <w:t xml:space="preserve">                                </w:t>
      </w:r>
      <w:r w:rsidRPr="000D629B">
        <w:rPr>
          <w:rFonts w:ascii="Tahoma" w:hAnsi="Tahoma" w:cs="Tahoma"/>
          <w:b/>
          <w:sz w:val="22"/>
          <w:szCs w:val="22"/>
        </w:rPr>
        <w:t>FRANCISCO JAVIER TAMAYO TABARES</w:t>
      </w:r>
    </w:p>
    <w:p w:rsidR="000D629B" w:rsidRPr="000D629B" w:rsidRDefault="00FF740D" w:rsidP="000D629B">
      <w:pPr>
        <w:spacing w:line="276" w:lineRule="auto"/>
        <w:rPr>
          <w:rFonts w:ascii="Tahoma" w:hAnsi="Tahoma" w:cs="Tahoma"/>
          <w:b/>
          <w:sz w:val="22"/>
          <w:szCs w:val="22"/>
        </w:rPr>
      </w:pPr>
      <w:r>
        <w:rPr>
          <w:rFonts w:ascii="Tahoma" w:hAnsi="Tahoma" w:cs="Tahoma"/>
          <w:b/>
          <w:sz w:val="22"/>
          <w:szCs w:val="22"/>
        </w:rPr>
        <w:t xml:space="preserve">            </w:t>
      </w:r>
      <w:r w:rsidR="00CB61CA">
        <w:rPr>
          <w:rFonts w:ascii="Tahoma" w:hAnsi="Tahoma" w:cs="Tahoma"/>
          <w:b/>
          <w:sz w:val="22"/>
          <w:szCs w:val="22"/>
        </w:rPr>
        <w:t>Aclara voto</w:t>
      </w:r>
    </w:p>
    <w:p w:rsidR="000D629B" w:rsidRPr="000D629B" w:rsidRDefault="000D629B" w:rsidP="000D629B">
      <w:pPr>
        <w:spacing w:line="276" w:lineRule="auto"/>
        <w:rPr>
          <w:rFonts w:ascii="Tahoma" w:hAnsi="Tahoma" w:cs="Tahoma"/>
          <w:b/>
          <w:sz w:val="22"/>
          <w:szCs w:val="22"/>
        </w:rPr>
      </w:pPr>
    </w:p>
    <w:p w:rsidR="000D629B" w:rsidRPr="000D629B" w:rsidRDefault="000D629B" w:rsidP="000D629B">
      <w:pPr>
        <w:spacing w:line="276" w:lineRule="auto"/>
        <w:rPr>
          <w:rFonts w:ascii="Tahoma" w:hAnsi="Tahoma" w:cs="Tahoma"/>
          <w:b/>
          <w:sz w:val="22"/>
          <w:szCs w:val="22"/>
        </w:rPr>
      </w:pPr>
    </w:p>
    <w:p w:rsidR="000D629B" w:rsidRDefault="000D629B" w:rsidP="000D629B">
      <w:pPr>
        <w:spacing w:line="276" w:lineRule="auto"/>
        <w:rPr>
          <w:rFonts w:ascii="Tahoma" w:hAnsi="Tahoma" w:cs="Tahoma"/>
          <w:b/>
          <w:sz w:val="22"/>
          <w:szCs w:val="22"/>
        </w:rPr>
      </w:pPr>
    </w:p>
    <w:p w:rsidR="00BF7C87" w:rsidRDefault="00BF7C87" w:rsidP="000D629B">
      <w:pPr>
        <w:spacing w:line="276" w:lineRule="auto"/>
        <w:rPr>
          <w:rFonts w:ascii="Tahoma" w:hAnsi="Tahoma" w:cs="Tahoma"/>
          <w:b/>
          <w:sz w:val="22"/>
          <w:szCs w:val="22"/>
        </w:rPr>
      </w:pPr>
    </w:p>
    <w:p w:rsidR="00BF7C87" w:rsidRPr="000D629B" w:rsidRDefault="00BF7C87" w:rsidP="000D629B">
      <w:pPr>
        <w:spacing w:line="276" w:lineRule="auto"/>
        <w:rPr>
          <w:rFonts w:ascii="Tahoma" w:hAnsi="Tahoma" w:cs="Tahoma"/>
          <w:b/>
          <w:sz w:val="22"/>
          <w:szCs w:val="22"/>
        </w:rPr>
      </w:pPr>
    </w:p>
    <w:p w:rsidR="000D629B" w:rsidRPr="000D629B" w:rsidRDefault="000D629B" w:rsidP="000D629B">
      <w:pPr>
        <w:spacing w:line="276" w:lineRule="auto"/>
        <w:rPr>
          <w:rFonts w:ascii="Tahoma" w:hAnsi="Tahoma" w:cs="Tahoma"/>
          <w:b/>
          <w:sz w:val="22"/>
          <w:szCs w:val="22"/>
        </w:rPr>
      </w:pPr>
    </w:p>
    <w:p w:rsidR="000D629B" w:rsidRPr="000D629B" w:rsidRDefault="000D629B" w:rsidP="000D629B">
      <w:pPr>
        <w:spacing w:line="276" w:lineRule="auto"/>
        <w:jc w:val="center"/>
        <w:rPr>
          <w:rFonts w:ascii="Tahoma" w:hAnsi="Tahoma" w:cs="Tahoma"/>
          <w:sz w:val="22"/>
          <w:szCs w:val="22"/>
        </w:rPr>
      </w:pPr>
      <w:r w:rsidRPr="000D629B">
        <w:rPr>
          <w:rFonts w:ascii="Tahoma" w:hAnsi="Tahoma" w:cs="Tahoma"/>
          <w:sz w:val="22"/>
          <w:szCs w:val="22"/>
        </w:rPr>
        <w:t>Secretaria Ad-hoc</w:t>
      </w:r>
    </w:p>
    <w:p w:rsidR="000D629B" w:rsidRPr="000D629B" w:rsidRDefault="000D629B" w:rsidP="000D629B">
      <w:pPr>
        <w:spacing w:line="276" w:lineRule="auto"/>
        <w:ind w:firstLine="709"/>
        <w:jc w:val="both"/>
        <w:rPr>
          <w:rFonts w:ascii="Tahoma" w:hAnsi="Tahoma" w:cs="Tahoma"/>
          <w:sz w:val="22"/>
          <w:szCs w:val="22"/>
        </w:rPr>
      </w:pPr>
    </w:p>
    <w:p w:rsidR="00267CE0" w:rsidRPr="00267CE0" w:rsidRDefault="00267CE0" w:rsidP="000D629B">
      <w:pPr>
        <w:tabs>
          <w:tab w:val="left" w:pos="567"/>
        </w:tabs>
        <w:spacing w:line="276" w:lineRule="auto"/>
        <w:jc w:val="both"/>
        <w:rPr>
          <w:rFonts w:ascii="Tahoma" w:hAnsi="Tahoma" w:cs="Tahoma"/>
          <w:b/>
          <w:sz w:val="22"/>
          <w:szCs w:val="22"/>
        </w:rPr>
      </w:pPr>
    </w:p>
    <w:sectPr w:rsidR="00267CE0" w:rsidRPr="00267CE0" w:rsidSect="00685C86">
      <w:headerReference w:type="default" r:id="rId8"/>
      <w:footerReference w:type="default" r:id="rId9"/>
      <w:footerReference w:type="first" r:id="rId10"/>
      <w:pgSz w:w="12242" w:h="18722" w:code="121"/>
      <w:pgMar w:top="1134" w:right="1134" w:bottom="1134" w:left="1134" w:header="68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AAE" w:rsidRDefault="005A3AAE" w:rsidP="00080145">
      <w:r>
        <w:separator/>
      </w:r>
    </w:p>
  </w:endnote>
  <w:endnote w:type="continuationSeparator" w:id="0">
    <w:p w:rsidR="005A3AAE" w:rsidRDefault="005A3AAE" w:rsidP="00080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5336392"/>
      <w:docPartObj>
        <w:docPartGallery w:val="Page Numbers (Bottom of Page)"/>
        <w:docPartUnique/>
      </w:docPartObj>
    </w:sdtPr>
    <w:sdtEndPr/>
    <w:sdtContent>
      <w:p w:rsidR="00601271" w:rsidRDefault="00601271">
        <w:pPr>
          <w:pStyle w:val="Pieddepage"/>
          <w:jc w:val="right"/>
        </w:pPr>
        <w:r>
          <w:fldChar w:fldCharType="begin"/>
        </w:r>
        <w:r>
          <w:instrText>PAGE   \* MERGEFORMAT</w:instrText>
        </w:r>
        <w:r>
          <w:fldChar w:fldCharType="separate"/>
        </w:r>
        <w:r w:rsidR="00EF5615">
          <w:rPr>
            <w:noProof/>
          </w:rPr>
          <w:t>5</w:t>
        </w:r>
        <w:r>
          <w:fldChar w:fldCharType="end"/>
        </w:r>
      </w:p>
    </w:sdtContent>
  </w:sdt>
  <w:p w:rsidR="00601271" w:rsidRDefault="00601271">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8816879"/>
      <w:docPartObj>
        <w:docPartGallery w:val="Page Numbers (Bottom of Page)"/>
        <w:docPartUnique/>
      </w:docPartObj>
    </w:sdtPr>
    <w:sdtEndPr/>
    <w:sdtContent>
      <w:p w:rsidR="00601271" w:rsidRDefault="00601271">
        <w:pPr>
          <w:pStyle w:val="Pieddepage"/>
          <w:jc w:val="right"/>
        </w:pPr>
        <w:r>
          <w:fldChar w:fldCharType="begin"/>
        </w:r>
        <w:r>
          <w:instrText>PAGE   \* MERGEFORMAT</w:instrText>
        </w:r>
        <w:r>
          <w:fldChar w:fldCharType="separate"/>
        </w:r>
        <w:r w:rsidR="00EF5615">
          <w:rPr>
            <w:noProof/>
          </w:rPr>
          <w:t>1</w:t>
        </w:r>
        <w:r>
          <w:fldChar w:fldCharType="end"/>
        </w:r>
      </w:p>
    </w:sdtContent>
  </w:sdt>
  <w:p w:rsidR="00601271" w:rsidRDefault="0060127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AAE" w:rsidRDefault="005A3AAE" w:rsidP="00080145">
      <w:r>
        <w:separator/>
      </w:r>
    </w:p>
  </w:footnote>
  <w:footnote w:type="continuationSeparator" w:id="0">
    <w:p w:rsidR="005A3AAE" w:rsidRDefault="005A3AAE" w:rsidP="00080145">
      <w:r>
        <w:continuationSeparator/>
      </w:r>
    </w:p>
  </w:footnote>
  <w:footnote w:id="1">
    <w:p w:rsidR="000D629B" w:rsidRPr="000D629B" w:rsidRDefault="000D629B" w:rsidP="000D629B">
      <w:pPr>
        <w:pStyle w:val="Notedebasdepage"/>
        <w:jc w:val="both"/>
        <w:rPr>
          <w:rFonts w:ascii="Tahoma" w:hAnsi="Tahoma" w:cs="Tahoma"/>
          <w:sz w:val="16"/>
          <w:szCs w:val="16"/>
          <w:lang w:val="es-CO"/>
        </w:rPr>
      </w:pPr>
      <w:r w:rsidRPr="000D629B">
        <w:rPr>
          <w:rStyle w:val="Appelnotedebasdep"/>
          <w:rFonts w:ascii="Tahoma" w:hAnsi="Tahoma" w:cs="Tahoma"/>
          <w:sz w:val="16"/>
          <w:szCs w:val="16"/>
        </w:rPr>
        <w:footnoteRef/>
      </w:r>
      <w:r w:rsidRPr="000D629B">
        <w:rPr>
          <w:rFonts w:ascii="Tahoma" w:hAnsi="Tahoma" w:cs="Tahoma"/>
          <w:sz w:val="16"/>
          <w:szCs w:val="16"/>
        </w:rPr>
        <w:t xml:space="preserve"> Puede tomarse como sentencia hito la proferida por la Sala de Casación Laboral de la Corte Suprema de Justicia el 20 de noviembre de 2011, Rad. 30123, M.P. Camilo Humberto Tarquino Gallego, en la que se indicó que no constituye impedimento alguno para acceder a la pensión de invalidez por riesgo común, el hecho de que el afiliado hubiera recibido una indemnización sustitutiva de la pensión de vejez.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271" w:rsidRPr="007A121D" w:rsidRDefault="00601271" w:rsidP="004A6CA2">
    <w:pPr>
      <w:pStyle w:val="Titre"/>
      <w:spacing w:line="240" w:lineRule="auto"/>
      <w:jc w:val="both"/>
      <w:rPr>
        <w:rFonts w:ascii="Times New Roman" w:hAnsi="Times New Roman" w:cs="Times New Roman"/>
        <w:b w:val="0"/>
        <w:sz w:val="16"/>
        <w:szCs w:val="16"/>
      </w:rPr>
    </w:pPr>
    <w:r w:rsidRPr="007A121D">
      <w:rPr>
        <w:rFonts w:ascii="Times New Roman" w:hAnsi="Times New Roman" w:cs="Times New Roman"/>
        <w:b w:val="0"/>
        <w:sz w:val="16"/>
        <w:szCs w:val="16"/>
      </w:rPr>
      <w:t>Radicaci</w:t>
    </w:r>
    <w:r>
      <w:rPr>
        <w:rFonts w:ascii="Times New Roman" w:hAnsi="Times New Roman" w:cs="Times New Roman"/>
        <w:b w:val="0"/>
        <w:sz w:val="16"/>
        <w:szCs w:val="16"/>
      </w:rPr>
      <w:t>ón No.: 66001-31-05-004-2015-00281-01</w:t>
    </w:r>
  </w:p>
  <w:p w:rsidR="00601271" w:rsidRPr="007A121D" w:rsidRDefault="00601271" w:rsidP="004A6CA2">
    <w:pPr>
      <w:pStyle w:val="Titre"/>
      <w:spacing w:line="240" w:lineRule="auto"/>
      <w:jc w:val="both"/>
      <w:rPr>
        <w:rFonts w:ascii="Times New Roman" w:hAnsi="Times New Roman" w:cs="Times New Roman"/>
        <w:b w:val="0"/>
        <w:sz w:val="16"/>
        <w:szCs w:val="16"/>
      </w:rPr>
    </w:pPr>
    <w:r w:rsidRPr="007A121D">
      <w:rPr>
        <w:rFonts w:ascii="Times New Roman" w:hAnsi="Times New Roman" w:cs="Times New Roman"/>
        <w:b w:val="0"/>
        <w:sz w:val="16"/>
        <w:szCs w:val="16"/>
      </w:rPr>
      <w:t xml:space="preserve">Demandantes: </w:t>
    </w:r>
    <w:r>
      <w:rPr>
        <w:rFonts w:ascii="Times New Roman" w:hAnsi="Times New Roman" w:cs="Times New Roman"/>
        <w:b w:val="0"/>
        <w:sz w:val="16"/>
        <w:szCs w:val="16"/>
      </w:rPr>
      <w:t xml:space="preserve">Rosa María Agudelo Valencia </w:t>
    </w:r>
  </w:p>
  <w:p w:rsidR="00601271" w:rsidRPr="007A121D" w:rsidRDefault="00601271" w:rsidP="004A6CA2">
    <w:pPr>
      <w:pStyle w:val="Titre"/>
      <w:spacing w:line="240" w:lineRule="auto"/>
      <w:ind w:left="708" w:hanging="708"/>
      <w:jc w:val="both"/>
      <w:rPr>
        <w:rFonts w:ascii="Times New Roman" w:hAnsi="Times New Roman" w:cs="Times New Roman"/>
        <w:b w:val="0"/>
        <w:sz w:val="16"/>
        <w:szCs w:val="16"/>
      </w:rPr>
    </w:pPr>
    <w:r w:rsidRPr="007A121D">
      <w:rPr>
        <w:rFonts w:ascii="Times New Roman" w:hAnsi="Times New Roman" w:cs="Times New Roman"/>
        <w:b w:val="0"/>
        <w:sz w:val="16"/>
        <w:szCs w:val="16"/>
      </w:rPr>
      <w:t xml:space="preserve">Demandado: Colpensiones  </w:t>
    </w:r>
  </w:p>
  <w:p w:rsidR="00601271" w:rsidRPr="00480896" w:rsidRDefault="00601271" w:rsidP="00480896">
    <w:pPr>
      <w:pStyle w:val="Titre"/>
      <w:spacing w:line="240" w:lineRule="auto"/>
      <w:ind w:left="708" w:hanging="708"/>
      <w:jc w:val="both"/>
      <w:rPr>
        <w:rFonts w:ascii="Times New Roman" w:hAnsi="Times New Roman" w:cs="Times New Roman"/>
        <w:b w:val="0"/>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63691"/>
    <w:multiLevelType w:val="multilevel"/>
    <w:tmpl w:val="12B64AE6"/>
    <w:lvl w:ilvl="0">
      <w:start w:val="4"/>
      <w:numFmt w:val="decimal"/>
      <w:lvlText w:val="%1"/>
      <w:lvlJc w:val="left"/>
      <w:pPr>
        <w:ind w:left="375" w:hanging="375"/>
      </w:pPr>
      <w:rPr>
        <w:rFonts w:hint="default"/>
      </w:rPr>
    </w:lvl>
    <w:lvl w:ilvl="1">
      <w:start w:val="1"/>
      <w:numFmt w:val="decimal"/>
      <w:lvlText w:val="%1.%2"/>
      <w:lvlJc w:val="left"/>
      <w:pPr>
        <w:ind w:left="1468" w:hanging="720"/>
      </w:pPr>
      <w:rPr>
        <w:rFonts w:hint="default"/>
      </w:rPr>
    </w:lvl>
    <w:lvl w:ilvl="2">
      <w:start w:val="1"/>
      <w:numFmt w:val="decimal"/>
      <w:lvlText w:val="%1.%2.%3"/>
      <w:lvlJc w:val="left"/>
      <w:pPr>
        <w:ind w:left="2576" w:hanging="1080"/>
      </w:pPr>
      <w:rPr>
        <w:rFonts w:hint="default"/>
      </w:rPr>
    </w:lvl>
    <w:lvl w:ilvl="3">
      <w:start w:val="1"/>
      <w:numFmt w:val="decimal"/>
      <w:lvlText w:val="%1.%2.%3.%4"/>
      <w:lvlJc w:val="left"/>
      <w:pPr>
        <w:ind w:left="3324" w:hanging="1080"/>
      </w:pPr>
      <w:rPr>
        <w:rFonts w:hint="default"/>
      </w:rPr>
    </w:lvl>
    <w:lvl w:ilvl="4">
      <w:start w:val="1"/>
      <w:numFmt w:val="decimal"/>
      <w:lvlText w:val="%1.%2.%3.%4.%5"/>
      <w:lvlJc w:val="left"/>
      <w:pPr>
        <w:ind w:left="4432" w:hanging="1440"/>
      </w:pPr>
      <w:rPr>
        <w:rFonts w:hint="default"/>
      </w:rPr>
    </w:lvl>
    <w:lvl w:ilvl="5">
      <w:start w:val="1"/>
      <w:numFmt w:val="decimal"/>
      <w:lvlText w:val="%1.%2.%3.%4.%5.%6"/>
      <w:lvlJc w:val="left"/>
      <w:pPr>
        <w:ind w:left="5540" w:hanging="1800"/>
      </w:pPr>
      <w:rPr>
        <w:rFonts w:hint="default"/>
      </w:rPr>
    </w:lvl>
    <w:lvl w:ilvl="6">
      <w:start w:val="1"/>
      <w:numFmt w:val="decimal"/>
      <w:lvlText w:val="%1.%2.%3.%4.%5.%6.%7"/>
      <w:lvlJc w:val="left"/>
      <w:pPr>
        <w:ind w:left="6648" w:hanging="2160"/>
      </w:pPr>
      <w:rPr>
        <w:rFonts w:hint="default"/>
      </w:rPr>
    </w:lvl>
    <w:lvl w:ilvl="7">
      <w:start w:val="1"/>
      <w:numFmt w:val="decimal"/>
      <w:lvlText w:val="%1.%2.%3.%4.%5.%6.%7.%8"/>
      <w:lvlJc w:val="left"/>
      <w:pPr>
        <w:ind w:left="7396" w:hanging="2160"/>
      </w:pPr>
      <w:rPr>
        <w:rFonts w:hint="default"/>
      </w:rPr>
    </w:lvl>
    <w:lvl w:ilvl="8">
      <w:start w:val="1"/>
      <w:numFmt w:val="decimal"/>
      <w:lvlText w:val="%1.%2.%3.%4.%5.%6.%7.%8.%9"/>
      <w:lvlJc w:val="left"/>
      <w:pPr>
        <w:ind w:left="8504" w:hanging="2520"/>
      </w:pPr>
      <w:rPr>
        <w:rFonts w:hint="default"/>
      </w:rPr>
    </w:lvl>
  </w:abstractNum>
  <w:abstractNum w:abstractNumId="1">
    <w:nsid w:val="1BCB7A59"/>
    <w:multiLevelType w:val="multilevel"/>
    <w:tmpl w:val="E5684C70"/>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
    <w:nsid w:val="22420212"/>
    <w:multiLevelType w:val="multilevel"/>
    <w:tmpl w:val="1F904D96"/>
    <w:lvl w:ilvl="0">
      <w:start w:val="4"/>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10080" w:hanging="2520"/>
      </w:pPr>
      <w:rPr>
        <w:rFonts w:hint="default"/>
      </w:rPr>
    </w:lvl>
    <w:lvl w:ilvl="8">
      <w:start w:val="1"/>
      <w:numFmt w:val="decimal"/>
      <w:lvlText w:val="%1.%2.%3.%4.%5.%6.%7.%8.%9."/>
      <w:lvlJc w:val="left"/>
      <w:pPr>
        <w:ind w:left="11160" w:hanging="2520"/>
      </w:pPr>
      <w:rPr>
        <w:rFonts w:hint="default"/>
      </w:rPr>
    </w:lvl>
  </w:abstractNum>
  <w:abstractNum w:abstractNumId="3">
    <w:nsid w:val="66602B43"/>
    <w:multiLevelType w:val="multilevel"/>
    <w:tmpl w:val="7C08B5C6"/>
    <w:lvl w:ilvl="0">
      <w:start w:val="4"/>
      <w:numFmt w:val="decimal"/>
      <w:lvlText w:val="%1."/>
      <w:lvlJc w:val="left"/>
      <w:pPr>
        <w:ind w:left="450" w:hanging="45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80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400" w:hanging="2520"/>
      </w:pPr>
      <w:rPr>
        <w:rFont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665"/>
    <w:rsid w:val="00003960"/>
    <w:rsid w:val="00010B90"/>
    <w:rsid w:val="00017838"/>
    <w:rsid w:val="00022AEA"/>
    <w:rsid w:val="00022D82"/>
    <w:rsid w:val="00025E17"/>
    <w:rsid w:val="00034FE3"/>
    <w:rsid w:val="00040B7A"/>
    <w:rsid w:val="0005344B"/>
    <w:rsid w:val="00057B0B"/>
    <w:rsid w:val="00060436"/>
    <w:rsid w:val="00063E31"/>
    <w:rsid w:val="00074E8C"/>
    <w:rsid w:val="00075FAF"/>
    <w:rsid w:val="00076310"/>
    <w:rsid w:val="00080145"/>
    <w:rsid w:val="00081DFE"/>
    <w:rsid w:val="00084000"/>
    <w:rsid w:val="00090347"/>
    <w:rsid w:val="00092B18"/>
    <w:rsid w:val="000B27B6"/>
    <w:rsid w:val="000B5142"/>
    <w:rsid w:val="000B72CA"/>
    <w:rsid w:val="000B7BE8"/>
    <w:rsid w:val="000D629B"/>
    <w:rsid w:val="0010278F"/>
    <w:rsid w:val="00105493"/>
    <w:rsid w:val="00106257"/>
    <w:rsid w:val="00111C42"/>
    <w:rsid w:val="001250D7"/>
    <w:rsid w:val="00127A91"/>
    <w:rsid w:val="00130100"/>
    <w:rsid w:val="00137DF9"/>
    <w:rsid w:val="00141D03"/>
    <w:rsid w:val="00151264"/>
    <w:rsid w:val="00154C9C"/>
    <w:rsid w:val="00155398"/>
    <w:rsid w:val="0016363D"/>
    <w:rsid w:val="00164222"/>
    <w:rsid w:val="001666BA"/>
    <w:rsid w:val="00185231"/>
    <w:rsid w:val="00190B2F"/>
    <w:rsid w:val="00192884"/>
    <w:rsid w:val="001B08DE"/>
    <w:rsid w:val="001B2F71"/>
    <w:rsid w:val="001B5FA2"/>
    <w:rsid w:val="001C1B8C"/>
    <w:rsid w:val="001D54BD"/>
    <w:rsid w:val="001E71E0"/>
    <w:rsid w:val="001E79CD"/>
    <w:rsid w:val="001E7D67"/>
    <w:rsid w:val="001F2F55"/>
    <w:rsid w:val="001F4FC5"/>
    <w:rsid w:val="002061B0"/>
    <w:rsid w:val="002110D4"/>
    <w:rsid w:val="00212051"/>
    <w:rsid w:val="002169D0"/>
    <w:rsid w:val="00216D70"/>
    <w:rsid w:val="0023300A"/>
    <w:rsid w:val="00260476"/>
    <w:rsid w:val="00266939"/>
    <w:rsid w:val="00267CE0"/>
    <w:rsid w:val="00276B24"/>
    <w:rsid w:val="00281B5D"/>
    <w:rsid w:val="00287EFA"/>
    <w:rsid w:val="00287FF7"/>
    <w:rsid w:val="002926BB"/>
    <w:rsid w:val="002A7962"/>
    <w:rsid w:val="002D54F6"/>
    <w:rsid w:val="002E0EBC"/>
    <w:rsid w:val="002F2112"/>
    <w:rsid w:val="002F5240"/>
    <w:rsid w:val="00306E24"/>
    <w:rsid w:val="00313637"/>
    <w:rsid w:val="00320964"/>
    <w:rsid w:val="00324F00"/>
    <w:rsid w:val="003421B6"/>
    <w:rsid w:val="00343E6F"/>
    <w:rsid w:val="003460B7"/>
    <w:rsid w:val="00347056"/>
    <w:rsid w:val="003510A5"/>
    <w:rsid w:val="0035456B"/>
    <w:rsid w:val="00361575"/>
    <w:rsid w:val="0037044F"/>
    <w:rsid w:val="00371FFB"/>
    <w:rsid w:val="00372BD4"/>
    <w:rsid w:val="00375206"/>
    <w:rsid w:val="003767A7"/>
    <w:rsid w:val="00381B9C"/>
    <w:rsid w:val="00386188"/>
    <w:rsid w:val="00390200"/>
    <w:rsid w:val="003914AF"/>
    <w:rsid w:val="003A0AC7"/>
    <w:rsid w:val="003A3E8D"/>
    <w:rsid w:val="003A48D7"/>
    <w:rsid w:val="003A64A7"/>
    <w:rsid w:val="003B3D13"/>
    <w:rsid w:val="003B47EA"/>
    <w:rsid w:val="003D11DA"/>
    <w:rsid w:val="003E491B"/>
    <w:rsid w:val="003F6356"/>
    <w:rsid w:val="00403B7A"/>
    <w:rsid w:val="00412E5B"/>
    <w:rsid w:val="00414DE2"/>
    <w:rsid w:val="00415346"/>
    <w:rsid w:val="00416C98"/>
    <w:rsid w:val="004210CD"/>
    <w:rsid w:val="0042210C"/>
    <w:rsid w:val="004255EA"/>
    <w:rsid w:val="0042704A"/>
    <w:rsid w:val="0044270D"/>
    <w:rsid w:val="004447F5"/>
    <w:rsid w:val="00444DC3"/>
    <w:rsid w:val="00456229"/>
    <w:rsid w:val="004671B0"/>
    <w:rsid w:val="00467BF4"/>
    <w:rsid w:val="00472821"/>
    <w:rsid w:val="00480896"/>
    <w:rsid w:val="00491C0D"/>
    <w:rsid w:val="004950A0"/>
    <w:rsid w:val="004A0EEA"/>
    <w:rsid w:val="004A6747"/>
    <w:rsid w:val="004A6CA2"/>
    <w:rsid w:val="004C72F3"/>
    <w:rsid w:val="004D0735"/>
    <w:rsid w:val="004D5B67"/>
    <w:rsid w:val="004D635C"/>
    <w:rsid w:val="004E4E43"/>
    <w:rsid w:val="004F4A7B"/>
    <w:rsid w:val="004F4E06"/>
    <w:rsid w:val="00517916"/>
    <w:rsid w:val="00521A12"/>
    <w:rsid w:val="0052490B"/>
    <w:rsid w:val="00526879"/>
    <w:rsid w:val="0052721B"/>
    <w:rsid w:val="005273C2"/>
    <w:rsid w:val="005318DD"/>
    <w:rsid w:val="0053544C"/>
    <w:rsid w:val="00544CB4"/>
    <w:rsid w:val="00545DC0"/>
    <w:rsid w:val="0056212D"/>
    <w:rsid w:val="0056444E"/>
    <w:rsid w:val="0057194E"/>
    <w:rsid w:val="0057376A"/>
    <w:rsid w:val="00577F06"/>
    <w:rsid w:val="00581FD6"/>
    <w:rsid w:val="0058462F"/>
    <w:rsid w:val="0059063E"/>
    <w:rsid w:val="005942AE"/>
    <w:rsid w:val="00597BAC"/>
    <w:rsid w:val="005A3AAE"/>
    <w:rsid w:val="005A59B9"/>
    <w:rsid w:val="005B25F7"/>
    <w:rsid w:val="005D0964"/>
    <w:rsid w:val="005E5345"/>
    <w:rsid w:val="005F0E90"/>
    <w:rsid w:val="005F6A03"/>
    <w:rsid w:val="00601271"/>
    <w:rsid w:val="006028E5"/>
    <w:rsid w:val="006036A6"/>
    <w:rsid w:val="00611320"/>
    <w:rsid w:val="00620EBE"/>
    <w:rsid w:val="00633373"/>
    <w:rsid w:val="00637D97"/>
    <w:rsid w:val="00637E59"/>
    <w:rsid w:val="00655FAC"/>
    <w:rsid w:val="006704E9"/>
    <w:rsid w:val="006708C8"/>
    <w:rsid w:val="00683396"/>
    <w:rsid w:val="00685C86"/>
    <w:rsid w:val="006944C1"/>
    <w:rsid w:val="006A1A7A"/>
    <w:rsid w:val="006B5BB9"/>
    <w:rsid w:val="006C3630"/>
    <w:rsid w:val="006D5A9B"/>
    <w:rsid w:val="006E2894"/>
    <w:rsid w:val="006E6687"/>
    <w:rsid w:val="007062F1"/>
    <w:rsid w:val="007162F8"/>
    <w:rsid w:val="0072543C"/>
    <w:rsid w:val="00727652"/>
    <w:rsid w:val="0072769F"/>
    <w:rsid w:val="00737983"/>
    <w:rsid w:val="0075556D"/>
    <w:rsid w:val="00756A9C"/>
    <w:rsid w:val="00767968"/>
    <w:rsid w:val="00774121"/>
    <w:rsid w:val="007827FA"/>
    <w:rsid w:val="007871FD"/>
    <w:rsid w:val="007A121D"/>
    <w:rsid w:val="007A25CC"/>
    <w:rsid w:val="007B236F"/>
    <w:rsid w:val="007B3B93"/>
    <w:rsid w:val="007D04C8"/>
    <w:rsid w:val="007E72ED"/>
    <w:rsid w:val="007F09E0"/>
    <w:rsid w:val="007F3444"/>
    <w:rsid w:val="007F76BE"/>
    <w:rsid w:val="0080054F"/>
    <w:rsid w:val="008050A8"/>
    <w:rsid w:val="00811FC8"/>
    <w:rsid w:val="008129A4"/>
    <w:rsid w:val="00825DBD"/>
    <w:rsid w:val="00832CF6"/>
    <w:rsid w:val="0084096A"/>
    <w:rsid w:val="008432B3"/>
    <w:rsid w:val="008519E1"/>
    <w:rsid w:val="0085648A"/>
    <w:rsid w:val="00860414"/>
    <w:rsid w:val="00866937"/>
    <w:rsid w:val="00872C86"/>
    <w:rsid w:val="00876308"/>
    <w:rsid w:val="008779AE"/>
    <w:rsid w:val="00893769"/>
    <w:rsid w:val="008B7665"/>
    <w:rsid w:val="008C5B66"/>
    <w:rsid w:val="008C7E33"/>
    <w:rsid w:val="008E1A25"/>
    <w:rsid w:val="008E7D24"/>
    <w:rsid w:val="008F5E43"/>
    <w:rsid w:val="00912E7F"/>
    <w:rsid w:val="00917A25"/>
    <w:rsid w:val="009241B2"/>
    <w:rsid w:val="00925408"/>
    <w:rsid w:val="0093143A"/>
    <w:rsid w:val="00934D50"/>
    <w:rsid w:val="00940832"/>
    <w:rsid w:val="00940F94"/>
    <w:rsid w:val="00941E66"/>
    <w:rsid w:val="00962CE9"/>
    <w:rsid w:val="00967694"/>
    <w:rsid w:val="00967844"/>
    <w:rsid w:val="00976160"/>
    <w:rsid w:val="00976E72"/>
    <w:rsid w:val="0098272B"/>
    <w:rsid w:val="00987A2F"/>
    <w:rsid w:val="009919EC"/>
    <w:rsid w:val="00991C48"/>
    <w:rsid w:val="00996E7B"/>
    <w:rsid w:val="009A0B27"/>
    <w:rsid w:val="009A1027"/>
    <w:rsid w:val="009A5A8B"/>
    <w:rsid w:val="009B5BDF"/>
    <w:rsid w:val="009B686A"/>
    <w:rsid w:val="009B6F38"/>
    <w:rsid w:val="009C04A8"/>
    <w:rsid w:val="009C567B"/>
    <w:rsid w:val="009E17B6"/>
    <w:rsid w:val="009F11DF"/>
    <w:rsid w:val="009F144C"/>
    <w:rsid w:val="009F3CEB"/>
    <w:rsid w:val="009F7FFA"/>
    <w:rsid w:val="00A05482"/>
    <w:rsid w:val="00A06DF7"/>
    <w:rsid w:val="00A14521"/>
    <w:rsid w:val="00A25950"/>
    <w:rsid w:val="00A260C2"/>
    <w:rsid w:val="00A27AF3"/>
    <w:rsid w:val="00A32E7E"/>
    <w:rsid w:val="00A33440"/>
    <w:rsid w:val="00A36202"/>
    <w:rsid w:val="00A51E5C"/>
    <w:rsid w:val="00A55EDA"/>
    <w:rsid w:val="00A64CF4"/>
    <w:rsid w:val="00A6694C"/>
    <w:rsid w:val="00A71C62"/>
    <w:rsid w:val="00A72962"/>
    <w:rsid w:val="00A80001"/>
    <w:rsid w:val="00A97020"/>
    <w:rsid w:val="00AB69C2"/>
    <w:rsid w:val="00AB6F10"/>
    <w:rsid w:val="00AD15CD"/>
    <w:rsid w:val="00AE2FA5"/>
    <w:rsid w:val="00AE307B"/>
    <w:rsid w:val="00AE3883"/>
    <w:rsid w:val="00AE67A8"/>
    <w:rsid w:val="00AF6D62"/>
    <w:rsid w:val="00AF7557"/>
    <w:rsid w:val="00B13586"/>
    <w:rsid w:val="00B2566C"/>
    <w:rsid w:val="00B302C2"/>
    <w:rsid w:val="00B326D3"/>
    <w:rsid w:val="00B432B2"/>
    <w:rsid w:val="00B44B42"/>
    <w:rsid w:val="00B504A9"/>
    <w:rsid w:val="00B51BF1"/>
    <w:rsid w:val="00B5378D"/>
    <w:rsid w:val="00B53E50"/>
    <w:rsid w:val="00B54E7F"/>
    <w:rsid w:val="00B55A47"/>
    <w:rsid w:val="00B56BEF"/>
    <w:rsid w:val="00B6315C"/>
    <w:rsid w:val="00B64302"/>
    <w:rsid w:val="00B655AD"/>
    <w:rsid w:val="00B727F7"/>
    <w:rsid w:val="00B77D00"/>
    <w:rsid w:val="00B85D72"/>
    <w:rsid w:val="00B9542F"/>
    <w:rsid w:val="00B97C62"/>
    <w:rsid w:val="00BA1936"/>
    <w:rsid w:val="00BA4E75"/>
    <w:rsid w:val="00BA5888"/>
    <w:rsid w:val="00BB1DB6"/>
    <w:rsid w:val="00BC02D2"/>
    <w:rsid w:val="00BC74CD"/>
    <w:rsid w:val="00BD7223"/>
    <w:rsid w:val="00BF2ADC"/>
    <w:rsid w:val="00BF4F59"/>
    <w:rsid w:val="00BF7C87"/>
    <w:rsid w:val="00C001B2"/>
    <w:rsid w:val="00C00C16"/>
    <w:rsid w:val="00C07CB3"/>
    <w:rsid w:val="00C10729"/>
    <w:rsid w:val="00C12964"/>
    <w:rsid w:val="00C16337"/>
    <w:rsid w:val="00C2684B"/>
    <w:rsid w:val="00C32225"/>
    <w:rsid w:val="00C40F66"/>
    <w:rsid w:val="00C47EA8"/>
    <w:rsid w:val="00C523B8"/>
    <w:rsid w:val="00C5659C"/>
    <w:rsid w:val="00C57505"/>
    <w:rsid w:val="00C60E1D"/>
    <w:rsid w:val="00C62EF8"/>
    <w:rsid w:val="00C64432"/>
    <w:rsid w:val="00C6783A"/>
    <w:rsid w:val="00C727C9"/>
    <w:rsid w:val="00C77AF6"/>
    <w:rsid w:val="00C81BC6"/>
    <w:rsid w:val="00C927CA"/>
    <w:rsid w:val="00CA38C1"/>
    <w:rsid w:val="00CA40C7"/>
    <w:rsid w:val="00CB4379"/>
    <w:rsid w:val="00CB61B0"/>
    <w:rsid w:val="00CB61CA"/>
    <w:rsid w:val="00CC071D"/>
    <w:rsid w:val="00CC44B7"/>
    <w:rsid w:val="00CD3BFB"/>
    <w:rsid w:val="00CD5EDA"/>
    <w:rsid w:val="00CE77D9"/>
    <w:rsid w:val="00CF3081"/>
    <w:rsid w:val="00CF5190"/>
    <w:rsid w:val="00CF59BE"/>
    <w:rsid w:val="00D164FA"/>
    <w:rsid w:val="00D17587"/>
    <w:rsid w:val="00D417D3"/>
    <w:rsid w:val="00D469B9"/>
    <w:rsid w:val="00D52A72"/>
    <w:rsid w:val="00D56C0A"/>
    <w:rsid w:val="00D64432"/>
    <w:rsid w:val="00D71B63"/>
    <w:rsid w:val="00D75987"/>
    <w:rsid w:val="00D7725C"/>
    <w:rsid w:val="00D8147F"/>
    <w:rsid w:val="00D818E3"/>
    <w:rsid w:val="00D8428C"/>
    <w:rsid w:val="00D87CFC"/>
    <w:rsid w:val="00D9652A"/>
    <w:rsid w:val="00DA227A"/>
    <w:rsid w:val="00DB1C00"/>
    <w:rsid w:val="00DC71F8"/>
    <w:rsid w:val="00DD7B2D"/>
    <w:rsid w:val="00DF5BDF"/>
    <w:rsid w:val="00E0254E"/>
    <w:rsid w:val="00E204EA"/>
    <w:rsid w:val="00E205C8"/>
    <w:rsid w:val="00E45BA1"/>
    <w:rsid w:val="00E50215"/>
    <w:rsid w:val="00E55B93"/>
    <w:rsid w:val="00E61640"/>
    <w:rsid w:val="00E6204D"/>
    <w:rsid w:val="00E62B19"/>
    <w:rsid w:val="00E66624"/>
    <w:rsid w:val="00E82A1C"/>
    <w:rsid w:val="00E83863"/>
    <w:rsid w:val="00E83BD9"/>
    <w:rsid w:val="00E923BA"/>
    <w:rsid w:val="00E92A5D"/>
    <w:rsid w:val="00EA3B1B"/>
    <w:rsid w:val="00EA4B42"/>
    <w:rsid w:val="00EA50CD"/>
    <w:rsid w:val="00EB4F44"/>
    <w:rsid w:val="00EC2944"/>
    <w:rsid w:val="00EC3C2C"/>
    <w:rsid w:val="00ED316D"/>
    <w:rsid w:val="00ED5151"/>
    <w:rsid w:val="00ED6F5B"/>
    <w:rsid w:val="00EE4F7D"/>
    <w:rsid w:val="00EE6E62"/>
    <w:rsid w:val="00EF35B8"/>
    <w:rsid w:val="00EF5615"/>
    <w:rsid w:val="00F02CEE"/>
    <w:rsid w:val="00F14637"/>
    <w:rsid w:val="00F15D58"/>
    <w:rsid w:val="00F16083"/>
    <w:rsid w:val="00F21123"/>
    <w:rsid w:val="00F27143"/>
    <w:rsid w:val="00F31DD2"/>
    <w:rsid w:val="00F33DCC"/>
    <w:rsid w:val="00F356F9"/>
    <w:rsid w:val="00F403F3"/>
    <w:rsid w:val="00F42050"/>
    <w:rsid w:val="00F470F1"/>
    <w:rsid w:val="00F535DA"/>
    <w:rsid w:val="00F548B1"/>
    <w:rsid w:val="00F607DA"/>
    <w:rsid w:val="00F64BDF"/>
    <w:rsid w:val="00F75E3A"/>
    <w:rsid w:val="00F83DA1"/>
    <w:rsid w:val="00F91A22"/>
    <w:rsid w:val="00F93822"/>
    <w:rsid w:val="00F95147"/>
    <w:rsid w:val="00FA132E"/>
    <w:rsid w:val="00FA3A67"/>
    <w:rsid w:val="00FA4FEA"/>
    <w:rsid w:val="00FB1EDA"/>
    <w:rsid w:val="00FD2724"/>
    <w:rsid w:val="00FD5235"/>
    <w:rsid w:val="00FD5BC2"/>
    <w:rsid w:val="00FE04B8"/>
    <w:rsid w:val="00FE7690"/>
    <w:rsid w:val="00FF0487"/>
    <w:rsid w:val="00FF4F5B"/>
    <w:rsid w:val="00FF740D"/>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665"/>
    <w:pPr>
      <w:spacing w:after="0" w:line="240" w:lineRule="auto"/>
    </w:pPr>
    <w:rPr>
      <w:rFonts w:ascii="Times New Roman" w:eastAsia="Times New Roman" w:hAnsi="Times New Roman" w:cs="Times New Roman"/>
      <w:sz w:val="24"/>
      <w:szCs w:val="24"/>
      <w:lang w:val="es-ES" w:eastAsia="es-ES"/>
    </w:rPr>
  </w:style>
  <w:style w:type="paragraph" w:styleId="Titre3">
    <w:name w:val="heading 3"/>
    <w:basedOn w:val="Normal"/>
    <w:next w:val="Normal"/>
    <w:link w:val="Titre3Car"/>
    <w:qFormat/>
    <w:rsid w:val="008B7665"/>
    <w:pPr>
      <w:keepNext/>
      <w:spacing w:before="240" w:after="60"/>
      <w:outlineLvl w:val="2"/>
    </w:pPr>
    <w:rPr>
      <w:rFonts w:ascii="Arial" w:hAnsi="Arial" w:cs="Arial"/>
      <w:b/>
      <w:bCs/>
      <w:sz w:val="26"/>
      <w:szCs w:val="26"/>
    </w:rPr>
  </w:style>
  <w:style w:type="paragraph" w:styleId="Titre4">
    <w:name w:val="heading 4"/>
    <w:basedOn w:val="Normal"/>
    <w:next w:val="Normal"/>
    <w:link w:val="Titre4Car"/>
    <w:qFormat/>
    <w:rsid w:val="008B7665"/>
    <w:pPr>
      <w:keepNext/>
      <w:tabs>
        <w:tab w:val="left" w:pos="0"/>
      </w:tabs>
      <w:overflowPunct w:val="0"/>
      <w:autoSpaceDE w:val="0"/>
      <w:autoSpaceDN w:val="0"/>
      <w:adjustRightInd w:val="0"/>
      <w:jc w:val="center"/>
      <w:textAlignment w:val="baseline"/>
      <w:outlineLvl w:val="3"/>
    </w:pPr>
    <w:rPr>
      <w:b/>
      <w:szCs w:val="20"/>
    </w:rPr>
  </w:style>
  <w:style w:type="paragraph" w:styleId="Titre5">
    <w:name w:val="heading 5"/>
    <w:basedOn w:val="Normal"/>
    <w:next w:val="Normal"/>
    <w:link w:val="Titre5Car"/>
    <w:qFormat/>
    <w:rsid w:val="008B7665"/>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8B7665"/>
    <w:rPr>
      <w:rFonts w:ascii="Arial" w:eastAsia="Times New Roman" w:hAnsi="Arial" w:cs="Arial"/>
      <w:b/>
      <w:bCs/>
      <w:sz w:val="26"/>
      <w:szCs w:val="26"/>
      <w:lang w:val="es-ES" w:eastAsia="es-ES"/>
    </w:rPr>
  </w:style>
  <w:style w:type="character" w:customStyle="1" w:styleId="Titre4Car">
    <w:name w:val="Titre 4 Car"/>
    <w:basedOn w:val="Policepardfaut"/>
    <w:link w:val="Titre4"/>
    <w:rsid w:val="008B7665"/>
    <w:rPr>
      <w:rFonts w:ascii="Times New Roman" w:eastAsia="Times New Roman" w:hAnsi="Times New Roman" w:cs="Times New Roman"/>
      <w:b/>
      <w:sz w:val="24"/>
      <w:szCs w:val="20"/>
      <w:lang w:val="es-ES" w:eastAsia="es-ES"/>
    </w:rPr>
  </w:style>
  <w:style w:type="character" w:customStyle="1" w:styleId="Titre5Car">
    <w:name w:val="Titre 5 Car"/>
    <w:basedOn w:val="Policepardfaut"/>
    <w:link w:val="Titre5"/>
    <w:rsid w:val="008B7665"/>
    <w:rPr>
      <w:rFonts w:ascii="Arial" w:eastAsia="Times New Roman" w:hAnsi="Arial" w:cs="Arial"/>
      <w:b/>
      <w:bCs/>
      <w:sz w:val="24"/>
      <w:szCs w:val="24"/>
      <w:lang w:val="es-ES" w:eastAsia="es-ES"/>
    </w:rPr>
  </w:style>
  <w:style w:type="paragraph" w:styleId="Titre">
    <w:name w:val="Title"/>
    <w:basedOn w:val="Normal"/>
    <w:link w:val="TitreCar"/>
    <w:qFormat/>
    <w:rsid w:val="008B7665"/>
    <w:pPr>
      <w:widowControl w:val="0"/>
      <w:autoSpaceDE w:val="0"/>
      <w:autoSpaceDN w:val="0"/>
      <w:adjustRightInd w:val="0"/>
      <w:spacing w:line="360" w:lineRule="auto"/>
      <w:jc w:val="center"/>
    </w:pPr>
    <w:rPr>
      <w:rFonts w:ascii="Arial" w:hAnsi="Arial" w:cs="Arial"/>
      <w:b/>
    </w:rPr>
  </w:style>
  <w:style w:type="character" w:customStyle="1" w:styleId="TitreCar">
    <w:name w:val="Titre Car"/>
    <w:basedOn w:val="Policepardfaut"/>
    <w:link w:val="Titre"/>
    <w:rsid w:val="008B7665"/>
    <w:rPr>
      <w:rFonts w:ascii="Arial" w:eastAsia="Times New Roman" w:hAnsi="Arial" w:cs="Arial"/>
      <w:b/>
      <w:sz w:val="24"/>
      <w:szCs w:val="24"/>
      <w:lang w:val="es-ES" w:eastAsia="es-ES"/>
    </w:rPr>
  </w:style>
  <w:style w:type="paragraph" w:styleId="Retraitcorpsdetexte">
    <w:name w:val="Body Text Indent"/>
    <w:basedOn w:val="Normal"/>
    <w:link w:val="RetraitcorpsdetexteCar"/>
    <w:rsid w:val="008B7665"/>
    <w:pPr>
      <w:widowControl w:val="0"/>
      <w:autoSpaceDE w:val="0"/>
      <w:autoSpaceDN w:val="0"/>
      <w:adjustRightInd w:val="0"/>
      <w:spacing w:line="360" w:lineRule="auto"/>
      <w:ind w:firstLine="708"/>
      <w:jc w:val="both"/>
    </w:pPr>
    <w:rPr>
      <w:rFonts w:ascii="Tahoma" w:hAnsi="Tahoma" w:cs="Tahoma"/>
    </w:rPr>
  </w:style>
  <w:style w:type="character" w:customStyle="1" w:styleId="RetraitcorpsdetexteCar">
    <w:name w:val="Retrait corps de texte Car"/>
    <w:basedOn w:val="Policepardfaut"/>
    <w:link w:val="Retraitcorpsdetexte"/>
    <w:rsid w:val="008B7665"/>
    <w:rPr>
      <w:rFonts w:ascii="Tahoma" w:eastAsia="Times New Roman" w:hAnsi="Tahoma" w:cs="Tahoma"/>
      <w:sz w:val="24"/>
      <w:szCs w:val="24"/>
      <w:lang w:val="es-ES" w:eastAsia="es-ES"/>
    </w:rPr>
  </w:style>
  <w:style w:type="paragraph" w:styleId="Paragraphedeliste">
    <w:name w:val="List Paragraph"/>
    <w:basedOn w:val="Normal"/>
    <w:uiPriority w:val="34"/>
    <w:qFormat/>
    <w:rsid w:val="008B7665"/>
    <w:pPr>
      <w:ind w:left="720"/>
      <w:contextualSpacing/>
    </w:pPr>
  </w:style>
  <w:style w:type="paragraph" w:customStyle="1" w:styleId="Textoindependiente21">
    <w:name w:val="Texto independiente 21"/>
    <w:basedOn w:val="Normal"/>
    <w:link w:val="BodyText2Car1"/>
    <w:uiPriority w:val="99"/>
    <w:rsid w:val="008B7665"/>
    <w:pPr>
      <w:overflowPunct w:val="0"/>
      <w:autoSpaceDE w:val="0"/>
      <w:autoSpaceDN w:val="0"/>
      <w:adjustRightInd w:val="0"/>
      <w:spacing w:line="360" w:lineRule="auto"/>
      <w:ind w:firstLine="709"/>
      <w:jc w:val="both"/>
      <w:textAlignment w:val="baseline"/>
    </w:pPr>
    <w:rPr>
      <w:rFonts w:ascii="Arial Narrow" w:hAnsi="Arial Narrow" w:cs="Arial Narrow"/>
      <w:sz w:val="30"/>
      <w:szCs w:val="30"/>
      <w:lang w:val="es-CO"/>
    </w:rPr>
  </w:style>
  <w:style w:type="character" w:customStyle="1" w:styleId="BodyText2Car1">
    <w:name w:val="Body Text 2 Car1"/>
    <w:link w:val="Textoindependiente21"/>
    <w:uiPriority w:val="99"/>
    <w:locked/>
    <w:rsid w:val="008B7665"/>
    <w:rPr>
      <w:rFonts w:ascii="Arial Narrow" w:eastAsia="Times New Roman" w:hAnsi="Arial Narrow" w:cs="Arial Narrow"/>
      <w:sz w:val="30"/>
      <w:szCs w:val="30"/>
      <w:lang w:eastAsia="es-ES"/>
    </w:rPr>
  </w:style>
  <w:style w:type="paragraph" w:styleId="En-tte">
    <w:name w:val="header"/>
    <w:basedOn w:val="Normal"/>
    <w:link w:val="En-tteCar"/>
    <w:uiPriority w:val="99"/>
    <w:unhideWhenUsed/>
    <w:rsid w:val="00080145"/>
    <w:pPr>
      <w:tabs>
        <w:tab w:val="center" w:pos="4252"/>
        <w:tab w:val="right" w:pos="8504"/>
      </w:tabs>
    </w:pPr>
  </w:style>
  <w:style w:type="character" w:customStyle="1" w:styleId="En-tteCar">
    <w:name w:val="En-tête Car"/>
    <w:basedOn w:val="Policepardfaut"/>
    <w:link w:val="En-tte"/>
    <w:uiPriority w:val="99"/>
    <w:rsid w:val="00080145"/>
    <w:rPr>
      <w:rFonts w:ascii="Times New Roman" w:eastAsia="Times New Roman" w:hAnsi="Times New Roman" w:cs="Times New Roman"/>
      <w:sz w:val="24"/>
      <w:szCs w:val="24"/>
      <w:lang w:val="es-ES" w:eastAsia="es-ES"/>
    </w:rPr>
  </w:style>
  <w:style w:type="paragraph" w:styleId="Pieddepage">
    <w:name w:val="footer"/>
    <w:basedOn w:val="Normal"/>
    <w:link w:val="PieddepageCar"/>
    <w:uiPriority w:val="99"/>
    <w:unhideWhenUsed/>
    <w:rsid w:val="00080145"/>
    <w:pPr>
      <w:tabs>
        <w:tab w:val="center" w:pos="4252"/>
        <w:tab w:val="right" w:pos="8504"/>
      </w:tabs>
    </w:pPr>
  </w:style>
  <w:style w:type="character" w:customStyle="1" w:styleId="PieddepageCar">
    <w:name w:val="Pied de page Car"/>
    <w:basedOn w:val="Policepardfaut"/>
    <w:link w:val="Pieddepage"/>
    <w:uiPriority w:val="99"/>
    <w:rsid w:val="00080145"/>
    <w:rPr>
      <w:rFonts w:ascii="Times New Roman" w:eastAsia="Times New Roman" w:hAnsi="Times New Roman" w:cs="Times New Roman"/>
      <w:sz w:val="24"/>
      <w:szCs w:val="24"/>
      <w:lang w:val="es-ES" w:eastAsia="es-ES"/>
    </w:rPr>
  </w:style>
  <w:style w:type="paragraph" w:styleId="Sansinterligne">
    <w:name w:val="No Spacing"/>
    <w:uiPriority w:val="1"/>
    <w:qFormat/>
    <w:rsid w:val="00BF4F59"/>
    <w:pPr>
      <w:spacing w:after="0" w:line="240" w:lineRule="auto"/>
    </w:pPr>
    <w:rPr>
      <w:rFonts w:ascii="Times New Roman" w:eastAsia="Times New Roman" w:hAnsi="Times New Roman" w:cs="Times New Roman"/>
      <w:sz w:val="24"/>
      <w:szCs w:val="24"/>
      <w:lang w:val="es-ES" w:eastAsia="es-ES"/>
    </w:rPr>
  </w:style>
  <w:style w:type="character" w:styleId="Appelnotedebasdep">
    <w:name w:val="footnote reference"/>
    <w:uiPriority w:val="99"/>
    <w:rsid w:val="00BF4F59"/>
    <w:rPr>
      <w:vertAlign w:val="superscript"/>
    </w:rPr>
  </w:style>
  <w:style w:type="paragraph" w:styleId="Notedebasdepage">
    <w:name w:val="footnote text"/>
    <w:aliases w:val="Ref. de nota al pie1,Texto de nota al pie,Footnote Text Char Char Char Char Char,Footnote Text Char Char Char Char,FA Fu,Footnote Text Char Char Char,referencia nota al pie,Footnote Text Char"/>
    <w:basedOn w:val="Normal"/>
    <w:link w:val="NotedebasdepageCar"/>
    <w:uiPriority w:val="99"/>
    <w:rsid w:val="00BF4F59"/>
    <w:rPr>
      <w:sz w:val="20"/>
      <w:szCs w:val="20"/>
    </w:rPr>
  </w:style>
  <w:style w:type="character" w:customStyle="1" w:styleId="NotedebasdepageCar">
    <w:name w:val="Note de bas de page Car"/>
    <w:aliases w:val="Ref. de nota al pie1 Car,Texto de nota al pie Car,Footnote Text Char Char Char Char Char Car,Footnote Text Char Char Char Char Car,FA Fu Car,Footnote Text Char Char Char Car,referencia nota al pie Car,Footnote Text Char Car"/>
    <w:basedOn w:val="Policepardfaut"/>
    <w:link w:val="Notedebasdepage"/>
    <w:uiPriority w:val="99"/>
    <w:rsid w:val="00BF4F59"/>
    <w:rPr>
      <w:rFonts w:ascii="Times New Roman" w:eastAsia="Times New Roman" w:hAnsi="Times New Roman" w:cs="Times New Roman"/>
      <w:sz w:val="20"/>
      <w:szCs w:val="20"/>
      <w:lang w:val="es-ES" w:eastAsia="es-ES"/>
    </w:rPr>
  </w:style>
  <w:style w:type="paragraph" w:styleId="Corpsdetexte">
    <w:name w:val="Body Text"/>
    <w:basedOn w:val="Normal"/>
    <w:link w:val="CorpsdetexteCar"/>
    <w:rsid w:val="00BF4F59"/>
    <w:pPr>
      <w:spacing w:after="120"/>
    </w:pPr>
  </w:style>
  <w:style w:type="character" w:customStyle="1" w:styleId="CorpsdetexteCar">
    <w:name w:val="Corps de texte Car"/>
    <w:basedOn w:val="Policepardfaut"/>
    <w:link w:val="Corpsdetexte"/>
    <w:rsid w:val="00BF4F59"/>
    <w:rPr>
      <w:rFonts w:ascii="Times New Roman" w:eastAsia="Times New Roman" w:hAnsi="Times New Roman" w:cs="Times New Roman"/>
      <w:sz w:val="24"/>
      <w:szCs w:val="24"/>
      <w:lang w:val="es-ES" w:eastAsia="es-ES"/>
    </w:rPr>
  </w:style>
  <w:style w:type="table" w:styleId="Grilledutableau">
    <w:name w:val="Table Grid"/>
    <w:basedOn w:val="TableauNormal"/>
    <w:uiPriority w:val="39"/>
    <w:rsid w:val="003E49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3E491B"/>
    <w:rPr>
      <w:rFonts w:ascii="Segoe UI" w:hAnsi="Segoe UI" w:cs="Segoe UI"/>
      <w:sz w:val="18"/>
      <w:szCs w:val="18"/>
    </w:rPr>
  </w:style>
  <w:style w:type="character" w:customStyle="1" w:styleId="TextedebullesCar">
    <w:name w:val="Texte de bulles Car"/>
    <w:basedOn w:val="Policepardfaut"/>
    <w:link w:val="Textedebulles"/>
    <w:uiPriority w:val="99"/>
    <w:semiHidden/>
    <w:rsid w:val="003E491B"/>
    <w:rPr>
      <w:rFonts w:ascii="Segoe UI" w:eastAsia="Times New Roman" w:hAnsi="Segoe UI" w:cs="Segoe UI"/>
      <w:sz w:val="18"/>
      <w:szCs w:val="18"/>
      <w:lang w:val="es-ES" w:eastAsia="es-ES"/>
    </w:rPr>
  </w:style>
  <w:style w:type="paragraph" w:customStyle="1" w:styleId="Textoindependiente31">
    <w:name w:val="Texto independiente 31"/>
    <w:basedOn w:val="Normal"/>
    <w:rsid w:val="00D818E3"/>
    <w:pPr>
      <w:spacing w:line="360" w:lineRule="auto"/>
      <w:jc w:val="both"/>
    </w:pPr>
    <w:rPr>
      <w:rFonts w:ascii="Arial" w:hAnsi="Arial"/>
      <w:szCs w:val="20"/>
      <w:lang w:val="es-ES_tradnl"/>
    </w:rPr>
  </w:style>
  <w:style w:type="paragraph" w:styleId="NormalWeb">
    <w:name w:val="Normal (Web)"/>
    <w:basedOn w:val="Normal"/>
    <w:uiPriority w:val="99"/>
    <w:unhideWhenUsed/>
    <w:rsid w:val="00D818E3"/>
    <w:pPr>
      <w:spacing w:before="100" w:beforeAutospacing="1" w:after="100" w:afterAutospacing="1"/>
    </w:pPr>
  </w:style>
  <w:style w:type="character" w:customStyle="1" w:styleId="apple-converted-space">
    <w:name w:val="apple-converted-space"/>
    <w:basedOn w:val="Policepardfaut"/>
    <w:rsid w:val="000D62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665"/>
    <w:pPr>
      <w:spacing w:after="0" w:line="240" w:lineRule="auto"/>
    </w:pPr>
    <w:rPr>
      <w:rFonts w:ascii="Times New Roman" w:eastAsia="Times New Roman" w:hAnsi="Times New Roman" w:cs="Times New Roman"/>
      <w:sz w:val="24"/>
      <w:szCs w:val="24"/>
      <w:lang w:val="es-ES" w:eastAsia="es-ES"/>
    </w:rPr>
  </w:style>
  <w:style w:type="paragraph" w:styleId="Titre3">
    <w:name w:val="heading 3"/>
    <w:basedOn w:val="Normal"/>
    <w:next w:val="Normal"/>
    <w:link w:val="Titre3Car"/>
    <w:qFormat/>
    <w:rsid w:val="008B7665"/>
    <w:pPr>
      <w:keepNext/>
      <w:spacing w:before="240" w:after="60"/>
      <w:outlineLvl w:val="2"/>
    </w:pPr>
    <w:rPr>
      <w:rFonts w:ascii="Arial" w:hAnsi="Arial" w:cs="Arial"/>
      <w:b/>
      <w:bCs/>
      <w:sz w:val="26"/>
      <w:szCs w:val="26"/>
    </w:rPr>
  </w:style>
  <w:style w:type="paragraph" w:styleId="Titre4">
    <w:name w:val="heading 4"/>
    <w:basedOn w:val="Normal"/>
    <w:next w:val="Normal"/>
    <w:link w:val="Titre4Car"/>
    <w:qFormat/>
    <w:rsid w:val="008B7665"/>
    <w:pPr>
      <w:keepNext/>
      <w:tabs>
        <w:tab w:val="left" w:pos="0"/>
      </w:tabs>
      <w:overflowPunct w:val="0"/>
      <w:autoSpaceDE w:val="0"/>
      <w:autoSpaceDN w:val="0"/>
      <w:adjustRightInd w:val="0"/>
      <w:jc w:val="center"/>
      <w:textAlignment w:val="baseline"/>
      <w:outlineLvl w:val="3"/>
    </w:pPr>
    <w:rPr>
      <w:b/>
      <w:szCs w:val="20"/>
    </w:rPr>
  </w:style>
  <w:style w:type="paragraph" w:styleId="Titre5">
    <w:name w:val="heading 5"/>
    <w:basedOn w:val="Normal"/>
    <w:next w:val="Normal"/>
    <w:link w:val="Titre5Car"/>
    <w:qFormat/>
    <w:rsid w:val="008B7665"/>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8B7665"/>
    <w:rPr>
      <w:rFonts w:ascii="Arial" w:eastAsia="Times New Roman" w:hAnsi="Arial" w:cs="Arial"/>
      <w:b/>
      <w:bCs/>
      <w:sz w:val="26"/>
      <w:szCs w:val="26"/>
      <w:lang w:val="es-ES" w:eastAsia="es-ES"/>
    </w:rPr>
  </w:style>
  <w:style w:type="character" w:customStyle="1" w:styleId="Titre4Car">
    <w:name w:val="Titre 4 Car"/>
    <w:basedOn w:val="Policepardfaut"/>
    <w:link w:val="Titre4"/>
    <w:rsid w:val="008B7665"/>
    <w:rPr>
      <w:rFonts w:ascii="Times New Roman" w:eastAsia="Times New Roman" w:hAnsi="Times New Roman" w:cs="Times New Roman"/>
      <w:b/>
      <w:sz w:val="24"/>
      <w:szCs w:val="20"/>
      <w:lang w:val="es-ES" w:eastAsia="es-ES"/>
    </w:rPr>
  </w:style>
  <w:style w:type="character" w:customStyle="1" w:styleId="Titre5Car">
    <w:name w:val="Titre 5 Car"/>
    <w:basedOn w:val="Policepardfaut"/>
    <w:link w:val="Titre5"/>
    <w:rsid w:val="008B7665"/>
    <w:rPr>
      <w:rFonts w:ascii="Arial" w:eastAsia="Times New Roman" w:hAnsi="Arial" w:cs="Arial"/>
      <w:b/>
      <w:bCs/>
      <w:sz w:val="24"/>
      <w:szCs w:val="24"/>
      <w:lang w:val="es-ES" w:eastAsia="es-ES"/>
    </w:rPr>
  </w:style>
  <w:style w:type="paragraph" w:styleId="Titre">
    <w:name w:val="Title"/>
    <w:basedOn w:val="Normal"/>
    <w:link w:val="TitreCar"/>
    <w:qFormat/>
    <w:rsid w:val="008B7665"/>
    <w:pPr>
      <w:widowControl w:val="0"/>
      <w:autoSpaceDE w:val="0"/>
      <w:autoSpaceDN w:val="0"/>
      <w:adjustRightInd w:val="0"/>
      <w:spacing w:line="360" w:lineRule="auto"/>
      <w:jc w:val="center"/>
    </w:pPr>
    <w:rPr>
      <w:rFonts w:ascii="Arial" w:hAnsi="Arial" w:cs="Arial"/>
      <w:b/>
    </w:rPr>
  </w:style>
  <w:style w:type="character" w:customStyle="1" w:styleId="TitreCar">
    <w:name w:val="Titre Car"/>
    <w:basedOn w:val="Policepardfaut"/>
    <w:link w:val="Titre"/>
    <w:rsid w:val="008B7665"/>
    <w:rPr>
      <w:rFonts w:ascii="Arial" w:eastAsia="Times New Roman" w:hAnsi="Arial" w:cs="Arial"/>
      <w:b/>
      <w:sz w:val="24"/>
      <w:szCs w:val="24"/>
      <w:lang w:val="es-ES" w:eastAsia="es-ES"/>
    </w:rPr>
  </w:style>
  <w:style w:type="paragraph" w:styleId="Retraitcorpsdetexte">
    <w:name w:val="Body Text Indent"/>
    <w:basedOn w:val="Normal"/>
    <w:link w:val="RetraitcorpsdetexteCar"/>
    <w:rsid w:val="008B7665"/>
    <w:pPr>
      <w:widowControl w:val="0"/>
      <w:autoSpaceDE w:val="0"/>
      <w:autoSpaceDN w:val="0"/>
      <w:adjustRightInd w:val="0"/>
      <w:spacing w:line="360" w:lineRule="auto"/>
      <w:ind w:firstLine="708"/>
      <w:jc w:val="both"/>
    </w:pPr>
    <w:rPr>
      <w:rFonts w:ascii="Tahoma" w:hAnsi="Tahoma" w:cs="Tahoma"/>
    </w:rPr>
  </w:style>
  <w:style w:type="character" w:customStyle="1" w:styleId="RetraitcorpsdetexteCar">
    <w:name w:val="Retrait corps de texte Car"/>
    <w:basedOn w:val="Policepardfaut"/>
    <w:link w:val="Retraitcorpsdetexte"/>
    <w:rsid w:val="008B7665"/>
    <w:rPr>
      <w:rFonts w:ascii="Tahoma" w:eastAsia="Times New Roman" w:hAnsi="Tahoma" w:cs="Tahoma"/>
      <w:sz w:val="24"/>
      <w:szCs w:val="24"/>
      <w:lang w:val="es-ES" w:eastAsia="es-ES"/>
    </w:rPr>
  </w:style>
  <w:style w:type="paragraph" w:styleId="Paragraphedeliste">
    <w:name w:val="List Paragraph"/>
    <w:basedOn w:val="Normal"/>
    <w:uiPriority w:val="34"/>
    <w:qFormat/>
    <w:rsid w:val="008B7665"/>
    <w:pPr>
      <w:ind w:left="720"/>
      <w:contextualSpacing/>
    </w:pPr>
  </w:style>
  <w:style w:type="paragraph" w:customStyle="1" w:styleId="Textoindependiente21">
    <w:name w:val="Texto independiente 21"/>
    <w:basedOn w:val="Normal"/>
    <w:link w:val="BodyText2Car1"/>
    <w:uiPriority w:val="99"/>
    <w:rsid w:val="008B7665"/>
    <w:pPr>
      <w:overflowPunct w:val="0"/>
      <w:autoSpaceDE w:val="0"/>
      <w:autoSpaceDN w:val="0"/>
      <w:adjustRightInd w:val="0"/>
      <w:spacing w:line="360" w:lineRule="auto"/>
      <w:ind w:firstLine="709"/>
      <w:jc w:val="both"/>
      <w:textAlignment w:val="baseline"/>
    </w:pPr>
    <w:rPr>
      <w:rFonts w:ascii="Arial Narrow" w:hAnsi="Arial Narrow" w:cs="Arial Narrow"/>
      <w:sz w:val="30"/>
      <w:szCs w:val="30"/>
      <w:lang w:val="es-CO"/>
    </w:rPr>
  </w:style>
  <w:style w:type="character" w:customStyle="1" w:styleId="BodyText2Car1">
    <w:name w:val="Body Text 2 Car1"/>
    <w:link w:val="Textoindependiente21"/>
    <w:uiPriority w:val="99"/>
    <w:locked/>
    <w:rsid w:val="008B7665"/>
    <w:rPr>
      <w:rFonts w:ascii="Arial Narrow" w:eastAsia="Times New Roman" w:hAnsi="Arial Narrow" w:cs="Arial Narrow"/>
      <w:sz w:val="30"/>
      <w:szCs w:val="30"/>
      <w:lang w:eastAsia="es-ES"/>
    </w:rPr>
  </w:style>
  <w:style w:type="paragraph" w:styleId="En-tte">
    <w:name w:val="header"/>
    <w:basedOn w:val="Normal"/>
    <w:link w:val="En-tteCar"/>
    <w:uiPriority w:val="99"/>
    <w:unhideWhenUsed/>
    <w:rsid w:val="00080145"/>
    <w:pPr>
      <w:tabs>
        <w:tab w:val="center" w:pos="4252"/>
        <w:tab w:val="right" w:pos="8504"/>
      </w:tabs>
    </w:pPr>
  </w:style>
  <w:style w:type="character" w:customStyle="1" w:styleId="En-tteCar">
    <w:name w:val="En-tête Car"/>
    <w:basedOn w:val="Policepardfaut"/>
    <w:link w:val="En-tte"/>
    <w:uiPriority w:val="99"/>
    <w:rsid w:val="00080145"/>
    <w:rPr>
      <w:rFonts w:ascii="Times New Roman" w:eastAsia="Times New Roman" w:hAnsi="Times New Roman" w:cs="Times New Roman"/>
      <w:sz w:val="24"/>
      <w:szCs w:val="24"/>
      <w:lang w:val="es-ES" w:eastAsia="es-ES"/>
    </w:rPr>
  </w:style>
  <w:style w:type="paragraph" w:styleId="Pieddepage">
    <w:name w:val="footer"/>
    <w:basedOn w:val="Normal"/>
    <w:link w:val="PieddepageCar"/>
    <w:uiPriority w:val="99"/>
    <w:unhideWhenUsed/>
    <w:rsid w:val="00080145"/>
    <w:pPr>
      <w:tabs>
        <w:tab w:val="center" w:pos="4252"/>
        <w:tab w:val="right" w:pos="8504"/>
      </w:tabs>
    </w:pPr>
  </w:style>
  <w:style w:type="character" w:customStyle="1" w:styleId="PieddepageCar">
    <w:name w:val="Pied de page Car"/>
    <w:basedOn w:val="Policepardfaut"/>
    <w:link w:val="Pieddepage"/>
    <w:uiPriority w:val="99"/>
    <w:rsid w:val="00080145"/>
    <w:rPr>
      <w:rFonts w:ascii="Times New Roman" w:eastAsia="Times New Roman" w:hAnsi="Times New Roman" w:cs="Times New Roman"/>
      <w:sz w:val="24"/>
      <w:szCs w:val="24"/>
      <w:lang w:val="es-ES" w:eastAsia="es-ES"/>
    </w:rPr>
  </w:style>
  <w:style w:type="paragraph" w:styleId="Sansinterligne">
    <w:name w:val="No Spacing"/>
    <w:uiPriority w:val="1"/>
    <w:qFormat/>
    <w:rsid w:val="00BF4F59"/>
    <w:pPr>
      <w:spacing w:after="0" w:line="240" w:lineRule="auto"/>
    </w:pPr>
    <w:rPr>
      <w:rFonts w:ascii="Times New Roman" w:eastAsia="Times New Roman" w:hAnsi="Times New Roman" w:cs="Times New Roman"/>
      <w:sz w:val="24"/>
      <w:szCs w:val="24"/>
      <w:lang w:val="es-ES" w:eastAsia="es-ES"/>
    </w:rPr>
  </w:style>
  <w:style w:type="character" w:styleId="Appelnotedebasdep">
    <w:name w:val="footnote reference"/>
    <w:uiPriority w:val="99"/>
    <w:rsid w:val="00BF4F59"/>
    <w:rPr>
      <w:vertAlign w:val="superscript"/>
    </w:rPr>
  </w:style>
  <w:style w:type="paragraph" w:styleId="Notedebasdepage">
    <w:name w:val="footnote text"/>
    <w:aliases w:val="Ref. de nota al pie1,Texto de nota al pie,Footnote Text Char Char Char Char Char,Footnote Text Char Char Char Char,FA Fu,Footnote Text Char Char Char,referencia nota al pie,Footnote Text Char"/>
    <w:basedOn w:val="Normal"/>
    <w:link w:val="NotedebasdepageCar"/>
    <w:uiPriority w:val="99"/>
    <w:rsid w:val="00BF4F59"/>
    <w:rPr>
      <w:sz w:val="20"/>
      <w:szCs w:val="20"/>
    </w:rPr>
  </w:style>
  <w:style w:type="character" w:customStyle="1" w:styleId="NotedebasdepageCar">
    <w:name w:val="Note de bas de page Car"/>
    <w:aliases w:val="Ref. de nota al pie1 Car,Texto de nota al pie Car,Footnote Text Char Char Char Char Char Car,Footnote Text Char Char Char Char Car,FA Fu Car,Footnote Text Char Char Char Car,referencia nota al pie Car,Footnote Text Char Car"/>
    <w:basedOn w:val="Policepardfaut"/>
    <w:link w:val="Notedebasdepage"/>
    <w:uiPriority w:val="99"/>
    <w:rsid w:val="00BF4F59"/>
    <w:rPr>
      <w:rFonts w:ascii="Times New Roman" w:eastAsia="Times New Roman" w:hAnsi="Times New Roman" w:cs="Times New Roman"/>
      <w:sz w:val="20"/>
      <w:szCs w:val="20"/>
      <w:lang w:val="es-ES" w:eastAsia="es-ES"/>
    </w:rPr>
  </w:style>
  <w:style w:type="paragraph" w:styleId="Corpsdetexte">
    <w:name w:val="Body Text"/>
    <w:basedOn w:val="Normal"/>
    <w:link w:val="CorpsdetexteCar"/>
    <w:rsid w:val="00BF4F59"/>
    <w:pPr>
      <w:spacing w:after="120"/>
    </w:pPr>
  </w:style>
  <w:style w:type="character" w:customStyle="1" w:styleId="CorpsdetexteCar">
    <w:name w:val="Corps de texte Car"/>
    <w:basedOn w:val="Policepardfaut"/>
    <w:link w:val="Corpsdetexte"/>
    <w:rsid w:val="00BF4F59"/>
    <w:rPr>
      <w:rFonts w:ascii="Times New Roman" w:eastAsia="Times New Roman" w:hAnsi="Times New Roman" w:cs="Times New Roman"/>
      <w:sz w:val="24"/>
      <w:szCs w:val="24"/>
      <w:lang w:val="es-ES" w:eastAsia="es-ES"/>
    </w:rPr>
  </w:style>
  <w:style w:type="table" w:styleId="Grilledutableau">
    <w:name w:val="Table Grid"/>
    <w:basedOn w:val="TableauNormal"/>
    <w:uiPriority w:val="39"/>
    <w:rsid w:val="003E49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3E491B"/>
    <w:rPr>
      <w:rFonts w:ascii="Segoe UI" w:hAnsi="Segoe UI" w:cs="Segoe UI"/>
      <w:sz w:val="18"/>
      <w:szCs w:val="18"/>
    </w:rPr>
  </w:style>
  <w:style w:type="character" w:customStyle="1" w:styleId="TextedebullesCar">
    <w:name w:val="Texte de bulles Car"/>
    <w:basedOn w:val="Policepardfaut"/>
    <w:link w:val="Textedebulles"/>
    <w:uiPriority w:val="99"/>
    <w:semiHidden/>
    <w:rsid w:val="003E491B"/>
    <w:rPr>
      <w:rFonts w:ascii="Segoe UI" w:eastAsia="Times New Roman" w:hAnsi="Segoe UI" w:cs="Segoe UI"/>
      <w:sz w:val="18"/>
      <w:szCs w:val="18"/>
      <w:lang w:val="es-ES" w:eastAsia="es-ES"/>
    </w:rPr>
  </w:style>
  <w:style w:type="paragraph" w:customStyle="1" w:styleId="Textoindependiente31">
    <w:name w:val="Texto independiente 31"/>
    <w:basedOn w:val="Normal"/>
    <w:rsid w:val="00D818E3"/>
    <w:pPr>
      <w:spacing w:line="360" w:lineRule="auto"/>
      <w:jc w:val="both"/>
    </w:pPr>
    <w:rPr>
      <w:rFonts w:ascii="Arial" w:hAnsi="Arial"/>
      <w:szCs w:val="20"/>
      <w:lang w:val="es-ES_tradnl"/>
    </w:rPr>
  </w:style>
  <w:style w:type="paragraph" w:styleId="NormalWeb">
    <w:name w:val="Normal (Web)"/>
    <w:basedOn w:val="Normal"/>
    <w:uiPriority w:val="99"/>
    <w:unhideWhenUsed/>
    <w:rsid w:val="00D818E3"/>
    <w:pPr>
      <w:spacing w:before="100" w:beforeAutospacing="1" w:after="100" w:afterAutospacing="1"/>
    </w:pPr>
  </w:style>
  <w:style w:type="character" w:customStyle="1" w:styleId="apple-converted-space">
    <w:name w:val="apple-converted-space"/>
    <w:basedOn w:val="Policepardfaut"/>
    <w:rsid w:val="000D62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37152">
      <w:bodyDiv w:val="1"/>
      <w:marLeft w:val="0"/>
      <w:marRight w:val="0"/>
      <w:marTop w:val="0"/>
      <w:marBottom w:val="0"/>
      <w:divBdr>
        <w:top w:val="none" w:sz="0" w:space="0" w:color="auto"/>
        <w:left w:val="none" w:sz="0" w:space="0" w:color="auto"/>
        <w:bottom w:val="none" w:sz="0" w:space="0" w:color="auto"/>
        <w:right w:val="none" w:sz="0" w:space="0" w:color="auto"/>
      </w:divBdr>
    </w:div>
    <w:div w:id="2146194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513</TotalTime>
  <Pages>5</Pages>
  <Words>2368</Words>
  <Characters>13027</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Alejo</dc:creator>
  <cp:lastModifiedBy>Malucimedina</cp:lastModifiedBy>
  <cp:revision>33</cp:revision>
  <cp:lastPrinted>2017-03-17T19:40:00Z</cp:lastPrinted>
  <dcterms:created xsi:type="dcterms:W3CDTF">2017-02-03T15:38:00Z</dcterms:created>
  <dcterms:modified xsi:type="dcterms:W3CDTF">2017-05-14T04:30:00Z</dcterms:modified>
</cp:coreProperties>
</file>