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27C5533" w14:textId="77777777" w:rsidR="00802A09" w:rsidRPr="00802A09" w:rsidRDefault="00802A09" w:rsidP="00802A0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59" w:lineRule="auto"/>
        <w:ind w:firstLine="709"/>
        <w:jc w:val="center"/>
        <w:rPr>
          <w:rFonts w:ascii="Calibri" w:eastAsia="Calibri" w:hAnsi="Calibri" w:cs="Calibri"/>
          <w:color w:val="FF0000"/>
          <w:sz w:val="16"/>
          <w:szCs w:val="16"/>
          <w:lang w:val="es-CO" w:eastAsia="fr-FR"/>
        </w:rPr>
      </w:pPr>
      <w:r w:rsidRPr="00802A09">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802A09">
        <w:rPr>
          <w:rFonts w:ascii="Calibri" w:eastAsia="Calibri" w:hAnsi="Calibri" w:cs="Calibri"/>
          <w:color w:val="FF0000"/>
          <w:sz w:val="16"/>
          <w:szCs w:val="16"/>
          <w:lang w:val="es-CO" w:eastAsia="fr-FR"/>
        </w:rPr>
        <w:t xml:space="preserve"> </w:t>
      </w:r>
    </w:p>
    <w:p w14:paraId="16DD5614" w14:textId="77777777" w:rsidR="00802A09" w:rsidRPr="00802A09" w:rsidRDefault="00802A09" w:rsidP="00802A0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59" w:lineRule="auto"/>
        <w:ind w:firstLine="709"/>
        <w:jc w:val="center"/>
        <w:rPr>
          <w:rFonts w:ascii="Tahoma" w:hAnsi="Tahoma" w:cs="Tahoma"/>
          <w:b/>
          <w:sz w:val="18"/>
          <w:szCs w:val="18"/>
          <w:lang w:val="es-CO"/>
        </w:rPr>
      </w:pPr>
      <w:r w:rsidRPr="00802A09">
        <w:rPr>
          <w:rFonts w:ascii="Calibri" w:eastAsia="Calibri" w:hAnsi="Calibri" w:cs="Calibri"/>
          <w:color w:val="FF0000"/>
          <w:sz w:val="16"/>
          <w:szCs w:val="16"/>
          <w:lang w:val="es-CO" w:eastAsia="fr-FR"/>
        </w:rPr>
        <w:t>El contenido total y fiel de la decisión debe ser verificado en el audio que reposa en la Secretaría de esta Sala.</w:t>
      </w:r>
    </w:p>
    <w:p w14:paraId="629374A9" w14:textId="77777777" w:rsidR="00802A09" w:rsidRDefault="00802A09" w:rsidP="0051507A">
      <w:pPr>
        <w:pStyle w:val="Titre"/>
        <w:spacing w:line="240" w:lineRule="auto"/>
        <w:jc w:val="both"/>
        <w:rPr>
          <w:rFonts w:ascii="Tahoma" w:hAnsi="Tahoma" w:cs="Tahoma"/>
          <w:sz w:val="18"/>
          <w:szCs w:val="18"/>
        </w:rPr>
      </w:pPr>
    </w:p>
    <w:p w14:paraId="14D5BB74" w14:textId="085EA853" w:rsidR="00F065D7" w:rsidRPr="00E83D85" w:rsidRDefault="00F065D7" w:rsidP="0051507A">
      <w:pPr>
        <w:pStyle w:val="Titre"/>
        <w:spacing w:line="240" w:lineRule="auto"/>
        <w:jc w:val="both"/>
        <w:rPr>
          <w:rFonts w:ascii="Tahoma" w:hAnsi="Tahoma" w:cs="Tahoma"/>
          <w:b w:val="0"/>
          <w:sz w:val="18"/>
          <w:szCs w:val="18"/>
        </w:rPr>
      </w:pPr>
      <w:r w:rsidRPr="00E83D85">
        <w:rPr>
          <w:rFonts w:ascii="Tahoma" w:hAnsi="Tahoma" w:cs="Tahoma"/>
          <w:sz w:val="18"/>
          <w:szCs w:val="18"/>
        </w:rPr>
        <w:t>Providencia:</w:t>
      </w:r>
      <w:r w:rsidRPr="00E83D85">
        <w:rPr>
          <w:rFonts w:ascii="Tahoma" w:hAnsi="Tahoma" w:cs="Tahoma"/>
          <w:b w:val="0"/>
          <w:sz w:val="18"/>
          <w:szCs w:val="18"/>
        </w:rPr>
        <w:t xml:space="preserve"> </w:t>
      </w:r>
      <w:r w:rsidRPr="00E83D85">
        <w:rPr>
          <w:rFonts w:ascii="Tahoma" w:hAnsi="Tahoma" w:cs="Tahoma"/>
          <w:b w:val="0"/>
          <w:sz w:val="18"/>
          <w:szCs w:val="18"/>
        </w:rPr>
        <w:tab/>
      </w:r>
      <w:r w:rsidRPr="00E83D85">
        <w:rPr>
          <w:rFonts w:ascii="Tahoma" w:hAnsi="Tahoma" w:cs="Tahoma"/>
          <w:b w:val="0"/>
          <w:sz w:val="18"/>
          <w:szCs w:val="18"/>
        </w:rPr>
        <w:tab/>
      </w:r>
      <w:r w:rsidRPr="00E83D85">
        <w:rPr>
          <w:rFonts w:ascii="Tahoma" w:hAnsi="Tahoma" w:cs="Tahoma"/>
          <w:b w:val="0"/>
          <w:bCs/>
          <w:sz w:val="18"/>
          <w:szCs w:val="18"/>
        </w:rPr>
        <w:t xml:space="preserve">Sentencia </w:t>
      </w:r>
      <w:r w:rsidR="00FE1F63">
        <w:rPr>
          <w:rFonts w:ascii="Tahoma" w:hAnsi="Tahoma" w:cs="Tahoma"/>
          <w:b w:val="0"/>
          <w:bCs/>
          <w:sz w:val="18"/>
          <w:szCs w:val="18"/>
        </w:rPr>
        <w:t xml:space="preserve">- 2ª instancia - </w:t>
      </w:r>
      <w:r w:rsidR="00A733D3" w:rsidRPr="00E83D85">
        <w:rPr>
          <w:rFonts w:ascii="Tahoma" w:hAnsi="Tahoma" w:cs="Tahoma"/>
          <w:b w:val="0"/>
          <w:bCs/>
          <w:sz w:val="18"/>
          <w:szCs w:val="18"/>
        </w:rPr>
        <w:t>21</w:t>
      </w:r>
      <w:r w:rsidRPr="00E83D85">
        <w:rPr>
          <w:rFonts w:ascii="Tahoma" w:hAnsi="Tahoma" w:cs="Tahoma"/>
          <w:b w:val="0"/>
          <w:bCs/>
          <w:sz w:val="18"/>
          <w:szCs w:val="18"/>
        </w:rPr>
        <w:t xml:space="preserve"> de </w:t>
      </w:r>
      <w:r w:rsidR="00A733D3" w:rsidRPr="00E83D85">
        <w:rPr>
          <w:rFonts w:ascii="Tahoma" w:hAnsi="Tahoma" w:cs="Tahoma"/>
          <w:b w:val="0"/>
          <w:bCs/>
          <w:sz w:val="18"/>
          <w:szCs w:val="18"/>
        </w:rPr>
        <w:t>abril</w:t>
      </w:r>
      <w:r w:rsidRPr="00E83D85">
        <w:rPr>
          <w:rFonts w:ascii="Tahoma" w:hAnsi="Tahoma" w:cs="Tahoma"/>
          <w:b w:val="0"/>
          <w:bCs/>
          <w:sz w:val="18"/>
          <w:szCs w:val="18"/>
        </w:rPr>
        <w:t xml:space="preserve"> de 201</w:t>
      </w:r>
      <w:r w:rsidR="00A733D3" w:rsidRPr="00E83D85">
        <w:rPr>
          <w:rFonts w:ascii="Tahoma" w:hAnsi="Tahoma" w:cs="Tahoma"/>
          <w:b w:val="0"/>
          <w:bCs/>
          <w:sz w:val="18"/>
          <w:szCs w:val="18"/>
        </w:rPr>
        <w:t>7</w:t>
      </w:r>
      <w:r w:rsidRPr="00E83D85">
        <w:rPr>
          <w:rFonts w:ascii="Tahoma" w:hAnsi="Tahoma" w:cs="Tahoma"/>
          <w:b w:val="0"/>
          <w:bCs/>
          <w:sz w:val="18"/>
          <w:szCs w:val="18"/>
        </w:rPr>
        <w:t xml:space="preserve"> </w:t>
      </w:r>
    </w:p>
    <w:p w14:paraId="6271E5E1" w14:textId="77777777" w:rsidR="00FE1F63" w:rsidRPr="00E83D85" w:rsidRDefault="00FE1F63" w:rsidP="00FE1F63">
      <w:pPr>
        <w:pStyle w:val="Titre"/>
        <w:spacing w:line="240" w:lineRule="auto"/>
        <w:jc w:val="both"/>
        <w:rPr>
          <w:rFonts w:ascii="Tahoma" w:hAnsi="Tahoma" w:cs="Tahoma"/>
          <w:b w:val="0"/>
          <w:sz w:val="18"/>
          <w:szCs w:val="18"/>
        </w:rPr>
      </w:pPr>
      <w:r w:rsidRPr="00E83D85">
        <w:rPr>
          <w:rFonts w:ascii="Tahoma" w:hAnsi="Tahoma" w:cs="Tahoma"/>
          <w:sz w:val="18"/>
          <w:szCs w:val="18"/>
        </w:rPr>
        <w:t>Proceso:</w:t>
      </w:r>
      <w:r w:rsidRPr="00E83D85">
        <w:rPr>
          <w:rFonts w:ascii="Tahoma" w:hAnsi="Tahoma" w:cs="Tahoma"/>
          <w:b w:val="0"/>
          <w:sz w:val="18"/>
          <w:szCs w:val="18"/>
        </w:rPr>
        <w:tab/>
      </w:r>
      <w:r w:rsidRPr="00E83D85">
        <w:rPr>
          <w:rFonts w:ascii="Tahoma" w:hAnsi="Tahoma" w:cs="Tahoma"/>
          <w:b w:val="0"/>
          <w:sz w:val="18"/>
          <w:szCs w:val="18"/>
        </w:rPr>
        <w:tab/>
        <w:t xml:space="preserve">Ordinario laboral </w:t>
      </w:r>
      <w:r>
        <w:rPr>
          <w:rFonts w:ascii="Tahoma" w:hAnsi="Tahoma" w:cs="Tahoma"/>
          <w:b w:val="0"/>
          <w:sz w:val="18"/>
          <w:szCs w:val="18"/>
        </w:rPr>
        <w:t>– Modifica y co</w:t>
      </w:r>
      <w:bookmarkStart w:id="0" w:name="_GoBack"/>
      <w:bookmarkEnd w:id="0"/>
      <w:r>
        <w:rPr>
          <w:rFonts w:ascii="Tahoma" w:hAnsi="Tahoma" w:cs="Tahoma"/>
          <w:b w:val="0"/>
          <w:sz w:val="18"/>
          <w:szCs w:val="18"/>
        </w:rPr>
        <w:t>nfirma sentencia que accedió a las pretensiones</w:t>
      </w:r>
    </w:p>
    <w:p w14:paraId="6684FC26" w14:textId="77777777" w:rsidR="00F065D7" w:rsidRPr="00E83D85" w:rsidRDefault="00F065D7" w:rsidP="0051507A">
      <w:pPr>
        <w:pStyle w:val="Titre"/>
        <w:spacing w:line="240" w:lineRule="auto"/>
        <w:jc w:val="both"/>
        <w:rPr>
          <w:rFonts w:ascii="Tahoma" w:hAnsi="Tahoma" w:cs="Tahoma"/>
          <w:b w:val="0"/>
          <w:sz w:val="18"/>
          <w:szCs w:val="18"/>
        </w:rPr>
      </w:pPr>
      <w:r w:rsidRPr="00E83D85">
        <w:rPr>
          <w:rFonts w:ascii="Tahoma" w:hAnsi="Tahoma" w:cs="Tahoma"/>
          <w:sz w:val="18"/>
          <w:szCs w:val="18"/>
        </w:rPr>
        <w:t>Radicación No.:</w:t>
      </w:r>
      <w:r w:rsidRPr="00E83D85">
        <w:rPr>
          <w:rFonts w:ascii="Tahoma" w:hAnsi="Tahoma" w:cs="Tahoma"/>
          <w:b w:val="0"/>
          <w:sz w:val="18"/>
          <w:szCs w:val="18"/>
        </w:rPr>
        <w:tab/>
      </w:r>
      <w:r w:rsidRPr="00E83D85">
        <w:rPr>
          <w:rFonts w:ascii="Tahoma" w:hAnsi="Tahoma" w:cs="Tahoma"/>
          <w:b w:val="0"/>
          <w:sz w:val="18"/>
          <w:szCs w:val="18"/>
        </w:rPr>
        <w:tab/>
      </w:r>
      <w:r w:rsidR="00A733D3" w:rsidRPr="00E83D85">
        <w:rPr>
          <w:rFonts w:ascii="Tahoma" w:hAnsi="Tahoma" w:cs="Tahoma"/>
          <w:b w:val="0"/>
          <w:sz w:val="18"/>
          <w:szCs w:val="18"/>
        </w:rPr>
        <w:t>66001-31-05-002-2015-00234-01</w:t>
      </w:r>
    </w:p>
    <w:p w14:paraId="637B1548" w14:textId="77777777" w:rsidR="00F065D7" w:rsidRPr="00E83D85" w:rsidRDefault="00F065D7" w:rsidP="0051507A">
      <w:pPr>
        <w:pStyle w:val="Titre"/>
        <w:spacing w:line="240" w:lineRule="auto"/>
        <w:jc w:val="both"/>
        <w:rPr>
          <w:rFonts w:ascii="Tahoma" w:hAnsi="Tahoma" w:cs="Tahoma"/>
          <w:b w:val="0"/>
          <w:sz w:val="18"/>
          <w:szCs w:val="18"/>
        </w:rPr>
      </w:pPr>
      <w:r w:rsidRPr="00E83D85">
        <w:rPr>
          <w:rFonts w:ascii="Tahoma" w:hAnsi="Tahoma" w:cs="Tahoma"/>
          <w:sz w:val="18"/>
          <w:szCs w:val="18"/>
        </w:rPr>
        <w:t>Demandante:</w:t>
      </w:r>
      <w:r w:rsidRPr="00E83D85">
        <w:rPr>
          <w:rFonts w:ascii="Tahoma" w:hAnsi="Tahoma" w:cs="Tahoma"/>
          <w:b w:val="0"/>
          <w:sz w:val="18"/>
          <w:szCs w:val="18"/>
        </w:rPr>
        <w:tab/>
      </w:r>
      <w:r w:rsidRPr="00E83D85">
        <w:rPr>
          <w:rFonts w:ascii="Tahoma" w:hAnsi="Tahoma" w:cs="Tahoma"/>
          <w:b w:val="0"/>
          <w:sz w:val="18"/>
          <w:szCs w:val="18"/>
        </w:rPr>
        <w:tab/>
      </w:r>
      <w:r w:rsidR="00A733D3" w:rsidRPr="00E83D85">
        <w:rPr>
          <w:rFonts w:ascii="Tahoma" w:hAnsi="Tahoma" w:cs="Tahoma"/>
          <w:b w:val="0"/>
          <w:sz w:val="18"/>
          <w:szCs w:val="18"/>
        </w:rPr>
        <w:t>Leonora Guevara Arias</w:t>
      </w:r>
    </w:p>
    <w:p w14:paraId="03EC5BC7" w14:textId="77777777" w:rsidR="00F065D7" w:rsidRPr="00E83D85" w:rsidRDefault="00F065D7" w:rsidP="0051507A">
      <w:pPr>
        <w:pStyle w:val="Titre"/>
        <w:spacing w:line="240" w:lineRule="auto"/>
        <w:ind w:left="708" w:hanging="708"/>
        <w:jc w:val="both"/>
        <w:rPr>
          <w:rFonts w:ascii="Tahoma" w:hAnsi="Tahoma" w:cs="Tahoma"/>
          <w:b w:val="0"/>
          <w:sz w:val="18"/>
          <w:szCs w:val="18"/>
        </w:rPr>
      </w:pPr>
      <w:r w:rsidRPr="00E83D85">
        <w:rPr>
          <w:rFonts w:ascii="Tahoma" w:hAnsi="Tahoma" w:cs="Tahoma"/>
          <w:sz w:val="18"/>
          <w:szCs w:val="18"/>
        </w:rPr>
        <w:t>Demandado:</w:t>
      </w:r>
      <w:r w:rsidRPr="00E83D85">
        <w:rPr>
          <w:rFonts w:ascii="Tahoma" w:hAnsi="Tahoma" w:cs="Tahoma"/>
          <w:b w:val="0"/>
          <w:sz w:val="18"/>
          <w:szCs w:val="18"/>
        </w:rPr>
        <w:tab/>
      </w:r>
      <w:r w:rsidRPr="00E83D85">
        <w:rPr>
          <w:rFonts w:ascii="Tahoma" w:hAnsi="Tahoma" w:cs="Tahoma"/>
          <w:b w:val="0"/>
          <w:sz w:val="18"/>
          <w:szCs w:val="18"/>
        </w:rPr>
        <w:tab/>
        <w:t xml:space="preserve">Colpensiones </w:t>
      </w:r>
    </w:p>
    <w:p w14:paraId="1D8994FF" w14:textId="77777777" w:rsidR="00F065D7" w:rsidRPr="00E83D85" w:rsidRDefault="00F065D7" w:rsidP="0051507A">
      <w:pPr>
        <w:pStyle w:val="Titre"/>
        <w:spacing w:line="240" w:lineRule="auto"/>
        <w:jc w:val="both"/>
        <w:rPr>
          <w:rFonts w:ascii="Tahoma" w:hAnsi="Tahoma" w:cs="Tahoma"/>
          <w:b w:val="0"/>
          <w:sz w:val="18"/>
          <w:szCs w:val="18"/>
        </w:rPr>
      </w:pPr>
      <w:r w:rsidRPr="00E83D85">
        <w:rPr>
          <w:rFonts w:ascii="Tahoma" w:hAnsi="Tahoma" w:cs="Tahoma"/>
          <w:sz w:val="18"/>
          <w:szCs w:val="18"/>
        </w:rPr>
        <w:t>Juzgado de origen:</w:t>
      </w:r>
      <w:r w:rsidRPr="00E83D85">
        <w:rPr>
          <w:rFonts w:ascii="Tahoma" w:hAnsi="Tahoma" w:cs="Tahoma"/>
          <w:b w:val="0"/>
          <w:sz w:val="18"/>
          <w:szCs w:val="18"/>
        </w:rPr>
        <w:t xml:space="preserve"> </w:t>
      </w:r>
      <w:r w:rsidRPr="00E83D85">
        <w:rPr>
          <w:rFonts w:ascii="Tahoma" w:hAnsi="Tahoma" w:cs="Tahoma"/>
          <w:b w:val="0"/>
          <w:sz w:val="18"/>
          <w:szCs w:val="18"/>
        </w:rPr>
        <w:tab/>
      </w:r>
      <w:r w:rsidR="00A733D3" w:rsidRPr="00E83D85">
        <w:rPr>
          <w:rFonts w:ascii="Tahoma" w:hAnsi="Tahoma" w:cs="Tahoma"/>
          <w:b w:val="0"/>
          <w:sz w:val="18"/>
          <w:szCs w:val="18"/>
        </w:rPr>
        <w:t>Segundo</w:t>
      </w:r>
      <w:r w:rsidRPr="00E83D85">
        <w:rPr>
          <w:rFonts w:ascii="Tahoma" w:hAnsi="Tahoma" w:cs="Tahoma"/>
          <w:b w:val="0"/>
          <w:sz w:val="18"/>
          <w:szCs w:val="18"/>
        </w:rPr>
        <w:t xml:space="preserve"> Laboral del Circuito de Pereira</w:t>
      </w:r>
    </w:p>
    <w:p w14:paraId="4225BADA" w14:textId="77777777" w:rsidR="00F065D7" w:rsidRPr="00E83D85" w:rsidRDefault="00F065D7" w:rsidP="0051507A">
      <w:pPr>
        <w:pStyle w:val="Titre"/>
        <w:spacing w:line="240" w:lineRule="auto"/>
        <w:jc w:val="both"/>
        <w:rPr>
          <w:rFonts w:ascii="Tahoma" w:hAnsi="Tahoma" w:cs="Tahoma"/>
          <w:b w:val="0"/>
          <w:sz w:val="18"/>
          <w:szCs w:val="18"/>
        </w:rPr>
      </w:pPr>
      <w:r w:rsidRPr="00E83D85">
        <w:rPr>
          <w:rFonts w:ascii="Tahoma" w:hAnsi="Tahoma" w:cs="Tahoma"/>
          <w:sz w:val="18"/>
          <w:szCs w:val="18"/>
        </w:rPr>
        <w:t>Magistrada ponente:</w:t>
      </w:r>
      <w:r w:rsidRPr="00E83D85">
        <w:rPr>
          <w:rFonts w:ascii="Tahoma" w:hAnsi="Tahoma" w:cs="Tahoma"/>
          <w:b w:val="0"/>
          <w:sz w:val="18"/>
          <w:szCs w:val="18"/>
        </w:rPr>
        <w:tab/>
        <w:t>Dra. Ana Lucía Caicedo Calderón</w:t>
      </w:r>
    </w:p>
    <w:p w14:paraId="736BC129" w14:textId="77777777" w:rsidR="0051507A" w:rsidRDefault="00F065D7" w:rsidP="0051507A">
      <w:pPr>
        <w:pStyle w:val="Titre"/>
        <w:spacing w:line="240" w:lineRule="auto"/>
        <w:ind w:left="2127" w:hanging="2127"/>
        <w:jc w:val="both"/>
        <w:rPr>
          <w:rFonts w:ascii="Tahoma" w:hAnsi="Tahoma" w:cs="Tahoma"/>
          <w:sz w:val="18"/>
          <w:szCs w:val="18"/>
        </w:rPr>
      </w:pPr>
      <w:r w:rsidRPr="00E83D85">
        <w:rPr>
          <w:rFonts w:ascii="Tahoma" w:hAnsi="Tahoma" w:cs="Tahoma"/>
          <w:sz w:val="18"/>
          <w:szCs w:val="18"/>
        </w:rPr>
        <w:t>Tema:</w:t>
      </w:r>
      <w:r w:rsidRPr="00E83D85">
        <w:rPr>
          <w:rFonts w:ascii="Tahoma" w:hAnsi="Tahoma" w:cs="Tahoma"/>
          <w:sz w:val="18"/>
          <w:szCs w:val="18"/>
        </w:rPr>
        <w:tab/>
      </w:r>
    </w:p>
    <w:p w14:paraId="74CB688D" w14:textId="77777777" w:rsidR="0051507A" w:rsidRPr="00BF2ADC" w:rsidRDefault="0051507A" w:rsidP="0051507A">
      <w:pPr>
        <w:pStyle w:val="Titre"/>
        <w:spacing w:line="240" w:lineRule="auto"/>
        <w:ind w:left="2127" w:hanging="3"/>
        <w:jc w:val="both"/>
        <w:rPr>
          <w:rFonts w:ascii="Tahoma" w:hAnsi="Tahoma" w:cs="Tahoma"/>
          <w:b w:val="0"/>
          <w:spacing w:val="-2"/>
          <w:sz w:val="18"/>
          <w:szCs w:val="18"/>
        </w:rPr>
      </w:pPr>
      <w:r w:rsidRPr="002F3A73">
        <w:rPr>
          <w:rFonts w:ascii="Tahoma" w:hAnsi="Tahoma" w:cs="Tahoma"/>
          <w:sz w:val="18"/>
          <w:szCs w:val="18"/>
        </w:rPr>
        <w:t xml:space="preserve">Aplicación del principio de la condición más beneficiosa – Ley 797 de 2003 a </w:t>
      </w:r>
      <w:r>
        <w:rPr>
          <w:rFonts w:ascii="Tahoma" w:hAnsi="Tahoma" w:cs="Tahoma"/>
          <w:sz w:val="18"/>
          <w:szCs w:val="18"/>
        </w:rPr>
        <w:t xml:space="preserve">Acuerdo 049 de 1990, acogiendo la tesis de la Corte Constitucional por ser la más favorable: </w:t>
      </w:r>
      <w:r w:rsidRPr="00BF2ADC">
        <w:rPr>
          <w:rFonts w:ascii="Tahoma" w:hAnsi="Tahoma" w:cs="Tahoma"/>
          <w:b w:val="0"/>
          <w:sz w:val="18"/>
          <w:szCs w:val="18"/>
        </w:rPr>
        <w:t>[f]</w:t>
      </w:r>
      <w:r w:rsidRPr="00BF2ADC">
        <w:rPr>
          <w:rFonts w:ascii="Tahoma" w:hAnsi="Tahoma" w:cs="Tahoma"/>
          <w:b w:val="0"/>
          <w:spacing w:val="-2"/>
          <w:sz w:val="18"/>
          <w:szCs w:val="18"/>
        </w:rPr>
        <w:t xml:space="preserve">rente al principio de la condición más beneficiosa existen dos interpretaciones con efectos jurídicos disímiles: la de la Sala de Casación Laboral que es más restrictiva y la de la Corte Constitucional que es mucho más flexible y favorable. Frente al dilema que surge de saber cuál es el  precedente vinculante, las Salas de Decisión Laboral No. 1 y 3 de esta Corporación, por la mayoría de sus integrantes hemos optado por la interpretación más favorable, que es la de la Corte Constitucional, atendiendo precisamente uno de los principios pilares del Derecho laboral como es el Principio Por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14:paraId="3A76EFA5" w14:textId="77777777" w:rsidR="0051507A" w:rsidRPr="00BF2ADC" w:rsidRDefault="0051507A" w:rsidP="0051507A">
      <w:pPr>
        <w:ind w:left="2124"/>
        <w:jc w:val="both"/>
        <w:rPr>
          <w:rFonts w:ascii="Tahoma" w:hAnsi="Tahoma" w:cs="Tahoma"/>
          <w:spacing w:val="-2"/>
          <w:sz w:val="18"/>
          <w:szCs w:val="18"/>
        </w:rPr>
      </w:pPr>
    </w:p>
    <w:p w14:paraId="7FD461AF" w14:textId="77777777" w:rsidR="0051507A" w:rsidRPr="00BF2ADC" w:rsidRDefault="0051507A" w:rsidP="0051507A">
      <w:pPr>
        <w:ind w:left="2124"/>
        <w:jc w:val="both"/>
        <w:rPr>
          <w:rFonts w:ascii="Tahoma" w:hAnsi="Tahoma" w:cs="Tahoma"/>
          <w:spacing w:val="-2"/>
          <w:sz w:val="18"/>
          <w:szCs w:val="18"/>
        </w:rPr>
      </w:pPr>
      <w:r w:rsidRPr="00BF2ADC">
        <w:rPr>
          <w:rFonts w:ascii="Tahoma" w:hAnsi="Tahoma" w:cs="Tahoma"/>
          <w:spacing w:val="-2"/>
          <w:sz w:val="18"/>
          <w:szCs w:val="18"/>
        </w:rPr>
        <w:t xml:space="preserve">Así mismo vale la pena recalcar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14:paraId="4A5AFC0E" w14:textId="77777777" w:rsidR="00206CE4" w:rsidRPr="00E83D85" w:rsidRDefault="00206CE4" w:rsidP="0051507A">
      <w:pPr>
        <w:pStyle w:val="Titre"/>
        <w:spacing w:line="240" w:lineRule="auto"/>
        <w:ind w:left="2127" w:hanging="2127"/>
        <w:jc w:val="both"/>
        <w:rPr>
          <w:rFonts w:ascii="Tahoma" w:hAnsi="Tahoma" w:cs="Tahoma"/>
          <w:sz w:val="18"/>
          <w:szCs w:val="18"/>
        </w:rPr>
      </w:pPr>
    </w:p>
    <w:p w14:paraId="1F848CA4" w14:textId="77777777" w:rsidR="00F065D7" w:rsidRPr="00E83D85" w:rsidRDefault="00F065D7" w:rsidP="0051507A">
      <w:pPr>
        <w:pStyle w:val="Titre"/>
        <w:spacing w:line="240" w:lineRule="auto"/>
        <w:jc w:val="both"/>
        <w:rPr>
          <w:rFonts w:ascii="Tahoma" w:hAnsi="Tahoma" w:cs="Tahoma"/>
          <w:b w:val="0"/>
          <w:sz w:val="18"/>
          <w:szCs w:val="18"/>
        </w:rPr>
      </w:pPr>
    </w:p>
    <w:p w14:paraId="3B14241A" w14:textId="77777777" w:rsidR="00F065D7" w:rsidRPr="00E83D85" w:rsidRDefault="00F065D7" w:rsidP="0051507A">
      <w:pPr>
        <w:pStyle w:val="Titre4"/>
        <w:widowControl w:val="0"/>
        <w:tabs>
          <w:tab w:val="clear" w:pos="0"/>
        </w:tabs>
        <w:rPr>
          <w:rFonts w:ascii="Tahoma" w:hAnsi="Tahoma" w:cs="Tahoma"/>
          <w:bCs/>
          <w:szCs w:val="24"/>
          <w:lang w:eastAsia="es-MX"/>
        </w:rPr>
      </w:pPr>
      <w:r w:rsidRPr="00E83D85">
        <w:rPr>
          <w:rFonts w:ascii="Tahoma" w:hAnsi="Tahoma" w:cs="Tahoma"/>
          <w:bCs/>
          <w:szCs w:val="24"/>
          <w:lang w:eastAsia="es-MX"/>
        </w:rPr>
        <w:t>TRIBUNAL SUPERIOR DEL DISTRITO JUDICIAL DE PEREIRA</w:t>
      </w:r>
    </w:p>
    <w:p w14:paraId="0EB9DFF3" w14:textId="77777777" w:rsidR="00F065D7" w:rsidRPr="00E83D85" w:rsidRDefault="00F065D7" w:rsidP="0051507A">
      <w:pPr>
        <w:pStyle w:val="Titre4"/>
        <w:widowControl w:val="0"/>
        <w:tabs>
          <w:tab w:val="clear" w:pos="0"/>
        </w:tabs>
        <w:rPr>
          <w:rFonts w:ascii="Tahoma" w:hAnsi="Tahoma" w:cs="Tahoma"/>
          <w:bCs/>
          <w:szCs w:val="24"/>
          <w:lang w:eastAsia="es-MX"/>
        </w:rPr>
      </w:pPr>
      <w:r w:rsidRPr="00E83D85">
        <w:rPr>
          <w:rFonts w:ascii="Tahoma" w:hAnsi="Tahoma" w:cs="Tahoma"/>
          <w:bCs/>
          <w:szCs w:val="24"/>
          <w:lang w:eastAsia="es-MX"/>
        </w:rPr>
        <w:t>SALA LABORAL</w:t>
      </w:r>
    </w:p>
    <w:p w14:paraId="0BD13357" w14:textId="77777777" w:rsidR="00F065D7" w:rsidRPr="00E83D85" w:rsidRDefault="00F065D7" w:rsidP="0051507A">
      <w:pPr>
        <w:jc w:val="center"/>
        <w:rPr>
          <w:rFonts w:ascii="Tahoma" w:hAnsi="Tahoma" w:cs="Tahoma"/>
          <w:bCs/>
        </w:rPr>
      </w:pPr>
    </w:p>
    <w:p w14:paraId="73AB3DB6" w14:textId="77777777" w:rsidR="00F065D7" w:rsidRPr="00E83D85" w:rsidRDefault="00F065D7" w:rsidP="0051507A">
      <w:pPr>
        <w:jc w:val="center"/>
        <w:rPr>
          <w:rFonts w:ascii="Tahoma" w:hAnsi="Tahoma" w:cs="Tahoma"/>
          <w:b/>
          <w:bCs/>
        </w:rPr>
      </w:pPr>
      <w:r w:rsidRPr="00E83D85">
        <w:rPr>
          <w:rFonts w:ascii="Tahoma" w:hAnsi="Tahoma" w:cs="Tahoma"/>
          <w:bCs/>
        </w:rPr>
        <w:t>Magistrada Ponente:</w:t>
      </w:r>
      <w:r w:rsidRPr="00E83D85">
        <w:rPr>
          <w:rFonts w:ascii="Tahoma" w:hAnsi="Tahoma" w:cs="Tahoma"/>
          <w:b/>
          <w:bCs/>
        </w:rPr>
        <w:t xml:space="preserve"> Ana Lucía Caicedo Calderón</w:t>
      </w:r>
    </w:p>
    <w:p w14:paraId="0B6B564C" w14:textId="77777777" w:rsidR="00F065D7" w:rsidRPr="00E83D85" w:rsidRDefault="00F065D7" w:rsidP="0051507A">
      <w:pPr>
        <w:jc w:val="center"/>
        <w:rPr>
          <w:rFonts w:ascii="Tahoma" w:hAnsi="Tahoma" w:cs="Tahoma"/>
          <w:b/>
        </w:rPr>
      </w:pPr>
    </w:p>
    <w:p w14:paraId="2FDA59BB" w14:textId="77777777" w:rsidR="00F065D7" w:rsidRPr="00E83D85" w:rsidRDefault="00F065D7" w:rsidP="0051507A">
      <w:pPr>
        <w:jc w:val="center"/>
        <w:rPr>
          <w:rFonts w:ascii="Tahoma" w:hAnsi="Tahoma" w:cs="Tahoma"/>
          <w:b/>
        </w:rPr>
      </w:pPr>
      <w:r w:rsidRPr="00E83D85">
        <w:rPr>
          <w:rFonts w:ascii="Tahoma" w:hAnsi="Tahoma" w:cs="Tahoma"/>
          <w:b/>
        </w:rPr>
        <w:t>Acta No. ____</w:t>
      </w:r>
    </w:p>
    <w:p w14:paraId="66B136A5" w14:textId="77777777" w:rsidR="00F065D7" w:rsidRPr="00E83D85" w:rsidRDefault="00F065D7" w:rsidP="0051507A">
      <w:pPr>
        <w:jc w:val="center"/>
        <w:rPr>
          <w:rFonts w:ascii="Tahoma" w:hAnsi="Tahoma" w:cs="Tahoma"/>
          <w:b/>
        </w:rPr>
      </w:pPr>
      <w:r w:rsidRPr="00E83D85">
        <w:rPr>
          <w:rFonts w:ascii="Tahoma" w:hAnsi="Tahoma" w:cs="Tahoma"/>
          <w:b/>
        </w:rPr>
        <w:t>(</w:t>
      </w:r>
      <w:r w:rsidR="005E0174" w:rsidRPr="00E83D85">
        <w:rPr>
          <w:rFonts w:ascii="Tahoma" w:hAnsi="Tahoma" w:cs="Tahoma"/>
          <w:b/>
        </w:rPr>
        <w:t>Abril 21 de 2017</w:t>
      </w:r>
      <w:r w:rsidRPr="00E83D85">
        <w:rPr>
          <w:rFonts w:ascii="Tahoma" w:hAnsi="Tahoma" w:cs="Tahoma"/>
          <w:b/>
        </w:rPr>
        <w:t>)</w:t>
      </w:r>
    </w:p>
    <w:p w14:paraId="378A3E5F" w14:textId="77777777" w:rsidR="00F065D7" w:rsidRPr="00E83D85" w:rsidRDefault="00F065D7" w:rsidP="0051507A">
      <w:pPr>
        <w:jc w:val="both"/>
        <w:rPr>
          <w:rFonts w:ascii="Tahoma" w:hAnsi="Tahoma" w:cs="Tahoma"/>
        </w:rPr>
      </w:pPr>
    </w:p>
    <w:p w14:paraId="4D87819A" w14:textId="77777777" w:rsidR="00F065D7" w:rsidRPr="00E83D85" w:rsidRDefault="00F065D7" w:rsidP="0051507A">
      <w:pPr>
        <w:pStyle w:val="Titre5"/>
        <w:spacing w:line="240" w:lineRule="auto"/>
        <w:ind w:firstLine="0"/>
        <w:jc w:val="center"/>
        <w:rPr>
          <w:rFonts w:ascii="Tahoma" w:hAnsi="Tahoma" w:cs="Tahoma"/>
        </w:rPr>
      </w:pPr>
      <w:r w:rsidRPr="00E83D85">
        <w:rPr>
          <w:rFonts w:ascii="Tahoma" w:hAnsi="Tahoma" w:cs="Tahoma"/>
        </w:rPr>
        <w:t>Sistema oral - Audiencia de juzgamiento</w:t>
      </w:r>
    </w:p>
    <w:p w14:paraId="6283C889" w14:textId="77777777" w:rsidR="00F065D7" w:rsidRPr="00E83D85" w:rsidRDefault="00F065D7" w:rsidP="0051507A">
      <w:pPr>
        <w:jc w:val="both"/>
        <w:rPr>
          <w:rFonts w:ascii="Tahoma" w:hAnsi="Tahoma" w:cs="Tahoma"/>
          <w:lang w:val="es-ES_tradnl"/>
        </w:rPr>
      </w:pPr>
      <w:r w:rsidRPr="00E83D85">
        <w:rPr>
          <w:rFonts w:ascii="Tahoma" w:hAnsi="Tahoma" w:cs="Tahoma"/>
          <w:b/>
        </w:rPr>
        <w:tab/>
      </w:r>
    </w:p>
    <w:p w14:paraId="74B11691" w14:textId="42132E59" w:rsidR="00F065D7" w:rsidRPr="00E83D85" w:rsidRDefault="00F065D7" w:rsidP="0051507A">
      <w:pPr>
        <w:spacing w:line="276" w:lineRule="auto"/>
        <w:ind w:firstLine="709"/>
        <w:jc w:val="both"/>
        <w:rPr>
          <w:rFonts w:ascii="Tahoma" w:hAnsi="Tahoma" w:cs="Tahoma"/>
          <w:b/>
          <w:sz w:val="22"/>
          <w:szCs w:val="22"/>
          <w:lang w:val="es-ES_tradnl"/>
        </w:rPr>
      </w:pPr>
      <w:r w:rsidRPr="00E83D85">
        <w:rPr>
          <w:rFonts w:ascii="Tahoma" w:hAnsi="Tahoma" w:cs="Tahoma"/>
          <w:sz w:val="22"/>
          <w:szCs w:val="22"/>
        </w:rPr>
        <w:t xml:space="preserve">Siendo las </w:t>
      </w:r>
      <w:r w:rsidR="008E1D5A">
        <w:rPr>
          <w:rFonts w:ascii="Tahoma" w:hAnsi="Tahoma" w:cs="Tahoma"/>
          <w:sz w:val="22"/>
          <w:szCs w:val="22"/>
        </w:rPr>
        <w:t>10:20</w:t>
      </w:r>
      <w:r w:rsidRPr="00E83D85">
        <w:rPr>
          <w:rFonts w:ascii="Tahoma" w:hAnsi="Tahoma" w:cs="Tahoma"/>
          <w:sz w:val="22"/>
          <w:szCs w:val="22"/>
        </w:rPr>
        <w:t xml:space="preserve"> a.m. de hoy, viernes, </w:t>
      </w:r>
      <w:r w:rsidR="00455821" w:rsidRPr="00E83D85">
        <w:rPr>
          <w:rFonts w:ascii="Tahoma" w:hAnsi="Tahoma" w:cs="Tahoma"/>
          <w:sz w:val="22"/>
          <w:szCs w:val="22"/>
        </w:rPr>
        <w:t>21</w:t>
      </w:r>
      <w:r w:rsidRPr="00E83D85">
        <w:rPr>
          <w:rFonts w:ascii="Tahoma" w:hAnsi="Tahoma" w:cs="Tahoma"/>
          <w:sz w:val="22"/>
          <w:szCs w:val="22"/>
        </w:rPr>
        <w:t xml:space="preserve"> de </w:t>
      </w:r>
      <w:r w:rsidR="00455821" w:rsidRPr="00E83D85">
        <w:rPr>
          <w:rFonts w:ascii="Tahoma" w:hAnsi="Tahoma" w:cs="Tahoma"/>
          <w:sz w:val="22"/>
          <w:szCs w:val="22"/>
        </w:rPr>
        <w:t>abril</w:t>
      </w:r>
      <w:r w:rsidRPr="00E83D85">
        <w:rPr>
          <w:rFonts w:ascii="Tahoma" w:hAnsi="Tahoma" w:cs="Tahoma"/>
          <w:sz w:val="22"/>
          <w:szCs w:val="22"/>
        </w:rPr>
        <w:t xml:space="preserve"> de 201</w:t>
      </w:r>
      <w:r w:rsidR="00455821" w:rsidRPr="00E83D85">
        <w:rPr>
          <w:rFonts w:ascii="Tahoma" w:hAnsi="Tahoma" w:cs="Tahoma"/>
          <w:sz w:val="22"/>
          <w:szCs w:val="22"/>
        </w:rPr>
        <w:t>7</w:t>
      </w:r>
      <w:r w:rsidRPr="00E83D85">
        <w:rPr>
          <w:rFonts w:ascii="Tahoma" w:hAnsi="Tahoma" w:cs="Tahoma"/>
          <w:sz w:val="22"/>
          <w:szCs w:val="22"/>
        </w:rPr>
        <w:t xml:space="preserve">, la Sala de Decisión Laboral No. 1 del Tribunal Superior de Pereira se constituye en audiencia pública de juzgamiento en el proceso ordinario laboral instaurado por </w:t>
      </w:r>
      <w:r w:rsidR="008E1D5A" w:rsidRPr="00E83D85">
        <w:rPr>
          <w:rFonts w:ascii="Tahoma" w:hAnsi="Tahoma" w:cs="Tahoma"/>
          <w:b/>
          <w:sz w:val="22"/>
          <w:szCs w:val="22"/>
          <w:lang w:val="es-ES_tradnl"/>
        </w:rPr>
        <w:t xml:space="preserve">Leonora Guevara Arias </w:t>
      </w:r>
      <w:r w:rsidRPr="00E83D85">
        <w:rPr>
          <w:rFonts w:ascii="Tahoma" w:hAnsi="Tahoma" w:cs="Tahoma"/>
          <w:sz w:val="22"/>
          <w:szCs w:val="22"/>
          <w:lang w:val="es-ES_tradnl"/>
        </w:rPr>
        <w:t>en contra de la</w:t>
      </w:r>
      <w:r w:rsidRPr="00E83D85">
        <w:rPr>
          <w:rFonts w:ascii="Tahoma" w:hAnsi="Tahoma" w:cs="Tahoma"/>
          <w:b/>
          <w:sz w:val="22"/>
          <w:szCs w:val="22"/>
          <w:lang w:val="es-ES_tradnl"/>
        </w:rPr>
        <w:t xml:space="preserve"> </w:t>
      </w:r>
      <w:r w:rsidR="008E1D5A" w:rsidRPr="00E83D85">
        <w:rPr>
          <w:rFonts w:ascii="Tahoma" w:hAnsi="Tahoma" w:cs="Tahoma"/>
          <w:b/>
          <w:sz w:val="22"/>
          <w:szCs w:val="22"/>
          <w:lang w:val="es-ES_tradnl"/>
        </w:rPr>
        <w:t xml:space="preserve">Administradora Colombiana de Pensiones </w:t>
      </w:r>
      <w:r w:rsidRPr="00E83D85">
        <w:rPr>
          <w:rFonts w:ascii="Tahoma" w:hAnsi="Tahoma" w:cs="Tahoma"/>
          <w:b/>
          <w:sz w:val="22"/>
          <w:szCs w:val="22"/>
          <w:lang w:val="es-ES_tradnl"/>
        </w:rPr>
        <w:t>–</w:t>
      </w:r>
      <w:r w:rsidR="008E1D5A">
        <w:rPr>
          <w:rFonts w:ascii="Tahoma" w:hAnsi="Tahoma" w:cs="Tahoma"/>
          <w:b/>
          <w:sz w:val="22"/>
          <w:szCs w:val="22"/>
          <w:lang w:val="es-ES_tradnl"/>
        </w:rPr>
        <w:t xml:space="preserve"> </w:t>
      </w:r>
      <w:r w:rsidR="008E1D5A" w:rsidRPr="00E83D85">
        <w:rPr>
          <w:rFonts w:ascii="Tahoma" w:hAnsi="Tahoma" w:cs="Tahoma"/>
          <w:b/>
          <w:sz w:val="22"/>
          <w:szCs w:val="22"/>
          <w:lang w:val="es-ES_tradnl"/>
        </w:rPr>
        <w:t>Colpensiones</w:t>
      </w:r>
      <w:r w:rsidR="008E1D5A">
        <w:rPr>
          <w:rFonts w:ascii="Tahoma" w:hAnsi="Tahoma" w:cs="Tahoma"/>
          <w:b/>
          <w:sz w:val="22"/>
          <w:szCs w:val="22"/>
          <w:lang w:val="es-ES_tradnl"/>
        </w:rPr>
        <w:t>.</w:t>
      </w:r>
      <w:r w:rsidRPr="00E83D85">
        <w:rPr>
          <w:rFonts w:ascii="Tahoma" w:hAnsi="Tahoma" w:cs="Tahoma"/>
          <w:b/>
          <w:sz w:val="22"/>
          <w:szCs w:val="22"/>
          <w:lang w:val="es-ES_tradnl"/>
        </w:rPr>
        <w:t xml:space="preserve"> </w:t>
      </w:r>
      <w:r w:rsidRPr="00E83D85">
        <w:rPr>
          <w:rFonts w:ascii="Tahoma" w:hAnsi="Tahoma" w:cs="Tahoma"/>
          <w:sz w:val="22"/>
          <w:szCs w:val="22"/>
          <w:lang w:val="es-ES_tradnl"/>
        </w:rPr>
        <w:t>Para el efecto, se verifica la asistencia de las partes a la presente diligencia: Por la parte demandante… Por la demandada…</w:t>
      </w:r>
    </w:p>
    <w:p w14:paraId="48BBC0F8" w14:textId="77777777" w:rsidR="00F065D7" w:rsidRPr="00E83D85" w:rsidRDefault="00F065D7" w:rsidP="0051507A">
      <w:pPr>
        <w:spacing w:line="276" w:lineRule="auto"/>
        <w:ind w:firstLine="1122"/>
        <w:jc w:val="both"/>
        <w:rPr>
          <w:rFonts w:ascii="Tahoma" w:hAnsi="Tahoma" w:cs="Tahoma"/>
          <w:sz w:val="22"/>
          <w:szCs w:val="22"/>
          <w:lang w:val="es-ES_tradnl"/>
        </w:rPr>
      </w:pPr>
    </w:p>
    <w:p w14:paraId="65E6D384" w14:textId="77777777" w:rsidR="00F065D7" w:rsidRPr="00E83D85" w:rsidRDefault="00F065D7" w:rsidP="0051507A">
      <w:pPr>
        <w:widowControl w:val="0"/>
        <w:autoSpaceDE w:val="0"/>
        <w:autoSpaceDN w:val="0"/>
        <w:adjustRightInd w:val="0"/>
        <w:spacing w:line="276" w:lineRule="auto"/>
        <w:jc w:val="center"/>
        <w:rPr>
          <w:rFonts w:ascii="Tahoma" w:hAnsi="Tahoma" w:cs="Tahoma"/>
          <w:b/>
          <w:sz w:val="22"/>
          <w:szCs w:val="22"/>
        </w:rPr>
      </w:pPr>
      <w:r w:rsidRPr="00E83D85">
        <w:rPr>
          <w:rFonts w:ascii="Tahoma" w:hAnsi="Tahoma" w:cs="Tahoma"/>
          <w:b/>
          <w:sz w:val="22"/>
          <w:szCs w:val="22"/>
        </w:rPr>
        <w:t>Alegatos de conclusión</w:t>
      </w:r>
    </w:p>
    <w:p w14:paraId="634D5E98" w14:textId="77777777" w:rsidR="00F065D7" w:rsidRPr="00E83D85" w:rsidRDefault="00F065D7" w:rsidP="0051507A">
      <w:pPr>
        <w:widowControl w:val="0"/>
        <w:autoSpaceDE w:val="0"/>
        <w:autoSpaceDN w:val="0"/>
        <w:adjustRightInd w:val="0"/>
        <w:spacing w:line="276" w:lineRule="auto"/>
        <w:jc w:val="both"/>
        <w:rPr>
          <w:rFonts w:ascii="Tahoma" w:hAnsi="Tahoma" w:cs="Tahoma"/>
          <w:sz w:val="22"/>
          <w:szCs w:val="22"/>
        </w:rPr>
      </w:pPr>
    </w:p>
    <w:p w14:paraId="2A32DFC9" w14:textId="77777777" w:rsidR="00F065D7" w:rsidRPr="00E83D85" w:rsidRDefault="00F065D7" w:rsidP="0051507A">
      <w:pPr>
        <w:spacing w:line="276" w:lineRule="auto"/>
        <w:ind w:firstLine="708"/>
        <w:jc w:val="both"/>
        <w:rPr>
          <w:rFonts w:ascii="Tahoma" w:hAnsi="Tahoma" w:cs="Tahoma"/>
          <w:sz w:val="22"/>
          <w:szCs w:val="22"/>
          <w:lang w:val="es-ES_tradnl"/>
        </w:rPr>
      </w:pPr>
      <w:r w:rsidRPr="00E83D85">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7CBFF171" w14:textId="77777777" w:rsidR="00F065D7" w:rsidRPr="00E83D85" w:rsidRDefault="00F065D7" w:rsidP="0051507A">
      <w:pPr>
        <w:ind w:firstLine="708"/>
        <w:jc w:val="both"/>
        <w:rPr>
          <w:rFonts w:ascii="Tahoma" w:hAnsi="Tahoma" w:cs="Tahoma"/>
          <w:sz w:val="22"/>
          <w:szCs w:val="22"/>
          <w:lang w:val="es-ES_tradnl"/>
        </w:rPr>
      </w:pPr>
    </w:p>
    <w:p w14:paraId="6A9E6A91" w14:textId="483AC7C5" w:rsidR="00F065D7" w:rsidRPr="00E83D85" w:rsidRDefault="008E1D5A" w:rsidP="0051507A">
      <w:pPr>
        <w:widowControl w:val="0"/>
        <w:autoSpaceDE w:val="0"/>
        <w:autoSpaceDN w:val="0"/>
        <w:adjustRightInd w:val="0"/>
        <w:spacing w:line="360" w:lineRule="auto"/>
        <w:jc w:val="center"/>
        <w:rPr>
          <w:rFonts w:ascii="Tahoma" w:hAnsi="Tahoma" w:cs="Tahoma"/>
          <w:b/>
          <w:sz w:val="22"/>
          <w:szCs w:val="22"/>
        </w:rPr>
      </w:pPr>
      <w:r w:rsidRPr="00E83D85">
        <w:rPr>
          <w:rFonts w:ascii="Tahoma" w:hAnsi="Tahoma" w:cs="Tahoma"/>
          <w:b/>
          <w:sz w:val="22"/>
          <w:szCs w:val="22"/>
        </w:rPr>
        <w:t>Sentencia</w:t>
      </w:r>
    </w:p>
    <w:p w14:paraId="5A6B39E1" w14:textId="77777777" w:rsidR="00F065D7" w:rsidRPr="00E83D85" w:rsidRDefault="00F065D7" w:rsidP="0051507A">
      <w:pPr>
        <w:widowControl w:val="0"/>
        <w:autoSpaceDE w:val="0"/>
        <w:autoSpaceDN w:val="0"/>
        <w:adjustRightInd w:val="0"/>
        <w:jc w:val="center"/>
        <w:rPr>
          <w:rFonts w:ascii="Tahoma" w:hAnsi="Tahoma" w:cs="Tahoma"/>
          <w:b/>
          <w:sz w:val="22"/>
          <w:szCs w:val="22"/>
        </w:rPr>
      </w:pPr>
    </w:p>
    <w:p w14:paraId="5E985A95" w14:textId="120E9A60" w:rsidR="00456260" w:rsidRPr="00E83D85" w:rsidRDefault="00456260" w:rsidP="0051507A">
      <w:pPr>
        <w:widowControl w:val="0"/>
        <w:autoSpaceDE w:val="0"/>
        <w:autoSpaceDN w:val="0"/>
        <w:adjustRightInd w:val="0"/>
        <w:spacing w:line="276" w:lineRule="auto"/>
        <w:ind w:firstLine="708"/>
        <w:jc w:val="both"/>
        <w:rPr>
          <w:rFonts w:ascii="Tahoma" w:hAnsi="Tahoma" w:cs="Tahoma"/>
          <w:sz w:val="22"/>
          <w:szCs w:val="22"/>
        </w:rPr>
      </w:pPr>
      <w:r w:rsidRPr="00E83D85">
        <w:rPr>
          <w:rFonts w:ascii="Tahoma" w:hAnsi="Tahoma" w:cs="Tahoma"/>
          <w:sz w:val="22"/>
          <w:szCs w:val="22"/>
        </w:rPr>
        <w:t xml:space="preserve">Habida consideración que los fundamentos de los argumentos expuestos en las alegaciones se tuvieron en cuenta en la discusión del proyecto, procede la Sala a resolver el grado jurisdiccional de consulta de la sentencia emitida por el Juzgado Segundo Laboral del Circuito de Pereira el 14 de marzo de 2016, dentro del proceso ordinario laboral reseñado con anterioridad. </w:t>
      </w:r>
    </w:p>
    <w:p w14:paraId="15D7EAE9" w14:textId="77777777" w:rsidR="00456260" w:rsidRPr="00E83D85" w:rsidRDefault="00456260" w:rsidP="0051507A">
      <w:pPr>
        <w:widowControl w:val="0"/>
        <w:autoSpaceDE w:val="0"/>
        <w:autoSpaceDN w:val="0"/>
        <w:adjustRightInd w:val="0"/>
        <w:spacing w:line="276" w:lineRule="auto"/>
        <w:ind w:firstLine="708"/>
        <w:jc w:val="both"/>
        <w:rPr>
          <w:rFonts w:ascii="Tahoma" w:hAnsi="Tahoma" w:cs="Tahoma"/>
          <w:sz w:val="22"/>
          <w:szCs w:val="22"/>
        </w:rPr>
      </w:pPr>
    </w:p>
    <w:p w14:paraId="054C190D" w14:textId="5E658B59" w:rsidR="00F065D7" w:rsidRPr="00E83D85" w:rsidRDefault="008E1D5A" w:rsidP="0051507A">
      <w:pPr>
        <w:widowControl w:val="0"/>
        <w:autoSpaceDE w:val="0"/>
        <w:autoSpaceDN w:val="0"/>
        <w:adjustRightInd w:val="0"/>
        <w:spacing w:line="276" w:lineRule="auto"/>
        <w:jc w:val="center"/>
        <w:rPr>
          <w:rFonts w:ascii="Tahoma" w:hAnsi="Tahoma" w:cs="Tahoma"/>
          <w:b/>
          <w:bCs/>
          <w:caps/>
          <w:sz w:val="22"/>
          <w:szCs w:val="22"/>
        </w:rPr>
      </w:pPr>
      <w:r w:rsidRPr="00E83D85">
        <w:rPr>
          <w:rFonts w:ascii="Tahoma" w:hAnsi="Tahoma" w:cs="Tahoma"/>
          <w:b/>
          <w:bCs/>
          <w:sz w:val="22"/>
          <w:szCs w:val="22"/>
        </w:rPr>
        <w:t>Problema jurídico por resolver</w:t>
      </w:r>
    </w:p>
    <w:p w14:paraId="5369C40A" w14:textId="77777777" w:rsidR="00F065D7" w:rsidRPr="00E83D85" w:rsidRDefault="00F065D7" w:rsidP="0051507A">
      <w:pPr>
        <w:widowControl w:val="0"/>
        <w:tabs>
          <w:tab w:val="left" w:pos="748"/>
        </w:tabs>
        <w:autoSpaceDE w:val="0"/>
        <w:autoSpaceDN w:val="0"/>
        <w:adjustRightInd w:val="0"/>
        <w:spacing w:line="276" w:lineRule="auto"/>
        <w:ind w:left="748"/>
        <w:jc w:val="center"/>
        <w:rPr>
          <w:rFonts w:ascii="Tahoma" w:hAnsi="Tahoma" w:cs="Tahoma"/>
          <w:b/>
          <w:bCs/>
          <w:sz w:val="22"/>
          <w:szCs w:val="22"/>
        </w:rPr>
      </w:pPr>
    </w:p>
    <w:p w14:paraId="618EFE03" w14:textId="0ACBD37C" w:rsidR="00F065D7" w:rsidRPr="00E83D85" w:rsidRDefault="00F065D7" w:rsidP="0051507A">
      <w:pPr>
        <w:tabs>
          <w:tab w:val="left" w:pos="567"/>
        </w:tabs>
        <w:spacing w:line="276" w:lineRule="auto"/>
        <w:jc w:val="both"/>
        <w:rPr>
          <w:rFonts w:ascii="Tahoma" w:hAnsi="Tahoma" w:cs="Tahoma"/>
          <w:sz w:val="22"/>
          <w:szCs w:val="22"/>
        </w:rPr>
      </w:pPr>
      <w:r w:rsidRPr="00E83D85">
        <w:rPr>
          <w:rFonts w:ascii="Tahoma" w:hAnsi="Tahoma" w:cs="Tahoma"/>
          <w:sz w:val="22"/>
          <w:szCs w:val="22"/>
        </w:rPr>
        <w:tab/>
      </w:r>
      <w:r w:rsidRPr="00E83D85">
        <w:rPr>
          <w:rFonts w:ascii="Tahoma" w:hAnsi="Tahoma" w:cs="Tahoma"/>
          <w:sz w:val="22"/>
          <w:szCs w:val="22"/>
        </w:rPr>
        <w:tab/>
      </w:r>
      <w:r w:rsidR="00A411F6" w:rsidRPr="00E83D85">
        <w:rPr>
          <w:rFonts w:ascii="Tahoma" w:hAnsi="Tahoma" w:cs="Tahoma"/>
          <w:sz w:val="22"/>
          <w:szCs w:val="22"/>
        </w:rPr>
        <w:t>De acuerdo a lo expuesto en la sentencia de primera instancia le corresponde a la Sala determinar si es procedente reconocer la pensión de invalidez a</w:t>
      </w:r>
      <w:r w:rsidR="005A39DF" w:rsidRPr="00E83D85">
        <w:rPr>
          <w:rFonts w:ascii="Tahoma" w:hAnsi="Tahoma" w:cs="Tahoma"/>
          <w:sz w:val="22"/>
          <w:szCs w:val="22"/>
        </w:rPr>
        <w:t xml:space="preserve"> </w:t>
      </w:r>
      <w:r w:rsidR="00A411F6" w:rsidRPr="00E83D85">
        <w:rPr>
          <w:rFonts w:ascii="Tahoma" w:hAnsi="Tahoma" w:cs="Tahoma"/>
          <w:sz w:val="22"/>
          <w:szCs w:val="22"/>
        </w:rPr>
        <w:t>l</w:t>
      </w:r>
      <w:r w:rsidR="005A39DF" w:rsidRPr="00E83D85">
        <w:rPr>
          <w:rFonts w:ascii="Tahoma" w:hAnsi="Tahoma" w:cs="Tahoma"/>
          <w:sz w:val="22"/>
          <w:szCs w:val="22"/>
        </w:rPr>
        <w:t>a</w:t>
      </w:r>
      <w:r w:rsidR="00A411F6" w:rsidRPr="00E83D85">
        <w:rPr>
          <w:rFonts w:ascii="Tahoma" w:hAnsi="Tahoma" w:cs="Tahoma"/>
          <w:sz w:val="22"/>
          <w:szCs w:val="22"/>
        </w:rPr>
        <w:t xml:space="preserve"> demandante en aplicación del principio jurisprudencial de la condición más beneficiosa.</w:t>
      </w:r>
    </w:p>
    <w:p w14:paraId="50B52A00" w14:textId="77777777" w:rsidR="00A411F6" w:rsidRPr="00E83D85" w:rsidRDefault="00A411F6" w:rsidP="0051507A">
      <w:pPr>
        <w:tabs>
          <w:tab w:val="left" w:pos="567"/>
        </w:tabs>
        <w:spacing w:line="276" w:lineRule="auto"/>
        <w:jc w:val="both"/>
        <w:rPr>
          <w:rFonts w:ascii="Tahoma" w:hAnsi="Tahoma" w:cs="Tahoma"/>
          <w:sz w:val="22"/>
          <w:szCs w:val="22"/>
        </w:rPr>
      </w:pPr>
    </w:p>
    <w:p w14:paraId="45B3B386" w14:textId="6F4B04B3" w:rsidR="00F065D7" w:rsidRPr="00E83D85" w:rsidRDefault="008E1D5A" w:rsidP="0051507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E83D85">
        <w:rPr>
          <w:rFonts w:ascii="Tahoma" w:hAnsi="Tahoma" w:cs="Tahoma"/>
          <w:b/>
          <w:sz w:val="22"/>
          <w:szCs w:val="22"/>
        </w:rPr>
        <w:t>La demanda y su contestación</w:t>
      </w:r>
    </w:p>
    <w:p w14:paraId="19FAEDE1" w14:textId="77777777" w:rsidR="00F065D7" w:rsidRPr="00E83D85" w:rsidRDefault="00F065D7" w:rsidP="0051507A">
      <w:pPr>
        <w:widowControl w:val="0"/>
        <w:autoSpaceDE w:val="0"/>
        <w:autoSpaceDN w:val="0"/>
        <w:adjustRightInd w:val="0"/>
        <w:spacing w:line="276" w:lineRule="auto"/>
        <w:jc w:val="both"/>
        <w:rPr>
          <w:rFonts w:ascii="Tahoma" w:hAnsi="Tahoma" w:cs="Tahoma"/>
          <w:sz w:val="22"/>
          <w:szCs w:val="22"/>
        </w:rPr>
      </w:pPr>
    </w:p>
    <w:p w14:paraId="4A848E2E" w14:textId="77777777" w:rsidR="00F065D7" w:rsidRPr="00E83D85" w:rsidRDefault="00F065D7" w:rsidP="0051507A">
      <w:pPr>
        <w:widowControl w:val="0"/>
        <w:autoSpaceDE w:val="0"/>
        <w:autoSpaceDN w:val="0"/>
        <w:adjustRightInd w:val="0"/>
        <w:spacing w:line="276" w:lineRule="auto"/>
        <w:ind w:firstLine="709"/>
        <w:jc w:val="both"/>
        <w:rPr>
          <w:rFonts w:ascii="Tahoma" w:hAnsi="Tahoma" w:cs="Tahoma"/>
          <w:sz w:val="22"/>
          <w:szCs w:val="22"/>
        </w:rPr>
      </w:pPr>
      <w:r w:rsidRPr="00E83D85">
        <w:rPr>
          <w:rFonts w:ascii="Tahoma" w:hAnsi="Tahoma" w:cs="Tahoma"/>
          <w:sz w:val="22"/>
          <w:szCs w:val="22"/>
        </w:rPr>
        <w:t xml:space="preserve">La citada demandante solicita que se declare que le asiste derecho al reconocimiento y pago de la </w:t>
      </w:r>
      <w:r w:rsidR="006C2042" w:rsidRPr="00E83D85">
        <w:rPr>
          <w:rFonts w:ascii="Tahoma" w:hAnsi="Tahoma" w:cs="Tahoma"/>
          <w:sz w:val="22"/>
          <w:szCs w:val="22"/>
        </w:rPr>
        <w:t xml:space="preserve">pensión de invalidez y, en consecuencia, se condene a dicha administradora pensional a pagar tal emolumento, comprendido entre el </w:t>
      </w:r>
      <w:r w:rsidR="00D32BD1" w:rsidRPr="00E83D85">
        <w:rPr>
          <w:rFonts w:ascii="Tahoma" w:hAnsi="Tahoma" w:cs="Tahoma"/>
          <w:sz w:val="22"/>
          <w:szCs w:val="22"/>
        </w:rPr>
        <w:t>29</w:t>
      </w:r>
      <w:r w:rsidR="006C2042" w:rsidRPr="00E83D85">
        <w:rPr>
          <w:rFonts w:ascii="Tahoma" w:hAnsi="Tahoma" w:cs="Tahoma"/>
          <w:sz w:val="22"/>
          <w:szCs w:val="22"/>
        </w:rPr>
        <w:t xml:space="preserve"> de </w:t>
      </w:r>
      <w:r w:rsidR="00D32BD1" w:rsidRPr="00E83D85">
        <w:rPr>
          <w:rFonts w:ascii="Tahoma" w:hAnsi="Tahoma" w:cs="Tahoma"/>
          <w:sz w:val="22"/>
          <w:szCs w:val="22"/>
        </w:rPr>
        <w:t>octubre</w:t>
      </w:r>
      <w:r w:rsidR="006C2042" w:rsidRPr="00E83D85">
        <w:rPr>
          <w:rFonts w:ascii="Tahoma" w:hAnsi="Tahoma" w:cs="Tahoma"/>
          <w:sz w:val="22"/>
          <w:szCs w:val="22"/>
        </w:rPr>
        <w:t xml:space="preserve"> de 20</w:t>
      </w:r>
      <w:r w:rsidR="00D32BD1" w:rsidRPr="00E83D85">
        <w:rPr>
          <w:rFonts w:ascii="Tahoma" w:hAnsi="Tahoma" w:cs="Tahoma"/>
          <w:sz w:val="22"/>
          <w:szCs w:val="22"/>
        </w:rPr>
        <w:t>07</w:t>
      </w:r>
      <w:r w:rsidR="006C2042" w:rsidRPr="00E83D85">
        <w:rPr>
          <w:rFonts w:ascii="Tahoma" w:hAnsi="Tahoma" w:cs="Tahoma"/>
          <w:sz w:val="22"/>
          <w:szCs w:val="22"/>
        </w:rPr>
        <w:t xml:space="preserve"> y el </w:t>
      </w:r>
      <w:r w:rsidR="00D10E7C" w:rsidRPr="00E83D85">
        <w:rPr>
          <w:rFonts w:ascii="Tahoma" w:hAnsi="Tahoma" w:cs="Tahoma"/>
          <w:sz w:val="22"/>
          <w:szCs w:val="22"/>
        </w:rPr>
        <w:t>30</w:t>
      </w:r>
      <w:r w:rsidR="006C2042" w:rsidRPr="00E83D85">
        <w:rPr>
          <w:rFonts w:ascii="Tahoma" w:hAnsi="Tahoma" w:cs="Tahoma"/>
          <w:sz w:val="22"/>
          <w:szCs w:val="22"/>
        </w:rPr>
        <w:t xml:space="preserve"> de </w:t>
      </w:r>
      <w:r w:rsidR="00D10E7C" w:rsidRPr="00E83D85">
        <w:rPr>
          <w:rFonts w:ascii="Tahoma" w:hAnsi="Tahoma" w:cs="Tahoma"/>
          <w:sz w:val="22"/>
          <w:szCs w:val="22"/>
        </w:rPr>
        <w:t>abril de 2015</w:t>
      </w:r>
      <w:r w:rsidR="006C2042" w:rsidRPr="00E83D85">
        <w:rPr>
          <w:rFonts w:ascii="Tahoma" w:hAnsi="Tahoma" w:cs="Tahoma"/>
          <w:sz w:val="22"/>
          <w:szCs w:val="22"/>
        </w:rPr>
        <w:t xml:space="preserve">, </w:t>
      </w:r>
      <w:r w:rsidR="003E52BF" w:rsidRPr="00E83D85">
        <w:rPr>
          <w:rFonts w:ascii="Tahoma" w:hAnsi="Tahoma" w:cs="Tahoma"/>
          <w:sz w:val="22"/>
          <w:szCs w:val="22"/>
        </w:rPr>
        <w:t>el retroactivo pensional, los</w:t>
      </w:r>
      <w:r w:rsidR="006C2042" w:rsidRPr="00E83D85">
        <w:rPr>
          <w:rFonts w:ascii="Tahoma" w:hAnsi="Tahoma" w:cs="Tahoma"/>
          <w:sz w:val="22"/>
          <w:szCs w:val="22"/>
        </w:rPr>
        <w:t xml:space="preserve"> intereses moratorios y las costas procesales</w:t>
      </w:r>
      <w:r w:rsidRPr="00E83D85">
        <w:rPr>
          <w:rFonts w:ascii="Tahoma" w:hAnsi="Tahoma" w:cs="Tahoma"/>
          <w:sz w:val="22"/>
          <w:szCs w:val="22"/>
        </w:rPr>
        <w:t xml:space="preserve"> en aplicación del principio de la condición más beneficiosa.</w:t>
      </w:r>
    </w:p>
    <w:p w14:paraId="5A4F5273" w14:textId="77777777" w:rsidR="00F065D7" w:rsidRPr="00E83D85" w:rsidRDefault="00F065D7" w:rsidP="0051507A">
      <w:pPr>
        <w:widowControl w:val="0"/>
        <w:autoSpaceDE w:val="0"/>
        <w:autoSpaceDN w:val="0"/>
        <w:adjustRightInd w:val="0"/>
        <w:spacing w:line="276" w:lineRule="auto"/>
        <w:ind w:firstLine="708"/>
        <w:jc w:val="both"/>
        <w:rPr>
          <w:rFonts w:ascii="Tahoma" w:hAnsi="Tahoma" w:cs="Tahoma"/>
          <w:sz w:val="22"/>
          <w:szCs w:val="22"/>
        </w:rPr>
      </w:pPr>
    </w:p>
    <w:p w14:paraId="301AFA84" w14:textId="5C7D656B" w:rsidR="0078469C" w:rsidRPr="00E83D85" w:rsidRDefault="0078469C" w:rsidP="0051507A">
      <w:pPr>
        <w:widowControl w:val="0"/>
        <w:autoSpaceDE w:val="0"/>
        <w:autoSpaceDN w:val="0"/>
        <w:adjustRightInd w:val="0"/>
        <w:spacing w:line="276" w:lineRule="auto"/>
        <w:ind w:firstLine="709"/>
        <w:jc w:val="both"/>
        <w:rPr>
          <w:rFonts w:ascii="Tahoma" w:hAnsi="Tahoma" w:cs="Tahoma"/>
          <w:sz w:val="22"/>
          <w:szCs w:val="22"/>
        </w:rPr>
      </w:pPr>
      <w:r w:rsidRPr="00E83D85">
        <w:rPr>
          <w:rFonts w:ascii="Tahoma" w:hAnsi="Tahoma" w:cs="Tahoma"/>
          <w:sz w:val="22"/>
          <w:szCs w:val="22"/>
        </w:rPr>
        <w:t xml:space="preserve">Para fundar dichas pretensiones manifiesta que desde hace un tiempo padece de </w:t>
      </w:r>
      <w:r w:rsidR="00430050" w:rsidRPr="00E83D85">
        <w:rPr>
          <w:rFonts w:ascii="Tahoma" w:hAnsi="Tahoma" w:cs="Tahoma"/>
          <w:sz w:val="22"/>
          <w:szCs w:val="22"/>
        </w:rPr>
        <w:t xml:space="preserve">problemas de salud consistentes en “Cáncer de mama, artritis </w:t>
      </w:r>
      <w:r w:rsidR="006247EA" w:rsidRPr="00E83D85">
        <w:rPr>
          <w:rFonts w:ascii="Tahoma" w:hAnsi="Tahoma" w:cs="Tahoma"/>
          <w:sz w:val="22"/>
          <w:szCs w:val="22"/>
        </w:rPr>
        <w:t>reumatoide</w:t>
      </w:r>
      <w:r w:rsidR="00430050" w:rsidRPr="00E83D85">
        <w:rPr>
          <w:rFonts w:ascii="Tahoma" w:hAnsi="Tahoma" w:cs="Tahoma"/>
          <w:sz w:val="22"/>
          <w:szCs w:val="22"/>
        </w:rPr>
        <w:t xml:space="preserve"> </w:t>
      </w:r>
      <w:r w:rsidR="00A04B2B" w:rsidRPr="00E83D85">
        <w:rPr>
          <w:rFonts w:ascii="Tahoma" w:hAnsi="Tahoma" w:cs="Tahoma"/>
          <w:sz w:val="22"/>
          <w:szCs w:val="22"/>
        </w:rPr>
        <w:t xml:space="preserve">clase II y </w:t>
      </w:r>
      <w:r w:rsidR="006247EA" w:rsidRPr="00E83D85">
        <w:rPr>
          <w:rFonts w:ascii="Tahoma" w:hAnsi="Tahoma" w:cs="Tahoma"/>
          <w:sz w:val="22"/>
          <w:szCs w:val="22"/>
        </w:rPr>
        <w:t>trastorno</w:t>
      </w:r>
      <w:r w:rsidR="00A04B2B" w:rsidRPr="00E83D85">
        <w:rPr>
          <w:rFonts w:ascii="Tahoma" w:hAnsi="Tahoma" w:cs="Tahoma"/>
          <w:sz w:val="22"/>
          <w:szCs w:val="22"/>
        </w:rPr>
        <w:t xml:space="preserve"> depresivo clase I</w:t>
      </w:r>
      <w:r w:rsidRPr="00E83D85">
        <w:rPr>
          <w:rFonts w:ascii="Tahoma" w:hAnsi="Tahoma" w:cs="Tahoma"/>
          <w:sz w:val="22"/>
          <w:szCs w:val="22"/>
        </w:rPr>
        <w:t>; motivo por el cual inició proceso de calificación de pérdida de capacidad laboral en Colpensiones, entidad donde realizó los aportes para cubrir los riesgos de vejez, invalidez y muerte.</w:t>
      </w:r>
    </w:p>
    <w:p w14:paraId="160973A5" w14:textId="77777777" w:rsidR="00F065D7" w:rsidRPr="00E83D85" w:rsidRDefault="00F065D7" w:rsidP="0051507A">
      <w:pPr>
        <w:widowControl w:val="0"/>
        <w:autoSpaceDE w:val="0"/>
        <w:autoSpaceDN w:val="0"/>
        <w:adjustRightInd w:val="0"/>
        <w:spacing w:line="276" w:lineRule="auto"/>
        <w:ind w:firstLine="708"/>
        <w:jc w:val="both"/>
        <w:rPr>
          <w:rFonts w:ascii="Tahoma" w:hAnsi="Tahoma" w:cs="Tahoma"/>
          <w:sz w:val="22"/>
          <w:szCs w:val="22"/>
        </w:rPr>
      </w:pPr>
    </w:p>
    <w:p w14:paraId="07F3F386" w14:textId="1D89C4E4" w:rsidR="00630BE3" w:rsidRPr="00E83D85" w:rsidRDefault="00630BE3" w:rsidP="0051507A">
      <w:pPr>
        <w:widowControl w:val="0"/>
        <w:autoSpaceDE w:val="0"/>
        <w:autoSpaceDN w:val="0"/>
        <w:adjustRightInd w:val="0"/>
        <w:spacing w:line="276" w:lineRule="auto"/>
        <w:ind w:firstLine="709"/>
        <w:jc w:val="both"/>
        <w:rPr>
          <w:rFonts w:ascii="Tahoma" w:hAnsi="Tahoma" w:cs="Tahoma"/>
          <w:sz w:val="22"/>
          <w:szCs w:val="22"/>
        </w:rPr>
      </w:pPr>
      <w:r w:rsidRPr="00E83D85">
        <w:rPr>
          <w:rFonts w:ascii="Tahoma" w:hAnsi="Tahoma" w:cs="Tahoma"/>
          <w:sz w:val="22"/>
          <w:szCs w:val="22"/>
        </w:rPr>
        <w:t xml:space="preserve">Refiere que fue </w:t>
      </w:r>
      <w:r w:rsidR="00D17A6D" w:rsidRPr="00E83D85">
        <w:rPr>
          <w:rFonts w:ascii="Tahoma" w:hAnsi="Tahoma" w:cs="Tahoma"/>
          <w:sz w:val="22"/>
          <w:szCs w:val="22"/>
        </w:rPr>
        <w:t>calificada</w:t>
      </w:r>
      <w:r w:rsidRPr="00E83D85">
        <w:rPr>
          <w:rFonts w:ascii="Tahoma" w:hAnsi="Tahoma" w:cs="Tahoma"/>
          <w:sz w:val="22"/>
          <w:szCs w:val="22"/>
        </w:rPr>
        <w:t xml:space="preserve"> el </w:t>
      </w:r>
      <w:r w:rsidR="00D17A6D" w:rsidRPr="00E83D85">
        <w:rPr>
          <w:rFonts w:ascii="Tahoma" w:hAnsi="Tahoma" w:cs="Tahoma"/>
          <w:sz w:val="22"/>
          <w:szCs w:val="22"/>
        </w:rPr>
        <w:t>30</w:t>
      </w:r>
      <w:r w:rsidRPr="00E83D85">
        <w:rPr>
          <w:rFonts w:ascii="Tahoma" w:hAnsi="Tahoma" w:cs="Tahoma"/>
          <w:sz w:val="22"/>
          <w:szCs w:val="22"/>
        </w:rPr>
        <w:t xml:space="preserve"> de </w:t>
      </w:r>
      <w:r w:rsidR="00D17A6D" w:rsidRPr="00E83D85">
        <w:rPr>
          <w:rFonts w:ascii="Tahoma" w:hAnsi="Tahoma" w:cs="Tahoma"/>
          <w:sz w:val="22"/>
          <w:szCs w:val="22"/>
        </w:rPr>
        <w:t>mayo de 2012</w:t>
      </w:r>
      <w:r w:rsidRPr="00E83D85">
        <w:rPr>
          <w:rFonts w:ascii="Tahoma" w:hAnsi="Tahoma" w:cs="Tahoma"/>
          <w:sz w:val="22"/>
          <w:szCs w:val="22"/>
        </w:rPr>
        <w:t xml:space="preserve"> por </w:t>
      </w:r>
      <w:r w:rsidR="00D17A6D" w:rsidRPr="00E83D85">
        <w:rPr>
          <w:rFonts w:ascii="Tahoma" w:hAnsi="Tahoma" w:cs="Tahoma"/>
          <w:sz w:val="22"/>
          <w:szCs w:val="22"/>
        </w:rPr>
        <w:t>la Junta Nacion</w:t>
      </w:r>
      <w:r w:rsidR="00ED3214" w:rsidRPr="00E83D85">
        <w:rPr>
          <w:rFonts w:ascii="Tahoma" w:hAnsi="Tahoma" w:cs="Tahoma"/>
          <w:sz w:val="22"/>
          <w:szCs w:val="22"/>
        </w:rPr>
        <w:t>al de Calificación de Invalidez</w:t>
      </w:r>
      <w:r w:rsidRPr="00E83D85">
        <w:rPr>
          <w:rFonts w:ascii="Tahoma" w:hAnsi="Tahoma" w:cs="Tahoma"/>
          <w:sz w:val="22"/>
          <w:szCs w:val="22"/>
        </w:rPr>
        <w:t xml:space="preserve">, con una pérdida de capacidad laboral del </w:t>
      </w:r>
      <w:r w:rsidR="00ED3214" w:rsidRPr="00E83D85">
        <w:rPr>
          <w:rFonts w:ascii="Tahoma" w:hAnsi="Tahoma" w:cs="Tahoma"/>
          <w:sz w:val="22"/>
          <w:szCs w:val="22"/>
        </w:rPr>
        <w:t>68,37</w:t>
      </w:r>
      <w:r w:rsidRPr="00E83D85">
        <w:rPr>
          <w:rFonts w:ascii="Tahoma" w:hAnsi="Tahoma" w:cs="Tahoma"/>
          <w:sz w:val="22"/>
          <w:szCs w:val="22"/>
        </w:rPr>
        <w:t>% de origen común y estructurada el 2</w:t>
      </w:r>
      <w:r w:rsidR="00ED3214" w:rsidRPr="00E83D85">
        <w:rPr>
          <w:rFonts w:ascii="Tahoma" w:hAnsi="Tahoma" w:cs="Tahoma"/>
          <w:sz w:val="22"/>
          <w:szCs w:val="22"/>
        </w:rPr>
        <w:t>9</w:t>
      </w:r>
      <w:r w:rsidRPr="00E83D85">
        <w:rPr>
          <w:rFonts w:ascii="Tahoma" w:hAnsi="Tahoma" w:cs="Tahoma"/>
          <w:sz w:val="22"/>
          <w:szCs w:val="22"/>
        </w:rPr>
        <w:t xml:space="preserve"> de </w:t>
      </w:r>
      <w:r w:rsidR="00ED3214" w:rsidRPr="00E83D85">
        <w:rPr>
          <w:rFonts w:ascii="Tahoma" w:hAnsi="Tahoma" w:cs="Tahoma"/>
          <w:sz w:val="22"/>
          <w:szCs w:val="22"/>
        </w:rPr>
        <w:t>octubre de 2007</w:t>
      </w:r>
      <w:r w:rsidR="00A22440">
        <w:rPr>
          <w:rFonts w:ascii="Tahoma" w:hAnsi="Tahoma" w:cs="Tahoma"/>
          <w:sz w:val="22"/>
          <w:szCs w:val="22"/>
        </w:rPr>
        <w:t>, y</w:t>
      </w:r>
      <w:r w:rsidRPr="00E83D85">
        <w:rPr>
          <w:rFonts w:ascii="Tahoma" w:hAnsi="Tahoma" w:cs="Tahoma"/>
          <w:sz w:val="22"/>
          <w:szCs w:val="22"/>
        </w:rPr>
        <w:t xml:space="preserve"> que el </w:t>
      </w:r>
      <w:r w:rsidR="00B51A3D" w:rsidRPr="00E83D85">
        <w:rPr>
          <w:rFonts w:ascii="Tahoma" w:hAnsi="Tahoma" w:cs="Tahoma"/>
          <w:sz w:val="22"/>
          <w:szCs w:val="22"/>
        </w:rPr>
        <w:t>17</w:t>
      </w:r>
      <w:r w:rsidRPr="00E83D85">
        <w:rPr>
          <w:rFonts w:ascii="Tahoma" w:hAnsi="Tahoma" w:cs="Tahoma"/>
          <w:sz w:val="22"/>
          <w:szCs w:val="22"/>
        </w:rPr>
        <w:t xml:space="preserve"> de </w:t>
      </w:r>
      <w:r w:rsidR="00B51A3D" w:rsidRPr="00E83D85">
        <w:rPr>
          <w:rFonts w:ascii="Tahoma" w:hAnsi="Tahoma" w:cs="Tahoma"/>
          <w:sz w:val="22"/>
          <w:szCs w:val="22"/>
        </w:rPr>
        <w:t>marzo de 2014</w:t>
      </w:r>
      <w:r w:rsidRPr="00E83D85">
        <w:rPr>
          <w:rFonts w:ascii="Tahoma" w:hAnsi="Tahoma" w:cs="Tahoma"/>
          <w:sz w:val="22"/>
          <w:szCs w:val="22"/>
        </w:rPr>
        <w:t xml:space="preserve"> solicitó </w:t>
      </w:r>
      <w:r w:rsidR="00F43FB8" w:rsidRPr="00E83D85">
        <w:rPr>
          <w:rFonts w:ascii="Tahoma" w:hAnsi="Tahoma" w:cs="Tahoma"/>
          <w:sz w:val="22"/>
          <w:szCs w:val="22"/>
        </w:rPr>
        <w:t>a</w:t>
      </w:r>
      <w:r w:rsidR="00A22440">
        <w:rPr>
          <w:rFonts w:ascii="Tahoma" w:hAnsi="Tahoma" w:cs="Tahoma"/>
          <w:sz w:val="22"/>
          <w:szCs w:val="22"/>
        </w:rPr>
        <w:t>nte</w:t>
      </w:r>
      <w:r w:rsidR="00F43FB8" w:rsidRPr="00E83D85">
        <w:rPr>
          <w:rFonts w:ascii="Tahoma" w:hAnsi="Tahoma" w:cs="Tahoma"/>
          <w:sz w:val="22"/>
          <w:szCs w:val="22"/>
        </w:rPr>
        <w:t xml:space="preserve"> Colpensiones </w:t>
      </w:r>
      <w:r w:rsidR="00A22440">
        <w:rPr>
          <w:rFonts w:ascii="Tahoma" w:hAnsi="Tahoma" w:cs="Tahoma"/>
          <w:sz w:val="22"/>
          <w:szCs w:val="22"/>
        </w:rPr>
        <w:t xml:space="preserve">que le </w:t>
      </w:r>
      <w:r w:rsidR="00F43FB8" w:rsidRPr="00E83D85">
        <w:rPr>
          <w:rFonts w:ascii="Tahoma" w:hAnsi="Tahoma" w:cs="Tahoma"/>
          <w:sz w:val="22"/>
          <w:szCs w:val="22"/>
        </w:rPr>
        <w:t xml:space="preserve">fuera reconocida </w:t>
      </w:r>
      <w:r w:rsidRPr="00E83D85">
        <w:rPr>
          <w:rFonts w:ascii="Tahoma" w:hAnsi="Tahoma" w:cs="Tahoma"/>
          <w:sz w:val="22"/>
          <w:szCs w:val="22"/>
        </w:rPr>
        <w:t>la pensión de inva</w:t>
      </w:r>
      <w:r w:rsidR="006247EA" w:rsidRPr="00E83D85">
        <w:rPr>
          <w:rFonts w:ascii="Tahoma" w:hAnsi="Tahoma" w:cs="Tahoma"/>
          <w:sz w:val="22"/>
          <w:szCs w:val="22"/>
        </w:rPr>
        <w:t>lidez</w:t>
      </w:r>
      <w:r w:rsidR="00A22440">
        <w:rPr>
          <w:rFonts w:ascii="Tahoma" w:hAnsi="Tahoma" w:cs="Tahoma"/>
          <w:sz w:val="22"/>
          <w:szCs w:val="22"/>
        </w:rPr>
        <w:t xml:space="preserve">, la cual le fue negada por dicha </w:t>
      </w:r>
      <w:r w:rsidR="00F43FB8" w:rsidRPr="00E83D85">
        <w:rPr>
          <w:rFonts w:ascii="Tahoma" w:hAnsi="Tahoma" w:cs="Tahoma"/>
          <w:sz w:val="22"/>
          <w:szCs w:val="22"/>
        </w:rPr>
        <w:t>entidad</w:t>
      </w:r>
      <w:r w:rsidR="00804C39" w:rsidRPr="00E83D85">
        <w:rPr>
          <w:rFonts w:ascii="Tahoma" w:hAnsi="Tahoma" w:cs="Tahoma"/>
          <w:sz w:val="22"/>
          <w:szCs w:val="22"/>
        </w:rPr>
        <w:t xml:space="preserve"> </w:t>
      </w:r>
      <w:r w:rsidR="00F43FB8" w:rsidRPr="00E83D85">
        <w:rPr>
          <w:rFonts w:ascii="Tahoma" w:hAnsi="Tahoma" w:cs="Tahoma"/>
          <w:sz w:val="22"/>
          <w:szCs w:val="22"/>
        </w:rPr>
        <w:t xml:space="preserve">por medio de la </w:t>
      </w:r>
      <w:r w:rsidR="008E1D5A" w:rsidRPr="00E83D85">
        <w:rPr>
          <w:rFonts w:ascii="Tahoma" w:hAnsi="Tahoma" w:cs="Tahoma"/>
          <w:sz w:val="22"/>
          <w:szCs w:val="22"/>
        </w:rPr>
        <w:t xml:space="preserve">Resolución </w:t>
      </w:r>
      <w:r w:rsidR="00F43FB8" w:rsidRPr="00E83D85">
        <w:rPr>
          <w:rFonts w:ascii="Tahoma" w:hAnsi="Tahoma" w:cs="Tahoma"/>
          <w:sz w:val="22"/>
          <w:szCs w:val="22"/>
        </w:rPr>
        <w:t xml:space="preserve">GNR 95383 </w:t>
      </w:r>
      <w:r w:rsidR="00A22440">
        <w:rPr>
          <w:rFonts w:ascii="Tahoma" w:hAnsi="Tahoma" w:cs="Tahoma"/>
          <w:sz w:val="22"/>
          <w:szCs w:val="22"/>
        </w:rPr>
        <w:t>d</w:t>
      </w:r>
      <w:r w:rsidR="00A22440" w:rsidRPr="00E83D85">
        <w:rPr>
          <w:rFonts w:ascii="Tahoma" w:hAnsi="Tahoma" w:cs="Tahoma"/>
          <w:sz w:val="22"/>
          <w:szCs w:val="22"/>
        </w:rPr>
        <w:t>el 30 de marzo de 2015</w:t>
      </w:r>
      <w:r w:rsidR="00547A36" w:rsidRPr="00E83D85">
        <w:rPr>
          <w:rFonts w:ascii="Tahoma" w:hAnsi="Tahoma" w:cs="Tahoma"/>
          <w:sz w:val="22"/>
          <w:szCs w:val="22"/>
        </w:rPr>
        <w:t xml:space="preserve">. </w:t>
      </w:r>
    </w:p>
    <w:p w14:paraId="4B1B9BDE" w14:textId="77777777" w:rsidR="00F30F91" w:rsidRPr="00E83D85" w:rsidRDefault="00F30F91" w:rsidP="0051507A">
      <w:pPr>
        <w:pStyle w:val="Sansinterligne"/>
        <w:rPr>
          <w:sz w:val="22"/>
          <w:szCs w:val="22"/>
        </w:rPr>
      </w:pPr>
    </w:p>
    <w:p w14:paraId="7D376E75" w14:textId="437171C1" w:rsidR="00F30F91" w:rsidRPr="00E83D85" w:rsidRDefault="0066340B" w:rsidP="0051507A">
      <w:pPr>
        <w:widowControl w:val="0"/>
        <w:autoSpaceDE w:val="0"/>
        <w:autoSpaceDN w:val="0"/>
        <w:adjustRightInd w:val="0"/>
        <w:spacing w:line="276" w:lineRule="auto"/>
        <w:ind w:firstLine="708"/>
        <w:jc w:val="both"/>
        <w:rPr>
          <w:rFonts w:ascii="Tahoma" w:hAnsi="Tahoma" w:cs="Tahoma"/>
          <w:sz w:val="22"/>
          <w:szCs w:val="22"/>
        </w:rPr>
      </w:pPr>
      <w:r w:rsidRPr="00E83D85">
        <w:rPr>
          <w:rFonts w:ascii="Tahoma" w:hAnsi="Tahoma" w:cs="Tahoma"/>
          <w:sz w:val="22"/>
          <w:szCs w:val="22"/>
        </w:rPr>
        <w:t>Colpensiones contestó la demanda aceptando como ciertos los hechos de la demanda, salvo aquellos que refieren las cotizaciones de</w:t>
      </w:r>
      <w:r w:rsidR="005609F8" w:rsidRPr="00E83D85">
        <w:rPr>
          <w:rFonts w:ascii="Tahoma" w:hAnsi="Tahoma" w:cs="Tahoma"/>
          <w:sz w:val="22"/>
          <w:szCs w:val="22"/>
        </w:rPr>
        <w:t xml:space="preserve"> </w:t>
      </w:r>
      <w:r w:rsidRPr="00E83D85">
        <w:rPr>
          <w:rFonts w:ascii="Tahoma" w:hAnsi="Tahoma" w:cs="Tahoma"/>
          <w:sz w:val="22"/>
          <w:szCs w:val="22"/>
        </w:rPr>
        <w:t>l</w:t>
      </w:r>
      <w:r w:rsidR="005609F8" w:rsidRPr="00E83D85">
        <w:rPr>
          <w:rFonts w:ascii="Tahoma" w:hAnsi="Tahoma" w:cs="Tahoma"/>
          <w:sz w:val="22"/>
          <w:szCs w:val="22"/>
        </w:rPr>
        <w:t>a</w:t>
      </w:r>
      <w:r w:rsidRPr="00E83D85">
        <w:rPr>
          <w:rFonts w:ascii="Tahoma" w:hAnsi="Tahoma" w:cs="Tahoma"/>
          <w:sz w:val="22"/>
          <w:szCs w:val="22"/>
        </w:rPr>
        <w:t xml:space="preserve"> actor</w:t>
      </w:r>
      <w:r w:rsidR="005609F8" w:rsidRPr="00E83D85">
        <w:rPr>
          <w:rFonts w:ascii="Tahoma" w:hAnsi="Tahoma" w:cs="Tahoma"/>
          <w:sz w:val="22"/>
          <w:szCs w:val="22"/>
        </w:rPr>
        <w:t>a</w:t>
      </w:r>
      <w:r w:rsidRPr="00E83D85">
        <w:rPr>
          <w:rFonts w:ascii="Tahoma" w:hAnsi="Tahoma" w:cs="Tahoma"/>
          <w:sz w:val="22"/>
          <w:szCs w:val="22"/>
        </w:rPr>
        <w:t xml:space="preserve"> </w:t>
      </w:r>
      <w:r w:rsidR="00F30F91" w:rsidRPr="00E83D85">
        <w:rPr>
          <w:rFonts w:ascii="Tahoma" w:hAnsi="Tahoma" w:cs="Tahoma"/>
          <w:sz w:val="22"/>
          <w:szCs w:val="22"/>
        </w:rPr>
        <w:t xml:space="preserve">frente a los cuales manifestó que </w:t>
      </w:r>
      <w:r w:rsidR="005609F8" w:rsidRPr="00E83D85">
        <w:rPr>
          <w:rFonts w:ascii="Tahoma" w:hAnsi="Tahoma" w:cs="Tahoma"/>
          <w:sz w:val="22"/>
          <w:szCs w:val="22"/>
        </w:rPr>
        <w:t>no le constaban</w:t>
      </w:r>
      <w:r w:rsidR="00F30F91" w:rsidRPr="00E83D85">
        <w:rPr>
          <w:rFonts w:ascii="Tahoma" w:hAnsi="Tahoma" w:cs="Tahoma"/>
          <w:sz w:val="22"/>
          <w:szCs w:val="22"/>
        </w:rPr>
        <w:t xml:space="preserve">. Seguidamente se opuso a la totalidad de las pretensiones y propuso como excepciones de mérito las </w:t>
      </w:r>
      <w:r w:rsidR="008B2B8F" w:rsidRPr="00E83D85">
        <w:rPr>
          <w:rFonts w:ascii="Tahoma" w:hAnsi="Tahoma" w:cs="Tahoma"/>
          <w:sz w:val="22"/>
          <w:szCs w:val="22"/>
        </w:rPr>
        <w:t>que denominó “Inexistencia del derecho</w:t>
      </w:r>
      <w:r w:rsidR="00F30F91" w:rsidRPr="00E83D85">
        <w:rPr>
          <w:rFonts w:ascii="Tahoma" w:hAnsi="Tahoma" w:cs="Tahoma"/>
          <w:sz w:val="22"/>
          <w:szCs w:val="22"/>
        </w:rPr>
        <w:t>”</w:t>
      </w:r>
      <w:r w:rsidR="008B2B8F" w:rsidRPr="00E83D85">
        <w:rPr>
          <w:rFonts w:ascii="Tahoma" w:hAnsi="Tahoma" w:cs="Tahoma"/>
          <w:sz w:val="22"/>
          <w:szCs w:val="22"/>
        </w:rPr>
        <w:t>, “Cobro de lo no debido”</w:t>
      </w:r>
      <w:r w:rsidR="00360FFF" w:rsidRPr="00E83D85">
        <w:rPr>
          <w:rFonts w:ascii="Tahoma" w:hAnsi="Tahoma" w:cs="Tahoma"/>
          <w:sz w:val="22"/>
          <w:szCs w:val="22"/>
        </w:rPr>
        <w:t>, “Improcedencia del reconocimiento de intereses moratorios”, “buena fe”</w:t>
      </w:r>
      <w:r w:rsidR="00F30F91" w:rsidRPr="00E83D85">
        <w:rPr>
          <w:rFonts w:ascii="Tahoma" w:hAnsi="Tahoma" w:cs="Tahoma"/>
          <w:sz w:val="22"/>
          <w:szCs w:val="22"/>
        </w:rPr>
        <w:t xml:space="preserve"> y “Prescripción”</w:t>
      </w:r>
      <w:r w:rsidR="00360FFF" w:rsidRPr="00E83D85">
        <w:rPr>
          <w:rFonts w:ascii="Tahoma" w:hAnsi="Tahoma" w:cs="Tahoma"/>
          <w:sz w:val="22"/>
          <w:szCs w:val="22"/>
        </w:rPr>
        <w:t>.</w:t>
      </w:r>
    </w:p>
    <w:p w14:paraId="33D1E2D5" w14:textId="1224790A" w:rsidR="00F065D7" w:rsidRPr="00E83D85" w:rsidRDefault="00F065D7" w:rsidP="0051507A">
      <w:pPr>
        <w:widowControl w:val="0"/>
        <w:autoSpaceDE w:val="0"/>
        <w:autoSpaceDN w:val="0"/>
        <w:adjustRightInd w:val="0"/>
        <w:ind w:firstLine="708"/>
        <w:jc w:val="both"/>
        <w:rPr>
          <w:rFonts w:ascii="Tahoma" w:hAnsi="Tahoma" w:cs="Tahoma"/>
          <w:sz w:val="22"/>
          <w:szCs w:val="22"/>
        </w:rPr>
      </w:pPr>
    </w:p>
    <w:p w14:paraId="15F7C692" w14:textId="7FD97303" w:rsidR="00F065D7" w:rsidRPr="00E83D85" w:rsidRDefault="008E1D5A" w:rsidP="0051507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E83D85">
        <w:rPr>
          <w:rFonts w:ascii="Tahoma" w:hAnsi="Tahoma" w:cs="Tahoma"/>
          <w:b/>
          <w:sz w:val="22"/>
          <w:szCs w:val="22"/>
        </w:rPr>
        <w:t>La sentencia de primera instancia</w:t>
      </w:r>
    </w:p>
    <w:p w14:paraId="5D898390" w14:textId="77777777" w:rsidR="00F065D7" w:rsidRPr="00E83D85" w:rsidRDefault="00F065D7" w:rsidP="0051507A">
      <w:pPr>
        <w:tabs>
          <w:tab w:val="left" w:pos="748"/>
        </w:tabs>
        <w:spacing w:line="276" w:lineRule="auto"/>
        <w:ind w:firstLine="1122"/>
        <w:jc w:val="both"/>
        <w:rPr>
          <w:rFonts w:ascii="Tahoma" w:hAnsi="Tahoma" w:cs="Tahoma"/>
          <w:sz w:val="22"/>
          <w:szCs w:val="22"/>
        </w:rPr>
      </w:pPr>
    </w:p>
    <w:p w14:paraId="5A427D11" w14:textId="6BB82073" w:rsidR="00F273AD" w:rsidRDefault="00F065D7" w:rsidP="0051507A">
      <w:pPr>
        <w:tabs>
          <w:tab w:val="left" w:pos="748"/>
        </w:tabs>
        <w:spacing w:line="276" w:lineRule="auto"/>
        <w:jc w:val="both"/>
        <w:rPr>
          <w:rFonts w:ascii="Tahoma" w:hAnsi="Tahoma" w:cs="Tahoma"/>
          <w:sz w:val="22"/>
          <w:szCs w:val="22"/>
        </w:rPr>
      </w:pPr>
      <w:r w:rsidRPr="00E83D85">
        <w:rPr>
          <w:rFonts w:ascii="Tahoma" w:hAnsi="Tahoma" w:cs="Tahoma"/>
          <w:sz w:val="22"/>
          <w:szCs w:val="22"/>
        </w:rPr>
        <w:tab/>
      </w:r>
      <w:r w:rsidR="00E46201" w:rsidRPr="00E83D85">
        <w:rPr>
          <w:rFonts w:ascii="Tahoma" w:hAnsi="Tahoma" w:cs="Tahoma"/>
          <w:sz w:val="22"/>
          <w:szCs w:val="22"/>
        </w:rPr>
        <w:t xml:space="preserve">La Jueza de conocimiento declaró que la señora </w:t>
      </w:r>
      <w:r w:rsidR="0029464D" w:rsidRPr="00E83D85">
        <w:rPr>
          <w:rFonts w:ascii="Tahoma" w:hAnsi="Tahoma" w:cs="Tahoma"/>
          <w:sz w:val="22"/>
          <w:szCs w:val="22"/>
        </w:rPr>
        <w:t>Leonora Guevara Arias</w:t>
      </w:r>
      <w:r w:rsidR="00E46201" w:rsidRPr="00E83D85">
        <w:rPr>
          <w:rFonts w:ascii="Tahoma" w:hAnsi="Tahoma" w:cs="Tahoma"/>
          <w:sz w:val="22"/>
          <w:szCs w:val="22"/>
        </w:rPr>
        <w:t xml:space="preserve"> tiene derecho a percibir pensión de invalidez a partir del </w:t>
      </w:r>
      <w:r w:rsidR="0029464D" w:rsidRPr="00E83D85">
        <w:rPr>
          <w:rFonts w:ascii="Tahoma" w:hAnsi="Tahoma" w:cs="Tahoma"/>
          <w:sz w:val="22"/>
          <w:szCs w:val="22"/>
        </w:rPr>
        <w:t>29</w:t>
      </w:r>
      <w:r w:rsidR="00E46201" w:rsidRPr="00E83D85">
        <w:rPr>
          <w:rFonts w:ascii="Tahoma" w:hAnsi="Tahoma" w:cs="Tahoma"/>
          <w:sz w:val="22"/>
          <w:szCs w:val="22"/>
        </w:rPr>
        <w:t xml:space="preserve"> de </w:t>
      </w:r>
      <w:r w:rsidR="0029464D" w:rsidRPr="00E83D85">
        <w:rPr>
          <w:rFonts w:ascii="Tahoma" w:hAnsi="Tahoma" w:cs="Tahoma"/>
          <w:sz w:val="22"/>
          <w:szCs w:val="22"/>
        </w:rPr>
        <w:t>octubre de 2007</w:t>
      </w:r>
      <w:r w:rsidR="00E46201" w:rsidRPr="00E83D85">
        <w:rPr>
          <w:rFonts w:ascii="Tahoma" w:hAnsi="Tahoma" w:cs="Tahoma"/>
          <w:sz w:val="22"/>
          <w:szCs w:val="22"/>
        </w:rPr>
        <w:t>, en cuantía de un salario mínimo</w:t>
      </w:r>
      <w:r w:rsidR="0033254E" w:rsidRPr="00E83D85">
        <w:rPr>
          <w:rFonts w:ascii="Tahoma" w:hAnsi="Tahoma" w:cs="Tahoma"/>
          <w:sz w:val="22"/>
          <w:szCs w:val="22"/>
        </w:rPr>
        <w:t xml:space="preserve"> legal mensual vigente en cada anualidad</w:t>
      </w:r>
      <w:r w:rsidR="00580ED6" w:rsidRPr="00E83D85">
        <w:rPr>
          <w:rFonts w:ascii="Tahoma" w:hAnsi="Tahoma" w:cs="Tahoma"/>
          <w:sz w:val="22"/>
          <w:szCs w:val="22"/>
        </w:rPr>
        <w:t xml:space="preserve"> y a dos mesadas adicionales</w:t>
      </w:r>
      <w:r w:rsidR="00E46201" w:rsidRPr="00E83D85">
        <w:rPr>
          <w:rFonts w:ascii="Tahoma" w:hAnsi="Tahoma" w:cs="Tahoma"/>
          <w:sz w:val="22"/>
          <w:szCs w:val="22"/>
        </w:rPr>
        <w:t xml:space="preserve">. En consecuencia, condenó a la demandada a reconocer y pagar dicho emolumento con un retroactivo </w:t>
      </w:r>
      <w:r w:rsidR="003511EF" w:rsidRPr="00E83D85">
        <w:rPr>
          <w:rFonts w:ascii="Tahoma" w:hAnsi="Tahoma" w:cs="Tahoma"/>
          <w:sz w:val="22"/>
          <w:szCs w:val="22"/>
        </w:rPr>
        <w:t>causado entre el 29 de octubre de 2007 y el 29 de febrero de 2016</w:t>
      </w:r>
      <w:r w:rsidR="008E1D5A">
        <w:rPr>
          <w:rFonts w:ascii="Tahoma" w:hAnsi="Tahoma" w:cs="Tahoma"/>
          <w:sz w:val="22"/>
          <w:szCs w:val="22"/>
        </w:rPr>
        <w:t>,</w:t>
      </w:r>
      <w:r w:rsidR="00F273AD" w:rsidRPr="00E83D85">
        <w:rPr>
          <w:rFonts w:ascii="Tahoma" w:hAnsi="Tahoma" w:cs="Tahoma"/>
          <w:sz w:val="22"/>
          <w:szCs w:val="22"/>
        </w:rPr>
        <w:t xml:space="preserve"> sin perjuicio de las mesadas que se sigan causando a futuro</w:t>
      </w:r>
      <w:r w:rsidR="008E1D5A">
        <w:rPr>
          <w:rFonts w:ascii="Tahoma" w:hAnsi="Tahoma" w:cs="Tahoma"/>
          <w:sz w:val="22"/>
          <w:szCs w:val="22"/>
        </w:rPr>
        <w:t>, así como al pago de los intereses moratorios</w:t>
      </w:r>
      <w:r w:rsidR="00AF78E1" w:rsidRPr="00E83D85">
        <w:rPr>
          <w:rFonts w:ascii="Tahoma" w:hAnsi="Tahoma" w:cs="Tahoma"/>
          <w:sz w:val="22"/>
          <w:szCs w:val="22"/>
        </w:rPr>
        <w:t xml:space="preserve"> a partir de la ejecutoria de la sentencia y hasta que se haga efectivo el pago total de la obligación, así como de las costas procesales.</w:t>
      </w:r>
    </w:p>
    <w:p w14:paraId="11C1BD69" w14:textId="77777777" w:rsidR="008E1D5A" w:rsidRDefault="008E1D5A" w:rsidP="0051507A">
      <w:pPr>
        <w:tabs>
          <w:tab w:val="left" w:pos="748"/>
        </w:tabs>
        <w:spacing w:line="276" w:lineRule="auto"/>
        <w:jc w:val="both"/>
        <w:rPr>
          <w:rFonts w:ascii="Tahoma" w:hAnsi="Tahoma" w:cs="Tahoma"/>
          <w:sz w:val="22"/>
          <w:szCs w:val="22"/>
        </w:rPr>
      </w:pPr>
    </w:p>
    <w:p w14:paraId="508C32B2" w14:textId="2E417441" w:rsidR="008E1D5A" w:rsidRDefault="008E1D5A" w:rsidP="0051507A">
      <w:pPr>
        <w:tabs>
          <w:tab w:val="left" w:pos="748"/>
        </w:tabs>
        <w:spacing w:line="276" w:lineRule="auto"/>
        <w:jc w:val="both"/>
        <w:rPr>
          <w:rFonts w:ascii="Tahoma" w:hAnsi="Tahoma" w:cs="Tahoma"/>
          <w:sz w:val="22"/>
          <w:szCs w:val="22"/>
        </w:rPr>
      </w:pPr>
      <w:r>
        <w:rPr>
          <w:rFonts w:ascii="Tahoma" w:hAnsi="Tahoma" w:cs="Tahoma"/>
          <w:sz w:val="22"/>
          <w:szCs w:val="22"/>
        </w:rPr>
        <w:tab/>
        <w:t xml:space="preserve">Para llegar a tal determinación la A-quo consideró, en síntesis, </w:t>
      </w:r>
      <w:r w:rsidR="00674553">
        <w:rPr>
          <w:rFonts w:ascii="Tahoma" w:hAnsi="Tahoma" w:cs="Tahoma"/>
          <w:sz w:val="22"/>
          <w:szCs w:val="22"/>
        </w:rPr>
        <w:t xml:space="preserve">que de conformidad con </w:t>
      </w:r>
      <w:r w:rsidR="002B72DB">
        <w:rPr>
          <w:rFonts w:ascii="Tahoma" w:hAnsi="Tahoma" w:cs="Tahoma"/>
          <w:sz w:val="22"/>
          <w:szCs w:val="22"/>
        </w:rPr>
        <w:t xml:space="preserve">el precedente sentado por la Corte Constitucional, adoptado por la mayoría de los integrantes de </w:t>
      </w:r>
      <w:r w:rsidR="002B72DB">
        <w:rPr>
          <w:rFonts w:ascii="Tahoma" w:hAnsi="Tahoma" w:cs="Tahoma"/>
          <w:sz w:val="22"/>
          <w:szCs w:val="22"/>
        </w:rPr>
        <w:lastRenderedPageBreak/>
        <w:t>este Tribunal</w:t>
      </w:r>
      <w:r w:rsidR="00674553">
        <w:rPr>
          <w:rFonts w:ascii="Tahoma" w:hAnsi="Tahoma" w:cs="Tahoma"/>
          <w:sz w:val="22"/>
          <w:szCs w:val="22"/>
        </w:rPr>
        <w:t>, era dable reconocer la pensión de invalidez consagrada en el Acuerdo 049 de 1990 en aplicación del principio de la condición, pues a pesar de que la invalidez de la promotora del litigio se estructuró en vigencia de la Ley 860 de 2003, a la entrada en vigencia de la Ley 100 de 1993, superaba ampliamente las 300 semanas exigidas po</w:t>
      </w:r>
      <w:r w:rsidR="002B72DB">
        <w:rPr>
          <w:rFonts w:ascii="Tahoma" w:hAnsi="Tahoma" w:cs="Tahoma"/>
          <w:sz w:val="22"/>
          <w:szCs w:val="22"/>
        </w:rPr>
        <w:t>r el aludido acuerdo.</w:t>
      </w:r>
    </w:p>
    <w:p w14:paraId="321026E3" w14:textId="77777777" w:rsidR="002B72DB" w:rsidRDefault="002B72DB" w:rsidP="0051507A">
      <w:pPr>
        <w:tabs>
          <w:tab w:val="left" w:pos="748"/>
        </w:tabs>
        <w:spacing w:line="276" w:lineRule="auto"/>
        <w:jc w:val="both"/>
        <w:rPr>
          <w:rFonts w:ascii="Tahoma" w:hAnsi="Tahoma" w:cs="Tahoma"/>
          <w:sz w:val="22"/>
          <w:szCs w:val="22"/>
        </w:rPr>
      </w:pPr>
    </w:p>
    <w:p w14:paraId="02DDB463" w14:textId="165EC491" w:rsidR="002B72DB" w:rsidRPr="00E83D85" w:rsidRDefault="002B72DB" w:rsidP="0051507A">
      <w:pPr>
        <w:tabs>
          <w:tab w:val="left" w:pos="748"/>
        </w:tabs>
        <w:spacing w:line="276" w:lineRule="auto"/>
        <w:jc w:val="both"/>
        <w:rPr>
          <w:rFonts w:ascii="Tahoma" w:hAnsi="Tahoma" w:cs="Tahoma"/>
          <w:sz w:val="22"/>
          <w:szCs w:val="22"/>
        </w:rPr>
      </w:pPr>
      <w:r>
        <w:rPr>
          <w:rFonts w:ascii="Tahoma" w:hAnsi="Tahoma" w:cs="Tahoma"/>
          <w:sz w:val="22"/>
          <w:szCs w:val="22"/>
        </w:rPr>
        <w:tab/>
        <w:t>Finalmente, indicó que no prosperaba la excepción de prescripción propuesta por la entidad demandada en razón a que, entre la fecha de la calificación y la presentación de la demanda no transcurrieron más de 3 años.</w:t>
      </w:r>
    </w:p>
    <w:p w14:paraId="10660D06" w14:textId="77777777" w:rsidR="00E46201" w:rsidRPr="00E83D85" w:rsidRDefault="00E46201" w:rsidP="0051507A">
      <w:pPr>
        <w:tabs>
          <w:tab w:val="left" w:pos="748"/>
        </w:tabs>
        <w:spacing w:line="276" w:lineRule="auto"/>
        <w:jc w:val="both"/>
        <w:rPr>
          <w:rFonts w:ascii="Tahoma" w:hAnsi="Tahoma" w:cs="Tahoma"/>
          <w:sz w:val="22"/>
          <w:szCs w:val="22"/>
        </w:rPr>
      </w:pPr>
    </w:p>
    <w:p w14:paraId="0F18CBCB" w14:textId="48A619D9" w:rsidR="00F065D7" w:rsidRPr="00E83D85" w:rsidRDefault="00C653A5" w:rsidP="0051507A">
      <w:pPr>
        <w:tabs>
          <w:tab w:val="left" w:pos="748"/>
        </w:tabs>
        <w:spacing w:line="276" w:lineRule="auto"/>
        <w:jc w:val="center"/>
        <w:rPr>
          <w:rFonts w:ascii="Tahoma" w:hAnsi="Tahoma" w:cs="Tahoma"/>
          <w:b/>
          <w:sz w:val="22"/>
          <w:szCs w:val="22"/>
        </w:rPr>
      </w:pPr>
      <w:r w:rsidRPr="00E83D85">
        <w:rPr>
          <w:rFonts w:ascii="Tahoma" w:hAnsi="Tahoma" w:cs="Tahoma"/>
          <w:b/>
          <w:sz w:val="22"/>
          <w:szCs w:val="22"/>
        </w:rPr>
        <w:t xml:space="preserve">III- </w:t>
      </w:r>
      <w:r w:rsidR="008E1D5A" w:rsidRPr="00E83D85">
        <w:rPr>
          <w:rFonts w:ascii="Tahoma" w:hAnsi="Tahoma" w:cs="Tahoma"/>
          <w:b/>
          <w:sz w:val="22"/>
          <w:szCs w:val="22"/>
        </w:rPr>
        <w:t>Procedencia de la consulta</w:t>
      </w:r>
    </w:p>
    <w:p w14:paraId="52BE16F8" w14:textId="77777777" w:rsidR="00FB3308" w:rsidRPr="00E83D85" w:rsidRDefault="00FB3308" w:rsidP="0051507A">
      <w:pPr>
        <w:pStyle w:val="Sansinterligne"/>
        <w:rPr>
          <w:sz w:val="22"/>
          <w:szCs w:val="22"/>
        </w:rPr>
      </w:pPr>
    </w:p>
    <w:p w14:paraId="6183F748" w14:textId="31E0D7E1" w:rsidR="00FB3308" w:rsidRPr="00E83D85" w:rsidRDefault="00FB3308" w:rsidP="00147E43">
      <w:pPr>
        <w:pStyle w:val="Retraitcorpsdetexte"/>
        <w:spacing w:line="276" w:lineRule="auto"/>
        <w:ind w:firstLine="561"/>
        <w:rPr>
          <w:sz w:val="22"/>
          <w:szCs w:val="22"/>
        </w:rPr>
      </w:pPr>
      <w:r w:rsidRPr="00E83D85">
        <w:rPr>
          <w:sz w:val="22"/>
          <w:szCs w:val="22"/>
        </w:rPr>
        <w:t xml:space="preserve">Como quiera que la sentencia fue totalmente desfavorable para los intereses de Colpensiones se dispuso el grado jurisdiccional de consulta. </w:t>
      </w:r>
    </w:p>
    <w:p w14:paraId="41040D84" w14:textId="77777777" w:rsidR="00F065D7" w:rsidRPr="00E83D85" w:rsidRDefault="00F065D7" w:rsidP="00147E43">
      <w:pPr>
        <w:spacing w:line="276" w:lineRule="auto"/>
        <w:jc w:val="both"/>
        <w:rPr>
          <w:rFonts w:ascii="Tahoma" w:hAnsi="Tahoma" w:cs="Tahoma"/>
          <w:sz w:val="22"/>
          <w:szCs w:val="22"/>
        </w:rPr>
      </w:pPr>
    </w:p>
    <w:p w14:paraId="53875E17" w14:textId="5A4078B4" w:rsidR="00F065D7" w:rsidRPr="00E83D85" w:rsidRDefault="008E1D5A" w:rsidP="00147E43">
      <w:pPr>
        <w:pStyle w:val="Paragraphedeliste"/>
        <w:widowControl w:val="0"/>
        <w:numPr>
          <w:ilvl w:val="0"/>
          <w:numId w:val="2"/>
        </w:numPr>
        <w:autoSpaceDE w:val="0"/>
        <w:autoSpaceDN w:val="0"/>
        <w:adjustRightInd w:val="0"/>
        <w:spacing w:line="360" w:lineRule="auto"/>
        <w:ind w:left="0" w:firstLine="0"/>
        <w:jc w:val="center"/>
        <w:rPr>
          <w:rFonts w:ascii="Tahoma" w:hAnsi="Tahoma" w:cs="Tahoma"/>
          <w:b/>
          <w:caps/>
          <w:sz w:val="22"/>
          <w:szCs w:val="22"/>
        </w:rPr>
      </w:pPr>
      <w:r w:rsidRPr="00E83D85">
        <w:rPr>
          <w:rFonts w:ascii="Tahoma" w:hAnsi="Tahoma" w:cs="Tahoma"/>
          <w:b/>
          <w:sz w:val="22"/>
          <w:szCs w:val="22"/>
        </w:rPr>
        <w:t>Consideraciones</w:t>
      </w:r>
    </w:p>
    <w:p w14:paraId="0B3169BB" w14:textId="77777777" w:rsidR="00F065D7" w:rsidRPr="00E83D85" w:rsidRDefault="00F065D7" w:rsidP="00147E43">
      <w:pPr>
        <w:tabs>
          <w:tab w:val="left" w:pos="567"/>
        </w:tabs>
        <w:jc w:val="both"/>
        <w:rPr>
          <w:rFonts w:ascii="Tahoma" w:hAnsi="Tahoma" w:cs="Tahoma"/>
          <w:sz w:val="22"/>
          <w:szCs w:val="22"/>
        </w:rPr>
      </w:pPr>
      <w:r w:rsidRPr="00E83D85">
        <w:rPr>
          <w:rFonts w:ascii="Tahoma" w:hAnsi="Tahoma" w:cs="Tahoma"/>
          <w:sz w:val="22"/>
          <w:szCs w:val="22"/>
        </w:rPr>
        <w:tab/>
      </w:r>
    </w:p>
    <w:p w14:paraId="01B1E874" w14:textId="28A3A9AB" w:rsidR="00F065D7" w:rsidRPr="00E83D85" w:rsidRDefault="002C5868" w:rsidP="00147E43">
      <w:pPr>
        <w:pStyle w:val="Corpsdetexte"/>
        <w:numPr>
          <w:ilvl w:val="1"/>
          <w:numId w:val="3"/>
        </w:numPr>
        <w:spacing w:after="0" w:line="360" w:lineRule="auto"/>
        <w:ind w:left="709" w:right="51" w:firstLine="0"/>
        <w:jc w:val="both"/>
        <w:rPr>
          <w:rFonts w:ascii="Tahoma" w:hAnsi="Tahoma" w:cs="Tahoma"/>
          <w:b/>
          <w:sz w:val="22"/>
          <w:szCs w:val="22"/>
        </w:rPr>
      </w:pPr>
      <w:r w:rsidRPr="00E83D85">
        <w:rPr>
          <w:rFonts w:ascii="Tahoma" w:hAnsi="Tahoma" w:cs="Tahoma"/>
          <w:b/>
          <w:sz w:val="22"/>
          <w:szCs w:val="22"/>
        </w:rPr>
        <w:t>Supuestos fácticos probados</w:t>
      </w:r>
    </w:p>
    <w:p w14:paraId="0C805A5A" w14:textId="77777777" w:rsidR="00147E43" w:rsidRDefault="00147E43" w:rsidP="00147E43">
      <w:pPr>
        <w:widowControl w:val="0"/>
        <w:autoSpaceDE w:val="0"/>
        <w:autoSpaceDN w:val="0"/>
        <w:adjustRightInd w:val="0"/>
        <w:spacing w:line="276" w:lineRule="auto"/>
        <w:ind w:firstLine="708"/>
        <w:jc w:val="both"/>
        <w:rPr>
          <w:rFonts w:ascii="Tahoma" w:hAnsi="Tahoma" w:cs="Tahoma"/>
          <w:sz w:val="22"/>
          <w:szCs w:val="22"/>
        </w:rPr>
      </w:pPr>
    </w:p>
    <w:p w14:paraId="29B0DD77" w14:textId="1D20EC41" w:rsidR="002C5868" w:rsidRPr="00E83D85" w:rsidRDefault="002C5868" w:rsidP="00147E43">
      <w:pPr>
        <w:widowControl w:val="0"/>
        <w:autoSpaceDE w:val="0"/>
        <w:autoSpaceDN w:val="0"/>
        <w:adjustRightInd w:val="0"/>
        <w:spacing w:line="276" w:lineRule="auto"/>
        <w:ind w:firstLine="708"/>
        <w:jc w:val="both"/>
        <w:rPr>
          <w:rFonts w:ascii="Tahoma" w:hAnsi="Tahoma" w:cs="Tahoma"/>
          <w:sz w:val="22"/>
          <w:szCs w:val="22"/>
        </w:rPr>
      </w:pPr>
      <w:r w:rsidRPr="00E83D85">
        <w:rPr>
          <w:rFonts w:ascii="Tahoma" w:hAnsi="Tahoma" w:cs="Tahoma"/>
          <w:sz w:val="22"/>
          <w:szCs w:val="22"/>
        </w:rPr>
        <w:t xml:space="preserve">No existe discusión alguna en el presente asunto respecto a los siguientes supuestos fácticos: </w:t>
      </w:r>
      <w:r w:rsidRPr="00E83D85">
        <w:rPr>
          <w:rFonts w:ascii="Tahoma" w:hAnsi="Tahoma" w:cs="Tahoma"/>
          <w:i/>
          <w:sz w:val="22"/>
          <w:szCs w:val="22"/>
        </w:rPr>
        <w:t>i)</w:t>
      </w:r>
      <w:r w:rsidRPr="00E83D85">
        <w:rPr>
          <w:rFonts w:ascii="Tahoma" w:hAnsi="Tahoma" w:cs="Tahoma"/>
          <w:sz w:val="22"/>
          <w:szCs w:val="22"/>
        </w:rPr>
        <w:t xml:space="preserve"> que la señora Leonora Guevara Arias fue calificado por la Junta de Calificación de Risaralda el </w:t>
      </w:r>
      <w:r w:rsidR="00647702" w:rsidRPr="00E83D85">
        <w:rPr>
          <w:rFonts w:ascii="Tahoma" w:hAnsi="Tahoma" w:cs="Tahoma"/>
          <w:sz w:val="22"/>
          <w:szCs w:val="22"/>
        </w:rPr>
        <w:t>30</w:t>
      </w:r>
      <w:r w:rsidRPr="00E83D85">
        <w:rPr>
          <w:rFonts w:ascii="Tahoma" w:hAnsi="Tahoma" w:cs="Tahoma"/>
          <w:sz w:val="22"/>
          <w:szCs w:val="22"/>
        </w:rPr>
        <w:t xml:space="preserve"> de </w:t>
      </w:r>
      <w:r w:rsidR="00647702" w:rsidRPr="00E83D85">
        <w:rPr>
          <w:rFonts w:ascii="Tahoma" w:hAnsi="Tahoma" w:cs="Tahoma"/>
          <w:sz w:val="22"/>
          <w:szCs w:val="22"/>
        </w:rPr>
        <w:t>mayo de 2012</w:t>
      </w:r>
      <w:r w:rsidRPr="00E83D85">
        <w:rPr>
          <w:rFonts w:ascii="Tahoma" w:hAnsi="Tahoma" w:cs="Tahoma"/>
          <w:sz w:val="22"/>
          <w:szCs w:val="22"/>
        </w:rPr>
        <w:t xml:space="preserve">, con una pérdida de capacidad laboral del </w:t>
      </w:r>
      <w:r w:rsidR="00647702" w:rsidRPr="00E83D85">
        <w:rPr>
          <w:rFonts w:ascii="Tahoma" w:hAnsi="Tahoma" w:cs="Tahoma"/>
          <w:sz w:val="22"/>
          <w:szCs w:val="22"/>
        </w:rPr>
        <w:t>68,37</w:t>
      </w:r>
      <w:r w:rsidRPr="00E83D85">
        <w:rPr>
          <w:rFonts w:ascii="Tahoma" w:hAnsi="Tahoma" w:cs="Tahoma"/>
          <w:sz w:val="22"/>
          <w:szCs w:val="22"/>
        </w:rPr>
        <w:t xml:space="preserve">% de origen común estructurada el </w:t>
      </w:r>
      <w:r w:rsidR="00647702" w:rsidRPr="00E83D85">
        <w:rPr>
          <w:rFonts w:ascii="Tahoma" w:hAnsi="Tahoma" w:cs="Tahoma"/>
          <w:sz w:val="22"/>
          <w:szCs w:val="22"/>
        </w:rPr>
        <w:t>29</w:t>
      </w:r>
      <w:r w:rsidRPr="00E83D85">
        <w:rPr>
          <w:rFonts w:ascii="Tahoma" w:hAnsi="Tahoma" w:cs="Tahoma"/>
          <w:sz w:val="22"/>
          <w:szCs w:val="22"/>
        </w:rPr>
        <w:t xml:space="preserve"> de</w:t>
      </w:r>
      <w:r w:rsidR="006179FD" w:rsidRPr="00E83D85">
        <w:rPr>
          <w:rFonts w:ascii="Tahoma" w:hAnsi="Tahoma" w:cs="Tahoma"/>
          <w:sz w:val="22"/>
          <w:szCs w:val="22"/>
        </w:rPr>
        <w:t xml:space="preserve"> octubre</w:t>
      </w:r>
      <w:r w:rsidRPr="00E83D85">
        <w:rPr>
          <w:rFonts w:ascii="Tahoma" w:hAnsi="Tahoma" w:cs="Tahoma"/>
          <w:sz w:val="22"/>
          <w:szCs w:val="22"/>
        </w:rPr>
        <w:t xml:space="preserve"> de 200</w:t>
      </w:r>
      <w:r w:rsidR="006179FD" w:rsidRPr="00E83D85">
        <w:rPr>
          <w:rFonts w:ascii="Tahoma" w:hAnsi="Tahoma" w:cs="Tahoma"/>
          <w:sz w:val="22"/>
          <w:szCs w:val="22"/>
        </w:rPr>
        <w:t>7</w:t>
      </w:r>
      <w:r w:rsidRPr="00E83D85">
        <w:rPr>
          <w:rFonts w:ascii="Tahoma" w:hAnsi="Tahoma" w:cs="Tahoma"/>
          <w:sz w:val="22"/>
          <w:szCs w:val="22"/>
        </w:rPr>
        <w:t xml:space="preserve"> (</w:t>
      </w:r>
      <w:proofErr w:type="spellStart"/>
      <w:r w:rsidRPr="00E83D85">
        <w:rPr>
          <w:rFonts w:ascii="Tahoma" w:hAnsi="Tahoma" w:cs="Tahoma"/>
          <w:sz w:val="22"/>
          <w:szCs w:val="22"/>
        </w:rPr>
        <w:t>fl</w:t>
      </w:r>
      <w:proofErr w:type="spellEnd"/>
      <w:r w:rsidRPr="00E83D85">
        <w:rPr>
          <w:rFonts w:ascii="Tahoma" w:hAnsi="Tahoma" w:cs="Tahoma"/>
          <w:sz w:val="22"/>
          <w:szCs w:val="22"/>
        </w:rPr>
        <w:t xml:space="preserve">. </w:t>
      </w:r>
      <w:r w:rsidR="00C962CE" w:rsidRPr="00E83D85">
        <w:rPr>
          <w:rFonts w:ascii="Tahoma" w:hAnsi="Tahoma" w:cs="Tahoma"/>
          <w:sz w:val="22"/>
          <w:szCs w:val="22"/>
        </w:rPr>
        <w:t>24</w:t>
      </w:r>
      <w:r w:rsidRPr="00E83D85">
        <w:rPr>
          <w:rFonts w:ascii="Tahoma" w:hAnsi="Tahoma" w:cs="Tahoma"/>
          <w:sz w:val="22"/>
          <w:szCs w:val="22"/>
        </w:rPr>
        <w:t xml:space="preserve"> y s.s.); y, ii) que cuenta con un total de </w:t>
      </w:r>
      <w:r w:rsidR="00EC1C8A" w:rsidRPr="00E83D85">
        <w:rPr>
          <w:rFonts w:ascii="Tahoma" w:hAnsi="Tahoma" w:cs="Tahoma"/>
          <w:sz w:val="22"/>
          <w:szCs w:val="22"/>
        </w:rPr>
        <w:t>529,86</w:t>
      </w:r>
      <w:r w:rsidRPr="00E83D85">
        <w:rPr>
          <w:rFonts w:ascii="Tahoma" w:hAnsi="Tahoma" w:cs="Tahoma"/>
          <w:sz w:val="22"/>
          <w:szCs w:val="22"/>
        </w:rPr>
        <w:t xml:space="preserve"> semanas cotizadas entre el </w:t>
      </w:r>
      <w:r w:rsidR="00EC1C8A" w:rsidRPr="00E83D85">
        <w:rPr>
          <w:rFonts w:ascii="Tahoma" w:hAnsi="Tahoma" w:cs="Tahoma"/>
          <w:sz w:val="22"/>
          <w:szCs w:val="22"/>
        </w:rPr>
        <w:t>7</w:t>
      </w:r>
      <w:r w:rsidRPr="00E83D85">
        <w:rPr>
          <w:rFonts w:ascii="Tahoma" w:hAnsi="Tahoma" w:cs="Tahoma"/>
          <w:sz w:val="22"/>
          <w:szCs w:val="22"/>
        </w:rPr>
        <w:t xml:space="preserve"> de </w:t>
      </w:r>
      <w:r w:rsidR="00EC1C8A" w:rsidRPr="00E83D85">
        <w:rPr>
          <w:rFonts w:ascii="Tahoma" w:hAnsi="Tahoma" w:cs="Tahoma"/>
          <w:sz w:val="22"/>
          <w:szCs w:val="22"/>
        </w:rPr>
        <w:t>abril de 1983</w:t>
      </w:r>
      <w:r w:rsidRPr="00E83D85">
        <w:rPr>
          <w:rFonts w:ascii="Tahoma" w:hAnsi="Tahoma" w:cs="Tahoma"/>
          <w:sz w:val="22"/>
          <w:szCs w:val="22"/>
        </w:rPr>
        <w:t xml:space="preserve"> y el 31 de </w:t>
      </w:r>
      <w:r w:rsidR="00EC1C8A" w:rsidRPr="00E83D85">
        <w:rPr>
          <w:rFonts w:ascii="Tahoma" w:hAnsi="Tahoma" w:cs="Tahoma"/>
          <w:sz w:val="22"/>
          <w:szCs w:val="22"/>
        </w:rPr>
        <w:t>octubre de 2016</w:t>
      </w:r>
      <w:r w:rsidRPr="00E83D85">
        <w:rPr>
          <w:rFonts w:ascii="Tahoma" w:hAnsi="Tahoma" w:cs="Tahoma"/>
          <w:sz w:val="22"/>
          <w:szCs w:val="22"/>
        </w:rPr>
        <w:t xml:space="preserve">, de las cuales ninguna se efectuó en los tres años anteriores a la estructuración de la invalidez, pero </w:t>
      </w:r>
      <w:r w:rsidR="00176D0C" w:rsidRPr="00E83D85">
        <w:rPr>
          <w:rFonts w:ascii="Tahoma" w:hAnsi="Tahoma" w:cs="Tahoma"/>
          <w:sz w:val="22"/>
          <w:szCs w:val="22"/>
        </w:rPr>
        <w:t>4</w:t>
      </w:r>
      <w:r w:rsidR="002B72DB">
        <w:rPr>
          <w:rFonts w:ascii="Tahoma" w:hAnsi="Tahoma" w:cs="Tahoma"/>
          <w:sz w:val="22"/>
          <w:szCs w:val="22"/>
        </w:rPr>
        <w:t>04</w:t>
      </w:r>
      <w:r w:rsidRPr="00E83D85">
        <w:rPr>
          <w:rFonts w:ascii="Tahoma" w:hAnsi="Tahoma" w:cs="Tahoma"/>
          <w:sz w:val="22"/>
          <w:szCs w:val="22"/>
        </w:rPr>
        <w:t xml:space="preserve"> se efectuaron ante</w:t>
      </w:r>
      <w:r w:rsidR="00176D0C" w:rsidRPr="00E83D85">
        <w:rPr>
          <w:rFonts w:ascii="Tahoma" w:hAnsi="Tahoma" w:cs="Tahoma"/>
          <w:sz w:val="22"/>
          <w:szCs w:val="22"/>
        </w:rPr>
        <w:t>s del 1º de abril de 1994 (</w:t>
      </w:r>
      <w:proofErr w:type="spellStart"/>
      <w:r w:rsidR="00176D0C" w:rsidRPr="00E83D85">
        <w:rPr>
          <w:rFonts w:ascii="Tahoma" w:hAnsi="Tahoma" w:cs="Tahoma"/>
          <w:sz w:val="22"/>
          <w:szCs w:val="22"/>
        </w:rPr>
        <w:t>fl</w:t>
      </w:r>
      <w:proofErr w:type="spellEnd"/>
      <w:r w:rsidR="00176D0C" w:rsidRPr="00E83D85">
        <w:rPr>
          <w:rFonts w:ascii="Tahoma" w:hAnsi="Tahoma" w:cs="Tahoma"/>
          <w:sz w:val="22"/>
          <w:szCs w:val="22"/>
        </w:rPr>
        <w:t>. 62</w:t>
      </w:r>
      <w:r w:rsidRPr="00E83D85">
        <w:rPr>
          <w:rFonts w:ascii="Tahoma" w:hAnsi="Tahoma" w:cs="Tahoma"/>
          <w:sz w:val="22"/>
          <w:szCs w:val="22"/>
        </w:rPr>
        <w:t xml:space="preserve">). </w:t>
      </w:r>
    </w:p>
    <w:p w14:paraId="012CD7A1" w14:textId="77777777" w:rsidR="002C5868" w:rsidRPr="00E83D85" w:rsidRDefault="002C5868" w:rsidP="0051507A">
      <w:pPr>
        <w:widowControl w:val="0"/>
        <w:autoSpaceDE w:val="0"/>
        <w:autoSpaceDN w:val="0"/>
        <w:adjustRightInd w:val="0"/>
        <w:spacing w:line="276" w:lineRule="auto"/>
        <w:ind w:firstLine="708"/>
        <w:jc w:val="both"/>
        <w:rPr>
          <w:rFonts w:ascii="Tahoma" w:hAnsi="Tahoma" w:cs="Tahoma"/>
          <w:sz w:val="22"/>
          <w:szCs w:val="22"/>
        </w:rPr>
      </w:pPr>
    </w:p>
    <w:p w14:paraId="3058F436" w14:textId="04D1D79A" w:rsidR="002C5868" w:rsidRPr="00E83D85" w:rsidRDefault="002C5868" w:rsidP="0051507A">
      <w:pPr>
        <w:widowControl w:val="0"/>
        <w:autoSpaceDE w:val="0"/>
        <w:autoSpaceDN w:val="0"/>
        <w:adjustRightInd w:val="0"/>
        <w:spacing w:line="276" w:lineRule="auto"/>
        <w:ind w:firstLine="708"/>
        <w:jc w:val="both"/>
        <w:rPr>
          <w:rFonts w:ascii="Tahoma" w:hAnsi="Tahoma" w:cs="Tahoma"/>
          <w:sz w:val="22"/>
          <w:szCs w:val="22"/>
        </w:rPr>
      </w:pPr>
      <w:r w:rsidRPr="00E83D85">
        <w:rPr>
          <w:rFonts w:ascii="Tahoma" w:hAnsi="Tahoma" w:cs="Tahoma"/>
          <w:sz w:val="22"/>
          <w:szCs w:val="22"/>
        </w:rPr>
        <w:t xml:space="preserve">Hasta aquí debe decirse que, en principio, la norma aplicable es la vigente para el momento de la estructuración de la invalidez, que no es otra que la Ley 797 de 2003, la cual exige, entre otros, que </w:t>
      </w:r>
      <w:r w:rsidR="00845C6F" w:rsidRPr="00E83D85">
        <w:rPr>
          <w:rFonts w:ascii="Tahoma" w:hAnsi="Tahoma" w:cs="Tahoma"/>
          <w:sz w:val="22"/>
          <w:szCs w:val="22"/>
        </w:rPr>
        <w:t>la afiliada</w:t>
      </w:r>
      <w:r w:rsidRPr="00E83D85">
        <w:rPr>
          <w:rFonts w:ascii="Tahoma" w:hAnsi="Tahoma" w:cs="Tahoma"/>
          <w:sz w:val="22"/>
          <w:szCs w:val="22"/>
        </w:rPr>
        <w:t xml:space="preserve"> haya cotizado 50 semanas en los tres años anteriores al estado incapacitante, requisito que </w:t>
      </w:r>
      <w:r w:rsidR="00845C6F" w:rsidRPr="00E83D85">
        <w:rPr>
          <w:rFonts w:ascii="Tahoma" w:hAnsi="Tahoma" w:cs="Tahoma"/>
          <w:sz w:val="22"/>
          <w:szCs w:val="22"/>
        </w:rPr>
        <w:t>la</w:t>
      </w:r>
      <w:r w:rsidRPr="00E83D85">
        <w:rPr>
          <w:rFonts w:ascii="Tahoma" w:hAnsi="Tahoma" w:cs="Tahoma"/>
          <w:sz w:val="22"/>
          <w:szCs w:val="22"/>
        </w:rPr>
        <w:t xml:space="preserve"> actor</w:t>
      </w:r>
      <w:r w:rsidR="00845C6F" w:rsidRPr="00E83D85">
        <w:rPr>
          <w:rFonts w:ascii="Tahoma" w:hAnsi="Tahoma" w:cs="Tahoma"/>
          <w:sz w:val="22"/>
          <w:szCs w:val="22"/>
        </w:rPr>
        <w:t>a</w:t>
      </w:r>
      <w:r w:rsidRPr="00E83D85">
        <w:rPr>
          <w:rFonts w:ascii="Tahoma" w:hAnsi="Tahoma" w:cs="Tahoma"/>
          <w:sz w:val="22"/>
          <w:szCs w:val="22"/>
        </w:rPr>
        <w:t xml:space="preserve"> no cumple</w:t>
      </w:r>
      <w:r w:rsidR="00390C2D" w:rsidRPr="00E83D85">
        <w:rPr>
          <w:rFonts w:ascii="Tahoma" w:hAnsi="Tahoma" w:cs="Tahoma"/>
          <w:sz w:val="22"/>
          <w:szCs w:val="22"/>
        </w:rPr>
        <w:t xml:space="preserve"> según quedó demostrado, </w:t>
      </w:r>
      <w:r w:rsidRPr="00E83D85">
        <w:rPr>
          <w:rFonts w:ascii="Tahoma" w:hAnsi="Tahoma" w:cs="Tahoma"/>
          <w:sz w:val="22"/>
          <w:szCs w:val="22"/>
        </w:rPr>
        <w:t>reclamándose entonces que la pensión se reconozca en aplicación del Acuerdo 049 de 1990, en virtud del principio de la condición más beneficiosa.</w:t>
      </w:r>
    </w:p>
    <w:p w14:paraId="0D331525" w14:textId="77777777" w:rsidR="00736E07" w:rsidRPr="00E83D85" w:rsidRDefault="00736E07" w:rsidP="0051507A">
      <w:pPr>
        <w:spacing w:line="276" w:lineRule="auto"/>
        <w:ind w:firstLine="708"/>
        <w:jc w:val="both"/>
        <w:rPr>
          <w:rFonts w:ascii="Tahoma" w:hAnsi="Tahoma" w:cs="Tahoma"/>
          <w:sz w:val="22"/>
          <w:szCs w:val="22"/>
        </w:rPr>
      </w:pPr>
    </w:p>
    <w:p w14:paraId="0C40897F" w14:textId="61DCA6FC" w:rsidR="0051507A" w:rsidRPr="002F3A73" w:rsidRDefault="0051507A" w:rsidP="0051507A">
      <w:pPr>
        <w:pStyle w:val="Paragraphedeliste"/>
        <w:numPr>
          <w:ilvl w:val="1"/>
          <w:numId w:val="5"/>
        </w:numPr>
        <w:tabs>
          <w:tab w:val="left" w:pos="993"/>
        </w:tabs>
        <w:spacing w:line="276" w:lineRule="auto"/>
        <w:jc w:val="both"/>
        <w:rPr>
          <w:rFonts w:ascii="Tahoma" w:hAnsi="Tahoma" w:cs="Tahoma"/>
          <w:b/>
          <w:sz w:val="22"/>
          <w:szCs w:val="22"/>
        </w:rPr>
      </w:pPr>
      <w:r w:rsidRPr="002F3A73">
        <w:rPr>
          <w:rFonts w:ascii="Tahoma" w:hAnsi="Tahoma" w:cs="Tahoma"/>
          <w:b/>
          <w:sz w:val="22"/>
          <w:szCs w:val="22"/>
        </w:rPr>
        <w:t>Del principio de la condición más beneficiosa</w:t>
      </w:r>
    </w:p>
    <w:p w14:paraId="22E77BBF" w14:textId="77777777" w:rsidR="0051507A" w:rsidRPr="002F3A73" w:rsidRDefault="0051507A" w:rsidP="0051507A">
      <w:pPr>
        <w:pStyle w:val="Sansinterligne"/>
        <w:rPr>
          <w:sz w:val="22"/>
          <w:szCs w:val="22"/>
        </w:rPr>
      </w:pPr>
    </w:p>
    <w:p w14:paraId="2583011D" w14:textId="77777777" w:rsidR="0051507A" w:rsidRPr="002F3A73" w:rsidRDefault="0051507A" w:rsidP="0051507A">
      <w:pPr>
        <w:pStyle w:val="Titre"/>
        <w:spacing w:line="276" w:lineRule="auto"/>
        <w:ind w:firstLine="708"/>
        <w:jc w:val="both"/>
        <w:rPr>
          <w:rFonts w:ascii="Tahoma" w:hAnsi="Tahoma" w:cs="Tahoma"/>
          <w:sz w:val="22"/>
          <w:szCs w:val="22"/>
        </w:rPr>
      </w:pPr>
      <w:r w:rsidRPr="002F3A73">
        <w:rPr>
          <w:rFonts w:ascii="Tahoma" w:hAnsi="Tahoma" w:cs="Tahoma"/>
          <w:b w:val="0"/>
          <w:sz w:val="22"/>
          <w:szCs w:val="22"/>
        </w:rPr>
        <w:t xml:space="preserve">Si bien se ha decantado suficientemente que la normatividad aplicable a la pensión de </w:t>
      </w:r>
      <w:r>
        <w:rPr>
          <w:rFonts w:ascii="Tahoma" w:hAnsi="Tahoma" w:cs="Tahoma"/>
          <w:b w:val="0"/>
          <w:sz w:val="22"/>
          <w:szCs w:val="22"/>
        </w:rPr>
        <w:t xml:space="preserve">sobrevivientes </w:t>
      </w:r>
      <w:r w:rsidRPr="002F3A73">
        <w:rPr>
          <w:rFonts w:ascii="Tahoma" w:hAnsi="Tahoma" w:cs="Tahoma"/>
          <w:b w:val="0"/>
          <w:sz w:val="22"/>
          <w:szCs w:val="22"/>
        </w:rPr>
        <w:t xml:space="preserve">es la legislación vigente al momento del fallecimiento del afiliado, </w:t>
      </w:r>
      <w:r>
        <w:rPr>
          <w:rFonts w:ascii="Tahoma" w:hAnsi="Tahoma" w:cs="Tahoma"/>
          <w:b w:val="0"/>
          <w:sz w:val="22"/>
          <w:szCs w:val="22"/>
        </w:rPr>
        <w:t>por excepción</w:t>
      </w:r>
      <w:r w:rsidRPr="002F3A73">
        <w:rPr>
          <w:rFonts w:ascii="Tahoma" w:hAnsi="Tahoma" w:cs="Tahoma"/>
          <w:b w:val="0"/>
          <w:sz w:val="22"/>
          <w:szCs w:val="22"/>
        </w:rPr>
        <w:t xml:space="preserve"> es posible acudir a la legislación anterior con el fin de determinar la concesión o no de la gracia pensional, en aplicación del </w:t>
      </w:r>
      <w:r w:rsidRPr="002F3A73">
        <w:rPr>
          <w:rFonts w:ascii="Tahoma" w:hAnsi="Tahoma" w:cs="Tahoma"/>
          <w:b w:val="0"/>
          <w:i/>
          <w:sz w:val="22"/>
          <w:szCs w:val="22"/>
        </w:rPr>
        <w:t>“Principio de la condición más beneficiosa</w:t>
      </w:r>
      <w:r w:rsidRPr="002F3A73">
        <w:rPr>
          <w:rFonts w:ascii="Tahoma" w:hAnsi="Tahoma" w:cs="Tahoma"/>
          <w:b w:val="0"/>
          <w:sz w:val="22"/>
          <w:szCs w:val="22"/>
        </w:rPr>
        <w:t>”.</w:t>
      </w:r>
    </w:p>
    <w:p w14:paraId="2DCE8E40" w14:textId="77777777" w:rsidR="0051507A" w:rsidRPr="002F3A73" w:rsidRDefault="0051507A" w:rsidP="0051507A">
      <w:pPr>
        <w:jc w:val="both"/>
        <w:rPr>
          <w:rFonts w:ascii="Tahoma" w:hAnsi="Tahoma" w:cs="Tahoma"/>
          <w:sz w:val="22"/>
          <w:szCs w:val="22"/>
        </w:rPr>
      </w:pPr>
    </w:p>
    <w:p w14:paraId="6834097C" w14:textId="77777777" w:rsidR="0051507A" w:rsidRPr="002F3A73" w:rsidRDefault="0051507A" w:rsidP="0051507A">
      <w:pPr>
        <w:spacing w:line="276" w:lineRule="auto"/>
        <w:ind w:firstLine="708"/>
        <w:jc w:val="both"/>
        <w:rPr>
          <w:rFonts w:ascii="Tahoma" w:hAnsi="Tahoma" w:cs="Tahoma"/>
          <w:spacing w:val="-2"/>
          <w:sz w:val="22"/>
          <w:szCs w:val="22"/>
        </w:rPr>
      </w:pPr>
      <w:r w:rsidRPr="002F3A73">
        <w:rPr>
          <w:rFonts w:ascii="Tahoma" w:hAnsi="Tahoma" w:cs="Tahoma"/>
          <w:spacing w:val="-2"/>
          <w:sz w:val="22"/>
          <w:szCs w:val="22"/>
        </w:rPr>
        <w:t>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1993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w:t>
      </w:r>
      <w:r>
        <w:rPr>
          <w:rFonts w:ascii="Tahoma" w:hAnsi="Tahoma" w:cs="Tahoma"/>
          <w:spacing w:val="-2"/>
          <w:sz w:val="22"/>
          <w:szCs w:val="22"/>
        </w:rPr>
        <w:t xml:space="preserve"> en cualquier época si se encontraba cotizando al momento de la muerte o de la estructuración de la invalidez o, en caso de no estar cotizando, 26 semanas tanto </w:t>
      </w:r>
      <w:r w:rsidRPr="002F3A73">
        <w:rPr>
          <w:rFonts w:ascii="Tahoma" w:hAnsi="Tahoma" w:cs="Tahoma"/>
          <w:spacing w:val="-2"/>
          <w:sz w:val="22"/>
          <w:szCs w:val="22"/>
        </w:rPr>
        <w:t xml:space="preserve">en el año inmediatamente anterior a la </w:t>
      </w:r>
      <w:r w:rsidRPr="002F3A73">
        <w:rPr>
          <w:rFonts w:ascii="Tahoma" w:hAnsi="Tahoma" w:cs="Tahoma"/>
          <w:spacing w:val="-2"/>
          <w:sz w:val="22"/>
          <w:szCs w:val="22"/>
        </w:rPr>
        <w:lastRenderedPageBreak/>
        <w:t xml:space="preserve">muerte o la estructuración de la invalidez y la misma cantidad en el año anterior a la entrada en vigencia de las leyes 797 y 860 de 2003. </w:t>
      </w:r>
    </w:p>
    <w:p w14:paraId="15E05570" w14:textId="77777777" w:rsidR="0051507A" w:rsidRPr="002F3A73" w:rsidRDefault="0051507A" w:rsidP="0051507A">
      <w:pPr>
        <w:spacing w:line="276" w:lineRule="auto"/>
        <w:ind w:firstLine="708"/>
        <w:jc w:val="both"/>
        <w:rPr>
          <w:rFonts w:ascii="Tahoma" w:hAnsi="Tahoma" w:cs="Tahoma"/>
          <w:spacing w:val="-2"/>
          <w:sz w:val="22"/>
          <w:szCs w:val="22"/>
        </w:rPr>
      </w:pPr>
      <w:r w:rsidRPr="002F3A73">
        <w:rPr>
          <w:rFonts w:ascii="Tahoma" w:hAnsi="Tahoma" w:cs="Tahoma"/>
          <w:spacing w:val="-2"/>
          <w:sz w:val="22"/>
          <w:szCs w:val="22"/>
        </w:rPr>
        <w:t xml:space="preserve">Resulta relevante manifestar que dicha Corporación acepta el principio de la condición más beneficiosa pero sólo para aplicar </w:t>
      </w:r>
      <w:proofErr w:type="spellStart"/>
      <w:r w:rsidRPr="002F3A73">
        <w:rPr>
          <w:rFonts w:ascii="Tahoma" w:hAnsi="Tahoma" w:cs="Tahoma"/>
          <w:spacing w:val="-2"/>
          <w:sz w:val="22"/>
          <w:szCs w:val="22"/>
        </w:rPr>
        <w:t>ultractivamente</w:t>
      </w:r>
      <w:proofErr w:type="spellEnd"/>
      <w:r w:rsidRPr="002F3A73">
        <w:rPr>
          <w:rFonts w:ascii="Tahoma" w:hAnsi="Tahoma" w:cs="Tahoma"/>
          <w:spacing w:val="-2"/>
          <w:sz w:val="22"/>
          <w:szCs w:val="22"/>
        </w:rPr>
        <w:t xml:space="preserve"> la norma inmediatamente anterior. Ello quiere decir, por ejemplo, que la Corte Suprema de Justicia no acepta la aplicación del Acuerdo 049 de 1990 si la muerte o la estructuración de la invalidez, según el caso, ocurre en vigencia de la Ley 797 u 860 de 2003, porque según su tesis está de por medio le Ley 100 en su versión original. En cambio la Corte Constitucional en sentencias de tutela ha ido mucho más lejos al aplicar una norma anterior, independientemente si es inmediata o no, bajo la tesis de que el artículo 53 de la Constitución no restringe la aplicación de la condición más beneficiosa a sólo 2 normas aplicables al caso, apartándose de la interpretación de la Corte Suprema de Justicia por considerarla menos favorable que la asumida por esa Colegiatura. Así lo estipuló en la sentencia T-566 de 2014:</w:t>
      </w:r>
    </w:p>
    <w:p w14:paraId="5A3A5D89" w14:textId="77777777" w:rsidR="0051507A" w:rsidRPr="002F3A73" w:rsidRDefault="0051507A" w:rsidP="0051507A">
      <w:pPr>
        <w:ind w:firstLine="708"/>
        <w:jc w:val="both"/>
        <w:rPr>
          <w:rFonts w:ascii="Tahoma" w:hAnsi="Tahoma" w:cs="Tahoma"/>
          <w:spacing w:val="-2"/>
          <w:sz w:val="22"/>
          <w:szCs w:val="22"/>
        </w:rPr>
      </w:pPr>
    </w:p>
    <w:p w14:paraId="0C234549" w14:textId="77777777" w:rsidR="0051507A" w:rsidRPr="00E66624" w:rsidRDefault="0051507A" w:rsidP="0051507A">
      <w:pPr>
        <w:tabs>
          <w:tab w:val="left" w:pos="8789"/>
        </w:tabs>
        <w:ind w:left="567" w:right="51"/>
        <w:jc w:val="both"/>
        <w:rPr>
          <w:rFonts w:ascii="Arial Narrow" w:hAnsi="Arial Narrow"/>
          <w:i/>
          <w:iCs/>
          <w:sz w:val="22"/>
          <w:szCs w:val="22"/>
        </w:rPr>
      </w:pPr>
      <w:r w:rsidRPr="00E66624">
        <w:rPr>
          <w:rFonts w:ascii="Arial Narrow" w:hAnsi="Arial Narrow"/>
          <w:i/>
          <w:iCs/>
          <w:sz w:val="22"/>
          <w:szCs w:val="22"/>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14:paraId="4025C64E" w14:textId="77777777" w:rsidR="0051507A" w:rsidRPr="00E66624" w:rsidRDefault="0051507A" w:rsidP="0051507A">
      <w:pPr>
        <w:tabs>
          <w:tab w:val="left" w:pos="8789"/>
        </w:tabs>
        <w:ind w:left="567" w:right="51"/>
        <w:jc w:val="both"/>
        <w:rPr>
          <w:rFonts w:ascii="Arial Narrow" w:hAnsi="Arial Narrow"/>
          <w:i/>
          <w:iCs/>
          <w:sz w:val="22"/>
          <w:szCs w:val="22"/>
        </w:rPr>
      </w:pPr>
    </w:p>
    <w:p w14:paraId="04356E70" w14:textId="77777777" w:rsidR="0051507A" w:rsidRPr="00E66624" w:rsidRDefault="0051507A" w:rsidP="0051507A">
      <w:pPr>
        <w:tabs>
          <w:tab w:val="left" w:pos="8789"/>
        </w:tabs>
        <w:ind w:left="567" w:right="51"/>
        <w:jc w:val="both"/>
        <w:rPr>
          <w:rFonts w:ascii="Arial Narrow" w:hAnsi="Arial Narrow"/>
          <w:i/>
          <w:iCs/>
          <w:sz w:val="22"/>
          <w:szCs w:val="22"/>
        </w:rPr>
      </w:pPr>
      <w:r w:rsidRPr="00E66624">
        <w:rPr>
          <w:rFonts w:ascii="Arial Narrow" w:hAnsi="Arial Narrow"/>
          <w:i/>
          <w:iCs/>
          <w:sz w:val="22"/>
          <w:szCs w:val="22"/>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14:paraId="10DA78D6" w14:textId="77777777" w:rsidR="0051507A" w:rsidRPr="002F3A73" w:rsidRDefault="0051507A" w:rsidP="0051507A">
      <w:pPr>
        <w:jc w:val="both"/>
        <w:rPr>
          <w:rFonts w:ascii="Tahoma" w:hAnsi="Tahoma" w:cs="Tahoma"/>
          <w:spacing w:val="-2"/>
          <w:sz w:val="22"/>
          <w:szCs w:val="22"/>
        </w:rPr>
      </w:pPr>
    </w:p>
    <w:p w14:paraId="285A5B6C" w14:textId="77777777" w:rsidR="0051507A" w:rsidRPr="002F3A73" w:rsidRDefault="0051507A" w:rsidP="0051507A">
      <w:pPr>
        <w:tabs>
          <w:tab w:val="left" w:pos="567"/>
        </w:tabs>
        <w:jc w:val="both"/>
        <w:rPr>
          <w:rFonts w:ascii="Tahoma" w:hAnsi="Tahoma" w:cs="Tahoma"/>
          <w:spacing w:val="-2"/>
          <w:sz w:val="22"/>
          <w:szCs w:val="22"/>
        </w:rPr>
      </w:pPr>
      <w:r w:rsidRPr="002F3A73">
        <w:rPr>
          <w:rFonts w:ascii="Tahoma" w:hAnsi="Tahoma" w:cs="Tahoma"/>
          <w:spacing w:val="-2"/>
          <w:sz w:val="22"/>
          <w:szCs w:val="22"/>
        </w:rPr>
        <w:tab/>
        <w:t>Más adelante expresó:</w:t>
      </w:r>
    </w:p>
    <w:p w14:paraId="2D72021F" w14:textId="77777777" w:rsidR="0051507A" w:rsidRPr="002F3A73" w:rsidRDefault="0051507A" w:rsidP="0051507A">
      <w:pPr>
        <w:jc w:val="both"/>
        <w:rPr>
          <w:rFonts w:ascii="Tahoma" w:hAnsi="Tahoma" w:cs="Tahoma"/>
          <w:spacing w:val="-2"/>
          <w:sz w:val="22"/>
          <w:szCs w:val="22"/>
        </w:rPr>
      </w:pPr>
    </w:p>
    <w:p w14:paraId="09C82878" w14:textId="77777777" w:rsidR="0051507A" w:rsidRPr="002F3A73" w:rsidRDefault="0051507A" w:rsidP="0051507A">
      <w:pPr>
        <w:tabs>
          <w:tab w:val="left" w:pos="8789"/>
        </w:tabs>
        <w:ind w:left="567" w:right="51"/>
        <w:jc w:val="both"/>
        <w:rPr>
          <w:rFonts w:ascii="Arial Narrow" w:hAnsi="Arial Narrow"/>
          <w:i/>
          <w:iCs/>
          <w:sz w:val="22"/>
          <w:szCs w:val="22"/>
        </w:rPr>
      </w:pPr>
      <w:r w:rsidRPr="002F3A73">
        <w:rPr>
          <w:rFonts w:ascii="Arial Narrow" w:hAnsi="Arial Narrow"/>
          <w:i/>
          <w:iCs/>
          <w:sz w:val="22"/>
          <w:szCs w:val="22"/>
        </w:rPr>
        <w:t xml:space="preserve">“Ahora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w:t>
      </w:r>
      <w:proofErr w:type="spellStart"/>
      <w:r w:rsidRPr="002F3A73">
        <w:rPr>
          <w:rFonts w:ascii="Arial Narrow" w:hAnsi="Arial Narrow"/>
          <w:i/>
          <w:iCs/>
          <w:sz w:val="22"/>
          <w:szCs w:val="22"/>
        </w:rPr>
        <w:t>aún</w:t>
      </w:r>
      <w:proofErr w:type="spellEnd"/>
      <w:r w:rsidRPr="002F3A73">
        <w:rPr>
          <w:rFonts w:ascii="Arial Narrow" w:hAnsi="Arial Narrow"/>
          <w:i/>
          <w:iCs/>
          <w:sz w:val="22"/>
          <w:szCs w:val="22"/>
        </w:rPr>
        <w:t xml:space="preserve">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14:paraId="5EC548D3" w14:textId="77777777" w:rsidR="0051507A" w:rsidRPr="002F3A73" w:rsidRDefault="0051507A" w:rsidP="0051507A">
      <w:pPr>
        <w:spacing w:line="276" w:lineRule="auto"/>
        <w:jc w:val="both"/>
        <w:rPr>
          <w:rFonts w:ascii="Tahoma" w:hAnsi="Tahoma" w:cs="Tahoma"/>
          <w:spacing w:val="-2"/>
          <w:sz w:val="22"/>
          <w:szCs w:val="22"/>
        </w:rPr>
      </w:pPr>
    </w:p>
    <w:p w14:paraId="5187C08F" w14:textId="77777777" w:rsidR="0051507A" w:rsidRDefault="0051507A" w:rsidP="0051507A">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Precisamente, por lo anterior la Corte Constitucional en sede de tutela ha ordenado la aplicación del Acuerdo 049 de 1990 en casos en los cuales la muerte o invalidez se dieron en vigencia de las Leyes 797 u 860 de 2003, aduciendo que cuando una disposición ha establecido nuevos requisitos a los aportantes al sistema sin que se haya establecido ningún régimen de transición en relación con las pensiones de invalidez, lo procedente es aplicar el régimen pensional anterior que resulta más favorable, </w:t>
      </w:r>
      <w:proofErr w:type="spellStart"/>
      <w:r w:rsidRPr="002F3A73">
        <w:rPr>
          <w:rFonts w:ascii="Tahoma" w:hAnsi="Tahoma" w:cs="Tahoma"/>
          <w:sz w:val="22"/>
          <w:szCs w:val="22"/>
        </w:rPr>
        <w:t>inaplicando</w:t>
      </w:r>
      <w:proofErr w:type="spellEnd"/>
      <w:r w:rsidRPr="002F3A73">
        <w:rPr>
          <w:rFonts w:ascii="Tahoma" w:hAnsi="Tahoma" w:cs="Tahoma"/>
          <w:sz w:val="22"/>
          <w:szCs w:val="22"/>
        </w:rPr>
        <w:t xml:space="preserve"> para el caso la normatividad legal vigente para la fecha de estructuración de la invalidez, según se lee en la Sentencia T-062 A del 4 de febrero de 2011, en la que reprodujo lo dicho en las sentencias T-383 de 2009 y T-628 de 2007.</w:t>
      </w:r>
    </w:p>
    <w:p w14:paraId="5FF31C18" w14:textId="77777777" w:rsidR="0051507A" w:rsidRDefault="0051507A" w:rsidP="0051507A">
      <w:pPr>
        <w:widowControl w:val="0"/>
        <w:autoSpaceDE w:val="0"/>
        <w:autoSpaceDN w:val="0"/>
        <w:adjustRightInd w:val="0"/>
        <w:spacing w:line="276" w:lineRule="auto"/>
        <w:ind w:firstLine="708"/>
        <w:jc w:val="both"/>
        <w:rPr>
          <w:rFonts w:ascii="Tahoma" w:hAnsi="Tahoma" w:cs="Tahoma"/>
          <w:sz w:val="22"/>
          <w:szCs w:val="22"/>
        </w:rPr>
      </w:pPr>
    </w:p>
    <w:p w14:paraId="0C899F03" w14:textId="77777777" w:rsidR="0051507A" w:rsidRPr="002F3A73" w:rsidRDefault="0051507A" w:rsidP="0051507A">
      <w:pPr>
        <w:widowControl w:val="0"/>
        <w:autoSpaceDE w:val="0"/>
        <w:autoSpaceDN w:val="0"/>
        <w:adjustRightInd w:val="0"/>
        <w:spacing w:line="276" w:lineRule="auto"/>
        <w:ind w:firstLine="708"/>
        <w:jc w:val="both"/>
        <w:rPr>
          <w:rFonts w:ascii="Tahoma" w:hAnsi="Tahoma" w:cs="Tahoma"/>
          <w:sz w:val="22"/>
          <w:szCs w:val="22"/>
        </w:rPr>
      </w:pPr>
      <w:r w:rsidRPr="008B4BD9">
        <w:rPr>
          <w:rFonts w:ascii="Tahoma" w:hAnsi="Tahoma" w:cs="Tahoma"/>
          <w:sz w:val="22"/>
          <w:szCs w:val="22"/>
          <w:lang w:val="es-ES_tradnl"/>
        </w:rPr>
        <w:t xml:space="preserve">Hace poco la Corte Constitucional, a través de la sentencia SU-442 del 18 de agosto de 2016, unificó los criterios en relación con la aplicación de la condición más beneficiosa, reiterando los precedentes anteriores y precisando que </w:t>
      </w:r>
      <w:r w:rsidRPr="009C04A8">
        <w:rPr>
          <w:rFonts w:ascii="Tahoma" w:hAnsi="Tahoma" w:cs="Tahoma"/>
          <w:i/>
          <w:sz w:val="22"/>
          <w:szCs w:val="22"/>
          <w:lang w:val="es-ES_tradnl"/>
        </w:rPr>
        <w:t>“Si bien el legislador podía introducir ajustes o incluso reformas estructurales al sistema pensional, debía hacerlo en un marco de respeto por los derechos adquiridos y las expectativas legítimas”</w:t>
      </w:r>
      <w:r w:rsidRPr="008B4BD9">
        <w:rPr>
          <w:rFonts w:ascii="Tahoma" w:hAnsi="Tahoma" w:cs="Tahoma"/>
          <w:sz w:val="22"/>
          <w:szCs w:val="22"/>
          <w:lang w:val="es-ES_tradnl"/>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9C04A8">
        <w:rPr>
          <w:rFonts w:ascii="Tahoma" w:hAnsi="Tahoma" w:cs="Tahoma"/>
          <w:i/>
          <w:sz w:val="22"/>
          <w:szCs w:val="22"/>
          <w:lang w:val="es-ES_tradnl"/>
        </w:rPr>
        <w:t xml:space="preserve">“no puede </w:t>
      </w:r>
      <w:r w:rsidRPr="009C04A8">
        <w:rPr>
          <w:rFonts w:ascii="Tahoma" w:hAnsi="Tahoma" w:cs="Tahoma"/>
          <w:i/>
          <w:sz w:val="22"/>
          <w:szCs w:val="22"/>
          <w:lang w:val="es-ES_tradnl"/>
        </w:rPr>
        <w:lastRenderedPageBreak/>
        <w:t>hablarse de un detrimento para la sostenibilidad financiera del sistema pensional”</w:t>
      </w:r>
      <w:r w:rsidRPr="008B4BD9">
        <w:rPr>
          <w:rFonts w:ascii="Tahoma" w:hAnsi="Tahoma" w:cs="Tahoma"/>
          <w:sz w:val="22"/>
          <w:szCs w:val="22"/>
          <w:lang w:val="es-ES_tradnl"/>
        </w:rPr>
        <w:t>.</w:t>
      </w:r>
    </w:p>
    <w:p w14:paraId="16A5E4D9" w14:textId="77777777" w:rsidR="0051507A" w:rsidRPr="002F3A73" w:rsidRDefault="0051507A" w:rsidP="0051507A">
      <w:pPr>
        <w:widowControl w:val="0"/>
        <w:autoSpaceDE w:val="0"/>
        <w:autoSpaceDN w:val="0"/>
        <w:adjustRightInd w:val="0"/>
        <w:spacing w:line="276" w:lineRule="auto"/>
        <w:ind w:firstLine="708"/>
        <w:jc w:val="both"/>
        <w:rPr>
          <w:rFonts w:ascii="Tahoma" w:hAnsi="Tahoma" w:cs="Tahoma"/>
          <w:sz w:val="22"/>
          <w:szCs w:val="22"/>
        </w:rPr>
      </w:pPr>
    </w:p>
    <w:p w14:paraId="7549197E" w14:textId="77777777" w:rsidR="0051507A" w:rsidRDefault="0051507A" w:rsidP="0051507A">
      <w:pPr>
        <w:spacing w:line="276" w:lineRule="auto"/>
        <w:jc w:val="both"/>
        <w:rPr>
          <w:rFonts w:ascii="Tahoma" w:hAnsi="Tahoma" w:cs="Tahoma"/>
          <w:spacing w:val="-2"/>
          <w:sz w:val="22"/>
          <w:szCs w:val="22"/>
        </w:rPr>
      </w:pPr>
      <w:r>
        <w:rPr>
          <w:rFonts w:ascii="Tahoma" w:hAnsi="Tahoma" w:cs="Tahoma"/>
          <w:spacing w:val="-2"/>
          <w:sz w:val="22"/>
          <w:szCs w:val="22"/>
        </w:rPr>
        <w:tab/>
        <w:t xml:space="preserve">Como puede observarse, frente al principio de la condición más beneficiosa existen dos interpretaciones con efectos jurídicos disímiles: la de la Sala de Casación Laboral que es más restrictiva y la de la Corte Constitucional que es mucho más flexible y favorable. Frente al dilema que surge de saber cuál es el  precedente vinculante, las Salas de Decisión Laboral No. 1 y 3 de esta Corporación, por la mayoría de sus integrantes hemos optado por la interpretación más favorable, que es la de la Corte Constitucional, atendiendo precisamente uno de los principios pilares del Derecho laboral como es el Principio Por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14:paraId="1063ED9D" w14:textId="77777777" w:rsidR="0051507A" w:rsidRDefault="0051507A" w:rsidP="0051507A">
      <w:pPr>
        <w:spacing w:line="276" w:lineRule="auto"/>
        <w:jc w:val="both"/>
        <w:rPr>
          <w:rFonts w:ascii="Tahoma" w:hAnsi="Tahoma" w:cs="Tahoma"/>
          <w:spacing w:val="-2"/>
          <w:sz w:val="22"/>
          <w:szCs w:val="22"/>
        </w:rPr>
      </w:pPr>
    </w:p>
    <w:p w14:paraId="649F56CE" w14:textId="77777777" w:rsidR="0051507A" w:rsidRDefault="0051507A" w:rsidP="0051507A">
      <w:pPr>
        <w:spacing w:line="276" w:lineRule="auto"/>
        <w:jc w:val="both"/>
        <w:rPr>
          <w:rFonts w:ascii="Tahoma" w:hAnsi="Tahoma" w:cs="Tahoma"/>
          <w:spacing w:val="-2"/>
          <w:sz w:val="22"/>
          <w:szCs w:val="22"/>
        </w:rPr>
      </w:pPr>
      <w:r>
        <w:rPr>
          <w:rFonts w:ascii="Tahoma" w:hAnsi="Tahoma" w:cs="Tahoma"/>
          <w:spacing w:val="-2"/>
          <w:sz w:val="22"/>
          <w:szCs w:val="22"/>
        </w:rPr>
        <w:tab/>
        <w:t xml:space="preserve">Así mismo vale la pena recalcar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14:paraId="4FD21492" w14:textId="77777777" w:rsidR="0051507A" w:rsidRPr="002F3A73" w:rsidRDefault="0051507A" w:rsidP="0051507A">
      <w:pPr>
        <w:jc w:val="both"/>
        <w:rPr>
          <w:rFonts w:ascii="Tahoma" w:hAnsi="Tahoma" w:cs="Tahoma"/>
          <w:spacing w:val="-2"/>
          <w:sz w:val="22"/>
          <w:szCs w:val="22"/>
        </w:rPr>
      </w:pPr>
    </w:p>
    <w:p w14:paraId="496C08EB" w14:textId="77777777" w:rsidR="0051507A" w:rsidRPr="002F3A73" w:rsidRDefault="0051507A" w:rsidP="0051507A">
      <w:pPr>
        <w:pStyle w:val="Textoindependiente31"/>
        <w:spacing w:line="276" w:lineRule="auto"/>
        <w:ind w:firstLine="851"/>
        <w:rPr>
          <w:rFonts w:ascii="Tahoma" w:hAnsi="Tahoma" w:cs="Tahoma"/>
          <w:sz w:val="22"/>
          <w:szCs w:val="22"/>
        </w:rPr>
      </w:pPr>
      <w:r>
        <w:rPr>
          <w:rFonts w:ascii="Tahoma" w:hAnsi="Tahoma" w:cs="Tahoma"/>
          <w:sz w:val="22"/>
          <w:szCs w:val="22"/>
        </w:rPr>
        <w:t>Ahora, e</w:t>
      </w:r>
      <w:r w:rsidRPr="002F3A73">
        <w:rPr>
          <w:rFonts w:ascii="Tahoma" w:hAnsi="Tahoma" w:cs="Tahoma"/>
          <w:sz w:val="22"/>
          <w:szCs w:val="22"/>
        </w:rPr>
        <w:t>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14:paraId="509EFE14" w14:textId="77777777" w:rsidR="0051507A" w:rsidRPr="002F3A73" w:rsidRDefault="0051507A" w:rsidP="0051507A">
      <w:pPr>
        <w:pStyle w:val="Sansinterligne"/>
        <w:rPr>
          <w:sz w:val="22"/>
          <w:szCs w:val="22"/>
        </w:rPr>
      </w:pPr>
    </w:p>
    <w:p w14:paraId="7E8635E1" w14:textId="77777777" w:rsidR="0051507A" w:rsidRPr="002F3A73" w:rsidRDefault="0051507A" w:rsidP="0051507A">
      <w:pPr>
        <w:overflowPunct w:val="0"/>
        <w:autoSpaceDE w:val="0"/>
        <w:autoSpaceDN w:val="0"/>
        <w:adjustRightInd w:val="0"/>
        <w:ind w:left="709" w:right="193"/>
        <w:jc w:val="both"/>
        <w:textAlignment w:val="baseline"/>
        <w:rPr>
          <w:rFonts w:ascii="Arial Narrow" w:hAnsi="Arial Narrow" w:cs="Tahoma"/>
          <w:i/>
          <w:sz w:val="22"/>
          <w:szCs w:val="22"/>
        </w:rPr>
      </w:pPr>
      <w:r w:rsidRPr="002F3A73">
        <w:rPr>
          <w:rFonts w:ascii="Arial Narrow" w:hAnsi="Arial Narrow" w:cs="Tahoma"/>
          <w:i/>
          <w:sz w:val="22"/>
          <w:szCs w:val="22"/>
        </w:rPr>
        <w:t>“</w:t>
      </w:r>
      <w:r w:rsidRPr="002F3A73">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2F3A73">
        <w:rPr>
          <w:rFonts w:ascii="Arial Narrow" w:hAnsi="Arial Narrow" w:cs="Tahoma"/>
          <w:i/>
          <w:sz w:val="22"/>
          <w:szCs w:val="22"/>
        </w:rPr>
        <w:t xml:space="preserve">”. </w:t>
      </w:r>
    </w:p>
    <w:p w14:paraId="5808FFF4" w14:textId="77777777" w:rsidR="00920D61" w:rsidRPr="00E83D85" w:rsidRDefault="00920D61" w:rsidP="0051507A">
      <w:pPr>
        <w:widowControl w:val="0"/>
        <w:autoSpaceDE w:val="0"/>
        <w:autoSpaceDN w:val="0"/>
        <w:adjustRightInd w:val="0"/>
        <w:spacing w:line="276" w:lineRule="auto"/>
        <w:ind w:firstLine="708"/>
        <w:jc w:val="both"/>
        <w:rPr>
          <w:rFonts w:ascii="Tahoma" w:hAnsi="Tahoma" w:cs="Tahoma"/>
          <w:sz w:val="22"/>
          <w:szCs w:val="22"/>
        </w:rPr>
      </w:pPr>
    </w:p>
    <w:p w14:paraId="160C2781" w14:textId="0F27904C" w:rsidR="00E6056F" w:rsidRPr="00E83D85" w:rsidRDefault="00147E43" w:rsidP="0051507A">
      <w:pPr>
        <w:pStyle w:val="Paragraphedeliste"/>
        <w:widowControl w:val="0"/>
        <w:numPr>
          <w:ilvl w:val="1"/>
          <w:numId w:val="3"/>
        </w:numPr>
        <w:autoSpaceDE w:val="0"/>
        <w:autoSpaceDN w:val="0"/>
        <w:adjustRightInd w:val="0"/>
        <w:spacing w:line="276" w:lineRule="auto"/>
        <w:ind w:left="709" w:firstLine="0"/>
        <w:jc w:val="both"/>
        <w:rPr>
          <w:rFonts w:ascii="Tahoma" w:hAnsi="Tahoma" w:cs="Tahoma"/>
          <w:b/>
          <w:sz w:val="22"/>
          <w:szCs w:val="22"/>
        </w:rPr>
      </w:pPr>
      <w:r w:rsidRPr="00E83D85">
        <w:rPr>
          <w:rFonts w:ascii="Tahoma" w:hAnsi="Tahoma" w:cs="Tahoma"/>
          <w:b/>
          <w:sz w:val="22"/>
          <w:szCs w:val="22"/>
        </w:rPr>
        <w:t>Caso concreto</w:t>
      </w:r>
    </w:p>
    <w:p w14:paraId="182C3952" w14:textId="77777777" w:rsidR="00E6056F" w:rsidRPr="00E83D85" w:rsidRDefault="00E6056F" w:rsidP="0051507A">
      <w:pPr>
        <w:pStyle w:val="Paragraphedeliste"/>
        <w:widowControl w:val="0"/>
        <w:autoSpaceDE w:val="0"/>
        <w:autoSpaceDN w:val="0"/>
        <w:adjustRightInd w:val="0"/>
        <w:spacing w:line="276" w:lineRule="auto"/>
        <w:ind w:left="0"/>
        <w:jc w:val="both"/>
        <w:rPr>
          <w:rFonts w:ascii="Tahoma" w:hAnsi="Tahoma" w:cs="Tahoma"/>
          <w:b/>
          <w:sz w:val="22"/>
          <w:szCs w:val="22"/>
        </w:rPr>
      </w:pPr>
    </w:p>
    <w:p w14:paraId="42A9C492" w14:textId="4B445DDC" w:rsidR="004804A7" w:rsidRPr="00E83D85" w:rsidRDefault="004804A7" w:rsidP="0051507A">
      <w:pPr>
        <w:pStyle w:val="Corpsdetexte"/>
        <w:spacing w:after="0" w:line="276" w:lineRule="auto"/>
        <w:ind w:right="51" w:firstLine="708"/>
        <w:jc w:val="both"/>
        <w:rPr>
          <w:rFonts w:ascii="Tahoma" w:hAnsi="Tahoma" w:cs="Tahoma"/>
          <w:bCs/>
          <w:sz w:val="22"/>
          <w:szCs w:val="22"/>
        </w:rPr>
      </w:pPr>
      <w:r w:rsidRPr="00E83D85">
        <w:rPr>
          <w:rFonts w:ascii="Tahoma" w:hAnsi="Tahoma" w:cs="Tahoma"/>
          <w:bCs/>
          <w:sz w:val="22"/>
          <w:szCs w:val="22"/>
        </w:rPr>
        <w:t xml:space="preserve">No hay duda en el </w:t>
      </w:r>
      <w:r w:rsidR="00E6056F" w:rsidRPr="00E83D85">
        <w:rPr>
          <w:rFonts w:ascii="Tahoma" w:hAnsi="Tahoma" w:cs="Tahoma"/>
          <w:bCs/>
          <w:sz w:val="22"/>
          <w:szCs w:val="22"/>
        </w:rPr>
        <w:t xml:space="preserve">presente </w:t>
      </w:r>
      <w:r w:rsidRPr="00E83D85">
        <w:rPr>
          <w:rFonts w:ascii="Tahoma" w:hAnsi="Tahoma" w:cs="Tahoma"/>
          <w:bCs/>
          <w:sz w:val="22"/>
          <w:szCs w:val="22"/>
        </w:rPr>
        <w:t xml:space="preserve">caso que </w:t>
      </w:r>
      <w:r w:rsidR="00E6056F" w:rsidRPr="00E83D85">
        <w:rPr>
          <w:rFonts w:ascii="Tahoma" w:hAnsi="Tahoma" w:cs="Tahoma"/>
          <w:bCs/>
          <w:sz w:val="22"/>
          <w:szCs w:val="22"/>
        </w:rPr>
        <w:t xml:space="preserve">la </w:t>
      </w:r>
      <w:r w:rsidRPr="00E83D85">
        <w:rPr>
          <w:rFonts w:ascii="Tahoma" w:hAnsi="Tahoma" w:cs="Tahoma"/>
          <w:bCs/>
          <w:sz w:val="22"/>
          <w:szCs w:val="22"/>
        </w:rPr>
        <w:t>señor</w:t>
      </w:r>
      <w:r w:rsidR="00E6056F" w:rsidRPr="00E83D85">
        <w:rPr>
          <w:rFonts w:ascii="Tahoma" w:hAnsi="Tahoma" w:cs="Tahoma"/>
          <w:bCs/>
          <w:sz w:val="22"/>
          <w:szCs w:val="22"/>
        </w:rPr>
        <w:t>a</w:t>
      </w:r>
      <w:r w:rsidRPr="00E83D85">
        <w:rPr>
          <w:rFonts w:ascii="Tahoma" w:hAnsi="Tahoma" w:cs="Tahoma"/>
          <w:bCs/>
          <w:sz w:val="22"/>
          <w:szCs w:val="22"/>
        </w:rPr>
        <w:t xml:space="preserve"> </w:t>
      </w:r>
      <w:r w:rsidR="009E535D" w:rsidRPr="00E83D85">
        <w:rPr>
          <w:rFonts w:ascii="Tahoma" w:hAnsi="Tahoma" w:cs="Tahoma"/>
          <w:bCs/>
          <w:sz w:val="22"/>
          <w:szCs w:val="22"/>
        </w:rPr>
        <w:t>Leonora Guevara Arias</w:t>
      </w:r>
      <w:r w:rsidRPr="00E83D85">
        <w:rPr>
          <w:rFonts w:ascii="Tahoma" w:hAnsi="Tahoma" w:cs="Tahoma"/>
          <w:bCs/>
          <w:sz w:val="22"/>
          <w:szCs w:val="22"/>
        </w:rPr>
        <w:t xml:space="preserve"> presenta una pérdida de capacidad laboral del </w:t>
      </w:r>
      <w:r w:rsidR="009E535D" w:rsidRPr="00E83D85">
        <w:rPr>
          <w:rFonts w:ascii="Tahoma" w:hAnsi="Tahoma" w:cs="Tahoma"/>
          <w:bCs/>
          <w:sz w:val="22"/>
          <w:szCs w:val="22"/>
        </w:rPr>
        <w:t>68,37</w:t>
      </w:r>
      <w:r w:rsidRPr="00E83D85">
        <w:rPr>
          <w:rFonts w:ascii="Tahoma" w:hAnsi="Tahoma" w:cs="Tahoma"/>
          <w:bCs/>
          <w:sz w:val="22"/>
          <w:szCs w:val="22"/>
        </w:rPr>
        <w:t xml:space="preserve">%, de origen común, estructurada el </w:t>
      </w:r>
      <w:r w:rsidR="00D50AC2" w:rsidRPr="00E83D85">
        <w:rPr>
          <w:rFonts w:ascii="Tahoma" w:hAnsi="Tahoma" w:cs="Tahoma"/>
          <w:bCs/>
          <w:sz w:val="22"/>
          <w:szCs w:val="22"/>
        </w:rPr>
        <w:t>29</w:t>
      </w:r>
      <w:r w:rsidRPr="00E83D85">
        <w:rPr>
          <w:rFonts w:ascii="Tahoma" w:hAnsi="Tahoma" w:cs="Tahoma"/>
          <w:bCs/>
          <w:sz w:val="22"/>
          <w:szCs w:val="22"/>
        </w:rPr>
        <w:t xml:space="preserve"> de </w:t>
      </w:r>
      <w:r w:rsidR="00D50AC2" w:rsidRPr="00E83D85">
        <w:rPr>
          <w:rFonts w:ascii="Tahoma" w:hAnsi="Tahoma" w:cs="Tahoma"/>
          <w:bCs/>
          <w:sz w:val="22"/>
          <w:szCs w:val="22"/>
        </w:rPr>
        <w:t>octubre de 2007</w:t>
      </w:r>
      <w:r w:rsidRPr="00E83D85">
        <w:rPr>
          <w:rFonts w:ascii="Tahoma" w:hAnsi="Tahoma" w:cs="Tahoma"/>
          <w:bCs/>
          <w:sz w:val="22"/>
          <w:szCs w:val="22"/>
        </w:rPr>
        <w:t xml:space="preserve"> (</w:t>
      </w:r>
      <w:proofErr w:type="spellStart"/>
      <w:r w:rsidRPr="00E83D85">
        <w:rPr>
          <w:rFonts w:ascii="Tahoma" w:hAnsi="Tahoma" w:cs="Tahoma"/>
          <w:bCs/>
          <w:sz w:val="22"/>
          <w:szCs w:val="22"/>
        </w:rPr>
        <w:t>fl</w:t>
      </w:r>
      <w:proofErr w:type="spellEnd"/>
      <w:r w:rsidRPr="00E83D85">
        <w:rPr>
          <w:rFonts w:ascii="Tahoma" w:hAnsi="Tahoma" w:cs="Tahoma"/>
          <w:bCs/>
          <w:sz w:val="22"/>
          <w:szCs w:val="22"/>
        </w:rPr>
        <w:t xml:space="preserve">. </w:t>
      </w:r>
      <w:r w:rsidR="00207F89" w:rsidRPr="00E83D85">
        <w:rPr>
          <w:rFonts w:ascii="Tahoma" w:hAnsi="Tahoma" w:cs="Tahoma"/>
          <w:bCs/>
          <w:sz w:val="22"/>
          <w:szCs w:val="22"/>
        </w:rPr>
        <w:t>24</w:t>
      </w:r>
      <w:r w:rsidR="00B01513" w:rsidRPr="00E83D85">
        <w:rPr>
          <w:rFonts w:ascii="Tahoma" w:hAnsi="Tahoma" w:cs="Tahoma"/>
          <w:bCs/>
          <w:sz w:val="22"/>
          <w:szCs w:val="22"/>
        </w:rPr>
        <w:t xml:space="preserve"> y s.s.) </w:t>
      </w:r>
      <w:r w:rsidR="00FE476E" w:rsidRPr="00E83D85">
        <w:rPr>
          <w:rFonts w:ascii="Tahoma" w:hAnsi="Tahoma" w:cs="Tahoma"/>
          <w:bCs/>
          <w:sz w:val="22"/>
          <w:szCs w:val="22"/>
        </w:rPr>
        <w:t xml:space="preserve">verificado y </w:t>
      </w:r>
      <w:r w:rsidRPr="00E83D85">
        <w:rPr>
          <w:rFonts w:ascii="Tahoma" w:hAnsi="Tahoma" w:cs="Tahoma"/>
          <w:bCs/>
          <w:sz w:val="22"/>
          <w:szCs w:val="22"/>
        </w:rPr>
        <w:t>emitido por la Junta Regional de Calificación de Invalidez de Risaralda</w:t>
      </w:r>
      <w:r w:rsidR="005122BC" w:rsidRPr="00E83D85">
        <w:rPr>
          <w:rFonts w:ascii="Tahoma" w:hAnsi="Tahoma" w:cs="Tahoma"/>
          <w:bCs/>
          <w:sz w:val="22"/>
          <w:szCs w:val="22"/>
        </w:rPr>
        <w:t>.</w:t>
      </w:r>
    </w:p>
    <w:p w14:paraId="3E5AF65B" w14:textId="77777777" w:rsidR="004804A7" w:rsidRPr="00E83D85" w:rsidRDefault="004804A7" w:rsidP="0051507A">
      <w:pPr>
        <w:autoSpaceDE w:val="0"/>
        <w:autoSpaceDN w:val="0"/>
        <w:adjustRightInd w:val="0"/>
        <w:spacing w:line="276" w:lineRule="auto"/>
        <w:ind w:firstLine="708"/>
        <w:jc w:val="both"/>
        <w:rPr>
          <w:rFonts w:ascii="Tahoma" w:hAnsi="Tahoma" w:cs="Tahoma"/>
          <w:sz w:val="22"/>
          <w:szCs w:val="22"/>
        </w:rPr>
      </w:pPr>
    </w:p>
    <w:p w14:paraId="48FA45BC" w14:textId="381D3B08" w:rsidR="00791AEA" w:rsidRPr="00E83D85" w:rsidRDefault="00556706" w:rsidP="0051507A">
      <w:pPr>
        <w:autoSpaceDE w:val="0"/>
        <w:autoSpaceDN w:val="0"/>
        <w:adjustRightInd w:val="0"/>
        <w:spacing w:line="276" w:lineRule="auto"/>
        <w:ind w:firstLine="708"/>
        <w:jc w:val="both"/>
        <w:rPr>
          <w:rFonts w:ascii="Tahoma" w:hAnsi="Tahoma" w:cs="Tahoma"/>
          <w:sz w:val="22"/>
          <w:szCs w:val="22"/>
        </w:rPr>
      </w:pPr>
      <w:r w:rsidRPr="00E83D85">
        <w:rPr>
          <w:rFonts w:ascii="Tahoma" w:hAnsi="Tahoma" w:cs="Tahoma"/>
          <w:sz w:val="22"/>
          <w:szCs w:val="22"/>
        </w:rPr>
        <w:lastRenderedPageBreak/>
        <w:t xml:space="preserve">En el sub lite resulta aplicable el principio de la condición más beneficiosa y es factible acudir al Acuerdo 049 de 1990, pues al 1º de abril de 1994 </w:t>
      </w:r>
      <w:r w:rsidR="00AF7DDF" w:rsidRPr="00E83D85">
        <w:rPr>
          <w:rFonts w:ascii="Tahoma" w:hAnsi="Tahoma" w:cs="Tahoma"/>
          <w:sz w:val="22"/>
          <w:szCs w:val="22"/>
        </w:rPr>
        <w:t>la</w:t>
      </w:r>
      <w:r w:rsidRPr="00E83D85">
        <w:rPr>
          <w:rFonts w:ascii="Tahoma" w:hAnsi="Tahoma" w:cs="Tahoma"/>
          <w:sz w:val="22"/>
          <w:szCs w:val="22"/>
        </w:rPr>
        <w:t xml:space="preserve"> asegurad</w:t>
      </w:r>
      <w:r w:rsidR="00AF7DDF" w:rsidRPr="00E83D85">
        <w:rPr>
          <w:rFonts w:ascii="Tahoma" w:hAnsi="Tahoma" w:cs="Tahoma"/>
          <w:sz w:val="22"/>
          <w:szCs w:val="22"/>
        </w:rPr>
        <w:t>a</w:t>
      </w:r>
      <w:r w:rsidRPr="00E83D85">
        <w:rPr>
          <w:rFonts w:ascii="Tahoma" w:hAnsi="Tahoma" w:cs="Tahoma"/>
          <w:sz w:val="22"/>
          <w:szCs w:val="22"/>
        </w:rPr>
        <w:t xml:space="preserve"> contaba con las semanas exigidas en dicha norma para aplicarla, dado que sumaba </w:t>
      </w:r>
      <w:r w:rsidR="00B869B4" w:rsidRPr="00E83D85">
        <w:rPr>
          <w:rFonts w:ascii="Tahoma" w:hAnsi="Tahoma" w:cs="Tahoma"/>
          <w:sz w:val="22"/>
          <w:szCs w:val="22"/>
        </w:rPr>
        <w:t>435,3</w:t>
      </w:r>
      <w:r w:rsidRPr="00E83D85">
        <w:rPr>
          <w:rFonts w:ascii="Tahoma" w:hAnsi="Tahoma" w:cs="Tahoma"/>
          <w:sz w:val="22"/>
          <w:szCs w:val="22"/>
        </w:rPr>
        <w:t xml:space="preserve"> semanas cotizadas</w:t>
      </w:r>
      <w:r w:rsidR="00B815D5" w:rsidRPr="00E83D85">
        <w:rPr>
          <w:rFonts w:ascii="Tahoma" w:hAnsi="Tahoma" w:cs="Tahoma"/>
          <w:sz w:val="22"/>
          <w:szCs w:val="22"/>
        </w:rPr>
        <w:t xml:space="preserve"> (tal como se puede apreciar </w:t>
      </w:r>
      <w:r w:rsidR="00206CE4" w:rsidRPr="00E83D85">
        <w:rPr>
          <w:rFonts w:ascii="Tahoma" w:hAnsi="Tahoma" w:cs="Tahoma"/>
          <w:sz w:val="22"/>
          <w:szCs w:val="22"/>
        </w:rPr>
        <w:t xml:space="preserve">en el folio </w:t>
      </w:r>
      <w:r w:rsidR="004D3528" w:rsidRPr="00E83D85">
        <w:rPr>
          <w:rFonts w:ascii="Tahoma" w:hAnsi="Tahoma" w:cs="Tahoma"/>
          <w:sz w:val="22"/>
          <w:szCs w:val="22"/>
        </w:rPr>
        <w:t>62</w:t>
      </w:r>
      <w:r w:rsidRPr="00E83D85">
        <w:rPr>
          <w:rFonts w:ascii="Tahoma" w:hAnsi="Tahoma" w:cs="Tahoma"/>
          <w:sz w:val="22"/>
          <w:szCs w:val="22"/>
        </w:rPr>
        <w:t>,</w:t>
      </w:r>
      <w:r w:rsidR="00206CE4" w:rsidRPr="00E83D85">
        <w:rPr>
          <w:rFonts w:ascii="Tahoma" w:hAnsi="Tahoma" w:cs="Tahoma"/>
          <w:sz w:val="22"/>
          <w:szCs w:val="22"/>
        </w:rPr>
        <w:t xml:space="preserve"> correspondiente al reporte de semanas cotizadas por </w:t>
      </w:r>
      <w:r w:rsidR="004D3528" w:rsidRPr="00E83D85">
        <w:rPr>
          <w:rFonts w:ascii="Tahoma" w:hAnsi="Tahoma" w:cs="Tahoma"/>
          <w:sz w:val="22"/>
          <w:szCs w:val="22"/>
        </w:rPr>
        <w:t>la demandante</w:t>
      </w:r>
      <w:r w:rsidR="00206CE4" w:rsidRPr="00E83D85">
        <w:rPr>
          <w:rFonts w:ascii="Tahoma" w:hAnsi="Tahoma" w:cs="Tahoma"/>
          <w:sz w:val="22"/>
          <w:szCs w:val="22"/>
        </w:rPr>
        <w:t>, la cual fue aportada por la propia entidad demandada)</w:t>
      </w:r>
      <w:r w:rsidRPr="00E83D85">
        <w:rPr>
          <w:rFonts w:ascii="Tahoma" w:hAnsi="Tahoma" w:cs="Tahoma"/>
          <w:sz w:val="22"/>
          <w:szCs w:val="22"/>
        </w:rPr>
        <w:t xml:space="preserve"> cifra que resulta muy superior a las 300 exigidas por el canon 6º de ese cuerpo legal. </w:t>
      </w:r>
    </w:p>
    <w:p w14:paraId="6C91031B" w14:textId="77777777" w:rsidR="000E0CEB" w:rsidRPr="00E83D85" w:rsidRDefault="000E0CEB" w:rsidP="0051507A">
      <w:pPr>
        <w:autoSpaceDE w:val="0"/>
        <w:autoSpaceDN w:val="0"/>
        <w:adjustRightInd w:val="0"/>
        <w:spacing w:line="276" w:lineRule="auto"/>
        <w:jc w:val="both"/>
        <w:rPr>
          <w:rFonts w:ascii="Tahoma" w:hAnsi="Tahoma" w:cs="Tahoma"/>
          <w:sz w:val="22"/>
          <w:szCs w:val="22"/>
        </w:rPr>
      </w:pPr>
    </w:p>
    <w:p w14:paraId="123101BF" w14:textId="10C49B80" w:rsidR="000E0CEB" w:rsidRPr="00E83D85" w:rsidRDefault="000E0CEB" w:rsidP="0051507A">
      <w:pPr>
        <w:autoSpaceDE w:val="0"/>
        <w:autoSpaceDN w:val="0"/>
        <w:adjustRightInd w:val="0"/>
        <w:spacing w:line="276" w:lineRule="auto"/>
        <w:ind w:firstLine="708"/>
        <w:jc w:val="both"/>
        <w:rPr>
          <w:rFonts w:ascii="Tahoma" w:hAnsi="Tahoma" w:cs="Tahoma"/>
          <w:sz w:val="22"/>
          <w:szCs w:val="22"/>
        </w:rPr>
      </w:pPr>
      <w:r w:rsidRPr="00E83D85">
        <w:rPr>
          <w:rFonts w:ascii="Tahoma" w:hAnsi="Tahoma" w:cs="Tahoma"/>
          <w:sz w:val="22"/>
          <w:szCs w:val="22"/>
        </w:rPr>
        <w:t xml:space="preserve">Así las cosas, teniendo en cuenta que </w:t>
      </w:r>
      <w:r w:rsidR="00E3295B" w:rsidRPr="00E83D85">
        <w:rPr>
          <w:rFonts w:ascii="Tahoma" w:hAnsi="Tahoma" w:cs="Tahoma"/>
          <w:sz w:val="22"/>
          <w:szCs w:val="22"/>
        </w:rPr>
        <w:t>la</w:t>
      </w:r>
      <w:r w:rsidRPr="00E83D85">
        <w:rPr>
          <w:rFonts w:ascii="Tahoma" w:hAnsi="Tahoma" w:cs="Tahoma"/>
          <w:sz w:val="22"/>
          <w:szCs w:val="22"/>
        </w:rPr>
        <w:t xml:space="preserve"> demandante cumplió con los requisitos exigidos en el anterior sistema de seguridad social, como son: el de contar con una pérdida de capacidad laboral superior al 50% y tener más de 300 semanas cotizadas con anterioridad al 1º de abril de 1994, tal como se relacionó anteriormente, considera esta Sala que, acudiendo al principio de la </w:t>
      </w:r>
      <w:r w:rsidR="00D13BE8" w:rsidRPr="00E83D85">
        <w:rPr>
          <w:rFonts w:ascii="Tahoma" w:hAnsi="Tahoma" w:cs="Tahoma"/>
          <w:sz w:val="22"/>
          <w:szCs w:val="22"/>
        </w:rPr>
        <w:t>condición más beneficiosa, la</w:t>
      </w:r>
      <w:r w:rsidRPr="00E83D85">
        <w:rPr>
          <w:rFonts w:ascii="Tahoma" w:hAnsi="Tahoma" w:cs="Tahoma"/>
          <w:sz w:val="22"/>
          <w:szCs w:val="22"/>
        </w:rPr>
        <w:t xml:space="preserve"> cotizante tiene acreditado el derecho a la pensión de invalidez, conforme a las voces del artículo 6º del Acuerdo 049 de 1990 aprobado por el </w:t>
      </w:r>
      <w:r w:rsidR="006D2ECF" w:rsidRPr="00E83D85">
        <w:rPr>
          <w:rFonts w:ascii="Tahoma" w:hAnsi="Tahoma" w:cs="Tahoma"/>
          <w:sz w:val="22"/>
          <w:szCs w:val="22"/>
        </w:rPr>
        <w:t xml:space="preserve">Decreto 758 de la misma calenda, </w:t>
      </w:r>
      <w:r w:rsidR="00D13BE8" w:rsidRPr="00E83D85">
        <w:rPr>
          <w:rFonts w:ascii="Tahoma" w:hAnsi="Tahoma" w:cs="Tahoma"/>
          <w:sz w:val="22"/>
          <w:szCs w:val="22"/>
        </w:rPr>
        <w:t xml:space="preserve">motivo por el cual </w:t>
      </w:r>
      <w:r w:rsidR="006D2ECF" w:rsidRPr="00E83D85">
        <w:rPr>
          <w:rFonts w:ascii="Tahoma" w:hAnsi="Tahoma" w:cs="Tahoma"/>
          <w:sz w:val="22"/>
          <w:szCs w:val="22"/>
        </w:rPr>
        <w:t>se procederá a confirmar la sentencia proferida por el Juzgado Segundo Laboral del Circuito el día 14 de marzo de 2016.</w:t>
      </w:r>
    </w:p>
    <w:p w14:paraId="2FEF71CD" w14:textId="77777777" w:rsidR="00E83D85" w:rsidRPr="00E83D85" w:rsidRDefault="00E83D85" w:rsidP="0051507A">
      <w:pPr>
        <w:autoSpaceDE w:val="0"/>
        <w:autoSpaceDN w:val="0"/>
        <w:adjustRightInd w:val="0"/>
        <w:spacing w:line="276" w:lineRule="auto"/>
        <w:ind w:firstLine="708"/>
        <w:jc w:val="both"/>
        <w:rPr>
          <w:rFonts w:ascii="Tahoma" w:hAnsi="Tahoma" w:cs="Tahoma"/>
          <w:sz w:val="22"/>
          <w:szCs w:val="22"/>
        </w:rPr>
      </w:pPr>
    </w:p>
    <w:p w14:paraId="528E0BE6" w14:textId="0FED96D9" w:rsidR="00E83D85" w:rsidRPr="00E83D85" w:rsidRDefault="00E83D85" w:rsidP="0051507A">
      <w:pPr>
        <w:tabs>
          <w:tab w:val="left" w:pos="748"/>
        </w:tabs>
        <w:spacing w:line="276" w:lineRule="auto"/>
        <w:jc w:val="both"/>
        <w:rPr>
          <w:rFonts w:ascii="Tahoma" w:hAnsi="Tahoma" w:cs="Tahoma"/>
          <w:sz w:val="22"/>
          <w:szCs w:val="22"/>
        </w:rPr>
      </w:pPr>
      <w:r w:rsidRPr="00E83D85">
        <w:rPr>
          <w:rFonts w:ascii="Tahoma" w:hAnsi="Tahoma" w:cs="Tahoma"/>
          <w:sz w:val="22"/>
          <w:szCs w:val="22"/>
        </w:rPr>
        <w:tab/>
        <w:t xml:space="preserve">Ahora bien, en este punto vale la pena indicar que, aunque por regla general el disfrute de la pensión de sobrevivientes surge a partir de la fecha de fallecimiento del afiliado o pensionado, y los intereses moratorios de que trata el artículo 141 de la Ley 100 de 1993 desde el momento en que se excede el término de gracia que tienen las administradoras de pensiones para resolver la solicitud de pensión y proceder a su pago no lo hacen, esta Corporación acogiendo el criterio de la Sala de Casación Laboral de la Corte Suprema de Justicia, entre otras en la sentencia del 3 de septiembre de 2014, radicación No. 50.259, ha adoptado la posición según la cual no es procedente la condena por concepto de dichos intereses cuando </w:t>
      </w:r>
      <w:r w:rsidRPr="00E83D85">
        <w:rPr>
          <w:rFonts w:ascii="Tahoma" w:hAnsi="Tahoma" w:cs="Tahoma"/>
          <w:i/>
          <w:sz w:val="22"/>
          <w:szCs w:val="22"/>
        </w:rPr>
        <w:t>“la pensión se reconoce en virtud de una interpretación constitucional favorable”</w:t>
      </w:r>
      <w:r w:rsidRPr="00E83D85">
        <w:rPr>
          <w:rFonts w:ascii="Tahoma" w:hAnsi="Tahoma" w:cs="Tahoma"/>
          <w:sz w:val="22"/>
          <w:szCs w:val="22"/>
        </w:rPr>
        <w:t>, pues en esos eventos se entiende que la entidad negó la prestación de conformidad con los parámetros legales vigentes, de manera que, en esencia, el peticionario no cumplía con los requisitos para acceder a la prestación reclamada.</w:t>
      </w:r>
    </w:p>
    <w:p w14:paraId="2E6B503F" w14:textId="77777777" w:rsidR="00E83D85" w:rsidRPr="00E83D85" w:rsidRDefault="00E83D85" w:rsidP="0051507A">
      <w:pPr>
        <w:pStyle w:val="Sansinterligne"/>
        <w:jc w:val="both"/>
        <w:rPr>
          <w:rFonts w:ascii="Tahoma" w:hAnsi="Tahoma" w:cs="Tahoma"/>
          <w:sz w:val="22"/>
          <w:szCs w:val="22"/>
        </w:rPr>
      </w:pPr>
    </w:p>
    <w:p w14:paraId="65F2449F" w14:textId="554FC146" w:rsidR="00E83D85" w:rsidRPr="00E83D85" w:rsidRDefault="00E83D85" w:rsidP="0051507A">
      <w:pPr>
        <w:pStyle w:val="Sansinterligne"/>
        <w:spacing w:line="276" w:lineRule="auto"/>
        <w:ind w:firstLine="708"/>
        <w:jc w:val="both"/>
        <w:rPr>
          <w:rFonts w:ascii="Tahoma" w:hAnsi="Tahoma" w:cs="Tahoma"/>
          <w:sz w:val="22"/>
          <w:szCs w:val="22"/>
        </w:rPr>
      </w:pPr>
      <w:r w:rsidRPr="00E83D85">
        <w:rPr>
          <w:rFonts w:ascii="Tahoma" w:hAnsi="Tahoma" w:cs="Tahoma"/>
          <w:sz w:val="22"/>
          <w:szCs w:val="22"/>
        </w:rPr>
        <w:t xml:space="preserve">El anterior criterio </w:t>
      </w:r>
      <w:r w:rsidR="00147E43">
        <w:rPr>
          <w:rFonts w:ascii="Tahoma" w:hAnsi="Tahoma" w:cs="Tahoma"/>
          <w:sz w:val="22"/>
          <w:szCs w:val="22"/>
        </w:rPr>
        <w:t>también se extendió al retroactivo, al no alcanzar la mayoría de votos en esta Sala, es decir, no se reconoce retroactivo</w:t>
      </w:r>
      <w:r w:rsidRPr="00E83D85">
        <w:rPr>
          <w:rFonts w:ascii="Tahoma" w:hAnsi="Tahoma" w:cs="Tahoma"/>
          <w:sz w:val="22"/>
          <w:szCs w:val="22"/>
        </w:rPr>
        <w:t xml:space="preserve"> bajo el entendido de que la introducción de principios constitucionales al discurso jurídico laboral y social, principalmente a la jurisprudencia, ha cumplido una función trascendental al interpretar la normativa a la luz de dichos principios y objetivos que informan la seguridad social, y que en muchos casos no corresponde con el texto literal del precepto que las administradoras en su momento, al definir las prestaciones reclamadas, debieron aplicar por ser las que en principio regulaban la controversia.</w:t>
      </w:r>
    </w:p>
    <w:p w14:paraId="1A3F6965" w14:textId="77777777" w:rsidR="00E83D85" w:rsidRPr="00E83D85" w:rsidRDefault="00E83D85" w:rsidP="0051507A">
      <w:pPr>
        <w:pStyle w:val="Sansinterligne"/>
        <w:jc w:val="both"/>
        <w:rPr>
          <w:rFonts w:ascii="Tahoma" w:hAnsi="Tahoma" w:cs="Tahoma"/>
          <w:sz w:val="22"/>
          <w:szCs w:val="22"/>
        </w:rPr>
      </w:pPr>
    </w:p>
    <w:p w14:paraId="0DBB152C" w14:textId="141A7355" w:rsidR="00E83D85" w:rsidRPr="00E83D85" w:rsidRDefault="00E83D85" w:rsidP="0051507A">
      <w:pPr>
        <w:pStyle w:val="Corpsdetexte"/>
        <w:spacing w:after="0" w:line="276" w:lineRule="auto"/>
        <w:ind w:right="51" w:firstLine="709"/>
        <w:jc w:val="both"/>
        <w:rPr>
          <w:rFonts w:ascii="Tahoma" w:hAnsi="Tahoma" w:cs="Tahoma"/>
          <w:sz w:val="22"/>
          <w:szCs w:val="22"/>
        </w:rPr>
      </w:pPr>
      <w:r w:rsidRPr="00E83D85">
        <w:rPr>
          <w:rFonts w:ascii="Tahoma" w:hAnsi="Tahoma" w:cs="Tahoma"/>
          <w:sz w:val="22"/>
          <w:szCs w:val="22"/>
        </w:rPr>
        <w:t xml:space="preserve">En virtud de lo anterior, </w:t>
      </w:r>
      <w:r w:rsidR="00147E43">
        <w:rPr>
          <w:rFonts w:ascii="Tahoma" w:hAnsi="Tahoma" w:cs="Tahoma"/>
          <w:sz w:val="22"/>
          <w:szCs w:val="22"/>
        </w:rPr>
        <w:t xml:space="preserve">en este preciso caso </w:t>
      </w:r>
      <w:r w:rsidRPr="00E83D85">
        <w:rPr>
          <w:rFonts w:ascii="Tahoma" w:hAnsi="Tahoma" w:cs="Tahoma"/>
          <w:sz w:val="22"/>
          <w:szCs w:val="22"/>
        </w:rPr>
        <w:t xml:space="preserve">el pago de la pensión </w:t>
      </w:r>
      <w:r w:rsidR="00147E43">
        <w:rPr>
          <w:rFonts w:ascii="Tahoma" w:hAnsi="Tahoma" w:cs="Tahoma"/>
          <w:sz w:val="22"/>
          <w:szCs w:val="22"/>
        </w:rPr>
        <w:t xml:space="preserve">no se reconoce </w:t>
      </w:r>
      <w:r w:rsidRPr="00E83D85">
        <w:rPr>
          <w:rFonts w:ascii="Tahoma" w:hAnsi="Tahoma" w:cs="Tahoma"/>
          <w:sz w:val="22"/>
          <w:szCs w:val="22"/>
        </w:rPr>
        <w:t xml:space="preserve">desde la fecha de </w:t>
      </w:r>
      <w:r w:rsidR="00147E43">
        <w:rPr>
          <w:rFonts w:ascii="Tahoma" w:hAnsi="Tahoma" w:cs="Tahoma"/>
          <w:sz w:val="22"/>
          <w:szCs w:val="22"/>
        </w:rPr>
        <w:t>estructuración de la invalidez</w:t>
      </w:r>
      <w:r w:rsidRPr="00E83D85">
        <w:rPr>
          <w:rFonts w:ascii="Tahoma" w:hAnsi="Tahoma" w:cs="Tahoma"/>
          <w:sz w:val="22"/>
          <w:szCs w:val="22"/>
        </w:rPr>
        <w:t xml:space="preserve">, sino desde la ejecutoria de la presente providencia, sin que haya lugar al reconocimiento de los intereses moratorios al no haber mesadas insolutas que los generen. </w:t>
      </w:r>
      <w:r w:rsidR="00147E43">
        <w:rPr>
          <w:rFonts w:ascii="Tahoma" w:hAnsi="Tahoma" w:cs="Tahoma"/>
          <w:sz w:val="22"/>
          <w:szCs w:val="22"/>
        </w:rPr>
        <w:t>Por ello, se modificará el ordinal tercero de la sentencia objeto de consulta.</w:t>
      </w:r>
    </w:p>
    <w:p w14:paraId="5D27E56A" w14:textId="77777777" w:rsidR="00E83D85" w:rsidRPr="00E83D85" w:rsidRDefault="00E83D85" w:rsidP="0051507A">
      <w:pPr>
        <w:widowControl w:val="0"/>
        <w:autoSpaceDE w:val="0"/>
        <w:autoSpaceDN w:val="0"/>
        <w:adjustRightInd w:val="0"/>
        <w:ind w:firstLine="708"/>
        <w:jc w:val="both"/>
        <w:rPr>
          <w:rFonts w:ascii="Tahoma" w:hAnsi="Tahoma" w:cs="Tahoma"/>
          <w:sz w:val="22"/>
          <w:szCs w:val="22"/>
        </w:rPr>
      </w:pPr>
    </w:p>
    <w:p w14:paraId="5E9908B2" w14:textId="5C2A3CE3" w:rsidR="00E83D85" w:rsidRPr="00E83D85" w:rsidRDefault="00E83D85" w:rsidP="0051507A">
      <w:pPr>
        <w:tabs>
          <w:tab w:val="left" w:pos="748"/>
        </w:tabs>
        <w:spacing w:line="276" w:lineRule="auto"/>
        <w:ind w:firstLine="709"/>
        <w:jc w:val="both"/>
        <w:rPr>
          <w:rFonts w:ascii="Tahoma" w:hAnsi="Tahoma" w:cs="Tahoma"/>
          <w:sz w:val="22"/>
          <w:szCs w:val="22"/>
        </w:rPr>
      </w:pPr>
      <w:r w:rsidRPr="00E83D85">
        <w:rPr>
          <w:rFonts w:ascii="Tahoma" w:hAnsi="Tahoma" w:cs="Tahoma"/>
          <w:sz w:val="22"/>
          <w:szCs w:val="22"/>
        </w:rPr>
        <w:t xml:space="preserve">Sin lugar a costas procesales </w:t>
      </w:r>
      <w:r>
        <w:rPr>
          <w:rFonts w:ascii="Tahoma" w:hAnsi="Tahoma" w:cs="Tahoma"/>
          <w:sz w:val="22"/>
          <w:szCs w:val="22"/>
        </w:rPr>
        <w:t>en este grado jurisdiccional.</w:t>
      </w:r>
    </w:p>
    <w:p w14:paraId="0FCC32BD" w14:textId="77777777" w:rsidR="00E83D85" w:rsidRPr="00E83D85" w:rsidRDefault="00E83D85" w:rsidP="0051507A">
      <w:pPr>
        <w:autoSpaceDE w:val="0"/>
        <w:autoSpaceDN w:val="0"/>
        <w:adjustRightInd w:val="0"/>
        <w:spacing w:line="276" w:lineRule="auto"/>
        <w:ind w:firstLine="708"/>
        <w:jc w:val="both"/>
        <w:rPr>
          <w:rFonts w:ascii="Tahoma" w:hAnsi="Tahoma" w:cs="Tahoma"/>
          <w:sz w:val="22"/>
          <w:szCs w:val="22"/>
        </w:rPr>
      </w:pPr>
    </w:p>
    <w:p w14:paraId="41B2AE67" w14:textId="629C9BDD" w:rsidR="00556706" w:rsidRDefault="00556706" w:rsidP="0051507A">
      <w:pPr>
        <w:pStyle w:val="Retraitcorpsdetexte"/>
        <w:spacing w:line="276" w:lineRule="auto"/>
        <w:rPr>
          <w:sz w:val="22"/>
          <w:szCs w:val="22"/>
        </w:rPr>
      </w:pPr>
      <w:r w:rsidRPr="00E83D85">
        <w:rPr>
          <w:sz w:val="22"/>
          <w:szCs w:val="22"/>
        </w:rPr>
        <w:t>En mérito de  lo expuesto,</w:t>
      </w:r>
      <w:r w:rsidRPr="00E83D85">
        <w:rPr>
          <w:b/>
          <w:sz w:val="22"/>
          <w:szCs w:val="22"/>
        </w:rPr>
        <w:t xml:space="preserve"> </w:t>
      </w:r>
      <w:r w:rsidRPr="00E83D85">
        <w:rPr>
          <w:b/>
          <w:sz w:val="22"/>
          <w:szCs w:val="22"/>
          <w:lang w:val="es-ES_tradnl"/>
        </w:rPr>
        <w:t>la Sala No. 1º de Decisión Laboral del Tribunal Superior de Pereira</w:t>
      </w:r>
      <w:r w:rsidRPr="00E83D85">
        <w:rPr>
          <w:sz w:val="22"/>
          <w:szCs w:val="22"/>
        </w:rPr>
        <w:t>, administrando justicia en nombre de la República  y por autoridad de la Ley,</w:t>
      </w:r>
    </w:p>
    <w:p w14:paraId="7FD19B01" w14:textId="77777777" w:rsidR="006B7857" w:rsidRPr="00E83D85" w:rsidRDefault="006B7857" w:rsidP="0051507A">
      <w:pPr>
        <w:pStyle w:val="Retraitcorpsdetexte"/>
        <w:spacing w:line="276" w:lineRule="auto"/>
        <w:rPr>
          <w:sz w:val="22"/>
          <w:szCs w:val="22"/>
        </w:rPr>
      </w:pPr>
    </w:p>
    <w:p w14:paraId="7ED98D6A" w14:textId="77777777" w:rsidR="00556706" w:rsidRPr="00E83D85" w:rsidRDefault="00556706" w:rsidP="0051507A">
      <w:pPr>
        <w:widowControl w:val="0"/>
        <w:autoSpaceDE w:val="0"/>
        <w:autoSpaceDN w:val="0"/>
        <w:adjustRightInd w:val="0"/>
        <w:spacing w:line="360" w:lineRule="auto"/>
        <w:jc w:val="center"/>
        <w:rPr>
          <w:rFonts w:ascii="Tahoma" w:hAnsi="Tahoma" w:cs="Tahoma"/>
          <w:b/>
          <w:sz w:val="22"/>
          <w:szCs w:val="22"/>
        </w:rPr>
      </w:pPr>
      <w:r w:rsidRPr="00E83D85">
        <w:rPr>
          <w:rFonts w:ascii="Tahoma" w:hAnsi="Tahoma" w:cs="Tahoma"/>
          <w:b/>
          <w:sz w:val="22"/>
          <w:szCs w:val="22"/>
        </w:rPr>
        <w:t>R E S U E L V E:</w:t>
      </w:r>
    </w:p>
    <w:p w14:paraId="7B132034" w14:textId="77777777" w:rsidR="00556706" w:rsidRPr="00E83D85" w:rsidRDefault="00556706" w:rsidP="0051507A">
      <w:pPr>
        <w:widowControl w:val="0"/>
        <w:autoSpaceDE w:val="0"/>
        <w:autoSpaceDN w:val="0"/>
        <w:adjustRightInd w:val="0"/>
        <w:jc w:val="both"/>
        <w:rPr>
          <w:rFonts w:ascii="Tahoma" w:hAnsi="Tahoma" w:cs="Tahoma"/>
          <w:sz w:val="22"/>
          <w:szCs w:val="22"/>
        </w:rPr>
      </w:pPr>
    </w:p>
    <w:p w14:paraId="27C75F1B" w14:textId="23A88FD2" w:rsidR="00556706" w:rsidRPr="00E83D85" w:rsidRDefault="00556706" w:rsidP="0051507A">
      <w:pPr>
        <w:widowControl w:val="0"/>
        <w:autoSpaceDE w:val="0"/>
        <w:autoSpaceDN w:val="0"/>
        <w:adjustRightInd w:val="0"/>
        <w:spacing w:line="276" w:lineRule="auto"/>
        <w:ind w:firstLine="708"/>
        <w:jc w:val="both"/>
        <w:rPr>
          <w:rFonts w:ascii="Tahoma" w:hAnsi="Tahoma" w:cs="Tahoma"/>
          <w:sz w:val="22"/>
          <w:szCs w:val="22"/>
        </w:rPr>
      </w:pPr>
      <w:r w:rsidRPr="00E83D85">
        <w:rPr>
          <w:rFonts w:ascii="Tahoma" w:hAnsi="Tahoma" w:cs="Tahoma"/>
          <w:b/>
          <w:caps/>
          <w:sz w:val="22"/>
          <w:szCs w:val="22"/>
          <w:u w:val="single"/>
        </w:rPr>
        <w:t>Primero</w:t>
      </w:r>
      <w:r w:rsidRPr="00E83D85">
        <w:rPr>
          <w:rFonts w:ascii="Tahoma" w:hAnsi="Tahoma" w:cs="Tahoma"/>
          <w:caps/>
          <w:sz w:val="22"/>
          <w:szCs w:val="22"/>
        </w:rPr>
        <w:t xml:space="preserve">.- </w:t>
      </w:r>
      <w:r w:rsidR="00E83D85" w:rsidRPr="00E83D85">
        <w:rPr>
          <w:rFonts w:ascii="Tahoma" w:hAnsi="Tahoma" w:cs="Tahoma"/>
          <w:b/>
          <w:caps/>
          <w:sz w:val="22"/>
          <w:szCs w:val="22"/>
        </w:rPr>
        <w:t>Modificar</w:t>
      </w:r>
      <w:r w:rsidR="00E83D85">
        <w:rPr>
          <w:rFonts w:ascii="Tahoma" w:hAnsi="Tahoma" w:cs="Tahoma"/>
          <w:caps/>
          <w:sz w:val="22"/>
          <w:szCs w:val="22"/>
        </w:rPr>
        <w:t xml:space="preserve"> </w:t>
      </w:r>
      <w:r w:rsidR="00E83D85">
        <w:rPr>
          <w:rFonts w:ascii="Tahoma" w:hAnsi="Tahoma" w:cs="Tahoma"/>
          <w:sz w:val="22"/>
          <w:szCs w:val="22"/>
        </w:rPr>
        <w:t>el ordinal tercero de l</w:t>
      </w:r>
      <w:r w:rsidR="00FE55B4" w:rsidRPr="00E83D85">
        <w:rPr>
          <w:rFonts w:ascii="Tahoma" w:hAnsi="Tahoma" w:cs="Tahoma"/>
          <w:sz w:val="22"/>
          <w:szCs w:val="22"/>
        </w:rPr>
        <w:t xml:space="preserve">a sentencia proferida por el Juzgado </w:t>
      </w:r>
      <w:r w:rsidR="00FE55B4" w:rsidRPr="00E83D85">
        <w:rPr>
          <w:rFonts w:ascii="Tahoma" w:hAnsi="Tahoma" w:cs="Tahoma"/>
          <w:sz w:val="22"/>
          <w:szCs w:val="22"/>
        </w:rPr>
        <w:lastRenderedPageBreak/>
        <w:t>Segundo Laboral del Circuito de Pereira el día 14 de marzo de 2016</w:t>
      </w:r>
      <w:r w:rsidR="00E83D85">
        <w:rPr>
          <w:rFonts w:ascii="Tahoma" w:hAnsi="Tahoma" w:cs="Tahoma"/>
          <w:sz w:val="22"/>
          <w:szCs w:val="22"/>
        </w:rPr>
        <w:t xml:space="preserve">, en el sentido de que </w:t>
      </w:r>
      <w:r w:rsidR="00EC5939">
        <w:rPr>
          <w:rFonts w:ascii="Tahoma" w:hAnsi="Tahoma" w:cs="Tahoma"/>
          <w:sz w:val="22"/>
          <w:szCs w:val="22"/>
        </w:rPr>
        <w:t xml:space="preserve">Colpensiones debe empezar a pagar la pensión a la señora Leonora Guevara Arias a partir de </w:t>
      </w:r>
      <w:r w:rsidR="00E83D85">
        <w:rPr>
          <w:rFonts w:ascii="Tahoma" w:hAnsi="Tahoma" w:cs="Tahoma"/>
          <w:sz w:val="22"/>
          <w:szCs w:val="22"/>
        </w:rPr>
        <w:t>la ejecutoria de la presente decisión.</w:t>
      </w:r>
    </w:p>
    <w:p w14:paraId="26985E29" w14:textId="77777777" w:rsidR="00556706" w:rsidRPr="00E83D85" w:rsidRDefault="00556706" w:rsidP="0051507A">
      <w:pPr>
        <w:spacing w:line="276" w:lineRule="auto"/>
        <w:ind w:firstLine="709"/>
        <w:jc w:val="both"/>
        <w:rPr>
          <w:rFonts w:ascii="Tahoma" w:hAnsi="Tahoma" w:cs="Tahoma"/>
          <w:sz w:val="22"/>
          <w:szCs w:val="22"/>
        </w:rPr>
      </w:pPr>
    </w:p>
    <w:p w14:paraId="0B2610BA" w14:textId="2E6E2889" w:rsidR="00163BB8" w:rsidRDefault="00556706" w:rsidP="0051507A">
      <w:pPr>
        <w:spacing w:line="276" w:lineRule="auto"/>
        <w:ind w:firstLine="708"/>
        <w:jc w:val="both"/>
        <w:rPr>
          <w:rFonts w:ascii="Tahoma" w:hAnsi="Tahoma" w:cs="Tahoma"/>
          <w:caps/>
          <w:sz w:val="22"/>
          <w:szCs w:val="22"/>
        </w:rPr>
      </w:pPr>
      <w:r w:rsidRPr="00E83D85">
        <w:rPr>
          <w:rFonts w:ascii="Tahoma" w:hAnsi="Tahoma" w:cs="Tahoma"/>
          <w:b/>
          <w:caps/>
          <w:sz w:val="22"/>
          <w:szCs w:val="22"/>
          <w:u w:val="single"/>
        </w:rPr>
        <w:t>Segundo</w:t>
      </w:r>
      <w:r w:rsidRPr="00E83D85">
        <w:rPr>
          <w:rFonts w:ascii="Tahoma" w:hAnsi="Tahoma" w:cs="Tahoma"/>
          <w:caps/>
          <w:sz w:val="22"/>
          <w:szCs w:val="22"/>
        </w:rPr>
        <w:t xml:space="preserve">.- </w:t>
      </w:r>
      <w:r w:rsidR="00163BB8" w:rsidRPr="00163BB8">
        <w:rPr>
          <w:rFonts w:ascii="Tahoma" w:hAnsi="Tahoma" w:cs="Tahoma"/>
          <w:b/>
          <w:caps/>
          <w:sz w:val="22"/>
          <w:szCs w:val="22"/>
        </w:rPr>
        <w:t>Confirmar</w:t>
      </w:r>
      <w:r w:rsidR="00163BB8">
        <w:rPr>
          <w:rFonts w:ascii="Tahoma" w:hAnsi="Tahoma" w:cs="Tahoma"/>
          <w:caps/>
          <w:sz w:val="22"/>
          <w:szCs w:val="22"/>
        </w:rPr>
        <w:t xml:space="preserve"> </w:t>
      </w:r>
      <w:r w:rsidR="00163BB8">
        <w:rPr>
          <w:rFonts w:ascii="Tahoma" w:hAnsi="Tahoma" w:cs="Tahoma"/>
          <w:sz w:val="22"/>
          <w:szCs w:val="22"/>
        </w:rPr>
        <w:t>en todo lo demás las sentencia objeto de consulta.</w:t>
      </w:r>
    </w:p>
    <w:p w14:paraId="4722EE1F" w14:textId="77777777" w:rsidR="00163BB8" w:rsidRDefault="00163BB8" w:rsidP="0051507A">
      <w:pPr>
        <w:spacing w:line="276" w:lineRule="auto"/>
        <w:ind w:firstLine="708"/>
        <w:jc w:val="both"/>
        <w:rPr>
          <w:rFonts w:ascii="Tahoma" w:hAnsi="Tahoma" w:cs="Tahoma"/>
          <w:caps/>
          <w:sz w:val="22"/>
          <w:szCs w:val="22"/>
        </w:rPr>
      </w:pPr>
    </w:p>
    <w:p w14:paraId="3E610C15" w14:textId="69E72710" w:rsidR="00556706" w:rsidRPr="00E83D85" w:rsidRDefault="00163BB8" w:rsidP="0051507A">
      <w:pPr>
        <w:spacing w:line="276" w:lineRule="auto"/>
        <w:ind w:firstLine="708"/>
        <w:jc w:val="both"/>
        <w:rPr>
          <w:rFonts w:ascii="Tahoma" w:hAnsi="Tahoma" w:cs="Tahoma"/>
          <w:sz w:val="22"/>
          <w:szCs w:val="22"/>
        </w:rPr>
      </w:pPr>
      <w:r>
        <w:rPr>
          <w:rFonts w:ascii="Tahoma" w:hAnsi="Tahoma" w:cs="Tahoma"/>
          <w:b/>
          <w:caps/>
          <w:sz w:val="22"/>
          <w:szCs w:val="22"/>
        </w:rPr>
        <w:t xml:space="preserve">TERCERO: </w:t>
      </w:r>
      <w:r w:rsidR="00831B04" w:rsidRPr="00E83D85">
        <w:rPr>
          <w:rFonts w:ascii="Tahoma" w:hAnsi="Tahoma" w:cs="Tahoma"/>
          <w:b/>
          <w:caps/>
          <w:sz w:val="22"/>
          <w:szCs w:val="22"/>
        </w:rPr>
        <w:t xml:space="preserve">sin </w:t>
      </w:r>
      <w:r w:rsidR="00033499" w:rsidRPr="00E83D85">
        <w:rPr>
          <w:rFonts w:ascii="Tahoma" w:hAnsi="Tahoma" w:cs="Tahoma"/>
          <w:b/>
          <w:caps/>
          <w:sz w:val="22"/>
          <w:szCs w:val="22"/>
        </w:rPr>
        <w:t>Costas</w:t>
      </w:r>
      <w:r w:rsidR="00831B04" w:rsidRPr="00E83D85">
        <w:rPr>
          <w:rFonts w:ascii="Tahoma" w:hAnsi="Tahoma" w:cs="Tahoma"/>
          <w:b/>
          <w:caps/>
          <w:sz w:val="22"/>
          <w:szCs w:val="22"/>
        </w:rPr>
        <w:t xml:space="preserve"> </w:t>
      </w:r>
      <w:r w:rsidR="005D2869" w:rsidRPr="00E83D85">
        <w:rPr>
          <w:rFonts w:ascii="Tahoma" w:hAnsi="Tahoma" w:cs="Tahoma"/>
          <w:sz w:val="22"/>
          <w:szCs w:val="22"/>
        </w:rPr>
        <w:t>en est</w:t>
      </w:r>
      <w:r>
        <w:rPr>
          <w:rFonts w:ascii="Tahoma" w:hAnsi="Tahoma" w:cs="Tahoma"/>
          <w:sz w:val="22"/>
          <w:szCs w:val="22"/>
        </w:rPr>
        <w:t>e grado jurisdiccional</w:t>
      </w:r>
      <w:r w:rsidR="005D2869" w:rsidRPr="00E83D85">
        <w:rPr>
          <w:rFonts w:ascii="Tahoma" w:hAnsi="Tahoma" w:cs="Tahoma"/>
          <w:sz w:val="22"/>
          <w:szCs w:val="22"/>
        </w:rPr>
        <w:t>.</w:t>
      </w:r>
    </w:p>
    <w:p w14:paraId="2C195C85" w14:textId="77777777" w:rsidR="00556706" w:rsidRPr="00E83D85" w:rsidRDefault="00556706" w:rsidP="0051507A">
      <w:pPr>
        <w:spacing w:line="276" w:lineRule="auto"/>
        <w:jc w:val="both"/>
        <w:rPr>
          <w:rFonts w:ascii="Tahoma" w:hAnsi="Tahoma" w:cs="Tahoma"/>
          <w:sz w:val="22"/>
          <w:szCs w:val="22"/>
        </w:rPr>
      </w:pPr>
    </w:p>
    <w:p w14:paraId="343627C9" w14:textId="77777777" w:rsidR="00556706" w:rsidRPr="00E83D85" w:rsidRDefault="00556706" w:rsidP="0051507A">
      <w:pPr>
        <w:widowControl w:val="0"/>
        <w:autoSpaceDE w:val="0"/>
        <w:autoSpaceDN w:val="0"/>
        <w:adjustRightInd w:val="0"/>
        <w:spacing w:line="276" w:lineRule="auto"/>
        <w:jc w:val="both"/>
        <w:rPr>
          <w:rFonts w:ascii="Tahoma" w:hAnsi="Tahoma" w:cs="Tahoma"/>
          <w:b/>
          <w:bCs/>
          <w:sz w:val="22"/>
          <w:szCs w:val="22"/>
        </w:rPr>
      </w:pPr>
      <w:r w:rsidRPr="00E83D85">
        <w:rPr>
          <w:rFonts w:ascii="Tahoma" w:hAnsi="Tahoma" w:cs="Tahoma"/>
          <w:sz w:val="22"/>
          <w:szCs w:val="22"/>
        </w:rPr>
        <w:tab/>
      </w:r>
      <w:r w:rsidRPr="00E83D85">
        <w:rPr>
          <w:rFonts w:ascii="Tahoma" w:hAnsi="Tahoma" w:cs="Tahoma"/>
          <w:b/>
          <w:bCs/>
          <w:sz w:val="22"/>
          <w:szCs w:val="22"/>
        </w:rPr>
        <w:t>Notificación surtida en estrados.</w:t>
      </w:r>
      <w:r w:rsidR="00206CE4" w:rsidRPr="00E83D85">
        <w:rPr>
          <w:rFonts w:ascii="Tahoma" w:hAnsi="Tahoma" w:cs="Tahoma"/>
          <w:b/>
          <w:bCs/>
          <w:sz w:val="22"/>
          <w:szCs w:val="22"/>
        </w:rPr>
        <w:t xml:space="preserve"> </w:t>
      </w:r>
      <w:r w:rsidRPr="00E83D85">
        <w:rPr>
          <w:rFonts w:ascii="Tahoma" w:hAnsi="Tahoma" w:cs="Tahoma"/>
          <w:b/>
          <w:sz w:val="22"/>
          <w:szCs w:val="22"/>
        </w:rPr>
        <w:t>Cúmplase</w:t>
      </w:r>
      <w:r w:rsidRPr="00E83D85">
        <w:rPr>
          <w:rFonts w:ascii="Tahoma" w:hAnsi="Tahoma" w:cs="Tahoma"/>
          <w:sz w:val="22"/>
          <w:szCs w:val="22"/>
        </w:rPr>
        <w:t xml:space="preserve"> y </w:t>
      </w:r>
      <w:r w:rsidRPr="00E83D85">
        <w:rPr>
          <w:rFonts w:ascii="Tahoma" w:hAnsi="Tahoma" w:cs="Tahoma"/>
          <w:b/>
          <w:sz w:val="22"/>
          <w:szCs w:val="22"/>
        </w:rPr>
        <w:t>devuélvase</w:t>
      </w:r>
      <w:r w:rsidRPr="00E83D85">
        <w:rPr>
          <w:rFonts w:ascii="Tahoma" w:hAnsi="Tahoma" w:cs="Tahoma"/>
          <w:sz w:val="22"/>
          <w:szCs w:val="22"/>
        </w:rPr>
        <w:t xml:space="preserve"> el expediente al Juzgado de origen.</w:t>
      </w:r>
    </w:p>
    <w:p w14:paraId="1CA10AD6" w14:textId="77777777" w:rsidR="00556706" w:rsidRPr="00E83D85" w:rsidRDefault="00556706" w:rsidP="0051507A">
      <w:pPr>
        <w:widowControl w:val="0"/>
        <w:autoSpaceDE w:val="0"/>
        <w:autoSpaceDN w:val="0"/>
        <w:adjustRightInd w:val="0"/>
        <w:spacing w:line="276" w:lineRule="auto"/>
        <w:jc w:val="both"/>
        <w:rPr>
          <w:rFonts w:ascii="Tahoma" w:hAnsi="Tahoma" w:cs="Tahoma"/>
          <w:sz w:val="22"/>
          <w:szCs w:val="22"/>
        </w:rPr>
      </w:pPr>
    </w:p>
    <w:p w14:paraId="69296BC9" w14:textId="77777777" w:rsidR="00556706" w:rsidRPr="00E83D85" w:rsidRDefault="00206CE4" w:rsidP="0051507A">
      <w:pPr>
        <w:spacing w:line="276" w:lineRule="auto"/>
        <w:ind w:firstLine="708"/>
        <w:jc w:val="both"/>
        <w:rPr>
          <w:rFonts w:ascii="Tahoma" w:hAnsi="Tahoma" w:cs="Tahoma"/>
          <w:sz w:val="22"/>
          <w:szCs w:val="22"/>
        </w:rPr>
      </w:pPr>
      <w:r w:rsidRPr="00E83D85">
        <w:rPr>
          <w:rFonts w:ascii="Tahoma" w:hAnsi="Tahoma" w:cs="Tahoma"/>
          <w:sz w:val="22"/>
          <w:szCs w:val="22"/>
        </w:rPr>
        <w:t>La Magistrada</w:t>
      </w:r>
      <w:r w:rsidR="00556706" w:rsidRPr="00E83D85">
        <w:rPr>
          <w:rFonts w:ascii="Tahoma" w:hAnsi="Tahoma" w:cs="Tahoma"/>
          <w:sz w:val="22"/>
          <w:szCs w:val="22"/>
        </w:rPr>
        <w:t xml:space="preserve">, </w:t>
      </w:r>
    </w:p>
    <w:p w14:paraId="7518F920" w14:textId="77777777" w:rsidR="00B815D5" w:rsidRDefault="00B815D5" w:rsidP="0051507A">
      <w:pPr>
        <w:spacing w:line="276" w:lineRule="auto"/>
        <w:rPr>
          <w:rFonts w:ascii="Tahoma" w:hAnsi="Tahoma" w:cs="Tahoma"/>
          <w:sz w:val="22"/>
          <w:szCs w:val="22"/>
        </w:rPr>
      </w:pPr>
    </w:p>
    <w:p w14:paraId="4CBF0312" w14:textId="77777777" w:rsidR="00E83D85" w:rsidRDefault="00E83D85" w:rsidP="0051507A">
      <w:pPr>
        <w:spacing w:line="276" w:lineRule="auto"/>
        <w:rPr>
          <w:rFonts w:ascii="Tahoma" w:hAnsi="Tahoma" w:cs="Tahoma"/>
          <w:sz w:val="22"/>
          <w:szCs w:val="22"/>
        </w:rPr>
      </w:pPr>
    </w:p>
    <w:p w14:paraId="55C742A6" w14:textId="77777777" w:rsidR="00147E43" w:rsidRDefault="00147E43" w:rsidP="0051507A">
      <w:pPr>
        <w:spacing w:line="276" w:lineRule="auto"/>
        <w:rPr>
          <w:rFonts w:ascii="Tahoma" w:hAnsi="Tahoma" w:cs="Tahoma"/>
          <w:sz w:val="22"/>
          <w:szCs w:val="22"/>
        </w:rPr>
      </w:pPr>
    </w:p>
    <w:p w14:paraId="5854C43C" w14:textId="77777777" w:rsidR="00147E43" w:rsidRPr="00E83D85" w:rsidRDefault="00147E43" w:rsidP="0051507A">
      <w:pPr>
        <w:spacing w:line="276" w:lineRule="auto"/>
        <w:rPr>
          <w:rFonts w:ascii="Tahoma" w:hAnsi="Tahoma" w:cs="Tahoma"/>
          <w:sz w:val="22"/>
          <w:szCs w:val="22"/>
        </w:rPr>
      </w:pPr>
    </w:p>
    <w:p w14:paraId="38F71C37" w14:textId="77777777" w:rsidR="00556706" w:rsidRPr="00E83D85" w:rsidRDefault="00556706" w:rsidP="0051507A">
      <w:pPr>
        <w:pStyle w:val="Titre3"/>
        <w:spacing w:before="0" w:after="0" w:line="276" w:lineRule="auto"/>
        <w:jc w:val="center"/>
        <w:rPr>
          <w:rFonts w:ascii="Tahoma" w:hAnsi="Tahoma" w:cs="Tahoma"/>
          <w:b w:val="0"/>
          <w:bCs w:val="0"/>
          <w:sz w:val="22"/>
          <w:szCs w:val="22"/>
        </w:rPr>
      </w:pPr>
      <w:r w:rsidRPr="00E83D85">
        <w:rPr>
          <w:rFonts w:ascii="Tahoma" w:hAnsi="Tahoma" w:cs="Tahoma"/>
          <w:sz w:val="22"/>
          <w:szCs w:val="22"/>
        </w:rPr>
        <w:t>ANA LUCÍA CAICEDO CALDERÓN</w:t>
      </w:r>
    </w:p>
    <w:p w14:paraId="7B022CAA" w14:textId="059FF50C" w:rsidR="00556706" w:rsidRPr="00E83D85" w:rsidRDefault="00E83D85" w:rsidP="0051507A">
      <w:pPr>
        <w:spacing w:line="276" w:lineRule="auto"/>
        <w:jc w:val="center"/>
        <w:rPr>
          <w:rFonts w:ascii="Tahoma" w:hAnsi="Tahoma" w:cs="Tahoma"/>
          <w:b/>
          <w:sz w:val="22"/>
          <w:szCs w:val="22"/>
        </w:rPr>
      </w:pPr>
      <w:r w:rsidRPr="00E83D85">
        <w:rPr>
          <w:rFonts w:ascii="Tahoma" w:hAnsi="Tahoma" w:cs="Tahoma"/>
          <w:b/>
          <w:sz w:val="22"/>
          <w:szCs w:val="22"/>
        </w:rPr>
        <w:t>Aclara voto</w:t>
      </w:r>
    </w:p>
    <w:p w14:paraId="28C0C05A" w14:textId="77777777" w:rsidR="00E83D85" w:rsidRPr="00E83D85" w:rsidRDefault="00E83D85" w:rsidP="0051507A">
      <w:pPr>
        <w:spacing w:line="276" w:lineRule="auto"/>
        <w:jc w:val="center"/>
        <w:rPr>
          <w:rFonts w:ascii="Tahoma" w:hAnsi="Tahoma" w:cs="Tahoma"/>
          <w:b/>
          <w:sz w:val="22"/>
          <w:szCs w:val="22"/>
        </w:rPr>
      </w:pPr>
    </w:p>
    <w:p w14:paraId="1D7868ED" w14:textId="77777777" w:rsidR="00206CE4" w:rsidRPr="00E83D85" w:rsidRDefault="00206CE4" w:rsidP="00147E43">
      <w:pPr>
        <w:spacing w:line="276" w:lineRule="auto"/>
        <w:ind w:firstLine="708"/>
        <w:rPr>
          <w:rFonts w:ascii="Tahoma" w:hAnsi="Tahoma" w:cs="Tahoma"/>
          <w:sz w:val="22"/>
          <w:szCs w:val="22"/>
        </w:rPr>
      </w:pPr>
      <w:r w:rsidRPr="00E83D85">
        <w:rPr>
          <w:rFonts w:ascii="Tahoma" w:hAnsi="Tahoma" w:cs="Tahoma"/>
          <w:sz w:val="22"/>
          <w:szCs w:val="22"/>
        </w:rPr>
        <w:t xml:space="preserve">Los Magistrados, </w:t>
      </w:r>
    </w:p>
    <w:p w14:paraId="77D9A003" w14:textId="77777777" w:rsidR="00206CE4" w:rsidRPr="00E83D85" w:rsidRDefault="00206CE4" w:rsidP="0051507A">
      <w:pPr>
        <w:spacing w:line="276" w:lineRule="auto"/>
        <w:rPr>
          <w:rFonts w:ascii="Tahoma" w:hAnsi="Tahoma" w:cs="Tahoma"/>
          <w:b/>
          <w:sz w:val="22"/>
          <w:szCs w:val="22"/>
        </w:rPr>
      </w:pPr>
    </w:p>
    <w:p w14:paraId="64887140" w14:textId="77777777" w:rsidR="00E83D85" w:rsidRDefault="00E83D85" w:rsidP="0051507A">
      <w:pPr>
        <w:spacing w:line="276" w:lineRule="auto"/>
        <w:rPr>
          <w:rFonts w:ascii="Tahoma" w:hAnsi="Tahoma" w:cs="Tahoma"/>
          <w:b/>
          <w:sz w:val="22"/>
          <w:szCs w:val="22"/>
        </w:rPr>
      </w:pPr>
    </w:p>
    <w:p w14:paraId="46F90D5C" w14:textId="77777777" w:rsidR="00147E43" w:rsidRDefault="00147E43" w:rsidP="0051507A">
      <w:pPr>
        <w:spacing w:line="276" w:lineRule="auto"/>
        <w:rPr>
          <w:rFonts w:ascii="Tahoma" w:hAnsi="Tahoma" w:cs="Tahoma"/>
          <w:b/>
          <w:sz w:val="22"/>
          <w:szCs w:val="22"/>
        </w:rPr>
      </w:pPr>
    </w:p>
    <w:p w14:paraId="2E9421F1" w14:textId="77777777" w:rsidR="00E83D85" w:rsidRPr="00E83D85" w:rsidRDefault="00E83D85" w:rsidP="0051507A">
      <w:pPr>
        <w:spacing w:line="276" w:lineRule="auto"/>
        <w:rPr>
          <w:rFonts w:ascii="Tahoma" w:hAnsi="Tahoma" w:cs="Tahoma"/>
          <w:b/>
          <w:sz w:val="22"/>
          <w:szCs w:val="22"/>
        </w:rPr>
      </w:pPr>
    </w:p>
    <w:p w14:paraId="72DC8487" w14:textId="51560272" w:rsidR="00556706" w:rsidRPr="00E83D85" w:rsidRDefault="00556706" w:rsidP="0051507A">
      <w:pPr>
        <w:spacing w:line="276" w:lineRule="auto"/>
        <w:rPr>
          <w:rFonts w:ascii="Tahoma" w:hAnsi="Tahoma" w:cs="Tahoma"/>
          <w:b/>
          <w:sz w:val="22"/>
          <w:szCs w:val="22"/>
        </w:rPr>
      </w:pPr>
      <w:r w:rsidRPr="00E83D85">
        <w:rPr>
          <w:rFonts w:ascii="Tahoma" w:hAnsi="Tahoma" w:cs="Tahoma"/>
          <w:b/>
          <w:sz w:val="22"/>
          <w:szCs w:val="22"/>
        </w:rPr>
        <w:t>JULIO CÉSAR SA</w:t>
      </w:r>
      <w:r w:rsidR="00B815D5" w:rsidRPr="00E83D85">
        <w:rPr>
          <w:rFonts w:ascii="Tahoma" w:hAnsi="Tahoma" w:cs="Tahoma"/>
          <w:b/>
          <w:sz w:val="22"/>
          <w:szCs w:val="22"/>
        </w:rPr>
        <w:t xml:space="preserve">LAZAR MUÑOZ         </w:t>
      </w:r>
      <w:r w:rsidR="00147E43">
        <w:rPr>
          <w:rFonts w:ascii="Tahoma" w:hAnsi="Tahoma" w:cs="Tahoma"/>
          <w:b/>
          <w:sz w:val="22"/>
          <w:szCs w:val="22"/>
        </w:rPr>
        <w:t xml:space="preserve">              </w:t>
      </w:r>
      <w:r w:rsidR="00B815D5" w:rsidRPr="00E83D85">
        <w:rPr>
          <w:rFonts w:ascii="Tahoma" w:hAnsi="Tahoma" w:cs="Tahoma"/>
          <w:b/>
          <w:sz w:val="22"/>
          <w:szCs w:val="22"/>
        </w:rPr>
        <w:t xml:space="preserve">  </w:t>
      </w:r>
      <w:r w:rsidRPr="00E83D85">
        <w:rPr>
          <w:rFonts w:ascii="Tahoma" w:hAnsi="Tahoma" w:cs="Tahoma"/>
          <w:b/>
          <w:sz w:val="22"/>
          <w:szCs w:val="22"/>
        </w:rPr>
        <w:t>FRANCISCO JAVIER TAMAYO TABARES</w:t>
      </w:r>
    </w:p>
    <w:p w14:paraId="10D52F8C" w14:textId="77777777" w:rsidR="00556706" w:rsidRPr="00E83D85" w:rsidRDefault="00556706" w:rsidP="0051507A">
      <w:pPr>
        <w:spacing w:line="276" w:lineRule="auto"/>
        <w:rPr>
          <w:rFonts w:ascii="Tahoma" w:hAnsi="Tahoma" w:cs="Tahoma"/>
          <w:sz w:val="22"/>
          <w:szCs w:val="22"/>
        </w:rPr>
      </w:pPr>
      <w:r w:rsidRPr="00E83D85">
        <w:rPr>
          <w:rFonts w:ascii="Tahoma" w:hAnsi="Tahoma" w:cs="Tahoma"/>
          <w:b/>
          <w:sz w:val="22"/>
          <w:szCs w:val="22"/>
        </w:rPr>
        <w:t xml:space="preserve">                </w:t>
      </w:r>
      <w:r w:rsidRPr="00E83D85">
        <w:rPr>
          <w:rFonts w:ascii="Tahoma" w:hAnsi="Tahoma" w:cs="Tahoma"/>
          <w:sz w:val="22"/>
          <w:szCs w:val="22"/>
        </w:rPr>
        <w:t xml:space="preserve">Salva voto </w:t>
      </w:r>
    </w:p>
    <w:p w14:paraId="5D8DD51D" w14:textId="77777777" w:rsidR="00B815D5" w:rsidRPr="00E83D85" w:rsidRDefault="00B815D5" w:rsidP="0051507A">
      <w:pPr>
        <w:spacing w:line="276" w:lineRule="auto"/>
        <w:rPr>
          <w:rFonts w:ascii="Tahoma" w:hAnsi="Tahoma" w:cs="Tahoma"/>
          <w:sz w:val="22"/>
          <w:szCs w:val="22"/>
        </w:rPr>
      </w:pPr>
    </w:p>
    <w:p w14:paraId="2535AFC6" w14:textId="77777777" w:rsidR="00206CE4" w:rsidRPr="00E83D85" w:rsidRDefault="00206CE4" w:rsidP="0051507A">
      <w:pPr>
        <w:spacing w:line="276" w:lineRule="auto"/>
        <w:rPr>
          <w:rFonts w:ascii="Tahoma" w:hAnsi="Tahoma" w:cs="Tahoma"/>
          <w:sz w:val="22"/>
          <w:szCs w:val="22"/>
        </w:rPr>
      </w:pPr>
    </w:p>
    <w:p w14:paraId="616D7E50" w14:textId="77777777" w:rsidR="00E83D85" w:rsidRPr="00E83D85" w:rsidRDefault="00E83D85" w:rsidP="0051507A">
      <w:pPr>
        <w:spacing w:line="276" w:lineRule="auto"/>
        <w:rPr>
          <w:rFonts w:ascii="Tahoma" w:hAnsi="Tahoma" w:cs="Tahoma"/>
          <w:sz w:val="22"/>
          <w:szCs w:val="22"/>
        </w:rPr>
      </w:pPr>
    </w:p>
    <w:p w14:paraId="17A50A89" w14:textId="03E6EA81" w:rsidR="00556706" w:rsidRPr="00E83D85" w:rsidRDefault="00556706" w:rsidP="0051507A">
      <w:pPr>
        <w:spacing w:line="276" w:lineRule="auto"/>
        <w:rPr>
          <w:sz w:val="22"/>
          <w:szCs w:val="22"/>
        </w:rPr>
      </w:pPr>
    </w:p>
    <w:sectPr w:rsidR="00556706" w:rsidRPr="00E83D85" w:rsidSect="00E83D85">
      <w:headerReference w:type="default" r:id="rId9"/>
      <w:footerReference w:type="default" r:id="rId10"/>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2813" w14:textId="77777777" w:rsidR="00D0362A" w:rsidRDefault="00D0362A" w:rsidP="00CF0215">
      <w:r>
        <w:separator/>
      </w:r>
    </w:p>
  </w:endnote>
  <w:endnote w:type="continuationSeparator" w:id="0">
    <w:p w14:paraId="01E55372" w14:textId="77777777" w:rsidR="00D0362A" w:rsidRDefault="00D0362A" w:rsidP="00CF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620805"/>
      <w:docPartObj>
        <w:docPartGallery w:val="Page Numbers (Bottom of Page)"/>
        <w:docPartUnique/>
      </w:docPartObj>
    </w:sdtPr>
    <w:sdtEndPr/>
    <w:sdtContent>
      <w:p w14:paraId="08E96416" w14:textId="77777777" w:rsidR="00750DC9" w:rsidRDefault="00750DC9">
        <w:pPr>
          <w:pStyle w:val="Pieddepage"/>
          <w:jc w:val="right"/>
        </w:pPr>
        <w:r>
          <w:fldChar w:fldCharType="begin"/>
        </w:r>
        <w:r>
          <w:instrText>PAGE   \* MERGEFORMAT</w:instrText>
        </w:r>
        <w:r>
          <w:fldChar w:fldCharType="separate"/>
        </w:r>
        <w:r w:rsidR="00FE1F63">
          <w:rPr>
            <w:noProof/>
          </w:rPr>
          <w:t>7</w:t>
        </w:r>
        <w:r>
          <w:fldChar w:fldCharType="end"/>
        </w:r>
      </w:p>
    </w:sdtContent>
  </w:sdt>
  <w:p w14:paraId="7CB14B26" w14:textId="77777777" w:rsidR="00750DC9" w:rsidRDefault="00750D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B3F4C" w14:textId="77777777" w:rsidR="00D0362A" w:rsidRDefault="00D0362A" w:rsidP="00CF0215">
      <w:r>
        <w:separator/>
      </w:r>
    </w:p>
  </w:footnote>
  <w:footnote w:type="continuationSeparator" w:id="0">
    <w:p w14:paraId="28914C07" w14:textId="77777777" w:rsidR="00D0362A" w:rsidRDefault="00D0362A" w:rsidP="00CF0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45408" w14:textId="77777777" w:rsidR="00750DC9" w:rsidRPr="00206CE4" w:rsidRDefault="00750DC9">
    <w:pPr>
      <w:pStyle w:val="En-tte"/>
      <w:rPr>
        <w:rFonts w:ascii="Tahoma" w:hAnsi="Tahoma" w:cs="Tahoma"/>
        <w:i/>
        <w:sz w:val="16"/>
        <w:szCs w:val="16"/>
        <w:lang w:val="es-CO"/>
      </w:rPr>
    </w:pPr>
    <w:r w:rsidRPr="00206CE4">
      <w:rPr>
        <w:rFonts w:ascii="Tahoma" w:hAnsi="Tahoma" w:cs="Tahoma"/>
        <w:i/>
        <w:sz w:val="16"/>
        <w:szCs w:val="16"/>
        <w:lang w:val="es-CO"/>
      </w:rPr>
      <w:t xml:space="preserve">Demandante: </w:t>
    </w:r>
    <w:r>
      <w:rPr>
        <w:rFonts w:ascii="Tahoma" w:hAnsi="Tahoma" w:cs="Tahoma"/>
        <w:i/>
        <w:sz w:val="16"/>
        <w:szCs w:val="16"/>
        <w:lang w:val="es-CO"/>
      </w:rPr>
      <w:t>Leonora Guevara Arias</w:t>
    </w:r>
  </w:p>
  <w:p w14:paraId="2F98947E" w14:textId="77777777" w:rsidR="00750DC9" w:rsidRPr="00206CE4" w:rsidRDefault="00750DC9">
    <w:pPr>
      <w:pStyle w:val="En-tte"/>
      <w:rPr>
        <w:rFonts w:ascii="Tahoma" w:hAnsi="Tahoma" w:cs="Tahoma"/>
        <w:i/>
        <w:sz w:val="16"/>
        <w:szCs w:val="16"/>
        <w:lang w:val="es-CO"/>
      </w:rPr>
    </w:pPr>
    <w:r w:rsidRPr="00206CE4">
      <w:rPr>
        <w:rFonts w:ascii="Tahoma" w:hAnsi="Tahoma" w:cs="Tahoma"/>
        <w:i/>
        <w:sz w:val="16"/>
        <w:szCs w:val="16"/>
        <w:lang w:val="es-CO"/>
      </w:rPr>
      <w:t>Demandado: Colpensiones</w:t>
    </w:r>
  </w:p>
  <w:p w14:paraId="0B857A99" w14:textId="77777777" w:rsidR="00750DC9" w:rsidRPr="00206CE4" w:rsidRDefault="00750DC9">
    <w:pPr>
      <w:pStyle w:val="En-tte"/>
      <w:rPr>
        <w:rFonts w:ascii="Tahoma" w:hAnsi="Tahoma" w:cs="Tahoma"/>
        <w:i/>
        <w:sz w:val="16"/>
        <w:szCs w:val="16"/>
        <w:lang w:val="es-CO"/>
      </w:rPr>
    </w:pPr>
    <w:r w:rsidRPr="00206CE4">
      <w:rPr>
        <w:rFonts w:ascii="Tahoma" w:hAnsi="Tahoma" w:cs="Tahoma"/>
        <w:i/>
        <w:sz w:val="16"/>
        <w:szCs w:val="16"/>
        <w:lang w:val="es-CO"/>
      </w:rPr>
      <w:t xml:space="preserve">Rad.: </w:t>
    </w:r>
    <w:r>
      <w:rPr>
        <w:rFonts w:ascii="Tahoma" w:hAnsi="Tahoma" w:cs="Tahoma"/>
        <w:i/>
        <w:sz w:val="16"/>
        <w:szCs w:val="16"/>
        <w:lang w:val="es-CO"/>
      </w:rPr>
      <w:t>2015-00234-01</w:t>
    </w:r>
  </w:p>
  <w:p w14:paraId="1ABCE460" w14:textId="77777777" w:rsidR="00750DC9" w:rsidRPr="00206CE4" w:rsidRDefault="00750DC9">
    <w:pPr>
      <w:pStyle w:val="En-tte"/>
      <w:rPr>
        <w:rFonts w:ascii="Tahoma" w:hAnsi="Tahoma" w:cs="Tahoma"/>
        <w:i/>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31070C3F"/>
    <w:multiLevelType w:val="hybridMultilevel"/>
    <w:tmpl w:val="2248AFBA"/>
    <w:lvl w:ilvl="0" w:tplc="263AC94C">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95"/>
    <w:rsid w:val="00004E36"/>
    <w:rsid w:val="00012217"/>
    <w:rsid w:val="00033499"/>
    <w:rsid w:val="00075387"/>
    <w:rsid w:val="000C0EFE"/>
    <w:rsid w:val="000D106F"/>
    <w:rsid w:val="000E00FF"/>
    <w:rsid w:val="000E0CEB"/>
    <w:rsid w:val="001007E2"/>
    <w:rsid w:val="0012251D"/>
    <w:rsid w:val="00124B07"/>
    <w:rsid w:val="00137885"/>
    <w:rsid w:val="00145B18"/>
    <w:rsid w:val="00147E43"/>
    <w:rsid w:val="00163BB8"/>
    <w:rsid w:val="00176D0C"/>
    <w:rsid w:val="0018390B"/>
    <w:rsid w:val="001A6EBF"/>
    <w:rsid w:val="001B5161"/>
    <w:rsid w:val="001D3C34"/>
    <w:rsid w:val="00202107"/>
    <w:rsid w:val="00206CE4"/>
    <w:rsid w:val="00207F89"/>
    <w:rsid w:val="0025614C"/>
    <w:rsid w:val="00257C26"/>
    <w:rsid w:val="00265FC1"/>
    <w:rsid w:val="002777F7"/>
    <w:rsid w:val="0029464D"/>
    <w:rsid w:val="002A69D0"/>
    <w:rsid w:val="002B72DB"/>
    <w:rsid w:val="002C5868"/>
    <w:rsid w:val="002E41DC"/>
    <w:rsid w:val="00327A3E"/>
    <w:rsid w:val="0033012E"/>
    <w:rsid w:val="0033254E"/>
    <w:rsid w:val="003511EF"/>
    <w:rsid w:val="00360FFF"/>
    <w:rsid w:val="00364195"/>
    <w:rsid w:val="003736AD"/>
    <w:rsid w:val="003836C1"/>
    <w:rsid w:val="00390C2D"/>
    <w:rsid w:val="003E52BF"/>
    <w:rsid w:val="00430050"/>
    <w:rsid w:val="00442319"/>
    <w:rsid w:val="00455821"/>
    <w:rsid w:val="00456260"/>
    <w:rsid w:val="004804A7"/>
    <w:rsid w:val="004D3528"/>
    <w:rsid w:val="004F62BF"/>
    <w:rsid w:val="00503675"/>
    <w:rsid w:val="005122BC"/>
    <w:rsid w:val="0051507A"/>
    <w:rsid w:val="00547A36"/>
    <w:rsid w:val="00556706"/>
    <w:rsid w:val="005609F8"/>
    <w:rsid w:val="00580ED6"/>
    <w:rsid w:val="005A39DF"/>
    <w:rsid w:val="005A5B0C"/>
    <w:rsid w:val="005D2869"/>
    <w:rsid w:val="005E0174"/>
    <w:rsid w:val="006179FD"/>
    <w:rsid w:val="006247EA"/>
    <w:rsid w:val="00630BE3"/>
    <w:rsid w:val="00647702"/>
    <w:rsid w:val="00660238"/>
    <w:rsid w:val="0066340B"/>
    <w:rsid w:val="00674553"/>
    <w:rsid w:val="00677195"/>
    <w:rsid w:val="00683F65"/>
    <w:rsid w:val="006A4AA1"/>
    <w:rsid w:val="006B094E"/>
    <w:rsid w:val="006B7857"/>
    <w:rsid w:val="006B787F"/>
    <w:rsid w:val="006C1490"/>
    <w:rsid w:val="006C2042"/>
    <w:rsid w:val="006D2ECF"/>
    <w:rsid w:val="00700833"/>
    <w:rsid w:val="00707650"/>
    <w:rsid w:val="00720DE4"/>
    <w:rsid w:val="00722506"/>
    <w:rsid w:val="00734839"/>
    <w:rsid w:val="00736E07"/>
    <w:rsid w:val="00750DC9"/>
    <w:rsid w:val="00765879"/>
    <w:rsid w:val="0078469C"/>
    <w:rsid w:val="00791AEA"/>
    <w:rsid w:val="00802A09"/>
    <w:rsid w:val="00804C39"/>
    <w:rsid w:val="008128FF"/>
    <w:rsid w:val="00831B04"/>
    <w:rsid w:val="00845C6F"/>
    <w:rsid w:val="008B2B8F"/>
    <w:rsid w:val="008D28D0"/>
    <w:rsid w:val="008E1D5A"/>
    <w:rsid w:val="00904681"/>
    <w:rsid w:val="00920D61"/>
    <w:rsid w:val="00933D99"/>
    <w:rsid w:val="0095502F"/>
    <w:rsid w:val="009E0DCC"/>
    <w:rsid w:val="009E535D"/>
    <w:rsid w:val="00A04B2B"/>
    <w:rsid w:val="00A113DE"/>
    <w:rsid w:val="00A13D61"/>
    <w:rsid w:val="00A17E11"/>
    <w:rsid w:val="00A22440"/>
    <w:rsid w:val="00A411F6"/>
    <w:rsid w:val="00A733D3"/>
    <w:rsid w:val="00A7383E"/>
    <w:rsid w:val="00A74B79"/>
    <w:rsid w:val="00AB1BD2"/>
    <w:rsid w:val="00AC4C25"/>
    <w:rsid w:val="00AC63AE"/>
    <w:rsid w:val="00AD1831"/>
    <w:rsid w:val="00AF78E1"/>
    <w:rsid w:val="00AF7DDF"/>
    <w:rsid w:val="00B01513"/>
    <w:rsid w:val="00B11AB6"/>
    <w:rsid w:val="00B51A3D"/>
    <w:rsid w:val="00B652BB"/>
    <w:rsid w:val="00B74666"/>
    <w:rsid w:val="00B74D6A"/>
    <w:rsid w:val="00B815D5"/>
    <w:rsid w:val="00B869B4"/>
    <w:rsid w:val="00BD4D60"/>
    <w:rsid w:val="00BD67F2"/>
    <w:rsid w:val="00C623EA"/>
    <w:rsid w:val="00C653A5"/>
    <w:rsid w:val="00C962CE"/>
    <w:rsid w:val="00CC0847"/>
    <w:rsid w:val="00CE0140"/>
    <w:rsid w:val="00CF0215"/>
    <w:rsid w:val="00CF1E67"/>
    <w:rsid w:val="00D0362A"/>
    <w:rsid w:val="00D10E7C"/>
    <w:rsid w:val="00D13BE8"/>
    <w:rsid w:val="00D17A6D"/>
    <w:rsid w:val="00D32BD1"/>
    <w:rsid w:val="00D50AC2"/>
    <w:rsid w:val="00DE5484"/>
    <w:rsid w:val="00E3295B"/>
    <w:rsid w:val="00E44BE7"/>
    <w:rsid w:val="00E46201"/>
    <w:rsid w:val="00E6056F"/>
    <w:rsid w:val="00E83D85"/>
    <w:rsid w:val="00E85CAC"/>
    <w:rsid w:val="00EC1C8A"/>
    <w:rsid w:val="00EC5939"/>
    <w:rsid w:val="00ED3214"/>
    <w:rsid w:val="00EE23E7"/>
    <w:rsid w:val="00EE7701"/>
    <w:rsid w:val="00F065D7"/>
    <w:rsid w:val="00F23153"/>
    <w:rsid w:val="00F273AD"/>
    <w:rsid w:val="00F30F91"/>
    <w:rsid w:val="00F43FB8"/>
    <w:rsid w:val="00F60B15"/>
    <w:rsid w:val="00FB3308"/>
    <w:rsid w:val="00FE1F63"/>
    <w:rsid w:val="00FE476E"/>
    <w:rsid w:val="00FE55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C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D7"/>
    <w:pPr>
      <w:spacing w:line="240" w:lineRule="auto"/>
      <w:ind w:firstLine="0"/>
      <w:jc w:val="left"/>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F065D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F065D7"/>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F065D7"/>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065D7"/>
    <w:rPr>
      <w:rFonts w:ascii="Arial" w:eastAsia="Times New Roman" w:hAnsi="Arial" w:cs="Arial"/>
      <w:b/>
      <w:bCs/>
      <w:sz w:val="26"/>
      <w:szCs w:val="26"/>
      <w:lang w:eastAsia="es-ES"/>
    </w:rPr>
  </w:style>
  <w:style w:type="character" w:customStyle="1" w:styleId="Titre4Car">
    <w:name w:val="Titre 4 Car"/>
    <w:basedOn w:val="Policepardfaut"/>
    <w:link w:val="Titre4"/>
    <w:rsid w:val="00F065D7"/>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F065D7"/>
    <w:rPr>
      <w:rFonts w:ascii="Arial" w:eastAsia="Times New Roman" w:hAnsi="Arial" w:cs="Arial"/>
      <w:b/>
      <w:bCs/>
      <w:sz w:val="24"/>
      <w:szCs w:val="24"/>
      <w:lang w:eastAsia="es-ES"/>
    </w:rPr>
  </w:style>
  <w:style w:type="paragraph" w:styleId="Titre">
    <w:name w:val="Title"/>
    <w:basedOn w:val="Normal"/>
    <w:link w:val="TitreCar"/>
    <w:qFormat/>
    <w:rsid w:val="00F065D7"/>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F065D7"/>
    <w:rPr>
      <w:rFonts w:ascii="Arial" w:eastAsia="Times New Roman" w:hAnsi="Arial" w:cs="Arial"/>
      <w:b/>
      <w:sz w:val="24"/>
      <w:szCs w:val="24"/>
      <w:lang w:eastAsia="es-ES"/>
    </w:rPr>
  </w:style>
  <w:style w:type="paragraph" w:styleId="Retraitcorpsdetexte">
    <w:name w:val="Body Text Indent"/>
    <w:basedOn w:val="Normal"/>
    <w:link w:val="RetraitcorpsdetexteCar"/>
    <w:rsid w:val="00F065D7"/>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F065D7"/>
    <w:rPr>
      <w:rFonts w:ascii="Tahoma" w:eastAsia="Times New Roman" w:hAnsi="Tahoma" w:cs="Tahoma"/>
      <w:sz w:val="24"/>
      <w:szCs w:val="24"/>
      <w:lang w:eastAsia="es-ES"/>
    </w:rPr>
  </w:style>
  <w:style w:type="paragraph" w:styleId="Corpsdetexte">
    <w:name w:val="Body Text"/>
    <w:basedOn w:val="Normal"/>
    <w:link w:val="CorpsdetexteCar"/>
    <w:rsid w:val="00F065D7"/>
    <w:pPr>
      <w:spacing w:after="120"/>
    </w:pPr>
  </w:style>
  <w:style w:type="character" w:customStyle="1" w:styleId="CorpsdetexteCar">
    <w:name w:val="Corps de texte Car"/>
    <w:basedOn w:val="Policepardfaut"/>
    <w:link w:val="Corpsdetexte"/>
    <w:rsid w:val="00F065D7"/>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2A69D0"/>
    <w:pPr>
      <w:ind w:left="720"/>
      <w:contextualSpacing/>
    </w:p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unhideWhenUsed/>
    <w:rsid w:val="00CF0215"/>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CF0215"/>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unhideWhenUsed/>
    <w:rsid w:val="00CF0215"/>
    <w:rPr>
      <w:vertAlign w:val="superscript"/>
    </w:rPr>
  </w:style>
  <w:style w:type="paragraph" w:styleId="En-tte">
    <w:name w:val="header"/>
    <w:basedOn w:val="Normal"/>
    <w:link w:val="En-tteCar"/>
    <w:uiPriority w:val="99"/>
    <w:unhideWhenUsed/>
    <w:rsid w:val="00206CE4"/>
    <w:pPr>
      <w:tabs>
        <w:tab w:val="center" w:pos="4252"/>
        <w:tab w:val="right" w:pos="8504"/>
      </w:tabs>
    </w:pPr>
  </w:style>
  <w:style w:type="character" w:customStyle="1" w:styleId="En-tteCar">
    <w:name w:val="En-tête Car"/>
    <w:basedOn w:val="Policepardfaut"/>
    <w:link w:val="En-tte"/>
    <w:uiPriority w:val="99"/>
    <w:rsid w:val="00206CE4"/>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206CE4"/>
    <w:pPr>
      <w:tabs>
        <w:tab w:val="center" w:pos="4252"/>
        <w:tab w:val="right" w:pos="8504"/>
      </w:tabs>
    </w:pPr>
  </w:style>
  <w:style w:type="character" w:customStyle="1" w:styleId="PieddepageCar">
    <w:name w:val="Pied de page Car"/>
    <w:basedOn w:val="Policepardfaut"/>
    <w:link w:val="Pieddepage"/>
    <w:uiPriority w:val="99"/>
    <w:rsid w:val="00206CE4"/>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02107"/>
    <w:pPr>
      <w:spacing w:before="100" w:beforeAutospacing="1" w:after="100" w:afterAutospacing="1"/>
    </w:pPr>
  </w:style>
  <w:style w:type="character" w:customStyle="1" w:styleId="apple-converted-space">
    <w:name w:val="apple-converted-space"/>
    <w:basedOn w:val="Policepardfaut"/>
    <w:rsid w:val="00202107"/>
  </w:style>
  <w:style w:type="character" w:styleId="lev">
    <w:name w:val="Strong"/>
    <w:basedOn w:val="Policepardfaut"/>
    <w:uiPriority w:val="22"/>
    <w:qFormat/>
    <w:rsid w:val="00202107"/>
    <w:rPr>
      <w:b/>
      <w:bCs/>
    </w:rPr>
  </w:style>
  <w:style w:type="character" w:styleId="Lienhypertexte">
    <w:name w:val="Hyperlink"/>
    <w:basedOn w:val="Policepardfaut"/>
    <w:uiPriority w:val="99"/>
    <w:semiHidden/>
    <w:unhideWhenUsed/>
    <w:rsid w:val="00202107"/>
    <w:rPr>
      <w:color w:val="0000FF"/>
      <w:u w:val="single"/>
    </w:rPr>
  </w:style>
  <w:style w:type="paragraph" w:styleId="Sansinterligne">
    <w:name w:val="No Spacing"/>
    <w:link w:val="SansinterligneCar"/>
    <w:uiPriority w:val="1"/>
    <w:qFormat/>
    <w:rsid w:val="00F30F91"/>
    <w:pPr>
      <w:spacing w:line="240" w:lineRule="auto"/>
      <w:ind w:firstLine="0"/>
      <w:jc w:val="left"/>
    </w:pPr>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99"/>
    <w:locked/>
    <w:rsid w:val="00FB3308"/>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E83D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D85"/>
    <w:rPr>
      <w:rFonts w:ascii="Segoe UI" w:eastAsia="Times New Roman" w:hAnsi="Segoe UI" w:cs="Segoe UI"/>
      <w:sz w:val="18"/>
      <w:szCs w:val="18"/>
      <w:lang w:eastAsia="es-ES"/>
    </w:rPr>
  </w:style>
  <w:style w:type="paragraph" w:customStyle="1" w:styleId="Textoindependiente31">
    <w:name w:val="Texto independiente 31"/>
    <w:basedOn w:val="Normal"/>
    <w:rsid w:val="0051507A"/>
    <w:pPr>
      <w:spacing w:line="360" w:lineRule="auto"/>
      <w:jc w:val="both"/>
    </w:pPr>
    <w:rPr>
      <w:rFonts w:ascii="Arial" w:hAnsi="Arial"/>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D7"/>
    <w:pPr>
      <w:spacing w:line="240" w:lineRule="auto"/>
      <w:ind w:firstLine="0"/>
      <w:jc w:val="left"/>
    </w:pPr>
    <w:rPr>
      <w:rFonts w:ascii="Times New Roman" w:eastAsia="Times New Roman" w:hAnsi="Times New Roman" w:cs="Times New Roman"/>
      <w:sz w:val="24"/>
      <w:szCs w:val="24"/>
      <w:lang w:eastAsia="es-ES"/>
    </w:rPr>
  </w:style>
  <w:style w:type="paragraph" w:styleId="Titre3">
    <w:name w:val="heading 3"/>
    <w:basedOn w:val="Normal"/>
    <w:next w:val="Normal"/>
    <w:link w:val="Titre3Car"/>
    <w:qFormat/>
    <w:rsid w:val="00F065D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F065D7"/>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F065D7"/>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065D7"/>
    <w:rPr>
      <w:rFonts w:ascii="Arial" w:eastAsia="Times New Roman" w:hAnsi="Arial" w:cs="Arial"/>
      <w:b/>
      <w:bCs/>
      <w:sz w:val="26"/>
      <w:szCs w:val="26"/>
      <w:lang w:eastAsia="es-ES"/>
    </w:rPr>
  </w:style>
  <w:style w:type="character" w:customStyle="1" w:styleId="Titre4Car">
    <w:name w:val="Titre 4 Car"/>
    <w:basedOn w:val="Policepardfaut"/>
    <w:link w:val="Titre4"/>
    <w:rsid w:val="00F065D7"/>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F065D7"/>
    <w:rPr>
      <w:rFonts w:ascii="Arial" w:eastAsia="Times New Roman" w:hAnsi="Arial" w:cs="Arial"/>
      <w:b/>
      <w:bCs/>
      <w:sz w:val="24"/>
      <w:szCs w:val="24"/>
      <w:lang w:eastAsia="es-ES"/>
    </w:rPr>
  </w:style>
  <w:style w:type="paragraph" w:styleId="Titre">
    <w:name w:val="Title"/>
    <w:basedOn w:val="Normal"/>
    <w:link w:val="TitreCar"/>
    <w:qFormat/>
    <w:rsid w:val="00F065D7"/>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F065D7"/>
    <w:rPr>
      <w:rFonts w:ascii="Arial" w:eastAsia="Times New Roman" w:hAnsi="Arial" w:cs="Arial"/>
      <w:b/>
      <w:sz w:val="24"/>
      <w:szCs w:val="24"/>
      <w:lang w:eastAsia="es-ES"/>
    </w:rPr>
  </w:style>
  <w:style w:type="paragraph" w:styleId="Retraitcorpsdetexte">
    <w:name w:val="Body Text Indent"/>
    <w:basedOn w:val="Normal"/>
    <w:link w:val="RetraitcorpsdetexteCar"/>
    <w:rsid w:val="00F065D7"/>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F065D7"/>
    <w:rPr>
      <w:rFonts w:ascii="Tahoma" w:eastAsia="Times New Roman" w:hAnsi="Tahoma" w:cs="Tahoma"/>
      <w:sz w:val="24"/>
      <w:szCs w:val="24"/>
      <w:lang w:eastAsia="es-ES"/>
    </w:rPr>
  </w:style>
  <w:style w:type="paragraph" w:styleId="Corpsdetexte">
    <w:name w:val="Body Text"/>
    <w:basedOn w:val="Normal"/>
    <w:link w:val="CorpsdetexteCar"/>
    <w:rsid w:val="00F065D7"/>
    <w:pPr>
      <w:spacing w:after="120"/>
    </w:pPr>
  </w:style>
  <w:style w:type="character" w:customStyle="1" w:styleId="CorpsdetexteCar">
    <w:name w:val="Corps de texte Car"/>
    <w:basedOn w:val="Policepardfaut"/>
    <w:link w:val="Corpsdetexte"/>
    <w:rsid w:val="00F065D7"/>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2A69D0"/>
    <w:pPr>
      <w:ind w:left="720"/>
      <w:contextualSpacing/>
    </w:pPr>
  </w:style>
  <w:style w:type="paragraph" w:styleId="Notedebasdepage">
    <w:name w:val="footnote text"/>
    <w:aliases w:val="Ref. de nota al pie1,Texto de nota al pie,Footnote Text Char Char Char Char Char,Footnote Text Char Char Char Char,FA Fu,Footnote Text Char Char Char,referencia nota al pie,Footnote Text Char"/>
    <w:basedOn w:val="Normal"/>
    <w:link w:val="NotedebasdepageCar"/>
    <w:uiPriority w:val="99"/>
    <w:unhideWhenUsed/>
    <w:rsid w:val="00CF0215"/>
    <w:rPr>
      <w:sz w:val="20"/>
      <w:szCs w:val="20"/>
    </w:rPr>
  </w:style>
  <w:style w:type="character" w:customStyle="1" w:styleId="NotedebasdepageCar">
    <w:name w:val="Note de bas de page Car"/>
    <w:aliases w:val="Ref. de nota al pie1 Car,Texto de nota al pie Car,Footnote Text Char Char Char Char Char Car,Footnote Text Char Char Char Char Car,FA Fu Car,Footnote Text Char Char Char Car,referencia nota al pie Car,Footnote Text Char Car"/>
    <w:basedOn w:val="Policepardfaut"/>
    <w:link w:val="Notedebasdepage"/>
    <w:uiPriority w:val="99"/>
    <w:rsid w:val="00CF0215"/>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unhideWhenUsed/>
    <w:rsid w:val="00CF0215"/>
    <w:rPr>
      <w:vertAlign w:val="superscript"/>
    </w:rPr>
  </w:style>
  <w:style w:type="paragraph" w:styleId="En-tte">
    <w:name w:val="header"/>
    <w:basedOn w:val="Normal"/>
    <w:link w:val="En-tteCar"/>
    <w:uiPriority w:val="99"/>
    <w:unhideWhenUsed/>
    <w:rsid w:val="00206CE4"/>
    <w:pPr>
      <w:tabs>
        <w:tab w:val="center" w:pos="4252"/>
        <w:tab w:val="right" w:pos="8504"/>
      </w:tabs>
    </w:pPr>
  </w:style>
  <w:style w:type="character" w:customStyle="1" w:styleId="En-tteCar">
    <w:name w:val="En-tête Car"/>
    <w:basedOn w:val="Policepardfaut"/>
    <w:link w:val="En-tte"/>
    <w:uiPriority w:val="99"/>
    <w:rsid w:val="00206CE4"/>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206CE4"/>
    <w:pPr>
      <w:tabs>
        <w:tab w:val="center" w:pos="4252"/>
        <w:tab w:val="right" w:pos="8504"/>
      </w:tabs>
    </w:pPr>
  </w:style>
  <w:style w:type="character" w:customStyle="1" w:styleId="PieddepageCar">
    <w:name w:val="Pied de page Car"/>
    <w:basedOn w:val="Policepardfaut"/>
    <w:link w:val="Pieddepage"/>
    <w:uiPriority w:val="99"/>
    <w:rsid w:val="00206CE4"/>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02107"/>
    <w:pPr>
      <w:spacing w:before="100" w:beforeAutospacing="1" w:after="100" w:afterAutospacing="1"/>
    </w:pPr>
  </w:style>
  <w:style w:type="character" w:customStyle="1" w:styleId="apple-converted-space">
    <w:name w:val="apple-converted-space"/>
    <w:basedOn w:val="Policepardfaut"/>
    <w:rsid w:val="00202107"/>
  </w:style>
  <w:style w:type="character" w:styleId="lev">
    <w:name w:val="Strong"/>
    <w:basedOn w:val="Policepardfaut"/>
    <w:uiPriority w:val="22"/>
    <w:qFormat/>
    <w:rsid w:val="00202107"/>
    <w:rPr>
      <w:b/>
      <w:bCs/>
    </w:rPr>
  </w:style>
  <w:style w:type="character" w:styleId="Lienhypertexte">
    <w:name w:val="Hyperlink"/>
    <w:basedOn w:val="Policepardfaut"/>
    <w:uiPriority w:val="99"/>
    <w:semiHidden/>
    <w:unhideWhenUsed/>
    <w:rsid w:val="00202107"/>
    <w:rPr>
      <w:color w:val="0000FF"/>
      <w:u w:val="single"/>
    </w:rPr>
  </w:style>
  <w:style w:type="paragraph" w:styleId="Sansinterligne">
    <w:name w:val="No Spacing"/>
    <w:link w:val="SansinterligneCar"/>
    <w:uiPriority w:val="1"/>
    <w:qFormat/>
    <w:rsid w:val="00F30F91"/>
    <w:pPr>
      <w:spacing w:line="240" w:lineRule="auto"/>
      <w:ind w:firstLine="0"/>
      <w:jc w:val="left"/>
    </w:pPr>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99"/>
    <w:locked/>
    <w:rsid w:val="00FB3308"/>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E83D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D85"/>
    <w:rPr>
      <w:rFonts w:ascii="Segoe UI" w:eastAsia="Times New Roman" w:hAnsi="Segoe UI" w:cs="Segoe UI"/>
      <w:sz w:val="18"/>
      <w:szCs w:val="18"/>
      <w:lang w:eastAsia="es-ES"/>
    </w:rPr>
  </w:style>
  <w:style w:type="paragraph" w:customStyle="1" w:styleId="Textoindependiente31">
    <w:name w:val="Texto independiente 31"/>
    <w:basedOn w:val="Normal"/>
    <w:rsid w:val="0051507A"/>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9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9C20-11B1-4E31-A99F-5A0C34C1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3658</Words>
  <Characters>20124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4</cp:revision>
  <cp:lastPrinted>2017-04-07T15:01:00Z</cp:lastPrinted>
  <dcterms:created xsi:type="dcterms:W3CDTF">2017-03-31T20:51:00Z</dcterms:created>
  <dcterms:modified xsi:type="dcterms:W3CDTF">2017-06-22T22:06:00Z</dcterms:modified>
</cp:coreProperties>
</file>