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D2D2B" w:rsidRPr="00667438" w:rsidRDefault="002D2D2B" w:rsidP="002D2D2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67438">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667438">
        <w:rPr>
          <w:rFonts w:ascii="Calibri" w:hAnsi="Calibri" w:cs="Calibri"/>
          <w:color w:val="FF0000"/>
          <w:sz w:val="16"/>
          <w:szCs w:val="16"/>
          <w:lang w:val="es-CO" w:eastAsia="fr-FR"/>
        </w:rPr>
        <w:t xml:space="preserve"> Ponente que </w:t>
      </w:r>
      <w:r>
        <w:rPr>
          <w:rFonts w:ascii="Calibri" w:hAnsi="Calibri" w:cs="Calibri"/>
          <w:color w:val="FF0000"/>
          <w:sz w:val="16"/>
          <w:szCs w:val="16"/>
          <w:lang w:val="es-CO" w:eastAsia="fr-FR"/>
        </w:rPr>
        <w:t>expresa su salvamento de voto a</w:t>
      </w:r>
      <w:r w:rsidRPr="00667438">
        <w:rPr>
          <w:rFonts w:ascii="Calibri" w:hAnsi="Calibri" w:cs="Calibri"/>
          <w:color w:val="FF0000"/>
          <w:sz w:val="16"/>
          <w:szCs w:val="16"/>
          <w:lang w:val="es-CO" w:eastAsia="fr-FR"/>
        </w:rPr>
        <w:t xml:space="preserve"> la providencia dentro del presente proceso. El contenido total y fiel de la decisión debe ser verificado en la Secretaría de esta Sala.</w:t>
      </w:r>
      <w:r w:rsidRPr="00667438">
        <w:rPr>
          <w:rFonts w:ascii="Calibri" w:hAnsi="Calibri" w:cs="Calibri"/>
          <w:color w:val="222222"/>
          <w:sz w:val="18"/>
          <w:szCs w:val="18"/>
          <w:lang w:val="es-CO" w:eastAsia="fr-FR"/>
        </w:rPr>
        <w:t> </w:t>
      </w:r>
    </w:p>
    <w:p w:rsidR="00A67F18" w:rsidRDefault="00A67F18" w:rsidP="008F2D96">
      <w:pPr>
        <w:pStyle w:val="Puesto"/>
        <w:spacing w:line="240" w:lineRule="auto"/>
        <w:jc w:val="both"/>
        <w:rPr>
          <w:rFonts w:ascii="Tahoma" w:hAnsi="Tahoma" w:cs="Tahoma"/>
          <w:sz w:val="18"/>
          <w:szCs w:val="18"/>
          <w:lang w:val="es-CO"/>
        </w:rPr>
      </w:pPr>
      <w:bookmarkStart w:id="0" w:name="_GoBack"/>
      <w:bookmarkEnd w:id="0"/>
    </w:p>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A67F18">
        <w:rPr>
          <w:rFonts w:ascii="Tahoma" w:hAnsi="Tahoma" w:cs="Tahoma"/>
          <w:b w:val="0"/>
          <w:sz w:val="18"/>
          <w:szCs w:val="18"/>
        </w:rPr>
        <w:t>Salvamento de voto</w:t>
      </w:r>
    </w:p>
    <w:p w:rsidR="00A67F18" w:rsidRPr="00FF0A79" w:rsidRDefault="00A67F18" w:rsidP="00A67F18">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6437E3">
        <w:rPr>
          <w:rFonts w:ascii="Tahoma" w:hAnsi="Tahoma" w:cs="Tahoma"/>
          <w:b w:val="0"/>
          <w:sz w:val="18"/>
          <w:szCs w:val="18"/>
        </w:rPr>
        <w:t>4</w:t>
      </w:r>
      <w:r w:rsidRPr="00FF0A79">
        <w:rPr>
          <w:rFonts w:ascii="Tahoma" w:hAnsi="Tahoma" w:cs="Tahoma"/>
          <w:b w:val="0"/>
          <w:sz w:val="18"/>
          <w:szCs w:val="18"/>
        </w:rPr>
        <w:t>-201</w:t>
      </w:r>
      <w:r w:rsidR="006437E3">
        <w:rPr>
          <w:rFonts w:ascii="Tahoma" w:hAnsi="Tahoma" w:cs="Tahoma"/>
          <w:b w:val="0"/>
          <w:sz w:val="18"/>
          <w:szCs w:val="18"/>
        </w:rPr>
        <w:t>5</w:t>
      </w:r>
      <w:r w:rsidRPr="00FF0A79">
        <w:rPr>
          <w:rFonts w:ascii="Tahoma" w:hAnsi="Tahoma" w:cs="Tahoma"/>
          <w:b w:val="0"/>
          <w:sz w:val="18"/>
          <w:szCs w:val="18"/>
        </w:rPr>
        <w:t>-00</w:t>
      </w:r>
      <w:r w:rsidR="006437E3">
        <w:rPr>
          <w:rFonts w:ascii="Tahoma" w:hAnsi="Tahoma" w:cs="Tahoma"/>
          <w:b w:val="0"/>
          <w:sz w:val="18"/>
          <w:szCs w:val="18"/>
        </w:rPr>
        <w:t>399</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r w:rsidR="00A67F18" w:rsidRPr="00A67F18">
        <w:rPr>
          <w:rFonts w:ascii="Tahoma" w:hAnsi="Tahoma" w:cs="Tahoma"/>
          <w:b w:val="0"/>
          <w:sz w:val="18"/>
          <w:szCs w:val="18"/>
        </w:rPr>
        <w:t xml:space="preserve"> </w:t>
      </w:r>
      <w:r w:rsidR="00A67F18">
        <w:rPr>
          <w:rFonts w:ascii="Tahoma" w:hAnsi="Tahoma" w:cs="Tahoma"/>
          <w:b w:val="0"/>
          <w:sz w:val="18"/>
          <w:szCs w:val="18"/>
        </w:rPr>
        <w:t xml:space="preserve">- </w:t>
      </w:r>
      <w:r w:rsidR="00A67F18" w:rsidRPr="00FF0A79">
        <w:rPr>
          <w:rFonts w:ascii="Tahoma" w:hAnsi="Tahoma" w:cs="Tahoma"/>
          <w:b w:val="0"/>
          <w:sz w:val="18"/>
          <w:szCs w:val="18"/>
        </w:rPr>
        <w:t xml:space="preserve">Sentencia del </w:t>
      </w:r>
      <w:r w:rsidR="00A67F18">
        <w:rPr>
          <w:rFonts w:ascii="Tahoma" w:hAnsi="Tahoma" w:cs="Tahoma"/>
          <w:b w:val="0"/>
          <w:sz w:val="18"/>
          <w:szCs w:val="18"/>
        </w:rPr>
        <w:t>27 de junio de 2017</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964549">
        <w:rPr>
          <w:rFonts w:ascii="Tahoma" w:hAnsi="Tahoma" w:cs="Tahoma"/>
          <w:b w:val="0"/>
          <w:sz w:val="18"/>
          <w:szCs w:val="18"/>
        </w:rPr>
        <w:t xml:space="preserve">Germán Valencia Cardona </w:t>
      </w:r>
      <w:r w:rsidR="006437E3">
        <w:rPr>
          <w:rFonts w:ascii="Tahoma" w:hAnsi="Tahoma" w:cs="Tahoma"/>
          <w:b w:val="0"/>
          <w:sz w:val="18"/>
          <w:szCs w:val="18"/>
        </w:rPr>
        <w:t xml:space="preserve"> </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CE6C1D">
        <w:rPr>
          <w:rFonts w:ascii="Tahoma" w:hAnsi="Tahoma" w:cs="Tahoma"/>
          <w:sz w:val="18"/>
          <w:szCs w:val="18"/>
        </w:rPr>
        <w:t>a</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2E6083" w:rsidRPr="00FF0A79">
        <w:rPr>
          <w:rFonts w:ascii="Tahoma" w:hAnsi="Tahoma" w:cs="Tahoma"/>
          <w:b w:val="0"/>
          <w:sz w:val="18"/>
          <w:szCs w:val="18"/>
        </w:rPr>
        <w:t xml:space="preserve">Olga Lucía Hoyos </w:t>
      </w:r>
      <w:r w:rsidR="00521F8D" w:rsidRPr="00FF0A79">
        <w:rPr>
          <w:rFonts w:ascii="Tahoma" w:hAnsi="Tahoma" w:cs="Tahoma"/>
          <w:b w:val="0"/>
          <w:sz w:val="18"/>
          <w:szCs w:val="18"/>
        </w:rPr>
        <w:t>Sepúlveda</w:t>
      </w:r>
    </w:p>
    <w:p w:rsidR="0084707C" w:rsidRDefault="008F2D96" w:rsidP="008F2D96">
      <w:pPr>
        <w:pStyle w:val="Puesto"/>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6B696C" w:rsidRPr="006B696C" w:rsidRDefault="0084707C" w:rsidP="006B696C">
      <w:pPr>
        <w:ind w:left="2835"/>
        <w:jc w:val="both"/>
        <w:rPr>
          <w:rFonts w:ascii="Tahoma" w:hAnsi="Tahoma" w:cs="Tahoma"/>
          <w:spacing w:val="-2"/>
          <w:sz w:val="18"/>
          <w:szCs w:val="18"/>
        </w:rPr>
      </w:pPr>
      <w:r w:rsidRPr="006B696C">
        <w:rPr>
          <w:rFonts w:ascii="Tahoma" w:hAnsi="Tahoma" w:cs="Tahoma"/>
          <w:b/>
          <w:sz w:val="18"/>
          <w:szCs w:val="18"/>
        </w:rPr>
        <w:t>Interpretación más favorable respecto a la aplicación del principio de la condición más beneficiosa</w:t>
      </w:r>
      <w:r w:rsidR="008F2D96" w:rsidRPr="006B696C">
        <w:rPr>
          <w:rFonts w:ascii="Tahoma" w:hAnsi="Tahoma" w:cs="Tahoma"/>
          <w:b/>
          <w:sz w:val="18"/>
          <w:szCs w:val="18"/>
        </w:rPr>
        <w:t>:</w:t>
      </w:r>
      <w:r w:rsidR="008F2D96" w:rsidRPr="006B696C">
        <w:rPr>
          <w:rFonts w:ascii="Tahoma" w:hAnsi="Tahoma" w:cs="Tahoma"/>
          <w:sz w:val="18"/>
          <w:szCs w:val="18"/>
        </w:rPr>
        <w:t xml:space="preserve"> </w:t>
      </w:r>
      <w:r w:rsidR="006B696C" w:rsidRPr="006B696C">
        <w:rPr>
          <w:rFonts w:ascii="Tahoma" w:hAnsi="Tahoma" w:cs="Tahoma"/>
          <w:spacing w:val="-2"/>
          <w:sz w:val="18"/>
          <w:szCs w:val="18"/>
        </w:rPr>
        <w:t xml:space="preserve">El caso podía analizarse a la luz del Acuerdo 049 de 1.990, que si bien no es la norma inmediatamente anterior, se acompasa al precedente la Corte Constitucional, quien a través de la sentencia SU-442 del 18 de agosto de 2016 </w:t>
      </w:r>
      <w:r w:rsidR="006B696C" w:rsidRPr="006B696C">
        <w:rPr>
          <w:rFonts w:ascii="Tahoma" w:hAnsi="Tahoma" w:cs="Tahoma"/>
          <w:i/>
          <w:spacing w:val="-2"/>
          <w:sz w:val="18"/>
          <w:szCs w:val="18"/>
        </w:rPr>
        <w:t>–en la que se analizó una pensión de invalidez-</w:t>
      </w:r>
      <w:r w:rsidR="006B696C" w:rsidRPr="006B696C">
        <w:rPr>
          <w:rFonts w:ascii="Tahoma" w:hAnsi="Tahoma" w:cs="Tahoma"/>
          <w:spacing w:val="-2"/>
          <w:sz w:val="18"/>
          <w:szCs w:val="18"/>
        </w:rPr>
        <w:t xml:space="preserve">, unificó los criterios en relación con la aplicación de la condición más beneficiosa, reiterando los precedentes anteriores y precisando que </w:t>
      </w:r>
      <w:r w:rsidR="006B696C" w:rsidRPr="006B696C">
        <w:rPr>
          <w:rFonts w:ascii="Tahoma" w:hAnsi="Tahoma" w:cs="Tahoma"/>
          <w:i/>
          <w:spacing w:val="-2"/>
          <w:sz w:val="18"/>
          <w:szCs w:val="18"/>
        </w:rPr>
        <w:t>“Si bien el legislador podía introducir ajustes o incluso reformas estructurales al sistema pensional, debía hacerlo en un marco de respeto por los derechos adquiridos y las expectativas legítimas”</w:t>
      </w:r>
      <w:r w:rsidR="006B696C" w:rsidRPr="006B696C">
        <w:rPr>
          <w:rFonts w:ascii="Tahoma" w:hAnsi="Tahoma" w:cs="Tahoma"/>
          <w:spacing w:val="-2"/>
          <w:sz w:val="18"/>
          <w:szCs w:val="18"/>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006B696C" w:rsidRPr="006B696C">
        <w:rPr>
          <w:rFonts w:ascii="Tahoma" w:hAnsi="Tahoma" w:cs="Tahoma"/>
          <w:i/>
          <w:spacing w:val="-2"/>
          <w:sz w:val="18"/>
          <w:szCs w:val="18"/>
        </w:rPr>
        <w:t>“no puede hablarse de un detrimento para la sostenibilidad financiera del sistema pensional”.</w:t>
      </w:r>
    </w:p>
    <w:p w:rsidR="006B696C" w:rsidRPr="006B696C" w:rsidRDefault="006B696C" w:rsidP="006B696C">
      <w:pPr>
        <w:ind w:left="2835"/>
        <w:jc w:val="both"/>
        <w:rPr>
          <w:rFonts w:ascii="Tahoma" w:hAnsi="Tahoma" w:cs="Tahoma"/>
          <w:sz w:val="18"/>
          <w:szCs w:val="18"/>
        </w:rPr>
      </w:pPr>
    </w:p>
    <w:p w:rsidR="006B696C" w:rsidRPr="006B696C" w:rsidRDefault="006B696C" w:rsidP="006B696C">
      <w:pPr>
        <w:ind w:left="2835"/>
        <w:jc w:val="both"/>
        <w:rPr>
          <w:rFonts w:ascii="Tahoma" w:hAnsi="Tahoma" w:cs="Tahoma"/>
          <w:spacing w:val="-2"/>
          <w:sz w:val="18"/>
          <w:szCs w:val="18"/>
        </w:rPr>
      </w:pPr>
      <w:r w:rsidRPr="006B696C">
        <w:rPr>
          <w:rFonts w:ascii="Tahoma" w:hAnsi="Tahoma" w:cs="Tahoma"/>
          <w:spacing w:val="-2"/>
          <w:sz w:val="18"/>
          <w:szCs w:val="18"/>
        </w:rPr>
        <w:t xml:space="preserve">Este precedente de la Corte Constitucional ha sido acogido por las Salas de Decisión Laboral No. 1 y 3 de esta Corporación, por la mayoría de sus integrantes, 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6B696C" w:rsidRPr="006B696C" w:rsidRDefault="006B696C" w:rsidP="006B696C">
      <w:pPr>
        <w:ind w:left="2835"/>
        <w:jc w:val="both"/>
        <w:rPr>
          <w:rFonts w:ascii="Tahoma" w:hAnsi="Tahoma" w:cs="Tahoma"/>
          <w:spacing w:val="-2"/>
          <w:sz w:val="18"/>
          <w:szCs w:val="18"/>
        </w:rPr>
      </w:pPr>
    </w:p>
    <w:p w:rsidR="006B696C" w:rsidRPr="006B696C" w:rsidRDefault="006B696C" w:rsidP="006B696C">
      <w:pPr>
        <w:ind w:left="2835"/>
        <w:jc w:val="both"/>
        <w:rPr>
          <w:rFonts w:ascii="Tahoma" w:hAnsi="Tahoma" w:cs="Tahoma"/>
          <w:spacing w:val="-2"/>
          <w:sz w:val="18"/>
          <w:szCs w:val="18"/>
        </w:rPr>
      </w:pPr>
      <w:r w:rsidRPr="006B696C">
        <w:rPr>
          <w:rFonts w:ascii="Tahoma" w:hAnsi="Tahoma" w:cs="Tahoma"/>
          <w:spacing w:val="-2"/>
          <w:sz w:val="18"/>
          <w:szCs w:val="18"/>
        </w:rPr>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6B696C" w:rsidRPr="006B696C" w:rsidRDefault="006B696C" w:rsidP="006B696C">
      <w:pPr>
        <w:ind w:left="2835"/>
        <w:jc w:val="both"/>
        <w:rPr>
          <w:rFonts w:ascii="Tahoma" w:hAnsi="Tahoma" w:cs="Tahoma"/>
          <w:spacing w:val="-2"/>
          <w:sz w:val="18"/>
          <w:szCs w:val="18"/>
        </w:rPr>
      </w:pPr>
    </w:p>
    <w:p w:rsidR="00FF0A79" w:rsidRPr="006B696C" w:rsidRDefault="006B696C" w:rsidP="006B696C">
      <w:pPr>
        <w:pStyle w:val="Puesto"/>
        <w:spacing w:line="240" w:lineRule="auto"/>
        <w:ind w:left="2835"/>
        <w:jc w:val="both"/>
        <w:rPr>
          <w:b w:val="0"/>
          <w:sz w:val="18"/>
          <w:szCs w:val="18"/>
          <w:lang w:val="es-CO" w:eastAsia="es-MX"/>
        </w:rPr>
      </w:pPr>
      <w:r w:rsidRPr="006B696C">
        <w:rPr>
          <w:rFonts w:ascii="Tahoma" w:hAnsi="Tahoma" w:cs="Tahoma"/>
          <w:b w:val="0"/>
          <w:sz w:val="18"/>
          <w:szCs w:val="18"/>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w:t>
      </w:r>
      <w:r>
        <w:rPr>
          <w:rFonts w:ascii="Tahoma" w:hAnsi="Tahoma" w:cs="Tahoma"/>
          <w:b w:val="0"/>
          <w:sz w:val="18"/>
          <w:szCs w:val="18"/>
        </w:rPr>
        <w:t>.</w:t>
      </w:r>
    </w:p>
    <w:p w:rsidR="00FF0A79" w:rsidRPr="00C76801" w:rsidRDefault="00FF0A79" w:rsidP="008F2D96">
      <w:pPr>
        <w:rPr>
          <w:lang w:val="es-CO" w:eastAsia="es-MX"/>
        </w:rPr>
      </w:pPr>
    </w:p>
    <w:p w:rsidR="008F2D96" w:rsidRPr="0084707C" w:rsidRDefault="008F2D96" w:rsidP="0084707C">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8F2D96" w:rsidRDefault="008F2D96" w:rsidP="00A462A2">
      <w:pPr>
        <w:ind w:firstLine="709"/>
        <w:jc w:val="both"/>
        <w:rPr>
          <w:rFonts w:ascii="Tahoma" w:hAnsi="Tahoma" w:cs="Tahoma"/>
          <w:sz w:val="22"/>
          <w:szCs w:val="22"/>
        </w:rPr>
      </w:pPr>
      <w:r w:rsidRPr="00A462A2">
        <w:rPr>
          <w:rFonts w:ascii="Tahoma" w:hAnsi="Tahoma" w:cs="Tahoma"/>
          <w:sz w:val="22"/>
          <w:szCs w:val="22"/>
        </w:rPr>
        <w:t xml:space="preserve">Con mi acostumbrado respeto, manifiesto mi inconformidad frente a la sentencia mayoritaria, por cuanto considero que en el presente caso había lugar a aplicar el principio de condición más beneficiosa a efectos de conceder la pensión de </w:t>
      </w:r>
      <w:r w:rsidR="00964549">
        <w:rPr>
          <w:rFonts w:ascii="Tahoma" w:hAnsi="Tahoma" w:cs="Tahoma"/>
          <w:sz w:val="22"/>
          <w:szCs w:val="22"/>
        </w:rPr>
        <w:t xml:space="preserve">invalidez </w:t>
      </w:r>
      <w:r w:rsidRPr="00A462A2">
        <w:rPr>
          <w:rFonts w:ascii="Tahoma" w:hAnsi="Tahoma" w:cs="Tahoma"/>
          <w:sz w:val="22"/>
          <w:szCs w:val="22"/>
        </w:rPr>
        <w:t xml:space="preserve">deprecada en la demanda por las siguientes razones: </w:t>
      </w:r>
    </w:p>
    <w:p w:rsidR="00A462A2" w:rsidRPr="00A462A2" w:rsidRDefault="00A462A2" w:rsidP="00A462A2">
      <w:pPr>
        <w:ind w:firstLine="709"/>
        <w:jc w:val="both"/>
        <w:rPr>
          <w:rFonts w:ascii="Tahoma" w:hAnsi="Tahoma" w:cs="Tahoma"/>
          <w:sz w:val="22"/>
          <w:szCs w:val="22"/>
        </w:rPr>
      </w:pPr>
    </w:p>
    <w:p w:rsidR="00D52B19" w:rsidRPr="000842F2" w:rsidRDefault="00D52B19" w:rsidP="00D52B19">
      <w:pPr>
        <w:spacing w:line="276" w:lineRule="auto"/>
        <w:ind w:firstLine="708"/>
        <w:jc w:val="both"/>
        <w:rPr>
          <w:rFonts w:ascii="Tahoma" w:hAnsi="Tahoma" w:cs="Tahoma"/>
          <w:color w:val="FF0000"/>
          <w:sz w:val="22"/>
          <w:szCs w:val="22"/>
        </w:rPr>
      </w:pPr>
      <w:r w:rsidRPr="00315F50">
        <w:rPr>
          <w:rFonts w:ascii="Tahoma" w:hAnsi="Tahoma" w:cs="Tahoma"/>
          <w:sz w:val="22"/>
          <w:szCs w:val="22"/>
        </w:rPr>
        <w:t>Respecto a la aplicación de</w:t>
      </w:r>
      <w:r>
        <w:rPr>
          <w:rFonts w:ascii="Tahoma" w:hAnsi="Tahoma" w:cs="Tahoma"/>
          <w:sz w:val="22"/>
          <w:szCs w:val="22"/>
        </w:rPr>
        <w:t>l principio de la condición más beneficiosa</w:t>
      </w:r>
      <w:r w:rsidRPr="00315F50">
        <w:rPr>
          <w:rFonts w:ascii="Tahoma" w:hAnsi="Tahoma" w:cs="Tahoma"/>
          <w:sz w:val="22"/>
          <w:szCs w:val="22"/>
        </w:rPr>
        <w:t xml:space="preserve"> existen dos interpretaciones: una de la Sala de Casación Laboral de la Corte Suprema de Justicia que es </w:t>
      </w:r>
      <w:r>
        <w:rPr>
          <w:rFonts w:ascii="Tahoma" w:hAnsi="Tahoma" w:cs="Tahoma"/>
          <w:sz w:val="22"/>
          <w:szCs w:val="22"/>
        </w:rPr>
        <w:t>restrictiva</w:t>
      </w:r>
      <w:r w:rsidRPr="00315F50">
        <w:rPr>
          <w:rFonts w:ascii="Tahoma" w:hAnsi="Tahoma" w:cs="Tahoma"/>
          <w:sz w:val="22"/>
          <w:szCs w:val="22"/>
        </w:rPr>
        <w:t>, y otra de la Corte Constitucional que es mucho más amplia. La primera aduce que sólo es posible acudir a la norma inmediatamente anterior, mientras la segunda asevera que puede acudirse a</w:t>
      </w:r>
      <w:r>
        <w:rPr>
          <w:rFonts w:ascii="Tahoma" w:hAnsi="Tahoma" w:cs="Tahoma"/>
          <w:b/>
          <w:sz w:val="22"/>
          <w:szCs w:val="22"/>
        </w:rPr>
        <w:t xml:space="preserve"> </w:t>
      </w:r>
      <w:r w:rsidRPr="002F3A73">
        <w:rPr>
          <w:rFonts w:ascii="Tahoma" w:hAnsi="Tahoma" w:cs="Tahoma"/>
          <w:spacing w:val="-2"/>
          <w:sz w:val="22"/>
          <w:szCs w:val="22"/>
        </w:rPr>
        <w:lastRenderedPageBreak/>
        <w:t xml:space="preserve">una norma anterior, independientemente si es inmediata o no, bajo la tesis de que el artículo 53 de la Constitución </w:t>
      </w:r>
      <w:r>
        <w:rPr>
          <w:rFonts w:ascii="Tahoma" w:hAnsi="Tahoma" w:cs="Tahoma"/>
          <w:spacing w:val="-2"/>
          <w:sz w:val="22"/>
          <w:szCs w:val="22"/>
        </w:rPr>
        <w:t xml:space="preserve">Política </w:t>
      </w:r>
      <w:r w:rsidRPr="002F3A73">
        <w:rPr>
          <w:rFonts w:ascii="Tahoma" w:hAnsi="Tahoma" w:cs="Tahoma"/>
          <w:spacing w:val="-2"/>
          <w:sz w:val="22"/>
          <w:szCs w:val="22"/>
        </w:rPr>
        <w:t xml:space="preserve">no restringe la aplicación de la condición más beneficiosa a sólo </w:t>
      </w:r>
      <w:r>
        <w:rPr>
          <w:rFonts w:ascii="Tahoma" w:hAnsi="Tahoma" w:cs="Tahoma"/>
          <w:spacing w:val="-2"/>
          <w:sz w:val="22"/>
          <w:szCs w:val="22"/>
        </w:rPr>
        <w:t>dos</w:t>
      </w:r>
      <w:r w:rsidRPr="002F3A73">
        <w:rPr>
          <w:rFonts w:ascii="Tahoma" w:hAnsi="Tahoma" w:cs="Tahoma"/>
          <w:spacing w:val="-2"/>
          <w:sz w:val="22"/>
          <w:szCs w:val="22"/>
        </w:rPr>
        <w:t xml:space="preserve"> normas aplicables al caso, apartándose de la interpretación de la Corte Suprema de Justicia por considerarla menos favorable que la asumida por esa Colegiatura.</w:t>
      </w:r>
      <w:r>
        <w:rPr>
          <w:rFonts w:ascii="Tahoma" w:hAnsi="Tahoma" w:cs="Tahoma"/>
          <w:spacing w:val="-2"/>
          <w:sz w:val="22"/>
          <w:szCs w:val="22"/>
        </w:rPr>
        <w:t xml:space="preserve"> Así lo expresó, entre otras, en la </w:t>
      </w:r>
      <w:r w:rsidRPr="002F3A73">
        <w:rPr>
          <w:rFonts w:ascii="Tahoma" w:hAnsi="Tahoma" w:cs="Tahoma"/>
          <w:spacing w:val="-2"/>
          <w:sz w:val="22"/>
          <w:szCs w:val="22"/>
        </w:rPr>
        <w:t>sentencia T-566 de 2014</w:t>
      </w:r>
      <w:r>
        <w:rPr>
          <w:rStyle w:val="Refdenotaalpie"/>
          <w:rFonts w:ascii="Tahoma" w:hAnsi="Tahoma" w:cs="Tahoma"/>
          <w:spacing w:val="-2"/>
          <w:sz w:val="22"/>
          <w:szCs w:val="22"/>
        </w:rPr>
        <w:footnoteReference w:id="1"/>
      </w:r>
      <w:r>
        <w:rPr>
          <w:rFonts w:ascii="Tahoma" w:hAnsi="Tahoma" w:cs="Tahoma"/>
          <w:spacing w:val="-2"/>
          <w:sz w:val="22"/>
          <w:szCs w:val="22"/>
        </w:rPr>
        <w:t xml:space="preserve">. </w:t>
      </w:r>
    </w:p>
    <w:p w:rsidR="00D52B19" w:rsidRPr="00B43DD0" w:rsidRDefault="00D52B19" w:rsidP="00D52B19">
      <w:pPr>
        <w:spacing w:line="276" w:lineRule="auto"/>
        <w:ind w:firstLine="709"/>
        <w:jc w:val="both"/>
        <w:rPr>
          <w:rFonts w:ascii="Tahoma" w:hAnsi="Tahoma" w:cs="Tahoma"/>
          <w:spacing w:val="-2"/>
          <w:sz w:val="22"/>
          <w:szCs w:val="22"/>
        </w:rPr>
      </w:pPr>
    </w:p>
    <w:p w:rsidR="00D52B19" w:rsidRPr="00B43DD0" w:rsidRDefault="00D52B19" w:rsidP="00D52B19">
      <w:pPr>
        <w:spacing w:line="276" w:lineRule="auto"/>
        <w:ind w:firstLine="709"/>
        <w:jc w:val="both"/>
        <w:rPr>
          <w:rFonts w:ascii="Tahoma" w:hAnsi="Tahoma" w:cs="Tahoma"/>
          <w:spacing w:val="-2"/>
          <w:sz w:val="22"/>
          <w:szCs w:val="22"/>
        </w:rPr>
      </w:pPr>
      <w:r>
        <w:rPr>
          <w:rFonts w:ascii="Tahoma" w:hAnsi="Tahoma" w:cs="Tahoma"/>
          <w:spacing w:val="-2"/>
          <w:sz w:val="22"/>
          <w:szCs w:val="22"/>
        </w:rPr>
        <w:t>Sin embargo, hace poco l</w:t>
      </w:r>
      <w:r w:rsidRPr="00B43DD0">
        <w:rPr>
          <w:rFonts w:ascii="Tahoma" w:hAnsi="Tahoma" w:cs="Tahoma"/>
          <w:spacing w:val="-2"/>
          <w:sz w:val="22"/>
          <w:szCs w:val="22"/>
        </w:rPr>
        <w:t>a Sala de Casación Laboral redujo aún más su postura en la aplicación de este principio en el tránsito de la Ley 100 original a la Ley 860 de 2003</w:t>
      </w:r>
      <w:r>
        <w:rPr>
          <w:rFonts w:ascii="Tahoma" w:hAnsi="Tahoma" w:cs="Tahoma"/>
          <w:spacing w:val="-2"/>
          <w:sz w:val="22"/>
          <w:szCs w:val="22"/>
        </w:rPr>
        <w:t>,</w:t>
      </w:r>
      <w:r w:rsidRPr="00B43DD0">
        <w:rPr>
          <w:rFonts w:ascii="Tahoma" w:hAnsi="Tahoma" w:cs="Tahoma"/>
          <w:spacing w:val="-2"/>
          <w:sz w:val="22"/>
          <w:szCs w:val="22"/>
        </w:rPr>
        <w:t xml:space="preserve"> en la Sentencia SL 2358, Radicado No. 44596 del 25 de enero de 2017, en la que se analizó una pensión de invalidez, al imponer una limitación temporal en el sentido de que la invalidez debió estructurarse en los 3 años siguientes a la entrada en vigencia de dicha norma, esto es, entre el 26 de diciembre de 2003 y el 26 de diciembre de 2006, </w:t>
      </w:r>
      <w:r w:rsidRPr="00D52B19">
        <w:rPr>
          <w:rFonts w:ascii="Tahoma" w:hAnsi="Tahoma" w:cs="Tahoma"/>
          <w:i/>
          <w:spacing w:val="-2"/>
          <w:sz w:val="22"/>
          <w:szCs w:val="22"/>
        </w:rPr>
        <w:t>-y si se da ese requisito, se puede entrar a analizar otros señalados en la misma providencia-</w:t>
      </w:r>
      <w:r w:rsidRPr="00B43DD0">
        <w:rPr>
          <w:rFonts w:ascii="Tahoma" w:hAnsi="Tahoma" w:cs="Tahoma"/>
          <w:spacing w:val="-2"/>
          <w:sz w:val="22"/>
          <w:szCs w:val="22"/>
        </w:rPr>
        <w:t>.</w:t>
      </w:r>
    </w:p>
    <w:p w:rsidR="00D52B19" w:rsidRPr="00B43DD0" w:rsidRDefault="00D52B19" w:rsidP="00D52B19">
      <w:pPr>
        <w:spacing w:line="276" w:lineRule="auto"/>
        <w:ind w:firstLine="709"/>
        <w:jc w:val="both"/>
        <w:rPr>
          <w:rFonts w:ascii="Tahoma" w:hAnsi="Tahoma" w:cs="Tahoma"/>
          <w:spacing w:val="-2"/>
          <w:sz w:val="22"/>
          <w:szCs w:val="22"/>
        </w:rPr>
      </w:pPr>
    </w:p>
    <w:p w:rsidR="0072408B" w:rsidRDefault="008155EB" w:rsidP="00D52B19">
      <w:pPr>
        <w:spacing w:line="276" w:lineRule="auto"/>
        <w:ind w:firstLine="709"/>
        <w:jc w:val="both"/>
        <w:rPr>
          <w:rFonts w:ascii="Tahoma" w:hAnsi="Tahoma" w:cs="Tahoma"/>
          <w:spacing w:val="-2"/>
          <w:sz w:val="22"/>
          <w:szCs w:val="22"/>
        </w:rPr>
      </w:pPr>
      <w:r w:rsidRPr="00B43DD0">
        <w:rPr>
          <w:rFonts w:ascii="Tahoma" w:hAnsi="Tahoma" w:cs="Tahoma"/>
          <w:spacing w:val="-2"/>
          <w:sz w:val="22"/>
          <w:szCs w:val="22"/>
        </w:rPr>
        <w:t xml:space="preserve">En </w:t>
      </w:r>
      <w:r w:rsidR="00D52B19" w:rsidRPr="00B43DD0">
        <w:rPr>
          <w:rFonts w:ascii="Tahoma" w:hAnsi="Tahoma" w:cs="Tahoma"/>
          <w:spacing w:val="-2"/>
          <w:sz w:val="22"/>
          <w:szCs w:val="22"/>
        </w:rPr>
        <w:t xml:space="preserve">el presente caso </w:t>
      </w:r>
      <w:r w:rsidR="0072408B">
        <w:rPr>
          <w:rFonts w:ascii="Tahoma" w:hAnsi="Tahoma" w:cs="Tahoma"/>
          <w:spacing w:val="-2"/>
          <w:sz w:val="22"/>
          <w:szCs w:val="22"/>
        </w:rPr>
        <w:t xml:space="preserve">a pesar de que la estructuración de la invalidez se dio en el </w:t>
      </w:r>
      <w:r w:rsidR="0072408B" w:rsidRPr="00B43DD0">
        <w:rPr>
          <w:rFonts w:ascii="Tahoma" w:hAnsi="Tahoma" w:cs="Tahoma"/>
          <w:spacing w:val="-2"/>
          <w:sz w:val="22"/>
          <w:szCs w:val="22"/>
        </w:rPr>
        <w:t>interregno que jurisprudencialmente estableció la Sala de Casación Laboral en la citada sentencia para la aplicación de la ley 100 original</w:t>
      </w:r>
      <w:r w:rsidR="0072408B">
        <w:rPr>
          <w:rFonts w:ascii="Tahoma" w:hAnsi="Tahoma" w:cs="Tahoma"/>
          <w:spacing w:val="-2"/>
          <w:sz w:val="22"/>
          <w:szCs w:val="22"/>
        </w:rPr>
        <w:t xml:space="preserve">, no podía concederse la prestación en virtud de dicha disposición normativa por cuanto al no estar cotizando al 26 de diciembre de 2003 ni al momento de la estructuración de la invalidez, </w:t>
      </w:r>
      <w:r>
        <w:rPr>
          <w:rFonts w:ascii="Tahoma" w:hAnsi="Tahoma" w:cs="Tahoma"/>
          <w:spacing w:val="-2"/>
          <w:sz w:val="22"/>
          <w:szCs w:val="22"/>
        </w:rPr>
        <w:t xml:space="preserve">el promotor del litigo </w:t>
      </w:r>
      <w:r w:rsidR="0072408B">
        <w:rPr>
          <w:rFonts w:ascii="Tahoma" w:hAnsi="Tahoma" w:cs="Tahoma"/>
          <w:spacing w:val="-2"/>
          <w:sz w:val="22"/>
          <w:szCs w:val="22"/>
        </w:rPr>
        <w:t xml:space="preserve">debía contar con 26 semanas cotizadas </w:t>
      </w:r>
      <w:r w:rsidR="00680EF9">
        <w:rPr>
          <w:rFonts w:ascii="Tahoma" w:hAnsi="Tahoma" w:cs="Tahoma"/>
          <w:spacing w:val="-2"/>
          <w:sz w:val="22"/>
          <w:szCs w:val="22"/>
        </w:rPr>
        <w:t>en el año anterior a ese hecho y la misma cantidad en el año anterior al momento del cambio legislativo, exigencias que, tal como se advirtiera en la sentencia mayoría</w:t>
      </w:r>
      <w:r w:rsidR="00015F3C">
        <w:rPr>
          <w:rFonts w:ascii="Tahoma" w:hAnsi="Tahoma" w:cs="Tahoma"/>
          <w:spacing w:val="-2"/>
          <w:sz w:val="22"/>
          <w:szCs w:val="22"/>
        </w:rPr>
        <w:t>.</w:t>
      </w:r>
    </w:p>
    <w:p w:rsidR="00D52B19" w:rsidRPr="00B43DD0" w:rsidRDefault="00D52B19" w:rsidP="00D52B19">
      <w:pPr>
        <w:spacing w:line="276" w:lineRule="auto"/>
        <w:ind w:firstLine="709"/>
        <w:jc w:val="both"/>
        <w:rPr>
          <w:rFonts w:ascii="Tahoma" w:hAnsi="Tahoma" w:cs="Tahoma"/>
          <w:spacing w:val="-2"/>
          <w:sz w:val="22"/>
          <w:szCs w:val="22"/>
        </w:rPr>
      </w:pPr>
    </w:p>
    <w:p w:rsidR="00D52B19" w:rsidRPr="00B43DD0" w:rsidRDefault="00D52B19" w:rsidP="00D52B19">
      <w:pPr>
        <w:spacing w:line="276" w:lineRule="auto"/>
        <w:ind w:firstLine="709"/>
        <w:jc w:val="both"/>
        <w:rPr>
          <w:rFonts w:ascii="Tahoma" w:hAnsi="Tahoma" w:cs="Tahoma"/>
          <w:spacing w:val="-2"/>
          <w:sz w:val="22"/>
          <w:szCs w:val="22"/>
        </w:rPr>
      </w:pPr>
      <w:r w:rsidRPr="00B43DD0">
        <w:rPr>
          <w:rFonts w:ascii="Tahoma" w:hAnsi="Tahoma" w:cs="Tahoma"/>
          <w:spacing w:val="-2"/>
          <w:sz w:val="22"/>
          <w:szCs w:val="22"/>
        </w:rPr>
        <w:t>No obstante, el caso p</w:t>
      </w:r>
      <w:r w:rsidR="00015F3C">
        <w:rPr>
          <w:rFonts w:ascii="Tahoma" w:hAnsi="Tahoma" w:cs="Tahoma"/>
          <w:spacing w:val="-2"/>
          <w:sz w:val="22"/>
          <w:szCs w:val="22"/>
        </w:rPr>
        <w:t>odía</w:t>
      </w:r>
      <w:r w:rsidRPr="00B43DD0">
        <w:rPr>
          <w:rFonts w:ascii="Tahoma" w:hAnsi="Tahoma" w:cs="Tahoma"/>
          <w:spacing w:val="-2"/>
          <w:sz w:val="22"/>
          <w:szCs w:val="22"/>
        </w:rPr>
        <w:t xml:space="preserve"> analizarse a la luz del Acuerdo 049 de 1.990, que si bien no es la norma inmediatamente anterior, se acompasa al precedente la Corte Constitucional</w:t>
      </w:r>
      <w:r w:rsidR="00015F3C">
        <w:rPr>
          <w:rFonts w:ascii="Tahoma" w:hAnsi="Tahoma" w:cs="Tahoma"/>
          <w:spacing w:val="-2"/>
          <w:sz w:val="22"/>
          <w:szCs w:val="22"/>
        </w:rPr>
        <w:t>,</w:t>
      </w:r>
      <w:r w:rsidRPr="00B43DD0">
        <w:rPr>
          <w:rFonts w:ascii="Tahoma" w:hAnsi="Tahoma" w:cs="Tahoma"/>
          <w:spacing w:val="-2"/>
          <w:sz w:val="22"/>
          <w:szCs w:val="22"/>
        </w:rPr>
        <w:t xml:space="preserve"> quien a través de la sentencia SU-442 del 18 de agosto de 2016 </w:t>
      </w:r>
      <w:r w:rsidRPr="00015F3C">
        <w:rPr>
          <w:rFonts w:ascii="Tahoma" w:hAnsi="Tahoma" w:cs="Tahoma"/>
          <w:i/>
          <w:spacing w:val="-2"/>
          <w:sz w:val="22"/>
          <w:szCs w:val="22"/>
        </w:rPr>
        <w:t>–en la que se analizó una pensión de invalidez-</w:t>
      </w:r>
      <w:r w:rsidRPr="00B43DD0">
        <w:rPr>
          <w:rFonts w:ascii="Tahoma" w:hAnsi="Tahoma" w:cs="Tahoma"/>
          <w:spacing w:val="-2"/>
          <w:sz w:val="22"/>
          <w:szCs w:val="22"/>
        </w:rPr>
        <w:t xml:space="preserve">, unificó los criterios en relación con la aplicación de la condición más beneficiosa, reiterando los precedentes anteriores y precisando que </w:t>
      </w:r>
      <w:r w:rsidRPr="00015F3C">
        <w:rPr>
          <w:rFonts w:ascii="Tahoma" w:hAnsi="Tahoma" w:cs="Tahoma"/>
          <w:i/>
          <w:spacing w:val="-2"/>
          <w:sz w:val="22"/>
          <w:szCs w:val="22"/>
        </w:rPr>
        <w:t>“Si bien el legislador podía introducir ajustes o incluso reformas estructurales al sistema pensional, debía hacerlo en un marco de respeto por los derechos adquiridos y las expectativas legítimas”</w:t>
      </w:r>
      <w:r w:rsidRPr="00B43DD0">
        <w:rPr>
          <w:rFonts w:ascii="Tahoma" w:hAnsi="Tahoma" w:cs="Tahoma"/>
          <w:spacing w:val="-2"/>
          <w:sz w:val="22"/>
          <w:szCs w:val="22"/>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015F3C">
        <w:rPr>
          <w:rFonts w:ascii="Tahoma" w:hAnsi="Tahoma" w:cs="Tahoma"/>
          <w:i/>
          <w:spacing w:val="-2"/>
          <w:sz w:val="22"/>
          <w:szCs w:val="22"/>
        </w:rPr>
        <w:t>“no puede hablarse de un detrimento para la sostenibilidad financiera del sistema pensional”.</w:t>
      </w:r>
    </w:p>
    <w:p w:rsidR="00D52B19" w:rsidRPr="002F3A73" w:rsidRDefault="00D52B19" w:rsidP="00D52B19">
      <w:pPr>
        <w:spacing w:line="276" w:lineRule="auto"/>
        <w:ind w:firstLine="708"/>
        <w:jc w:val="both"/>
        <w:rPr>
          <w:rFonts w:ascii="Tahoma" w:hAnsi="Tahoma" w:cs="Tahoma"/>
          <w:sz w:val="22"/>
          <w:szCs w:val="22"/>
        </w:rPr>
      </w:pPr>
    </w:p>
    <w:p w:rsidR="00D52B19" w:rsidRDefault="00D52B19" w:rsidP="00D52B19">
      <w:pPr>
        <w:spacing w:line="276" w:lineRule="auto"/>
        <w:jc w:val="both"/>
        <w:rPr>
          <w:rFonts w:ascii="Tahoma" w:hAnsi="Tahoma" w:cs="Tahoma"/>
          <w:spacing w:val="-2"/>
          <w:sz w:val="22"/>
          <w:szCs w:val="22"/>
        </w:rPr>
      </w:pPr>
      <w:r>
        <w:rPr>
          <w:rFonts w:ascii="Tahoma" w:hAnsi="Tahoma" w:cs="Tahoma"/>
          <w:spacing w:val="-2"/>
          <w:sz w:val="22"/>
          <w:szCs w:val="22"/>
        </w:rPr>
        <w:tab/>
        <w:t xml:space="preserve">Este precedente de la Corte Constitucional ha sido acogido por las Salas de Decisión Laboral No. 1 y 3 de esta Corporación, por la mayoría de sus integrantes, atendiendo precisamente uno de los principios pilares del Derecho laboral como es el Principio </w:t>
      </w:r>
      <w:r w:rsidR="00015F3C">
        <w:rPr>
          <w:rFonts w:ascii="Tahoma" w:hAnsi="Tahoma" w:cs="Tahoma"/>
          <w:spacing w:val="-2"/>
          <w:sz w:val="22"/>
          <w:szCs w:val="22"/>
        </w:rPr>
        <w:t xml:space="preserve">Pro </w:t>
      </w:r>
      <w:r>
        <w:rPr>
          <w:rFonts w:ascii="Tahoma" w:hAnsi="Tahoma" w:cs="Tahoma"/>
          <w:spacing w:val="-2"/>
          <w:sz w:val="22"/>
          <w:szCs w:val="22"/>
        </w:rPr>
        <w:t xml:space="preserve">Operario, en virtud del cual se debe acoger la interpretación más favorable cuando existan dos o más interpretaciones frente a una misma fuente normativa, principio consagrado en el artículo 53 de la Constitución y el artículo 21 del </w:t>
      </w:r>
      <w:r w:rsidR="00C40590">
        <w:rPr>
          <w:rFonts w:ascii="Tahoma" w:hAnsi="Tahoma" w:cs="Tahoma"/>
          <w:spacing w:val="-2"/>
          <w:sz w:val="22"/>
          <w:szCs w:val="22"/>
        </w:rPr>
        <w:t xml:space="preserve">Código Sustantivo </w:t>
      </w:r>
      <w:r>
        <w:rPr>
          <w:rFonts w:ascii="Tahoma" w:hAnsi="Tahoma" w:cs="Tahoma"/>
          <w:spacing w:val="-2"/>
          <w:sz w:val="22"/>
          <w:szCs w:val="22"/>
        </w:rPr>
        <w:t xml:space="preserve">del Trabajo. No sobra recordar que el principio pro operario y en general todos los principios </w:t>
      </w:r>
      <w:r>
        <w:rPr>
          <w:rFonts w:ascii="Tahoma" w:hAnsi="Tahoma" w:cs="Tahoma"/>
          <w:spacing w:val="-2"/>
          <w:sz w:val="22"/>
          <w:szCs w:val="22"/>
        </w:rPr>
        <w:lastRenderedPageBreak/>
        <w:t xml:space="preserve">mínimos fundamentales del artículo 53 de la Constitución Política operan en favor no solo del trabajador sino de quien hace parte del sistema general de seguridad social. </w:t>
      </w:r>
    </w:p>
    <w:p w:rsidR="00D52B19" w:rsidRDefault="00D52B19" w:rsidP="00D52B19">
      <w:pPr>
        <w:spacing w:line="276" w:lineRule="auto"/>
        <w:jc w:val="both"/>
        <w:rPr>
          <w:rFonts w:ascii="Tahoma" w:hAnsi="Tahoma" w:cs="Tahoma"/>
          <w:spacing w:val="-2"/>
          <w:sz w:val="22"/>
          <w:szCs w:val="22"/>
        </w:rPr>
      </w:pPr>
    </w:p>
    <w:p w:rsidR="00D52B19" w:rsidRDefault="00D52B19" w:rsidP="00D52B19">
      <w:pPr>
        <w:spacing w:line="276" w:lineRule="auto"/>
        <w:jc w:val="both"/>
        <w:rPr>
          <w:rFonts w:ascii="Tahoma" w:hAnsi="Tahoma" w:cs="Tahoma"/>
          <w:spacing w:val="-2"/>
          <w:sz w:val="22"/>
          <w:szCs w:val="22"/>
        </w:rPr>
      </w:pPr>
      <w:r>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D52B19" w:rsidRPr="002F3A73" w:rsidRDefault="00D52B19" w:rsidP="00D52B19">
      <w:pPr>
        <w:jc w:val="both"/>
        <w:rPr>
          <w:rFonts w:ascii="Tahoma" w:hAnsi="Tahoma" w:cs="Tahoma"/>
          <w:spacing w:val="-2"/>
          <w:sz w:val="22"/>
          <w:szCs w:val="22"/>
        </w:rPr>
      </w:pPr>
    </w:p>
    <w:p w:rsidR="00D52B19" w:rsidRPr="002F3A73" w:rsidRDefault="00D52B19" w:rsidP="00D52B19">
      <w:pPr>
        <w:pStyle w:val="Textoindependiente31"/>
        <w:spacing w:line="276" w:lineRule="auto"/>
        <w:ind w:firstLine="851"/>
        <w:rPr>
          <w:rFonts w:ascii="Tahoma" w:hAnsi="Tahoma" w:cs="Tahoma"/>
          <w:sz w:val="22"/>
          <w:szCs w:val="22"/>
        </w:rPr>
      </w:pPr>
      <w:r>
        <w:rPr>
          <w:rFonts w:ascii="Tahoma" w:hAnsi="Tahoma" w:cs="Tahoma"/>
          <w:sz w:val="22"/>
          <w:szCs w:val="22"/>
        </w:rPr>
        <w:t>Ahora, e</w:t>
      </w:r>
      <w:r w:rsidRPr="002F3A73">
        <w:rPr>
          <w:rFonts w:ascii="Tahoma" w:hAnsi="Tahoma" w:cs="Tahoma"/>
          <w:sz w:val="22"/>
          <w:szCs w:val="22"/>
        </w:rPr>
        <w:t>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D52B19" w:rsidRPr="002F3A73" w:rsidRDefault="00D52B19" w:rsidP="00D52B19">
      <w:pPr>
        <w:pStyle w:val="Sinespaciado"/>
      </w:pPr>
    </w:p>
    <w:p w:rsidR="00D52B19" w:rsidRPr="002F3A73" w:rsidRDefault="00D52B19" w:rsidP="00D52B19">
      <w:pPr>
        <w:overflowPunct w:val="0"/>
        <w:autoSpaceDE w:val="0"/>
        <w:autoSpaceDN w:val="0"/>
        <w:adjustRightInd w:val="0"/>
        <w:ind w:left="709" w:right="193"/>
        <w:jc w:val="both"/>
        <w:textAlignment w:val="baseline"/>
        <w:rPr>
          <w:rFonts w:ascii="Arial Narrow" w:hAnsi="Arial Narrow" w:cs="Tahoma"/>
          <w:i/>
          <w:sz w:val="22"/>
          <w:szCs w:val="22"/>
        </w:rPr>
      </w:pPr>
      <w:r w:rsidRPr="002F3A73">
        <w:rPr>
          <w:rFonts w:ascii="Arial Narrow" w:hAnsi="Arial Narrow" w:cs="Tahoma"/>
          <w:i/>
          <w:sz w:val="22"/>
          <w:szCs w:val="22"/>
        </w:rPr>
        <w:t>“</w:t>
      </w:r>
      <w:r w:rsidRPr="002F3A73">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2F3A73">
        <w:rPr>
          <w:rFonts w:ascii="Arial Narrow" w:hAnsi="Arial Narrow" w:cs="Tahoma"/>
          <w:i/>
          <w:sz w:val="22"/>
          <w:szCs w:val="22"/>
        </w:rPr>
        <w:t xml:space="preserve">”. </w:t>
      </w:r>
    </w:p>
    <w:p w:rsidR="00A462A2" w:rsidRPr="00A462A2" w:rsidRDefault="00A462A2" w:rsidP="00A462A2">
      <w:pPr>
        <w:ind w:firstLine="709"/>
        <w:jc w:val="both"/>
        <w:rPr>
          <w:rFonts w:ascii="Tahoma" w:hAnsi="Tahoma" w:cs="Tahoma"/>
          <w:spacing w:val="-2"/>
          <w:sz w:val="22"/>
          <w:szCs w:val="22"/>
        </w:rPr>
      </w:pPr>
    </w:p>
    <w:p w:rsidR="000D4908" w:rsidRDefault="008F2D96" w:rsidP="00246366">
      <w:pPr>
        <w:spacing w:line="276" w:lineRule="auto"/>
        <w:ind w:firstLine="709"/>
        <w:jc w:val="both"/>
        <w:rPr>
          <w:rFonts w:ascii="Tahoma" w:hAnsi="Tahoma" w:cs="Tahoma"/>
          <w:spacing w:val="-2"/>
          <w:sz w:val="22"/>
          <w:szCs w:val="22"/>
        </w:rPr>
      </w:pPr>
      <w:r w:rsidRPr="00A462A2">
        <w:rPr>
          <w:rFonts w:ascii="Tahoma" w:hAnsi="Tahoma" w:cs="Tahoma"/>
          <w:spacing w:val="-2"/>
          <w:sz w:val="22"/>
          <w:szCs w:val="22"/>
        </w:rPr>
        <w:t xml:space="preserve">En virtud de lo anterior debió </w:t>
      </w:r>
      <w:r w:rsidR="00D60231">
        <w:rPr>
          <w:rFonts w:ascii="Tahoma" w:hAnsi="Tahoma" w:cs="Tahoma"/>
          <w:spacing w:val="-2"/>
          <w:sz w:val="22"/>
          <w:szCs w:val="22"/>
        </w:rPr>
        <w:t xml:space="preserve">confirmarse </w:t>
      </w:r>
      <w:r w:rsidRPr="00A462A2">
        <w:rPr>
          <w:rFonts w:ascii="Tahoma" w:hAnsi="Tahoma" w:cs="Tahoma"/>
          <w:spacing w:val="-2"/>
          <w:sz w:val="22"/>
          <w:szCs w:val="22"/>
        </w:rPr>
        <w:t>la sentencia de primera instancia</w:t>
      </w:r>
      <w:r w:rsidR="00CE6C1D">
        <w:rPr>
          <w:rFonts w:ascii="Tahoma" w:hAnsi="Tahoma" w:cs="Tahoma"/>
          <w:spacing w:val="-2"/>
          <w:sz w:val="22"/>
          <w:szCs w:val="22"/>
        </w:rPr>
        <w:t xml:space="preserve">, la cual </w:t>
      </w:r>
      <w:r w:rsidR="00D60231">
        <w:rPr>
          <w:rFonts w:ascii="Tahoma" w:hAnsi="Tahoma" w:cs="Tahoma"/>
          <w:spacing w:val="-2"/>
          <w:sz w:val="22"/>
          <w:szCs w:val="22"/>
        </w:rPr>
        <w:t xml:space="preserve">concedió </w:t>
      </w:r>
      <w:r w:rsidR="00CE6C1D">
        <w:rPr>
          <w:rFonts w:ascii="Tahoma" w:hAnsi="Tahoma" w:cs="Tahoma"/>
          <w:spacing w:val="-2"/>
          <w:sz w:val="22"/>
          <w:szCs w:val="22"/>
        </w:rPr>
        <w:t xml:space="preserve">la </w:t>
      </w:r>
      <w:r w:rsidR="000D4908">
        <w:rPr>
          <w:rFonts w:ascii="Tahoma" w:hAnsi="Tahoma" w:cs="Tahoma"/>
          <w:spacing w:val="-2"/>
          <w:sz w:val="22"/>
          <w:szCs w:val="22"/>
        </w:rPr>
        <w:t xml:space="preserve"> pensión de </w:t>
      </w:r>
      <w:r w:rsidR="006B696C">
        <w:rPr>
          <w:rFonts w:ascii="Tahoma" w:hAnsi="Tahoma" w:cs="Tahoma"/>
          <w:spacing w:val="-2"/>
          <w:sz w:val="22"/>
          <w:szCs w:val="22"/>
        </w:rPr>
        <w:t xml:space="preserve">invalidez </w:t>
      </w:r>
      <w:r w:rsidR="000D4908">
        <w:rPr>
          <w:rFonts w:ascii="Tahoma" w:hAnsi="Tahoma" w:cs="Tahoma"/>
          <w:spacing w:val="-2"/>
          <w:sz w:val="22"/>
          <w:szCs w:val="22"/>
        </w:rPr>
        <w:t xml:space="preserve">pretendida por la </w:t>
      </w:r>
      <w:r w:rsidR="00CE6C1D">
        <w:rPr>
          <w:rFonts w:ascii="Tahoma" w:hAnsi="Tahoma" w:cs="Tahoma"/>
          <w:spacing w:val="-2"/>
          <w:sz w:val="22"/>
          <w:szCs w:val="22"/>
        </w:rPr>
        <w:t xml:space="preserve">parte </w:t>
      </w:r>
      <w:r w:rsidR="000D4908">
        <w:rPr>
          <w:rFonts w:ascii="Tahoma" w:hAnsi="Tahoma" w:cs="Tahoma"/>
          <w:spacing w:val="-2"/>
          <w:sz w:val="22"/>
          <w:szCs w:val="22"/>
        </w:rPr>
        <w:t xml:space="preserve">demandante, </w:t>
      </w:r>
      <w:r w:rsidR="006B696C">
        <w:rPr>
          <w:rFonts w:ascii="Tahoma" w:hAnsi="Tahoma" w:cs="Tahoma"/>
          <w:spacing w:val="-2"/>
          <w:sz w:val="22"/>
          <w:szCs w:val="22"/>
        </w:rPr>
        <w:t xml:space="preserve">quien contaba con 446,14 semanas cotizadas </w:t>
      </w:r>
      <w:r w:rsidR="000D4908">
        <w:rPr>
          <w:rFonts w:ascii="Tahoma" w:hAnsi="Tahoma" w:cs="Tahoma"/>
          <w:spacing w:val="-2"/>
          <w:sz w:val="22"/>
          <w:szCs w:val="22"/>
        </w:rPr>
        <w:t xml:space="preserve">antes del 1º de </w:t>
      </w:r>
      <w:r w:rsidR="00792FA9">
        <w:rPr>
          <w:rFonts w:ascii="Tahoma" w:hAnsi="Tahoma" w:cs="Tahoma"/>
          <w:spacing w:val="-2"/>
          <w:sz w:val="22"/>
          <w:szCs w:val="22"/>
        </w:rPr>
        <w:t>abril de 1994, esto es, más de l</w:t>
      </w:r>
      <w:r w:rsidR="000D4908">
        <w:rPr>
          <w:rFonts w:ascii="Tahoma" w:hAnsi="Tahoma" w:cs="Tahoma"/>
          <w:spacing w:val="-2"/>
          <w:sz w:val="22"/>
          <w:szCs w:val="22"/>
        </w:rPr>
        <w:t xml:space="preserve">as 300 exigidas por el Acuerdo 049 de 1990. </w:t>
      </w:r>
    </w:p>
    <w:p w:rsidR="008F2D96" w:rsidRPr="00A462A2" w:rsidRDefault="008F2D96" w:rsidP="00246366">
      <w:pPr>
        <w:spacing w:line="276" w:lineRule="auto"/>
        <w:ind w:firstLine="709"/>
        <w:jc w:val="both"/>
        <w:rPr>
          <w:rFonts w:ascii="Tahoma" w:hAnsi="Tahoma" w:cs="Tahoma"/>
          <w:sz w:val="22"/>
          <w:szCs w:val="22"/>
        </w:rPr>
      </w:pPr>
      <w:r w:rsidRPr="00A462A2">
        <w:rPr>
          <w:rFonts w:ascii="Tahoma" w:hAnsi="Tahoma" w:cs="Tahoma"/>
          <w:spacing w:val="-2"/>
          <w:sz w:val="22"/>
          <w:szCs w:val="22"/>
        </w:rPr>
        <w:tab/>
      </w:r>
    </w:p>
    <w:p w:rsidR="008F2D96" w:rsidRPr="00A462A2" w:rsidRDefault="008F2D96" w:rsidP="00246366">
      <w:pPr>
        <w:pStyle w:val="Textoindependiente"/>
        <w:spacing w:line="276" w:lineRule="auto"/>
        <w:ind w:firstLine="709"/>
        <w:rPr>
          <w:rFonts w:ascii="Tahoma" w:hAnsi="Tahoma" w:cs="Tahoma"/>
          <w:sz w:val="22"/>
          <w:szCs w:val="22"/>
          <w:lang w:val="es-ES"/>
        </w:rPr>
      </w:pPr>
      <w:r w:rsidRPr="00A462A2">
        <w:rPr>
          <w:rFonts w:ascii="Tahoma" w:hAnsi="Tahoma" w:cs="Tahoma"/>
          <w:sz w:val="22"/>
          <w:szCs w:val="22"/>
          <w:lang w:val="es-ES"/>
        </w:rPr>
        <w:t>En estos términos sustento mi salvamento de voto.</w:t>
      </w:r>
    </w:p>
    <w:p w:rsidR="008F2D96" w:rsidRPr="00A462A2" w:rsidRDefault="008F2D96" w:rsidP="00A462A2">
      <w:pPr>
        <w:pStyle w:val="Textoindependiente"/>
        <w:autoSpaceDE/>
        <w:autoSpaceDN/>
        <w:adjustRightInd/>
        <w:ind w:firstLine="709"/>
        <w:rPr>
          <w:rFonts w:ascii="Tahoma" w:hAnsi="Tahoma" w:cs="Tahoma"/>
          <w:sz w:val="22"/>
          <w:szCs w:val="22"/>
          <w:lang w:val="es-ES"/>
        </w:rPr>
      </w:pPr>
    </w:p>
    <w:p w:rsidR="008F2D96" w:rsidRDefault="008F2D96" w:rsidP="00A462A2">
      <w:pPr>
        <w:widowControl w:val="0"/>
        <w:autoSpaceDE w:val="0"/>
        <w:autoSpaceDN w:val="0"/>
        <w:adjustRightInd w:val="0"/>
        <w:ind w:firstLine="709"/>
        <w:jc w:val="both"/>
        <w:rPr>
          <w:rFonts w:ascii="Tahoma" w:hAnsi="Tahoma" w:cs="Tahoma"/>
          <w:sz w:val="22"/>
          <w:szCs w:val="22"/>
        </w:rPr>
      </w:pPr>
    </w:p>
    <w:p w:rsidR="00A462A2" w:rsidRPr="00A462A2" w:rsidRDefault="00A462A2" w:rsidP="00A462A2">
      <w:pPr>
        <w:widowControl w:val="0"/>
        <w:autoSpaceDE w:val="0"/>
        <w:autoSpaceDN w:val="0"/>
        <w:adjustRightInd w:val="0"/>
        <w:ind w:firstLine="709"/>
        <w:jc w:val="both"/>
        <w:rPr>
          <w:rFonts w:ascii="Tahoma" w:hAnsi="Tahoma" w:cs="Tahoma"/>
          <w:sz w:val="22"/>
          <w:szCs w:val="22"/>
        </w:rPr>
      </w:pPr>
    </w:p>
    <w:p w:rsidR="00344350" w:rsidRPr="00A462A2" w:rsidRDefault="00344350"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tulo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CE6C1D">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98C" w:rsidRDefault="004D098C">
      <w:r>
        <w:separator/>
      </w:r>
    </w:p>
  </w:endnote>
  <w:endnote w:type="continuationSeparator" w:id="0">
    <w:p w:rsidR="004D098C" w:rsidRDefault="004D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4D09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2D2B">
      <w:rPr>
        <w:rStyle w:val="Nmerodepgina"/>
        <w:noProof/>
      </w:rPr>
      <w:t>3</w:t>
    </w:r>
    <w:r>
      <w:rPr>
        <w:rStyle w:val="Nmerodepgina"/>
      </w:rPr>
      <w:fldChar w:fldCharType="end"/>
    </w:r>
  </w:p>
  <w:p w:rsidR="00F0306B" w:rsidRDefault="004D09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98C" w:rsidRDefault="004D098C">
      <w:r>
        <w:separator/>
      </w:r>
    </w:p>
  </w:footnote>
  <w:footnote w:type="continuationSeparator" w:id="0">
    <w:p w:rsidR="004D098C" w:rsidRDefault="004D098C">
      <w:r>
        <w:continuationSeparator/>
      </w:r>
    </w:p>
  </w:footnote>
  <w:footnote w:id="1">
    <w:p w:rsidR="00D52B19" w:rsidRDefault="00D52B19" w:rsidP="00D52B19">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D52B19" w:rsidRDefault="00D52B19" w:rsidP="00D52B19">
      <w:pPr>
        <w:tabs>
          <w:tab w:val="left" w:pos="8789"/>
        </w:tabs>
        <w:ind w:right="51"/>
        <w:jc w:val="both"/>
        <w:rPr>
          <w:sz w:val="16"/>
          <w:szCs w:val="16"/>
        </w:rPr>
      </w:pPr>
    </w:p>
    <w:p w:rsidR="00D52B19" w:rsidRPr="00F57ACA" w:rsidRDefault="00D52B19" w:rsidP="00D52B19">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D52B19" w:rsidRPr="00F57ACA" w:rsidRDefault="00D52B19" w:rsidP="00D52B19">
      <w:pPr>
        <w:tabs>
          <w:tab w:val="left" w:pos="8789"/>
        </w:tabs>
        <w:ind w:right="51"/>
        <w:jc w:val="both"/>
        <w:rPr>
          <w:rFonts w:ascii="Arial Narrow" w:hAnsi="Arial Narrow"/>
          <w:i/>
          <w:iCs/>
          <w:sz w:val="16"/>
          <w:szCs w:val="16"/>
        </w:rPr>
      </w:pPr>
    </w:p>
    <w:p w:rsidR="00D52B19" w:rsidRPr="00F57ACA" w:rsidRDefault="00D52B19" w:rsidP="00D52B19">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D52B19" w:rsidRPr="00F57ACA" w:rsidRDefault="00D52B19" w:rsidP="00D52B19">
      <w:pPr>
        <w:jc w:val="both"/>
        <w:rPr>
          <w:rFonts w:ascii="Tahoma" w:hAnsi="Tahoma" w:cs="Tahoma"/>
          <w:spacing w:val="-2"/>
          <w:sz w:val="16"/>
          <w:szCs w:val="16"/>
        </w:rPr>
      </w:pPr>
    </w:p>
    <w:p w:rsidR="00D52B19" w:rsidRPr="00F57ACA" w:rsidRDefault="00D52B19" w:rsidP="00D52B19">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D52B19" w:rsidRPr="00F57ACA" w:rsidRDefault="00D52B19" w:rsidP="00D52B19">
      <w:pPr>
        <w:jc w:val="both"/>
        <w:rPr>
          <w:rFonts w:ascii="Tahoma" w:hAnsi="Tahoma" w:cs="Tahoma"/>
          <w:spacing w:val="-2"/>
          <w:sz w:val="16"/>
          <w:szCs w:val="16"/>
        </w:rPr>
      </w:pPr>
    </w:p>
    <w:p w:rsidR="00D52B19" w:rsidRPr="00F57ACA" w:rsidRDefault="00D52B19" w:rsidP="00D52B19">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D52B19" w:rsidRPr="00F57ACA" w:rsidRDefault="00D52B19" w:rsidP="00D52B1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15F3C"/>
    <w:rsid w:val="000D4908"/>
    <w:rsid w:val="00131AD3"/>
    <w:rsid w:val="00246366"/>
    <w:rsid w:val="002D2D2B"/>
    <w:rsid w:val="002E6083"/>
    <w:rsid w:val="00344350"/>
    <w:rsid w:val="00347152"/>
    <w:rsid w:val="00371E6A"/>
    <w:rsid w:val="00380143"/>
    <w:rsid w:val="004213A7"/>
    <w:rsid w:val="004634CD"/>
    <w:rsid w:val="004D098C"/>
    <w:rsid w:val="004E3A76"/>
    <w:rsid w:val="00521F8D"/>
    <w:rsid w:val="0055223C"/>
    <w:rsid w:val="005A51BF"/>
    <w:rsid w:val="005C65B1"/>
    <w:rsid w:val="006437E3"/>
    <w:rsid w:val="00680EF9"/>
    <w:rsid w:val="006B696C"/>
    <w:rsid w:val="006E285D"/>
    <w:rsid w:val="0072408B"/>
    <w:rsid w:val="00792FA9"/>
    <w:rsid w:val="007E5E88"/>
    <w:rsid w:val="008155EB"/>
    <w:rsid w:val="0084707C"/>
    <w:rsid w:val="0089179B"/>
    <w:rsid w:val="008B4BD9"/>
    <w:rsid w:val="008F2D96"/>
    <w:rsid w:val="009119E0"/>
    <w:rsid w:val="00941F67"/>
    <w:rsid w:val="00964549"/>
    <w:rsid w:val="00972239"/>
    <w:rsid w:val="009C2F50"/>
    <w:rsid w:val="00A462A2"/>
    <w:rsid w:val="00A51EF6"/>
    <w:rsid w:val="00A6571B"/>
    <w:rsid w:val="00A67F18"/>
    <w:rsid w:val="00AF0F47"/>
    <w:rsid w:val="00B37A3B"/>
    <w:rsid w:val="00C01A75"/>
    <w:rsid w:val="00C40590"/>
    <w:rsid w:val="00CE6C1D"/>
    <w:rsid w:val="00D04492"/>
    <w:rsid w:val="00D0563A"/>
    <w:rsid w:val="00D1601F"/>
    <w:rsid w:val="00D52B19"/>
    <w:rsid w:val="00D60231"/>
    <w:rsid w:val="00D62D12"/>
    <w:rsid w:val="00DB18DF"/>
    <w:rsid w:val="00DD7149"/>
    <w:rsid w:val="00DF032A"/>
    <w:rsid w:val="00E33B5B"/>
    <w:rsid w:val="00E709F2"/>
    <w:rsid w:val="00F74BEC"/>
    <w:rsid w:val="00F77521"/>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FD3F5-2F87-4ADB-AA2F-1836B602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styleId="Refdenotaalpie">
    <w:name w:val="footnote reference"/>
    <w:rsid w:val="00D52B19"/>
    <w:rPr>
      <w:vertAlign w:val="superscript"/>
    </w:rPr>
  </w:style>
  <w:style w:type="paragraph" w:styleId="Textonotapie">
    <w:name w:val="footnote text"/>
    <w:basedOn w:val="Normal"/>
    <w:link w:val="TextonotapieCar"/>
    <w:rsid w:val="00D52B19"/>
    <w:rPr>
      <w:sz w:val="20"/>
      <w:szCs w:val="20"/>
    </w:rPr>
  </w:style>
  <w:style w:type="character" w:customStyle="1" w:styleId="TextonotapieCar">
    <w:name w:val="Texto nota pie Car"/>
    <w:basedOn w:val="Fuentedeprrafopredeter"/>
    <w:link w:val="Textonotapie"/>
    <w:rsid w:val="00D52B19"/>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D52B1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644E-A242-41F3-8120-050CEA92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1814</Words>
  <Characters>9980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18</cp:revision>
  <cp:lastPrinted>2017-07-04T14:20:00Z</cp:lastPrinted>
  <dcterms:created xsi:type="dcterms:W3CDTF">2017-03-06T19:53:00Z</dcterms:created>
  <dcterms:modified xsi:type="dcterms:W3CDTF">2017-09-11T20:12:00Z</dcterms:modified>
</cp:coreProperties>
</file>